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fontTable1.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951F8" w14:textId="77777777" w:rsidR="00794AA7" w:rsidRPr="001F7248" w:rsidRDefault="00384742" w:rsidP="00E81B82">
      <w:pPr>
        <w:spacing w:before="12"/>
        <w:jc w:val="center"/>
        <w:textAlignment w:val="baseline"/>
        <w:rPr>
          <w:rFonts w:asciiTheme="minorHAnsi" w:eastAsia="Tahoma" w:hAnsiTheme="minorHAnsi" w:cstheme="minorHAnsi"/>
          <w:b/>
          <w:color w:val="000000"/>
          <w:spacing w:val="-5"/>
          <w:sz w:val="24"/>
          <w:szCs w:val="24"/>
        </w:rPr>
      </w:pPr>
      <w:r w:rsidRPr="001F7248">
        <w:rPr>
          <w:rFonts w:asciiTheme="minorHAnsi" w:eastAsia="Tahoma" w:hAnsiTheme="minorHAnsi" w:cstheme="minorHAnsi"/>
          <w:b/>
          <w:color w:val="000000"/>
          <w:spacing w:val="-5"/>
          <w:sz w:val="24"/>
          <w:szCs w:val="24"/>
        </w:rPr>
        <w:t>37th session of the Human Rights Council</w:t>
      </w:r>
    </w:p>
    <w:p w14:paraId="7ACA7653" w14:textId="77777777" w:rsidR="00794AA7" w:rsidRPr="001F7248" w:rsidRDefault="00384742" w:rsidP="003B5483">
      <w:pPr>
        <w:spacing w:before="120" w:after="120"/>
        <w:jc w:val="center"/>
        <w:textAlignment w:val="baseline"/>
        <w:rPr>
          <w:rFonts w:asciiTheme="minorHAnsi" w:eastAsia="Tahoma" w:hAnsiTheme="minorHAnsi" w:cstheme="minorHAnsi"/>
          <w:b/>
          <w:color w:val="000000"/>
          <w:spacing w:val="-4"/>
          <w:sz w:val="32"/>
          <w:szCs w:val="32"/>
        </w:rPr>
      </w:pPr>
      <w:r w:rsidRPr="001F7248">
        <w:rPr>
          <w:rFonts w:asciiTheme="minorHAnsi" w:eastAsia="Tahoma" w:hAnsiTheme="minorHAnsi" w:cstheme="minorHAnsi"/>
          <w:b/>
          <w:color w:val="000000"/>
          <w:spacing w:val="-4"/>
          <w:sz w:val="32"/>
          <w:szCs w:val="32"/>
        </w:rPr>
        <w:t>Annual high-level panel discussion on human rights mainstreaming</w:t>
      </w:r>
    </w:p>
    <w:p w14:paraId="442A492F" w14:textId="77777777" w:rsidR="00AF450C" w:rsidRPr="001F7248" w:rsidRDefault="00384742" w:rsidP="009D48FA">
      <w:pPr>
        <w:jc w:val="center"/>
        <w:textAlignment w:val="baseline"/>
        <w:rPr>
          <w:rFonts w:asciiTheme="minorHAnsi" w:eastAsia="Tahoma" w:hAnsiTheme="minorHAnsi" w:cstheme="minorHAnsi"/>
          <w:b/>
          <w:i/>
          <w:color w:val="000000"/>
          <w:sz w:val="27"/>
          <w:szCs w:val="27"/>
        </w:rPr>
      </w:pPr>
      <w:r w:rsidRPr="001F7248">
        <w:rPr>
          <w:rFonts w:asciiTheme="minorHAnsi" w:eastAsia="Tahoma" w:hAnsiTheme="minorHAnsi" w:cstheme="minorHAnsi"/>
          <w:b/>
          <w:i/>
          <w:color w:val="000000"/>
          <w:sz w:val="27"/>
          <w:szCs w:val="27"/>
        </w:rPr>
        <w:t xml:space="preserve">Theme: </w:t>
      </w:r>
      <w:r w:rsidR="00AF450C" w:rsidRPr="001F7248">
        <w:rPr>
          <w:rFonts w:asciiTheme="minorHAnsi" w:eastAsia="Tahoma" w:hAnsiTheme="minorHAnsi" w:cstheme="minorHAnsi"/>
          <w:b/>
          <w:i/>
          <w:color w:val="000000"/>
          <w:sz w:val="27"/>
          <w:szCs w:val="27"/>
        </w:rPr>
        <w:t xml:space="preserve">The promotion and protection of human rights in the light of </w:t>
      </w:r>
      <w:r w:rsidR="00BC6621" w:rsidRPr="001F7248">
        <w:rPr>
          <w:rFonts w:asciiTheme="minorHAnsi" w:eastAsia="Tahoma" w:hAnsiTheme="minorHAnsi" w:cstheme="minorHAnsi"/>
          <w:b/>
          <w:i/>
          <w:color w:val="000000"/>
          <w:sz w:val="27"/>
          <w:szCs w:val="27"/>
        </w:rPr>
        <w:br/>
      </w:r>
      <w:r w:rsidR="00AF450C" w:rsidRPr="001F7248">
        <w:rPr>
          <w:rFonts w:asciiTheme="minorHAnsi" w:eastAsia="Tahoma" w:hAnsiTheme="minorHAnsi" w:cstheme="minorHAnsi"/>
          <w:b/>
          <w:i/>
          <w:color w:val="000000"/>
          <w:sz w:val="27"/>
          <w:szCs w:val="27"/>
        </w:rPr>
        <w:t>the universal periodic review mechanism: challenges and opportunities</w:t>
      </w:r>
    </w:p>
    <w:p w14:paraId="254673CE" w14:textId="34663B44" w:rsidR="00794AA7" w:rsidRPr="001F7248" w:rsidRDefault="00384742" w:rsidP="00E81B82">
      <w:pPr>
        <w:spacing w:before="120" w:after="120"/>
        <w:jc w:val="center"/>
        <w:textAlignment w:val="baseline"/>
        <w:rPr>
          <w:rFonts w:asciiTheme="minorHAnsi" w:eastAsia="Tahoma" w:hAnsiTheme="minorHAnsi" w:cstheme="minorHAnsi"/>
          <w:b/>
          <w:color w:val="000000"/>
        </w:rPr>
      </w:pPr>
      <w:r w:rsidRPr="001F7248">
        <w:rPr>
          <w:rFonts w:asciiTheme="minorHAnsi" w:eastAsia="Tahoma" w:hAnsiTheme="minorHAnsi" w:cstheme="minorHAnsi"/>
          <w:i/>
          <w:color w:val="000000"/>
        </w:rPr>
        <w:t>Concept note</w:t>
      </w:r>
      <w:r w:rsidR="00E81B82" w:rsidRPr="001F7248">
        <w:rPr>
          <w:rFonts w:asciiTheme="minorHAnsi" w:eastAsia="Tahoma" w:hAnsiTheme="minorHAnsi" w:cstheme="minorHAnsi"/>
          <w:i/>
          <w:color w:val="000000"/>
        </w:rPr>
        <w:t xml:space="preserve"> (as of </w:t>
      </w:r>
      <w:r w:rsidR="0018051F">
        <w:rPr>
          <w:rFonts w:asciiTheme="minorHAnsi" w:eastAsia="Tahoma" w:hAnsiTheme="minorHAnsi" w:cstheme="minorHAnsi"/>
          <w:i/>
          <w:color w:val="000000"/>
        </w:rPr>
        <w:t>20</w:t>
      </w:r>
      <w:r w:rsidR="00E81B82" w:rsidRPr="001F7248">
        <w:rPr>
          <w:rFonts w:asciiTheme="minorHAnsi" w:eastAsia="Tahoma" w:hAnsiTheme="minorHAnsi" w:cstheme="minorHAnsi"/>
          <w:i/>
          <w:color w:val="000000"/>
        </w:rPr>
        <w:t xml:space="preserve"> February 2018)</w:t>
      </w:r>
    </w:p>
    <w:tbl>
      <w:tblPr>
        <w:tblW w:w="5000" w:type="pct"/>
        <w:tblLook w:val="04A0" w:firstRow="1" w:lastRow="0" w:firstColumn="1" w:lastColumn="0" w:noHBand="0" w:noVBand="1"/>
      </w:tblPr>
      <w:tblGrid>
        <w:gridCol w:w="1527"/>
        <w:gridCol w:w="8151"/>
      </w:tblGrid>
      <w:tr w:rsidR="00E81B82" w:rsidRPr="001F7248" w14:paraId="0A8377F0" w14:textId="77777777" w:rsidTr="009F6747">
        <w:trPr>
          <w:trHeight w:val="459"/>
        </w:trPr>
        <w:tc>
          <w:tcPr>
            <w:tcW w:w="789" w:type="pct"/>
            <w:shd w:val="clear" w:color="auto" w:fill="auto"/>
          </w:tcPr>
          <w:p w14:paraId="1AD5769C" w14:textId="49236686" w:rsidR="00E81B82" w:rsidRPr="001F7248" w:rsidRDefault="00E81B82" w:rsidP="000B7519">
            <w:pPr>
              <w:rPr>
                <w:rFonts w:ascii="Calibri" w:eastAsia="Calibri" w:hAnsi="Calibri"/>
                <w:b/>
                <w:color w:val="000000"/>
              </w:rPr>
            </w:pPr>
            <w:r w:rsidRPr="001F7248">
              <w:rPr>
                <w:rFonts w:ascii="Calibri" w:eastAsia="Calibri" w:hAnsi="Calibri"/>
                <w:b/>
                <w:color w:val="000000"/>
              </w:rPr>
              <w:t>Date</w:t>
            </w:r>
            <w:r w:rsidR="000B7519" w:rsidRPr="001F7248">
              <w:rPr>
                <w:rFonts w:ascii="Calibri" w:eastAsia="Calibri" w:hAnsi="Calibri"/>
                <w:b/>
                <w:color w:val="000000"/>
              </w:rPr>
              <w:t xml:space="preserve"> and</w:t>
            </w:r>
            <w:r w:rsidRPr="001F7248">
              <w:rPr>
                <w:rFonts w:ascii="Calibri" w:eastAsia="Calibri" w:hAnsi="Calibri"/>
                <w:b/>
                <w:color w:val="000000"/>
              </w:rPr>
              <w:t xml:space="preserve"> venue:</w:t>
            </w:r>
          </w:p>
        </w:tc>
        <w:tc>
          <w:tcPr>
            <w:tcW w:w="4211" w:type="pct"/>
            <w:shd w:val="clear" w:color="auto" w:fill="auto"/>
          </w:tcPr>
          <w:p w14:paraId="0A34112C" w14:textId="6B8C6017" w:rsidR="00E81B82" w:rsidRPr="001F7248" w:rsidRDefault="00E81B82" w:rsidP="009F6747">
            <w:pPr>
              <w:spacing w:after="120"/>
              <w:rPr>
                <w:rFonts w:ascii="Calibri" w:eastAsia="Calibri" w:hAnsi="Calibri"/>
              </w:rPr>
            </w:pPr>
            <w:r w:rsidRPr="001F7248">
              <w:rPr>
                <w:rFonts w:ascii="Calibri" w:eastAsia="Calibri" w:hAnsi="Calibri"/>
                <w:b/>
              </w:rPr>
              <w:t xml:space="preserve">Monday, 26 February 2018, </w:t>
            </w:r>
            <w:r w:rsidR="009F6747" w:rsidRPr="001F7248">
              <w:rPr>
                <w:rFonts w:ascii="Calibri" w:eastAsia="Calibri" w:hAnsi="Calibri"/>
                <w:b/>
              </w:rPr>
              <w:t>4 - 6 p.m.</w:t>
            </w:r>
            <w:r w:rsidRPr="001F7248">
              <w:rPr>
                <w:rFonts w:ascii="Calibri" w:eastAsia="Calibri" w:hAnsi="Calibri"/>
                <w:b/>
              </w:rPr>
              <w:t>, Palais des Nations, Room XX, Geneva</w:t>
            </w:r>
            <w:r w:rsidR="000A5FD9" w:rsidRPr="001F7248">
              <w:rPr>
                <w:rFonts w:ascii="Calibri" w:eastAsia="Calibri" w:hAnsi="Calibri"/>
                <w:b/>
              </w:rPr>
              <w:br/>
            </w:r>
            <w:r w:rsidRPr="001F7248">
              <w:rPr>
                <w:rFonts w:ascii="Calibri" w:eastAsia="Calibri" w:hAnsi="Calibri"/>
              </w:rPr>
              <w:t xml:space="preserve">(will be broadcast live and archived on </w:t>
            </w:r>
            <w:hyperlink r:id="rId8">
              <w:r w:rsidR="000A5FD9" w:rsidRPr="001F7248">
                <w:rPr>
                  <w:rFonts w:asciiTheme="minorHAnsi" w:eastAsia="Tahoma" w:hAnsiTheme="minorHAnsi" w:cstheme="minorHAnsi"/>
                  <w:color w:val="0000FF"/>
                  <w:spacing w:val="5"/>
                </w:rPr>
                <w:t>http://webtv.un.org</w:t>
              </w:r>
            </w:hyperlink>
            <w:r w:rsidR="000A5FD9" w:rsidRPr="001F7248">
              <w:rPr>
                <w:rFonts w:asciiTheme="minorHAnsi" w:eastAsia="Tahoma" w:hAnsiTheme="minorHAnsi" w:cstheme="minorHAnsi"/>
                <w:color w:val="000000"/>
                <w:spacing w:val="5"/>
              </w:rPr>
              <w:t>)</w:t>
            </w:r>
          </w:p>
        </w:tc>
      </w:tr>
      <w:tr w:rsidR="00E81B82" w:rsidRPr="001F7248" w14:paraId="4680FD31" w14:textId="77777777" w:rsidTr="009F6747">
        <w:trPr>
          <w:trHeight w:val="882"/>
        </w:trPr>
        <w:tc>
          <w:tcPr>
            <w:tcW w:w="789" w:type="pct"/>
            <w:shd w:val="clear" w:color="auto" w:fill="auto"/>
          </w:tcPr>
          <w:p w14:paraId="709CF971" w14:textId="77777777" w:rsidR="00E81B82" w:rsidRPr="001F7248" w:rsidRDefault="00E81B82" w:rsidP="00E81B82">
            <w:pPr>
              <w:rPr>
                <w:rFonts w:ascii="Calibri" w:eastAsia="Calibri" w:hAnsi="Calibri"/>
                <w:b/>
                <w:color w:val="000000"/>
              </w:rPr>
            </w:pPr>
            <w:r w:rsidRPr="001F7248">
              <w:rPr>
                <w:rFonts w:ascii="Calibri" w:eastAsia="Calibri" w:hAnsi="Calibri"/>
                <w:b/>
                <w:color w:val="000000"/>
              </w:rPr>
              <w:t>Objective:</w:t>
            </w:r>
          </w:p>
        </w:tc>
        <w:tc>
          <w:tcPr>
            <w:tcW w:w="4211" w:type="pct"/>
            <w:shd w:val="clear" w:color="auto" w:fill="auto"/>
          </w:tcPr>
          <w:p w14:paraId="511A5A49" w14:textId="70F25B17" w:rsidR="000A5FD9" w:rsidRPr="001F7248" w:rsidRDefault="000A5FD9" w:rsidP="000A5FD9">
            <w:pPr>
              <w:spacing w:after="120"/>
              <w:jc w:val="both"/>
              <w:rPr>
                <w:rFonts w:ascii="Calibri" w:eastAsia="Calibri" w:hAnsi="Calibri"/>
                <w:color w:val="000000" w:themeColor="text1"/>
              </w:rPr>
            </w:pPr>
            <w:r w:rsidRPr="001F7248">
              <w:rPr>
                <w:rFonts w:ascii="Calibri" w:eastAsia="Calibri" w:hAnsi="Calibri"/>
                <w:color w:val="000000" w:themeColor="text1"/>
              </w:rPr>
              <w:t xml:space="preserve">The </w:t>
            </w:r>
            <w:r w:rsidR="00785455" w:rsidRPr="001F7248">
              <w:rPr>
                <w:rFonts w:ascii="Calibri" w:eastAsia="Calibri" w:hAnsi="Calibri"/>
                <w:color w:val="000000" w:themeColor="text1"/>
              </w:rPr>
              <w:t>u</w:t>
            </w:r>
            <w:r w:rsidRPr="001F7248">
              <w:rPr>
                <w:rFonts w:ascii="Calibri" w:eastAsia="Calibri" w:hAnsi="Calibri"/>
                <w:color w:val="000000" w:themeColor="text1"/>
              </w:rPr>
              <w:t xml:space="preserve">niversal </w:t>
            </w:r>
            <w:r w:rsidR="00785455" w:rsidRPr="001F7248">
              <w:rPr>
                <w:rFonts w:ascii="Calibri" w:eastAsia="Calibri" w:hAnsi="Calibri"/>
                <w:color w:val="000000" w:themeColor="text1"/>
              </w:rPr>
              <w:t>p</w:t>
            </w:r>
            <w:r w:rsidRPr="001F7248">
              <w:rPr>
                <w:rFonts w:ascii="Calibri" w:eastAsia="Calibri" w:hAnsi="Calibri"/>
                <w:color w:val="000000" w:themeColor="text1"/>
              </w:rPr>
              <w:t xml:space="preserve">eriodic </w:t>
            </w:r>
            <w:r w:rsidR="00785455" w:rsidRPr="001F7248">
              <w:rPr>
                <w:rFonts w:ascii="Calibri" w:eastAsia="Calibri" w:hAnsi="Calibri"/>
                <w:color w:val="000000" w:themeColor="text1"/>
              </w:rPr>
              <w:t>r</w:t>
            </w:r>
            <w:r w:rsidRPr="001F7248">
              <w:rPr>
                <w:rFonts w:ascii="Calibri" w:eastAsia="Calibri" w:hAnsi="Calibri"/>
                <w:color w:val="000000" w:themeColor="text1"/>
              </w:rPr>
              <w:t>eview (UPR) is a unique process which involves a periodic review of the human rights records of all 193 States</w:t>
            </w:r>
            <w:r w:rsidR="00785455" w:rsidRPr="001F7248">
              <w:rPr>
                <w:rFonts w:ascii="Calibri" w:eastAsia="Calibri" w:hAnsi="Calibri"/>
                <w:color w:val="000000" w:themeColor="text1"/>
              </w:rPr>
              <w:t xml:space="preserve"> Members of the United Nations</w:t>
            </w:r>
            <w:r w:rsidRPr="001F7248">
              <w:rPr>
                <w:rFonts w:ascii="Calibri" w:eastAsia="Calibri" w:hAnsi="Calibri"/>
                <w:color w:val="000000" w:themeColor="text1"/>
              </w:rPr>
              <w:t>. The UPR is a significant innovation of the Human Rights Council, based on equal treatment for all countries.</w:t>
            </w:r>
          </w:p>
          <w:p w14:paraId="7B0694A2" w14:textId="3B256CFF" w:rsidR="00E81B82" w:rsidRPr="001F7248" w:rsidRDefault="000A5FD9" w:rsidP="006141B5">
            <w:pPr>
              <w:spacing w:after="240"/>
              <w:jc w:val="both"/>
              <w:rPr>
                <w:rFonts w:ascii="Calibri" w:eastAsia="Calibri" w:hAnsi="Calibri"/>
                <w:color w:val="000000" w:themeColor="text1"/>
              </w:rPr>
            </w:pPr>
            <w:r w:rsidRPr="001F7248">
              <w:rPr>
                <w:rFonts w:ascii="Calibri" w:eastAsia="Calibri" w:hAnsi="Calibri"/>
                <w:color w:val="000000" w:themeColor="text1"/>
              </w:rPr>
              <w:t>International cooperation and the sharing of good practices are essential to States</w:t>
            </w:r>
            <w:r w:rsidR="00785455" w:rsidRPr="001F7248">
              <w:rPr>
                <w:rFonts w:ascii="Calibri" w:eastAsia="Calibri" w:hAnsi="Calibri"/>
                <w:color w:val="000000" w:themeColor="text1"/>
              </w:rPr>
              <w:t>’</w:t>
            </w:r>
            <w:r w:rsidRPr="001F7248">
              <w:rPr>
                <w:rFonts w:ascii="Calibri" w:eastAsia="Calibri" w:hAnsi="Calibri"/>
                <w:color w:val="000000" w:themeColor="text1"/>
              </w:rPr>
              <w:t xml:space="preserve"> efforts to improve human rights situations in every country in line with the objectives of the UPR, through cooperative endeavours and the sharing of best practices among States and other stakeholders. By now, all 193 Member States have been reviewed twice by the UPR, and the third cycle is well underway. The 70th anniversary of the Universal Declaration of Human Rights and the UPR are important opportunities for the U</w:t>
            </w:r>
            <w:r w:rsidR="00785455" w:rsidRPr="001F7248">
              <w:rPr>
                <w:rFonts w:ascii="Calibri" w:eastAsia="Calibri" w:hAnsi="Calibri"/>
                <w:color w:val="000000" w:themeColor="text1"/>
              </w:rPr>
              <w:t xml:space="preserve">nited </w:t>
            </w:r>
            <w:r w:rsidRPr="001F7248">
              <w:rPr>
                <w:rFonts w:ascii="Calibri" w:eastAsia="Calibri" w:hAnsi="Calibri"/>
                <w:color w:val="000000" w:themeColor="text1"/>
              </w:rPr>
              <w:t>N</w:t>
            </w:r>
            <w:r w:rsidR="00785455" w:rsidRPr="001F7248">
              <w:rPr>
                <w:rFonts w:ascii="Calibri" w:eastAsia="Calibri" w:hAnsi="Calibri"/>
                <w:color w:val="000000" w:themeColor="text1"/>
              </w:rPr>
              <w:t>ations</w:t>
            </w:r>
            <w:r w:rsidRPr="001F7248">
              <w:rPr>
                <w:rFonts w:ascii="Calibri" w:eastAsia="Calibri" w:hAnsi="Calibri"/>
                <w:color w:val="000000" w:themeColor="text1"/>
              </w:rPr>
              <w:t xml:space="preserve"> system to engage constructively with each Member State, suggesting lines of action in preparation for their next UPR cycle, four and a half years later. Implementation action and coordination mechanisms, led by the Government, with the active participation of line Ministries, other State entities, the national human rights institution and civil society organizations, can also benefit from the assistance of the U</w:t>
            </w:r>
            <w:r w:rsidR="00027DB9" w:rsidRPr="001F7248">
              <w:rPr>
                <w:rFonts w:ascii="Calibri" w:eastAsia="Calibri" w:hAnsi="Calibri"/>
                <w:color w:val="000000" w:themeColor="text1"/>
              </w:rPr>
              <w:t xml:space="preserve">nited </w:t>
            </w:r>
            <w:r w:rsidRPr="001F7248">
              <w:rPr>
                <w:rFonts w:ascii="Calibri" w:eastAsia="Calibri" w:hAnsi="Calibri"/>
                <w:color w:val="000000" w:themeColor="text1"/>
              </w:rPr>
              <w:t>N</w:t>
            </w:r>
            <w:r w:rsidR="00027DB9" w:rsidRPr="001F7248">
              <w:rPr>
                <w:rFonts w:ascii="Calibri" w:eastAsia="Calibri" w:hAnsi="Calibri"/>
                <w:color w:val="000000" w:themeColor="text1"/>
              </w:rPr>
              <w:t>ations</w:t>
            </w:r>
            <w:r w:rsidRPr="001F7248">
              <w:rPr>
                <w:rFonts w:ascii="Calibri" w:eastAsia="Calibri" w:hAnsi="Calibri"/>
                <w:color w:val="000000" w:themeColor="text1"/>
              </w:rPr>
              <w:t xml:space="preserve"> agencies and programmes as well as </w:t>
            </w:r>
            <w:r w:rsidR="00731F6C" w:rsidRPr="001F7248">
              <w:rPr>
                <w:rFonts w:ascii="Calibri" w:eastAsia="Calibri" w:hAnsi="Calibri"/>
                <w:color w:val="000000" w:themeColor="text1"/>
              </w:rPr>
              <w:t>the Office of the United Nations High Commissioner for Huma</w:t>
            </w:r>
            <w:r w:rsidR="009D48FA" w:rsidRPr="001F7248">
              <w:rPr>
                <w:rFonts w:ascii="Calibri" w:eastAsia="Calibri" w:hAnsi="Calibri"/>
                <w:color w:val="000000" w:themeColor="text1"/>
              </w:rPr>
              <w:t>n</w:t>
            </w:r>
            <w:r w:rsidR="00731F6C" w:rsidRPr="001F7248">
              <w:rPr>
                <w:rFonts w:ascii="Calibri" w:eastAsia="Calibri" w:hAnsi="Calibri"/>
                <w:color w:val="000000" w:themeColor="text1"/>
              </w:rPr>
              <w:t xml:space="preserve"> Rights (</w:t>
            </w:r>
            <w:r w:rsidRPr="001F7248">
              <w:rPr>
                <w:rFonts w:ascii="Calibri" w:eastAsia="Calibri" w:hAnsi="Calibri"/>
                <w:color w:val="000000" w:themeColor="text1"/>
              </w:rPr>
              <w:t>OHCHR</w:t>
            </w:r>
            <w:r w:rsidR="00731F6C" w:rsidRPr="001F7248">
              <w:rPr>
                <w:rFonts w:ascii="Calibri" w:eastAsia="Calibri" w:hAnsi="Calibri"/>
                <w:color w:val="000000" w:themeColor="text1"/>
              </w:rPr>
              <w:t>)</w:t>
            </w:r>
            <w:r w:rsidRPr="001F7248">
              <w:rPr>
                <w:rFonts w:ascii="Calibri" w:eastAsia="Calibri" w:hAnsi="Calibri"/>
                <w:color w:val="000000" w:themeColor="text1"/>
              </w:rPr>
              <w:t>, regional organizations and bilateral donors. Unlocking the potential available within the U</w:t>
            </w:r>
            <w:r w:rsidR="009D48FA" w:rsidRPr="001F7248">
              <w:rPr>
                <w:rFonts w:ascii="Calibri" w:eastAsia="Calibri" w:hAnsi="Calibri"/>
                <w:color w:val="000000" w:themeColor="text1"/>
              </w:rPr>
              <w:t xml:space="preserve">nited </w:t>
            </w:r>
            <w:r w:rsidRPr="001F7248">
              <w:rPr>
                <w:rFonts w:ascii="Calibri" w:eastAsia="Calibri" w:hAnsi="Calibri"/>
                <w:color w:val="000000" w:themeColor="text1"/>
              </w:rPr>
              <w:t>N</w:t>
            </w:r>
            <w:r w:rsidR="009D48FA" w:rsidRPr="001F7248">
              <w:rPr>
                <w:rFonts w:ascii="Calibri" w:eastAsia="Calibri" w:hAnsi="Calibri"/>
                <w:color w:val="000000" w:themeColor="text1"/>
              </w:rPr>
              <w:t>ations</w:t>
            </w:r>
            <w:r w:rsidRPr="001F7248">
              <w:rPr>
                <w:rFonts w:ascii="Calibri" w:eastAsia="Calibri" w:hAnsi="Calibri"/>
                <w:color w:val="000000" w:themeColor="text1"/>
              </w:rPr>
              <w:t xml:space="preserve"> system and the wider international community in order to assist Member States in advancing the promotion and protection of human rights, building also on South-South and North–South cooperation, can enhance the mainstreaming of human rights and efforts at the relevant U</w:t>
            </w:r>
            <w:r w:rsidR="009D48FA" w:rsidRPr="001F7248">
              <w:rPr>
                <w:rFonts w:ascii="Calibri" w:eastAsia="Calibri" w:hAnsi="Calibri"/>
                <w:color w:val="000000" w:themeColor="text1"/>
              </w:rPr>
              <w:t xml:space="preserve">nited </w:t>
            </w:r>
            <w:r w:rsidRPr="001F7248">
              <w:rPr>
                <w:rFonts w:ascii="Calibri" w:eastAsia="Calibri" w:hAnsi="Calibri"/>
                <w:color w:val="000000" w:themeColor="text1"/>
              </w:rPr>
              <w:t>N</w:t>
            </w:r>
            <w:r w:rsidR="009D48FA" w:rsidRPr="001F7248">
              <w:rPr>
                <w:rFonts w:ascii="Calibri" w:eastAsia="Calibri" w:hAnsi="Calibri"/>
                <w:color w:val="000000" w:themeColor="text1"/>
              </w:rPr>
              <w:t>ations</w:t>
            </w:r>
            <w:r w:rsidRPr="001F7248">
              <w:rPr>
                <w:rFonts w:ascii="Calibri" w:eastAsia="Calibri" w:hAnsi="Calibri"/>
                <w:color w:val="000000" w:themeColor="text1"/>
              </w:rPr>
              <w:t xml:space="preserve"> bodies. The panel will explore how supporting at all levels the implementation of recommendations resulting from the UPR strengthens the promotion and protection of human rights at the national level, to achieve UPR objectives, as an important mechanism in contributing to the enhancement of international cooperation in the field of human rights.</w:t>
            </w:r>
          </w:p>
        </w:tc>
      </w:tr>
      <w:tr w:rsidR="000A5FD9" w:rsidRPr="001F7248" w14:paraId="46464125" w14:textId="77777777" w:rsidTr="009F6747">
        <w:trPr>
          <w:trHeight w:val="80"/>
        </w:trPr>
        <w:tc>
          <w:tcPr>
            <w:tcW w:w="789" w:type="pct"/>
            <w:shd w:val="clear" w:color="auto" w:fill="auto"/>
          </w:tcPr>
          <w:p w14:paraId="5D7E21D5" w14:textId="77777777" w:rsidR="00E81B82" w:rsidRPr="001F7248" w:rsidRDefault="00E81B82" w:rsidP="000A5FD9">
            <w:pPr>
              <w:spacing w:after="120"/>
              <w:rPr>
                <w:rFonts w:ascii="Calibri" w:eastAsia="Calibri" w:hAnsi="Calibri"/>
                <w:b/>
                <w:color w:val="000000" w:themeColor="text1"/>
              </w:rPr>
            </w:pPr>
            <w:r w:rsidRPr="001F7248">
              <w:rPr>
                <w:rFonts w:ascii="Calibri" w:eastAsia="Calibri" w:hAnsi="Calibri"/>
                <w:b/>
                <w:color w:val="000000" w:themeColor="text1"/>
              </w:rPr>
              <w:t>Chair:</w:t>
            </w:r>
          </w:p>
        </w:tc>
        <w:tc>
          <w:tcPr>
            <w:tcW w:w="4211" w:type="pct"/>
            <w:shd w:val="clear" w:color="auto" w:fill="auto"/>
          </w:tcPr>
          <w:p w14:paraId="4AE4CAD6" w14:textId="77777777" w:rsidR="00E81B82" w:rsidRPr="001F7248" w:rsidRDefault="000A5FD9" w:rsidP="000A5FD9">
            <w:pPr>
              <w:spacing w:after="120"/>
              <w:rPr>
                <w:rFonts w:ascii="Calibri" w:eastAsia="Calibri" w:hAnsi="Calibri"/>
                <w:color w:val="000000" w:themeColor="text1"/>
              </w:rPr>
            </w:pPr>
            <w:r w:rsidRPr="001F7248">
              <w:rPr>
                <w:rFonts w:asciiTheme="minorHAnsi" w:eastAsia="Tahoma" w:hAnsiTheme="minorHAnsi" w:cstheme="minorHAnsi"/>
                <w:b/>
                <w:color w:val="000000" w:themeColor="text1"/>
                <w:spacing w:val="5"/>
              </w:rPr>
              <w:t xml:space="preserve">H.E. Mr. Vojislav </w:t>
            </w:r>
            <w:proofErr w:type="spellStart"/>
            <w:r w:rsidRPr="001F7248">
              <w:rPr>
                <w:rFonts w:asciiTheme="minorHAnsi" w:eastAsia="Tahoma" w:hAnsiTheme="minorHAnsi" w:cstheme="minorHAnsi"/>
                <w:b/>
                <w:color w:val="000000" w:themeColor="text1"/>
                <w:spacing w:val="5"/>
              </w:rPr>
              <w:t>Šuc</w:t>
            </w:r>
            <w:proofErr w:type="spellEnd"/>
            <w:r w:rsidRPr="001F7248">
              <w:rPr>
                <w:rFonts w:asciiTheme="minorHAnsi" w:eastAsia="Tahoma" w:hAnsiTheme="minorHAnsi" w:cstheme="minorHAnsi"/>
                <w:color w:val="000000" w:themeColor="text1"/>
                <w:spacing w:val="5"/>
              </w:rPr>
              <w:t>, President of the Human Rights Council</w:t>
            </w:r>
          </w:p>
        </w:tc>
      </w:tr>
      <w:tr w:rsidR="00E81B82" w:rsidRPr="001F7248" w14:paraId="2B61D18E" w14:textId="77777777" w:rsidTr="009F6747">
        <w:trPr>
          <w:trHeight w:val="567"/>
        </w:trPr>
        <w:tc>
          <w:tcPr>
            <w:tcW w:w="789" w:type="pct"/>
            <w:shd w:val="clear" w:color="auto" w:fill="auto"/>
          </w:tcPr>
          <w:p w14:paraId="103DF446" w14:textId="77777777" w:rsidR="00E81B82" w:rsidRPr="001F7248" w:rsidRDefault="00E81B82" w:rsidP="00E81B82">
            <w:pPr>
              <w:rPr>
                <w:rFonts w:ascii="Calibri" w:eastAsia="Calibri" w:hAnsi="Calibri"/>
                <w:b/>
                <w:color w:val="000000"/>
              </w:rPr>
            </w:pPr>
            <w:r w:rsidRPr="001F7248">
              <w:rPr>
                <w:rFonts w:ascii="Calibri" w:eastAsia="Calibri" w:hAnsi="Calibri"/>
                <w:b/>
                <w:color w:val="000000"/>
              </w:rPr>
              <w:t xml:space="preserve">Opening statements: </w:t>
            </w:r>
          </w:p>
        </w:tc>
        <w:tc>
          <w:tcPr>
            <w:tcW w:w="4211" w:type="pct"/>
            <w:shd w:val="clear" w:color="auto" w:fill="auto"/>
          </w:tcPr>
          <w:p w14:paraId="33D0CE03" w14:textId="743C9C8E" w:rsidR="000A5FD9" w:rsidRPr="001F7248" w:rsidRDefault="000A5FD9" w:rsidP="000A5FD9">
            <w:pPr>
              <w:spacing w:after="120"/>
              <w:rPr>
                <w:rFonts w:ascii="Calibri" w:eastAsia="Calibri" w:hAnsi="Calibri"/>
                <w:color w:val="000000" w:themeColor="text1"/>
              </w:rPr>
            </w:pPr>
            <w:r w:rsidRPr="001F7248">
              <w:rPr>
                <w:rFonts w:ascii="Calibri" w:eastAsia="Calibri" w:hAnsi="Calibri"/>
                <w:b/>
                <w:color w:val="000000" w:themeColor="text1"/>
              </w:rPr>
              <w:t xml:space="preserve">H.E. Mr. Miroslav </w:t>
            </w:r>
            <w:proofErr w:type="spellStart"/>
            <w:r w:rsidRPr="001F7248">
              <w:rPr>
                <w:rFonts w:ascii="Calibri" w:eastAsia="Calibri" w:hAnsi="Calibri"/>
                <w:b/>
                <w:color w:val="000000" w:themeColor="text1"/>
              </w:rPr>
              <w:t>Lajčák</w:t>
            </w:r>
            <w:proofErr w:type="spellEnd"/>
            <w:r w:rsidRPr="001F7248">
              <w:rPr>
                <w:rFonts w:ascii="Calibri" w:eastAsia="Calibri" w:hAnsi="Calibri"/>
                <w:color w:val="000000" w:themeColor="text1"/>
              </w:rPr>
              <w:t xml:space="preserve">, President of the </w:t>
            </w:r>
            <w:r w:rsidR="00DB5A45" w:rsidRPr="001F7248">
              <w:rPr>
                <w:rFonts w:ascii="Calibri" w:eastAsia="Calibri" w:hAnsi="Calibri"/>
                <w:color w:val="000000" w:themeColor="text1"/>
              </w:rPr>
              <w:t xml:space="preserve">72nd session of the </w:t>
            </w:r>
            <w:r w:rsidRPr="001F7248">
              <w:rPr>
                <w:rFonts w:ascii="Calibri" w:eastAsia="Calibri" w:hAnsi="Calibri"/>
                <w:color w:val="000000" w:themeColor="text1"/>
              </w:rPr>
              <w:t>General Assembly</w:t>
            </w:r>
          </w:p>
          <w:p w14:paraId="600F179B" w14:textId="77777777" w:rsidR="00775B6E" w:rsidRPr="001F7248" w:rsidRDefault="00775B6E" w:rsidP="00775B6E">
            <w:pPr>
              <w:spacing w:after="100"/>
              <w:rPr>
                <w:rFonts w:ascii="Calibri" w:eastAsia="Calibri" w:hAnsi="Calibri" w:cs="Helv"/>
                <w:i/>
                <w:color w:val="000000" w:themeColor="text1"/>
                <w:lang w:eastAsia="en-GB"/>
              </w:rPr>
            </w:pPr>
            <w:r w:rsidRPr="001F7248">
              <w:rPr>
                <w:rFonts w:ascii="Calibri" w:eastAsia="Calibri" w:hAnsi="Calibri" w:cs="Helv"/>
                <w:b/>
                <w:color w:val="000000" w:themeColor="text1"/>
                <w:lang w:eastAsia="en-GB"/>
              </w:rPr>
              <w:t>Ms. Amina Mohammed</w:t>
            </w:r>
            <w:r w:rsidRPr="001F7248">
              <w:rPr>
                <w:rFonts w:ascii="Calibri" w:eastAsia="Calibri" w:hAnsi="Calibri" w:cs="Helv"/>
                <w:color w:val="000000" w:themeColor="text1"/>
                <w:lang w:eastAsia="en-GB"/>
              </w:rPr>
              <w:t xml:space="preserve">, Deputy Secretary-General of the United Nations </w:t>
            </w:r>
            <w:r w:rsidRPr="001F7248">
              <w:rPr>
                <w:rFonts w:ascii="Calibri" w:eastAsia="Calibri" w:hAnsi="Calibri" w:cs="Helv"/>
                <w:i/>
                <w:color w:val="000000" w:themeColor="text1"/>
                <w:lang w:eastAsia="en-GB"/>
              </w:rPr>
              <w:t>(video message)</w:t>
            </w:r>
          </w:p>
          <w:p w14:paraId="71C4F116" w14:textId="77777777" w:rsidR="00E81B82" w:rsidRPr="001F7248" w:rsidRDefault="000A5FD9" w:rsidP="000A5FD9">
            <w:pPr>
              <w:spacing w:after="120"/>
              <w:rPr>
                <w:rFonts w:ascii="Calibri" w:eastAsia="Calibri" w:hAnsi="Calibri"/>
                <w:b/>
                <w:color w:val="000000" w:themeColor="text1"/>
              </w:rPr>
            </w:pPr>
            <w:r w:rsidRPr="001F7248">
              <w:rPr>
                <w:rFonts w:ascii="Calibri" w:eastAsia="Calibri" w:hAnsi="Calibri"/>
                <w:b/>
                <w:color w:val="000000" w:themeColor="text1"/>
              </w:rPr>
              <w:t xml:space="preserve">Mr. Zeid </w:t>
            </w:r>
            <w:proofErr w:type="spellStart"/>
            <w:r w:rsidRPr="001F7248">
              <w:rPr>
                <w:rFonts w:ascii="Calibri" w:eastAsia="Calibri" w:hAnsi="Calibri"/>
                <w:b/>
                <w:color w:val="000000" w:themeColor="text1"/>
              </w:rPr>
              <w:t>Ra'ad</w:t>
            </w:r>
            <w:proofErr w:type="spellEnd"/>
            <w:r w:rsidRPr="001F7248">
              <w:rPr>
                <w:rFonts w:ascii="Calibri" w:eastAsia="Calibri" w:hAnsi="Calibri"/>
                <w:b/>
                <w:color w:val="000000" w:themeColor="text1"/>
              </w:rPr>
              <w:t xml:space="preserve"> Al Hussein</w:t>
            </w:r>
            <w:r w:rsidRPr="001F7248">
              <w:rPr>
                <w:rFonts w:ascii="Calibri" w:eastAsia="Calibri" w:hAnsi="Calibri"/>
                <w:color w:val="000000" w:themeColor="text1"/>
              </w:rPr>
              <w:t>, United Nations High Commissioner for Human Rights</w:t>
            </w:r>
          </w:p>
        </w:tc>
      </w:tr>
      <w:tr w:rsidR="00E81B82" w:rsidRPr="001F7248" w14:paraId="1AD9FECA" w14:textId="77777777" w:rsidTr="009F6747">
        <w:trPr>
          <w:trHeight w:val="165"/>
        </w:trPr>
        <w:tc>
          <w:tcPr>
            <w:tcW w:w="789" w:type="pct"/>
            <w:shd w:val="clear" w:color="auto" w:fill="auto"/>
          </w:tcPr>
          <w:p w14:paraId="62B0F21A" w14:textId="77777777" w:rsidR="00E81B82" w:rsidRPr="001F7248" w:rsidRDefault="00E81B82" w:rsidP="000A5FD9">
            <w:pPr>
              <w:spacing w:after="120"/>
              <w:rPr>
                <w:rFonts w:ascii="Calibri" w:eastAsia="MS Mincho" w:hAnsi="Calibri"/>
                <w:b/>
                <w:lang w:eastAsia="ja-JP"/>
              </w:rPr>
            </w:pPr>
            <w:r w:rsidRPr="001F7248">
              <w:rPr>
                <w:rFonts w:ascii="Calibri" w:eastAsia="MS Mincho" w:hAnsi="Calibri"/>
                <w:b/>
                <w:lang w:eastAsia="ja-JP"/>
              </w:rPr>
              <w:t>Moderator:</w:t>
            </w:r>
          </w:p>
        </w:tc>
        <w:tc>
          <w:tcPr>
            <w:tcW w:w="4211" w:type="pct"/>
            <w:shd w:val="clear" w:color="auto" w:fill="auto"/>
          </w:tcPr>
          <w:p w14:paraId="3944AE28" w14:textId="77777777" w:rsidR="00E81B82" w:rsidRPr="001F7248" w:rsidRDefault="00E81B82" w:rsidP="009D48FA">
            <w:pPr>
              <w:spacing w:after="100"/>
              <w:rPr>
                <w:rFonts w:ascii="Calibri" w:eastAsia="Calibri" w:hAnsi="Calibri"/>
                <w:b/>
                <w:color w:val="000000" w:themeColor="text1"/>
              </w:rPr>
            </w:pPr>
            <w:r w:rsidRPr="001F7248">
              <w:rPr>
                <w:rFonts w:ascii="Calibri" w:eastAsia="Calibri" w:hAnsi="Calibri"/>
                <w:b/>
                <w:color w:val="000000" w:themeColor="text1"/>
              </w:rPr>
              <w:t>Ms. Kate Gilmore</w:t>
            </w:r>
            <w:r w:rsidRPr="001F7248">
              <w:rPr>
                <w:rFonts w:ascii="Calibri" w:eastAsia="Calibri" w:hAnsi="Calibri"/>
                <w:color w:val="000000" w:themeColor="text1"/>
              </w:rPr>
              <w:t xml:space="preserve">, United Nations Deputy High Commissioner for Human Rights </w:t>
            </w:r>
          </w:p>
        </w:tc>
      </w:tr>
      <w:tr w:rsidR="00E81B82" w:rsidRPr="001F7248" w14:paraId="1B250812" w14:textId="77777777" w:rsidTr="009F6747">
        <w:trPr>
          <w:trHeight w:val="270"/>
        </w:trPr>
        <w:tc>
          <w:tcPr>
            <w:tcW w:w="789" w:type="pct"/>
            <w:shd w:val="clear" w:color="auto" w:fill="auto"/>
          </w:tcPr>
          <w:p w14:paraId="38103F16" w14:textId="77777777" w:rsidR="00E81B82" w:rsidRPr="001F7248" w:rsidRDefault="00E81B82" w:rsidP="000A5FD9">
            <w:pPr>
              <w:spacing w:after="120"/>
              <w:rPr>
                <w:rFonts w:ascii="Calibri" w:eastAsia="MS Mincho" w:hAnsi="Calibri"/>
                <w:b/>
                <w:lang w:eastAsia="ja-JP"/>
              </w:rPr>
            </w:pPr>
            <w:r w:rsidRPr="001F7248">
              <w:rPr>
                <w:rFonts w:ascii="Calibri" w:eastAsia="MS Mincho" w:hAnsi="Calibri"/>
                <w:b/>
                <w:lang w:eastAsia="ja-JP"/>
              </w:rPr>
              <w:t>Panellists:</w:t>
            </w:r>
          </w:p>
        </w:tc>
        <w:tc>
          <w:tcPr>
            <w:tcW w:w="4211" w:type="pct"/>
            <w:shd w:val="clear" w:color="auto" w:fill="auto"/>
          </w:tcPr>
          <w:p w14:paraId="72AFB4D7" w14:textId="255365CA" w:rsidR="00860290" w:rsidRPr="001F7248" w:rsidRDefault="00860290" w:rsidP="00860290">
            <w:pPr>
              <w:spacing w:after="100"/>
              <w:rPr>
                <w:rFonts w:ascii="Calibri" w:eastAsia="Calibri" w:hAnsi="Calibri" w:cs="Helv"/>
                <w:i/>
                <w:color w:val="000000" w:themeColor="text1"/>
                <w:lang w:eastAsia="en-GB"/>
              </w:rPr>
            </w:pPr>
            <w:r w:rsidRPr="001F7248">
              <w:rPr>
                <w:rFonts w:ascii="Calibri" w:eastAsia="Calibri" w:hAnsi="Calibri" w:cs="Helv"/>
                <w:b/>
                <w:color w:val="000000" w:themeColor="text1"/>
                <w:lang w:eastAsia="en-GB"/>
              </w:rPr>
              <w:t xml:space="preserve">Mr. </w:t>
            </w:r>
            <w:proofErr w:type="spellStart"/>
            <w:r w:rsidRPr="001F7248">
              <w:rPr>
                <w:rFonts w:ascii="Calibri" w:eastAsia="Calibri" w:hAnsi="Calibri" w:cs="Helv"/>
                <w:b/>
                <w:color w:val="000000" w:themeColor="text1"/>
                <w:lang w:eastAsia="en-GB"/>
              </w:rPr>
              <w:t>Achim</w:t>
            </w:r>
            <w:proofErr w:type="spellEnd"/>
            <w:r w:rsidRPr="001F7248">
              <w:rPr>
                <w:rFonts w:ascii="Calibri" w:eastAsia="Calibri" w:hAnsi="Calibri" w:cs="Helv"/>
                <w:b/>
                <w:color w:val="000000" w:themeColor="text1"/>
                <w:lang w:eastAsia="en-GB"/>
              </w:rPr>
              <w:t xml:space="preserve"> Steiner</w:t>
            </w:r>
            <w:r w:rsidRPr="001F7248">
              <w:rPr>
                <w:rFonts w:ascii="Calibri" w:eastAsia="Calibri" w:hAnsi="Calibri" w:cs="Helv"/>
                <w:color w:val="000000" w:themeColor="text1"/>
                <w:lang w:eastAsia="en-GB"/>
              </w:rPr>
              <w:t>,</w:t>
            </w:r>
            <w:r w:rsidRPr="001F7248">
              <w:rPr>
                <w:rFonts w:ascii="Calibri" w:eastAsia="Calibri" w:hAnsi="Calibri" w:cs="Helv"/>
                <w:b/>
                <w:color w:val="000000" w:themeColor="text1"/>
                <w:lang w:eastAsia="en-GB"/>
              </w:rPr>
              <w:t xml:space="preserve"> </w:t>
            </w:r>
            <w:r w:rsidRPr="001F7248">
              <w:rPr>
                <w:rFonts w:ascii="Calibri" w:eastAsia="Calibri" w:hAnsi="Calibri" w:cs="Helv"/>
                <w:color w:val="000000" w:themeColor="text1"/>
                <w:lang w:eastAsia="en-GB"/>
              </w:rPr>
              <w:t>Administrator</w:t>
            </w:r>
            <w:r w:rsidR="00B81D9F" w:rsidRPr="001F7248">
              <w:rPr>
                <w:rFonts w:ascii="Calibri" w:eastAsia="Calibri" w:hAnsi="Calibri" w:cs="Helv"/>
                <w:color w:val="000000" w:themeColor="text1"/>
                <w:lang w:eastAsia="en-GB"/>
              </w:rPr>
              <w:t xml:space="preserve"> of the </w:t>
            </w:r>
            <w:r w:rsidRPr="001F7248">
              <w:rPr>
                <w:rFonts w:ascii="Calibri" w:eastAsia="Calibri" w:hAnsi="Calibri" w:cs="Helv"/>
                <w:color w:val="000000" w:themeColor="text1"/>
                <w:lang w:eastAsia="en-GB"/>
              </w:rPr>
              <w:t xml:space="preserve">United Nations Development Programme </w:t>
            </w:r>
            <w:r w:rsidRPr="001F7248">
              <w:rPr>
                <w:rFonts w:ascii="Calibri" w:eastAsia="Calibri" w:hAnsi="Calibri" w:cs="Helv"/>
                <w:i/>
                <w:color w:val="000000" w:themeColor="text1"/>
                <w:lang w:eastAsia="en-GB"/>
              </w:rPr>
              <w:t>(video message)</w:t>
            </w:r>
            <w:r w:rsidR="008337DB" w:rsidRPr="001F7248">
              <w:rPr>
                <w:rFonts w:ascii="Calibri" w:eastAsia="Calibri" w:hAnsi="Calibri" w:cs="Helv"/>
                <w:i/>
                <w:color w:val="000000" w:themeColor="text1"/>
                <w:lang w:eastAsia="en-GB"/>
              </w:rPr>
              <w:t xml:space="preserve"> </w:t>
            </w:r>
            <w:r w:rsidR="008337DB" w:rsidRPr="001F7248">
              <w:rPr>
                <w:rFonts w:ascii="Calibri" w:eastAsia="Calibri" w:hAnsi="Calibri" w:cs="Helv"/>
                <w:color w:val="000000" w:themeColor="text1"/>
                <w:lang w:eastAsia="en-GB"/>
              </w:rPr>
              <w:t xml:space="preserve">and </w:t>
            </w:r>
            <w:r w:rsidR="00F243C0" w:rsidRPr="001F7248">
              <w:rPr>
                <w:rFonts w:ascii="Calibri" w:eastAsia="Calibri" w:hAnsi="Calibri" w:cs="Helv"/>
                <w:b/>
                <w:color w:val="000000" w:themeColor="text1"/>
                <w:lang w:eastAsia="en-GB"/>
              </w:rPr>
              <w:t xml:space="preserve">Mr. </w:t>
            </w:r>
            <w:r w:rsidR="006E5E0C" w:rsidRPr="001F7248">
              <w:rPr>
                <w:rFonts w:ascii="Calibri" w:eastAsia="Calibri" w:hAnsi="Calibri" w:cs="Helv"/>
                <w:b/>
                <w:color w:val="000000" w:themeColor="text1"/>
                <w:lang w:eastAsia="en-GB"/>
              </w:rPr>
              <w:t xml:space="preserve">Robert </w:t>
            </w:r>
            <w:r w:rsidR="00F243C0" w:rsidRPr="001F7248">
              <w:rPr>
                <w:rFonts w:ascii="Calibri" w:eastAsia="Calibri" w:hAnsi="Calibri" w:cs="Helv"/>
                <w:b/>
                <w:color w:val="000000" w:themeColor="text1"/>
                <w:lang w:eastAsia="en-GB"/>
              </w:rPr>
              <w:t>Piper</w:t>
            </w:r>
            <w:r w:rsidR="00F243C0" w:rsidRPr="001F7248">
              <w:rPr>
                <w:rFonts w:ascii="Calibri" w:eastAsia="Calibri" w:hAnsi="Calibri" w:cs="Helv"/>
                <w:color w:val="000000" w:themeColor="text1"/>
                <w:lang w:eastAsia="en-GB"/>
              </w:rPr>
              <w:t xml:space="preserve">, </w:t>
            </w:r>
            <w:r w:rsidR="006E5E0C" w:rsidRPr="001F7248">
              <w:rPr>
                <w:rFonts w:ascii="Calibri" w:eastAsia="Calibri" w:hAnsi="Calibri" w:cs="Helv"/>
                <w:color w:val="000000" w:themeColor="text1"/>
                <w:lang w:eastAsia="en-GB"/>
              </w:rPr>
              <w:t xml:space="preserve">Special Adviser on United Nations Reforms, </w:t>
            </w:r>
            <w:r w:rsidR="00F243C0" w:rsidRPr="001F7248">
              <w:rPr>
                <w:rFonts w:ascii="Calibri" w:eastAsia="Calibri" w:hAnsi="Calibri" w:cs="Helv"/>
                <w:color w:val="000000" w:themeColor="text1"/>
                <w:lang w:eastAsia="en-GB"/>
              </w:rPr>
              <w:t>United Nations Development Programme</w:t>
            </w:r>
          </w:p>
          <w:p w14:paraId="59B9848E" w14:textId="1A2D9F23" w:rsidR="00860290" w:rsidRPr="001F7248" w:rsidRDefault="00860290" w:rsidP="00860290">
            <w:pPr>
              <w:spacing w:after="100"/>
              <w:rPr>
                <w:rFonts w:ascii="Calibri" w:eastAsia="Calibri" w:hAnsi="Calibri" w:cs="Helv"/>
                <w:color w:val="000000" w:themeColor="text1"/>
                <w:lang w:eastAsia="en-GB"/>
              </w:rPr>
            </w:pPr>
            <w:r w:rsidRPr="001F7248">
              <w:rPr>
                <w:rFonts w:ascii="Calibri" w:eastAsia="Calibri" w:hAnsi="Calibri" w:cs="Helv"/>
                <w:b/>
                <w:color w:val="000000" w:themeColor="text1"/>
                <w:lang w:eastAsia="en-GB"/>
              </w:rPr>
              <w:t xml:space="preserve">Ms. Charlotte Petri </w:t>
            </w:r>
            <w:proofErr w:type="spellStart"/>
            <w:r w:rsidRPr="001F7248">
              <w:rPr>
                <w:rFonts w:ascii="Calibri" w:eastAsia="Calibri" w:hAnsi="Calibri" w:cs="Helv"/>
                <w:b/>
                <w:color w:val="000000" w:themeColor="text1"/>
                <w:lang w:eastAsia="en-GB"/>
              </w:rPr>
              <w:t>Gornitzka</w:t>
            </w:r>
            <w:proofErr w:type="spellEnd"/>
            <w:r w:rsidRPr="001F7248">
              <w:rPr>
                <w:rFonts w:ascii="Calibri" w:eastAsia="Calibri" w:hAnsi="Calibri" w:cs="Helv"/>
                <w:color w:val="000000" w:themeColor="text1"/>
                <w:lang w:eastAsia="en-GB"/>
              </w:rPr>
              <w:t>, Chair</w:t>
            </w:r>
            <w:r w:rsidR="00A420B4" w:rsidRPr="001F7248">
              <w:rPr>
                <w:rFonts w:ascii="Calibri" w:eastAsia="Calibri" w:hAnsi="Calibri" w:cs="Helv"/>
                <w:color w:val="000000" w:themeColor="text1"/>
                <w:lang w:eastAsia="en-GB"/>
              </w:rPr>
              <w:t xml:space="preserve"> of the</w:t>
            </w:r>
            <w:r w:rsidRPr="001F7248">
              <w:rPr>
                <w:rFonts w:ascii="Calibri" w:eastAsia="Calibri" w:hAnsi="Calibri" w:cs="Helv"/>
                <w:color w:val="000000" w:themeColor="text1"/>
                <w:lang w:eastAsia="en-GB"/>
              </w:rPr>
              <w:t xml:space="preserve"> Development Assistance Committee, Organisation for Economic Co-operation and Development </w:t>
            </w:r>
          </w:p>
          <w:p w14:paraId="52B837B2" w14:textId="4D6FDF84" w:rsidR="002E693B" w:rsidRPr="001F7248" w:rsidRDefault="002E693B" w:rsidP="002E693B">
            <w:pPr>
              <w:spacing w:after="100"/>
              <w:rPr>
                <w:rFonts w:ascii="Calibri" w:eastAsia="Calibri" w:hAnsi="Calibri" w:cs="Helv"/>
                <w:color w:val="000000" w:themeColor="text1"/>
                <w:lang w:eastAsia="en-GB"/>
              </w:rPr>
            </w:pPr>
            <w:r w:rsidRPr="001F7248">
              <w:rPr>
                <w:rFonts w:ascii="Calibri" w:eastAsia="Calibri" w:hAnsi="Calibri" w:cs="Helv"/>
                <w:b/>
                <w:color w:val="000000" w:themeColor="text1"/>
                <w:lang w:eastAsia="en-GB"/>
              </w:rPr>
              <w:t>H.E</w:t>
            </w:r>
            <w:r w:rsidR="00B04C0B">
              <w:rPr>
                <w:rFonts w:ascii="Calibri" w:eastAsia="Calibri" w:hAnsi="Calibri" w:cs="Helv"/>
                <w:b/>
                <w:color w:val="000000" w:themeColor="text1"/>
                <w:lang w:eastAsia="en-GB"/>
              </w:rPr>
              <w:t>.</w:t>
            </w:r>
            <w:bookmarkStart w:id="0" w:name="_GoBack"/>
            <w:bookmarkEnd w:id="0"/>
            <w:r w:rsidRPr="001F7248">
              <w:rPr>
                <w:rFonts w:ascii="Calibri" w:eastAsia="Calibri" w:hAnsi="Calibri" w:cs="Helv"/>
                <w:b/>
                <w:color w:val="000000" w:themeColor="text1"/>
                <w:lang w:eastAsia="en-GB"/>
              </w:rPr>
              <w:t xml:space="preserve"> Ms. </w:t>
            </w:r>
            <w:proofErr w:type="spellStart"/>
            <w:r w:rsidRPr="001F7248">
              <w:rPr>
                <w:rFonts w:ascii="Calibri" w:eastAsia="Calibri" w:hAnsi="Calibri" w:cs="Helv"/>
                <w:b/>
                <w:color w:val="000000" w:themeColor="text1"/>
                <w:lang w:eastAsia="en-GB"/>
              </w:rPr>
              <w:t>María</w:t>
            </w:r>
            <w:proofErr w:type="spellEnd"/>
            <w:r w:rsidRPr="001F7248">
              <w:rPr>
                <w:rFonts w:ascii="Calibri" w:eastAsia="Calibri" w:hAnsi="Calibri" w:cs="Helv"/>
                <w:b/>
                <w:color w:val="000000" w:themeColor="text1"/>
                <w:lang w:eastAsia="en-GB"/>
              </w:rPr>
              <w:t xml:space="preserve"> Fernanda Espinosa</w:t>
            </w:r>
            <w:r w:rsidR="00047C78" w:rsidRPr="001F7248">
              <w:rPr>
                <w:rFonts w:ascii="Calibri" w:eastAsia="Calibri" w:hAnsi="Calibri" w:cs="Helv"/>
                <w:b/>
                <w:color w:val="000000" w:themeColor="text1"/>
                <w:lang w:eastAsia="en-GB"/>
              </w:rPr>
              <w:t xml:space="preserve"> </w:t>
            </w:r>
            <w:proofErr w:type="spellStart"/>
            <w:r w:rsidR="00047C78" w:rsidRPr="001F7248">
              <w:rPr>
                <w:rFonts w:ascii="Calibri" w:eastAsia="Calibri" w:hAnsi="Calibri" w:cs="Helv"/>
                <w:b/>
                <w:color w:val="000000" w:themeColor="text1"/>
                <w:lang w:eastAsia="en-GB"/>
              </w:rPr>
              <w:t>Garcés</w:t>
            </w:r>
            <w:proofErr w:type="spellEnd"/>
            <w:r w:rsidRPr="001F7248">
              <w:rPr>
                <w:rFonts w:ascii="Calibri" w:eastAsia="Calibri" w:hAnsi="Calibri" w:cs="Helv"/>
                <w:color w:val="000000" w:themeColor="text1"/>
                <w:lang w:eastAsia="en-GB"/>
              </w:rPr>
              <w:t>,</w:t>
            </w:r>
            <w:r w:rsidRPr="001F7248">
              <w:rPr>
                <w:rFonts w:ascii="Calibri" w:eastAsia="Calibri" w:hAnsi="Calibri" w:cs="Helv"/>
                <w:b/>
                <w:color w:val="000000" w:themeColor="text1"/>
                <w:lang w:eastAsia="en-GB"/>
              </w:rPr>
              <w:t xml:space="preserve"> </w:t>
            </w:r>
            <w:r w:rsidRPr="001F7248">
              <w:rPr>
                <w:rFonts w:ascii="Calibri" w:eastAsia="Calibri" w:hAnsi="Calibri" w:cs="Helv"/>
                <w:color w:val="000000" w:themeColor="text1"/>
                <w:lang w:eastAsia="en-GB"/>
              </w:rPr>
              <w:t>Minister of Foreign Affairs and Human Mobility</w:t>
            </w:r>
            <w:r w:rsidR="000D4C03" w:rsidRPr="001F7248">
              <w:rPr>
                <w:rFonts w:ascii="Calibri" w:eastAsia="Calibri" w:hAnsi="Calibri" w:cs="Helv"/>
                <w:color w:val="000000" w:themeColor="text1"/>
                <w:lang w:eastAsia="en-GB"/>
              </w:rPr>
              <w:t xml:space="preserve"> of</w:t>
            </w:r>
            <w:r w:rsidRPr="001F7248">
              <w:rPr>
                <w:rFonts w:ascii="Calibri" w:eastAsia="Calibri" w:hAnsi="Calibri" w:cs="Helv"/>
                <w:color w:val="000000" w:themeColor="text1"/>
                <w:lang w:eastAsia="en-GB"/>
              </w:rPr>
              <w:t xml:space="preserve"> Ecuador</w:t>
            </w:r>
          </w:p>
          <w:p w14:paraId="37F80E52" w14:textId="13AEF3A7" w:rsidR="002E693B" w:rsidRPr="001F7248" w:rsidRDefault="002E693B" w:rsidP="009D48FA">
            <w:pPr>
              <w:spacing w:after="100"/>
              <w:rPr>
                <w:rFonts w:ascii="Calibri" w:eastAsia="Calibri" w:hAnsi="Calibri" w:cs="Helv"/>
                <w:b/>
                <w:color w:val="000000" w:themeColor="text1"/>
                <w:lang w:eastAsia="en-GB"/>
              </w:rPr>
            </w:pPr>
            <w:r w:rsidRPr="001F7248">
              <w:rPr>
                <w:rFonts w:ascii="Calibri" w:eastAsia="Calibri" w:hAnsi="Calibri" w:cs="Helv"/>
                <w:b/>
                <w:color w:val="000000" w:themeColor="text1"/>
                <w:lang w:eastAsia="en-GB"/>
              </w:rPr>
              <w:t>Ms. Mary Robinson</w:t>
            </w:r>
            <w:r w:rsidRPr="001F7248">
              <w:rPr>
                <w:rFonts w:ascii="Calibri" w:eastAsia="Calibri" w:hAnsi="Calibri" w:cs="Helv"/>
                <w:color w:val="000000" w:themeColor="text1"/>
                <w:lang w:eastAsia="en-GB"/>
              </w:rPr>
              <w:t>, former United Nations High Commissioner for Human Rights</w:t>
            </w:r>
          </w:p>
          <w:p w14:paraId="01DD2019" w14:textId="3B23552E" w:rsidR="000A5FD9" w:rsidRPr="001F7248" w:rsidRDefault="000A5FD9" w:rsidP="001F7248">
            <w:pPr>
              <w:spacing w:after="100"/>
              <w:rPr>
                <w:rFonts w:ascii="Calibri" w:eastAsia="Calibri" w:hAnsi="Calibri" w:cs="Helv"/>
                <w:color w:val="000000" w:themeColor="text1"/>
                <w:lang w:eastAsia="en-GB"/>
              </w:rPr>
            </w:pPr>
          </w:p>
        </w:tc>
      </w:tr>
      <w:tr w:rsidR="000A5FD9" w:rsidRPr="001F7248" w14:paraId="79447F2D" w14:textId="77777777" w:rsidTr="009F6747">
        <w:trPr>
          <w:trHeight w:val="270"/>
        </w:trPr>
        <w:tc>
          <w:tcPr>
            <w:tcW w:w="789" w:type="pct"/>
            <w:shd w:val="clear" w:color="auto" w:fill="auto"/>
          </w:tcPr>
          <w:p w14:paraId="7DF191B7" w14:textId="77777777" w:rsidR="0058554F" w:rsidRPr="001F7248" w:rsidRDefault="0058554F" w:rsidP="000A5FD9">
            <w:pPr>
              <w:spacing w:after="120"/>
              <w:rPr>
                <w:rFonts w:ascii="Calibri" w:eastAsia="MS Mincho" w:hAnsi="Calibri"/>
                <w:b/>
                <w:lang w:eastAsia="ja-JP"/>
              </w:rPr>
            </w:pPr>
          </w:p>
          <w:p w14:paraId="76B35BBA" w14:textId="2A5E47B4" w:rsidR="000A5FD9" w:rsidRPr="001F7248" w:rsidRDefault="000A5FD9" w:rsidP="000A5FD9">
            <w:pPr>
              <w:spacing w:after="120"/>
              <w:rPr>
                <w:rFonts w:ascii="Calibri" w:eastAsia="MS Mincho" w:hAnsi="Calibri"/>
                <w:b/>
                <w:lang w:eastAsia="ja-JP"/>
              </w:rPr>
            </w:pPr>
            <w:r w:rsidRPr="001F7248">
              <w:rPr>
                <w:rFonts w:ascii="Calibri" w:eastAsia="MS Mincho" w:hAnsi="Calibri"/>
                <w:b/>
                <w:lang w:eastAsia="ja-JP"/>
              </w:rPr>
              <w:lastRenderedPageBreak/>
              <w:t>Guiding questions:</w:t>
            </w:r>
          </w:p>
        </w:tc>
        <w:tc>
          <w:tcPr>
            <w:tcW w:w="4211" w:type="pct"/>
            <w:shd w:val="clear" w:color="auto" w:fill="auto"/>
          </w:tcPr>
          <w:p w14:paraId="730CCBB9" w14:textId="77777777" w:rsidR="0058554F" w:rsidRPr="001F7248" w:rsidRDefault="0058554F" w:rsidP="00961662">
            <w:pPr>
              <w:tabs>
                <w:tab w:val="left" w:pos="1440"/>
              </w:tabs>
              <w:spacing w:after="120"/>
              <w:ind w:left="1440" w:hanging="1440"/>
              <w:jc w:val="both"/>
              <w:textAlignment w:val="baseline"/>
              <w:rPr>
                <w:rFonts w:ascii="Calibri" w:eastAsia="Calibri" w:hAnsi="Calibri"/>
              </w:rPr>
            </w:pPr>
          </w:p>
          <w:p w14:paraId="59D2E076" w14:textId="62C9CEBB" w:rsidR="000A5FD9" w:rsidRPr="001F7248" w:rsidRDefault="000A5FD9" w:rsidP="00961662">
            <w:pPr>
              <w:tabs>
                <w:tab w:val="left" w:pos="1440"/>
              </w:tabs>
              <w:spacing w:after="120"/>
              <w:ind w:left="1440" w:hanging="1440"/>
              <w:jc w:val="both"/>
              <w:textAlignment w:val="baseline"/>
              <w:rPr>
                <w:rFonts w:ascii="Calibri" w:eastAsia="Calibri" w:hAnsi="Calibri"/>
              </w:rPr>
            </w:pPr>
            <w:r w:rsidRPr="001F7248">
              <w:rPr>
                <w:rFonts w:ascii="Calibri" w:eastAsia="Calibri" w:hAnsi="Calibri"/>
              </w:rPr>
              <w:lastRenderedPageBreak/>
              <w:t>The debate will be guided by the following questions:</w:t>
            </w:r>
          </w:p>
          <w:p w14:paraId="09F9EC4E" w14:textId="31252BC5" w:rsidR="000A5FD9" w:rsidRPr="001F7248" w:rsidRDefault="000A5FD9" w:rsidP="00961662">
            <w:pPr>
              <w:pStyle w:val="ListParagraph"/>
              <w:numPr>
                <w:ilvl w:val="0"/>
                <w:numId w:val="5"/>
              </w:numPr>
              <w:tabs>
                <w:tab w:val="left" w:pos="1440"/>
              </w:tabs>
              <w:spacing w:after="120"/>
              <w:ind w:left="357" w:hanging="357"/>
              <w:contextualSpacing w:val="0"/>
              <w:jc w:val="both"/>
              <w:textAlignment w:val="baseline"/>
              <w:rPr>
                <w:rFonts w:ascii="Calibri" w:eastAsia="Calibri" w:hAnsi="Calibri"/>
              </w:rPr>
            </w:pPr>
            <w:r w:rsidRPr="001F7248">
              <w:rPr>
                <w:rFonts w:ascii="Calibri" w:eastAsia="Calibri" w:hAnsi="Calibri"/>
              </w:rPr>
              <w:t xml:space="preserve">How can the UPR better support stronger coordination of implementation efforts at the national level under the leadership of the executive (for example, Ministry of Foreign Affairs, Ministry of Justice or Attorney-General’s Office), with the participation of State entities and other stakeholders, and lead to the setting up or strengthening of </w:t>
            </w:r>
            <w:r w:rsidR="00CB2205" w:rsidRPr="001F7248">
              <w:rPr>
                <w:rFonts w:ascii="Calibri" w:eastAsia="Calibri" w:hAnsi="Calibri"/>
              </w:rPr>
              <w:t>n</w:t>
            </w:r>
            <w:r w:rsidRPr="001F7248">
              <w:rPr>
                <w:rFonts w:ascii="Calibri" w:eastAsia="Calibri" w:hAnsi="Calibri"/>
              </w:rPr>
              <w:t xml:space="preserve">ational </w:t>
            </w:r>
            <w:r w:rsidR="00CB2205" w:rsidRPr="001F7248">
              <w:rPr>
                <w:rFonts w:ascii="Calibri" w:eastAsia="Calibri" w:hAnsi="Calibri"/>
              </w:rPr>
              <w:t>m</w:t>
            </w:r>
            <w:r w:rsidRPr="001F7248">
              <w:rPr>
                <w:rFonts w:ascii="Calibri" w:eastAsia="Calibri" w:hAnsi="Calibri"/>
              </w:rPr>
              <w:t xml:space="preserve">echanisms for </w:t>
            </w:r>
            <w:r w:rsidR="00CB2205" w:rsidRPr="001F7248">
              <w:rPr>
                <w:rFonts w:ascii="Calibri" w:eastAsia="Calibri" w:hAnsi="Calibri"/>
              </w:rPr>
              <w:t>r</w:t>
            </w:r>
            <w:r w:rsidRPr="001F7248">
              <w:rPr>
                <w:rFonts w:ascii="Calibri" w:eastAsia="Calibri" w:hAnsi="Calibri"/>
              </w:rPr>
              <w:t xml:space="preserve">eporting and </w:t>
            </w:r>
            <w:r w:rsidR="00CB2205" w:rsidRPr="001F7248">
              <w:rPr>
                <w:rFonts w:ascii="Calibri" w:eastAsia="Calibri" w:hAnsi="Calibri"/>
              </w:rPr>
              <w:t>f</w:t>
            </w:r>
            <w:r w:rsidRPr="001F7248">
              <w:rPr>
                <w:rFonts w:ascii="Calibri" w:eastAsia="Calibri" w:hAnsi="Calibri"/>
              </w:rPr>
              <w:t>ollow-up (NMRFs) or implementation plans?</w:t>
            </w:r>
          </w:p>
          <w:p w14:paraId="53EB3338" w14:textId="37713B86" w:rsidR="000A5FD9" w:rsidRPr="001F7248" w:rsidRDefault="000A5FD9" w:rsidP="00961662">
            <w:pPr>
              <w:pStyle w:val="ListParagraph"/>
              <w:numPr>
                <w:ilvl w:val="0"/>
                <w:numId w:val="5"/>
              </w:numPr>
              <w:tabs>
                <w:tab w:val="left" w:pos="1440"/>
              </w:tabs>
              <w:spacing w:after="120"/>
              <w:ind w:left="357" w:hanging="357"/>
              <w:contextualSpacing w:val="0"/>
              <w:jc w:val="both"/>
              <w:textAlignment w:val="baseline"/>
              <w:rPr>
                <w:rFonts w:ascii="Calibri" w:eastAsia="Calibri" w:hAnsi="Calibri"/>
              </w:rPr>
            </w:pPr>
            <w:r w:rsidRPr="001F7248">
              <w:rPr>
                <w:rFonts w:ascii="Calibri" w:eastAsia="Calibri" w:hAnsi="Calibri"/>
              </w:rPr>
              <w:t xml:space="preserve">How can the UPR mechanism contribute to the international cooperation in the field of human rights and ensure the full enjoyment of all human rights </w:t>
            </w:r>
            <w:r w:rsidR="00547B32" w:rsidRPr="001F7248">
              <w:rPr>
                <w:rFonts w:ascii="Calibri" w:eastAsia="Calibri" w:hAnsi="Calibri"/>
              </w:rPr>
              <w:t xml:space="preserve">by all persons </w:t>
            </w:r>
            <w:r w:rsidRPr="001F7248">
              <w:rPr>
                <w:rFonts w:ascii="Calibri" w:eastAsia="Calibri" w:hAnsi="Calibri"/>
              </w:rPr>
              <w:t>without discrimination?</w:t>
            </w:r>
          </w:p>
          <w:p w14:paraId="0118BEBE" w14:textId="5A6634CE" w:rsidR="000A5FD9" w:rsidRPr="001F7248" w:rsidRDefault="000A5FD9" w:rsidP="00961662">
            <w:pPr>
              <w:pStyle w:val="ListParagraph"/>
              <w:numPr>
                <w:ilvl w:val="0"/>
                <w:numId w:val="5"/>
              </w:numPr>
              <w:tabs>
                <w:tab w:val="left" w:pos="1440"/>
              </w:tabs>
              <w:spacing w:after="120"/>
              <w:ind w:left="357" w:hanging="357"/>
              <w:contextualSpacing w:val="0"/>
              <w:jc w:val="both"/>
              <w:textAlignment w:val="baseline"/>
              <w:rPr>
                <w:rFonts w:ascii="Calibri" w:eastAsia="Calibri" w:hAnsi="Calibri"/>
              </w:rPr>
            </w:pPr>
            <w:r w:rsidRPr="001F7248">
              <w:rPr>
                <w:rFonts w:ascii="Calibri" w:eastAsia="Calibri" w:hAnsi="Calibri"/>
              </w:rPr>
              <w:t>How can the Secretary-General and the High Commissioner for Human Rights, working through the U</w:t>
            </w:r>
            <w:r w:rsidR="00761EBB" w:rsidRPr="001F7248">
              <w:rPr>
                <w:rFonts w:ascii="Calibri" w:eastAsia="Calibri" w:hAnsi="Calibri"/>
              </w:rPr>
              <w:t xml:space="preserve">nited </w:t>
            </w:r>
            <w:r w:rsidRPr="001F7248">
              <w:rPr>
                <w:rFonts w:ascii="Calibri" w:eastAsia="Calibri" w:hAnsi="Calibri"/>
              </w:rPr>
              <w:t>N</w:t>
            </w:r>
            <w:r w:rsidR="00761EBB" w:rsidRPr="001F7248">
              <w:rPr>
                <w:rFonts w:ascii="Calibri" w:eastAsia="Calibri" w:hAnsi="Calibri"/>
              </w:rPr>
              <w:t>ations</w:t>
            </w:r>
            <w:r w:rsidRPr="001F7248">
              <w:rPr>
                <w:rFonts w:ascii="Calibri" w:eastAsia="Calibri" w:hAnsi="Calibri"/>
              </w:rPr>
              <w:t xml:space="preserve"> system, provide better support to Member States in connection with strengthening the national human rights protection system, supporting human rights implementation and follow</w:t>
            </w:r>
            <w:r w:rsidR="00761EBB" w:rsidRPr="001F7248">
              <w:rPr>
                <w:rFonts w:ascii="Calibri" w:eastAsia="Calibri" w:hAnsi="Calibri"/>
              </w:rPr>
              <w:t>-</w:t>
            </w:r>
            <w:r w:rsidRPr="001F7248">
              <w:rPr>
                <w:rFonts w:ascii="Calibri" w:eastAsia="Calibri" w:hAnsi="Calibri"/>
              </w:rPr>
              <w:t xml:space="preserve">up action as well as efforts </w:t>
            </w:r>
            <w:r w:rsidR="00761EBB" w:rsidRPr="001F7248">
              <w:rPr>
                <w:rFonts w:ascii="Calibri" w:eastAsia="Calibri" w:hAnsi="Calibri"/>
              </w:rPr>
              <w:t xml:space="preserve">related to </w:t>
            </w:r>
            <w:r w:rsidRPr="001F7248">
              <w:rPr>
                <w:rFonts w:ascii="Calibri" w:eastAsia="Calibri" w:hAnsi="Calibri"/>
              </w:rPr>
              <w:t>the Sustainable Development Goals (SDGs)?</w:t>
            </w:r>
          </w:p>
          <w:p w14:paraId="2D5A38DF" w14:textId="0C6D26A7" w:rsidR="000A5FD9" w:rsidRPr="001F7248" w:rsidRDefault="000A5FD9" w:rsidP="00CB2205">
            <w:pPr>
              <w:pStyle w:val="ListParagraph"/>
              <w:numPr>
                <w:ilvl w:val="0"/>
                <w:numId w:val="5"/>
              </w:numPr>
              <w:tabs>
                <w:tab w:val="left" w:pos="1440"/>
              </w:tabs>
              <w:spacing w:after="120"/>
              <w:ind w:left="357" w:hanging="357"/>
              <w:contextualSpacing w:val="0"/>
              <w:jc w:val="both"/>
              <w:textAlignment w:val="baseline"/>
              <w:rPr>
                <w:rFonts w:ascii="Calibri" w:eastAsia="Calibri" w:hAnsi="Calibri"/>
              </w:rPr>
            </w:pPr>
            <w:r w:rsidRPr="001F7248">
              <w:rPr>
                <w:rFonts w:ascii="Calibri" w:eastAsia="Calibri" w:hAnsi="Calibri"/>
              </w:rPr>
              <w:t xml:space="preserve">How can the donor community better leverage the UPR in order to support </w:t>
            </w:r>
            <w:r w:rsidR="00CB2205" w:rsidRPr="001F7248">
              <w:rPr>
                <w:rFonts w:ascii="Calibri" w:eastAsia="Calibri" w:hAnsi="Calibri"/>
              </w:rPr>
              <w:t xml:space="preserve">the efforts of </w:t>
            </w:r>
            <w:r w:rsidRPr="001F7248">
              <w:rPr>
                <w:rFonts w:ascii="Calibri" w:eastAsia="Calibri" w:hAnsi="Calibri"/>
              </w:rPr>
              <w:t>Member States in follow</w:t>
            </w:r>
            <w:r w:rsidR="00CB2205" w:rsidRPr="001F7248">
              <w:rPr>
                <w:rFonts w:ascii="Calibri" w:eastAsia="Calibri" w:hAnsi="Calibri"/>
              </w:rPr>
              <w:t>-</w:t>
            </w:r>
            <w:r w:rsidRPr="001F7248">
              <w:rPr>
                <w:rFonts w:ascii="Calibri" w:eastAsia="Calibri" w:hAnsi="Calibri"/>
              </w:rPr>
              <w:t>up to UPR accepted recommendations and how can South-South and North-South cooperation provide more consistent support in follow</w:t>
            </w:r>
            <w:r w:rsidR="00CB2205" w:rsidRPr="001F7248">
              <w:rPr>
                <w:rFonts w:ascii="Calibri" w:eastAsia="Calibri" w:hAnsi="Calibri"/>
              </w:rPr>
              <w:t>-</w:t>
            </w:r>
            <w:r w:rsidRPr="001F7248">
              <w:rPr>
                <w:rFonts w:ascii="Calibri" w:eastAsia="Calibri" w:hAnsi="Calibri"/>
              </w:rPr>
              <w:t>up to UPR accepted recommendations?</w:t>
            </w:r>
          </w:p>
        </w:tc>
      </w:tr>
      <w:tr w:rsidR="000A5FD9" w:rsidRPr="001F7248" w14:paraId="24DD2CE7" w14:textId="77777777" w:rsidTr="009F6747">
        <w:trPr>
          <w:trHeight w:val="270"/>
        </w:trPr>
        <w:tc>
          <w:tcPr>
            <w:tcW w:w="789" w:type="pct"/>
            <w:shd w:val="clear" w:color="auto" w:fill="auto"/>
          </w:tcPr>
          <w:p w14:paraId="53CFE795" w14:textId="77777777" w:rsidR="000A5FD9" w:rsidRPr="001F7248" w:rsidRDefault="00961662" w:rsidP="000A5FD9">
            <w:pPr>
              <w:spacing w:after="120"/>
              <w:rPr>
                <w:rFonts w:ascii="Calibri" w:eastAsia="MS Mincho" w:hAnsi="Calibri"/>
                <w:b/>
                <w:lang w:eastAsia="ja-JP"/>
              </w:rPr>
            </w:pPr>
            <w:r w:rsidRPr="001F7248">
              <w:rPr>
                <w:rFonts w:asciiTheme="minorHAnsi" w:eastAsia="Tahoma" w:hAnsiTheme="minorHAnsi" w:cstheme="minorHAnsi"/>
                <w:b/>
                <w:color w:val="000000"/>
              </w:rPr>
              <w:lastRenderedPageBreak/>
              <w:t>Outcomes:</w:t>
            </w:r>
          </w:p>
        </w:tc>
        <w:tc>
          <w:tcPr>
            <w:tcW w:w="4211" w:type="pct"/>
            <w:shd w:val="clear" w:color="auto" w:fill="auto"/>
          </w:tcPr>
          <w:p w14:paraId="69F41585" w14:textId="38C309C0" w:rsidR="00961662" w:rsidRPr="001F7248" w:rsidRDefault="00961662" w:rsidP="00DB4E4B">
            <w:pPr>
              <w:spacing w:after="120"/>
              <w:jc w:val="both"/>
              <w:rPr>
                <w:rFonts w:ascii="Calibri" w:eastAsia="Calibri" w:hAnsi="Calibri" w:cs="Helv"/>
                <w:color w:val="000000" w:themeColor="text1"/>
                <w:lang w:eastAsia="en-GB"/>
              </w:rPr>
            </w:pPr>
            <w:r w:rsidRPr="001F7248">
              <w:rPr>
                <w:rFonts w:ascii="Calibri" w:eastAsia="Calibri" w:hAnsi="Calibri" w:cs="Helv"/>
                <w:b/>
                <w:color w:val="000000" w:themeColor="text1"/>
                <w:lang w:eastAsia="en-GB"/>
              </w:rPr>
              <w:t>Recognizing the importance of UPR recommendations</w:t>
            </w:r>
            <w:r w:rsidRPr="001F7248">
              <w:rPr>
                <w:rFonts w:ascii="Calibri" w:eastAsia="Calibri" w:hAnsi="Calibri" w:cs="Helv"/>
                <w:color w:val="000000" w:themeColor="text1"/>
                <w:lang w:eastAsia="en-GB"/>
              </w:rPr>
              <w:t>, which address critical gaps in implementation vis-à-vis the legal obligations entered into by Member States when they ratify treaties and the political commitments they make through previous cycles of the UPR. Equally, UPR recommendations can be an important entry point for cooperation with and action by Governments, the U</w:t>
            </w:r>
            <w:r w:rsidR="00CB2205" w:rsidRPr="001F7248">
              <w:rPr>
                <w:rFonts w:ascii="Calibri" w:eastAsia="Calibri" w:hAnsi="Calibri" w:cs="Helv"/>
                <w:color w:val="000000" w:themeColor="text1"/>
                <w:lang w:eastAsia="en-GB"/>
              </w:rPr>
              <w:t xml:space="preserve">nited </w:t>
            </w:r>
            <w:r w:rsidRPr="001F7248">
              <w:rPr>
                <w:rFonts w:ascii="Calibri" w:eastAsia="Calibri" w:hAnsi="Calibri" w:cs="Helv"/>
                <w:color w:val="000000" w:themeColor="text1"/>
                <w:lang w:eastAsia="en-GB"/>
              </w:rPr>
              <w:t>N</w:t>
            </w:r>
            <w:r w:rsidR="00CB2205" w:rsidRPr="001F7248">
              <w:rPr>
                <w:rFonts w:ascii="Calibri" w:eastAsia="Calibri" w:hAnsi="Calibri" w:cs="Helv"/>
                <w:color w:val="000000" w:themeColor="text1"/>
                <w:lang w:eastAsia="en-GB"/>
              </w:rPr>
              <w:t>ations</w:t>
            </w:r>
            <w:r w:rsidRPr="001F7248">
              <w:rPr>
                <w:rFonts w:ascii="Calibri" w:eastAsia="Calibri" w:hAnsi="Calibri" w:cs="Helv"/>
                <w:color w:val="000000" w:themeColor="text1"/>
                <w:lang w:eastAsia="en-GB"/>
              </w:rPr>
              <w:t xml:space="preserve"> system as well as by the wider international community, including donors.</w:t>
            </w:r>
          </w:p>
          <w:p w14:paraId="53EA79B7" w14:textId="7D42A70B" w:rsidR="00961662" w:rsidRPr="001F7248" w:rsidRDefault="00961662" w:rsidP="00DB4E4B">
            <w:pPr>
              <w:spacing w:after="120"/>
              <w:jc w:val="both"/>
              <w:rPr>
                <w:rFonts w:ascii="Calibri" w:eastAsia="Calibri" w:hAnsi="Calibri" w:cs="Helv"/>
                <w:color w:val="000000" w:themeColor="text1"/>
                <w:lang w:eastAsia="en-GB"/>
              </w:rPr>
            </w:pPr>
            <w:r w:rsidRPr="001F7248">
              <w:rPr>
                <w:rFonts w:ascii="Calibri" w:eastAsia="Calibri" w:hAnsi="Calibri" w:cs="Helv"/>
                <w:b/>
                <w:color w:val="000000" w:themeColor="text1"/>
                <w:lang w:eastAsia="en-GB"/>
              </w:rPr>
              <w:t>Contributing to international cooperation</w:t>
            </w:r>
            <w:r w:rsidRPr="001F7248">
              <w:rPr>
                <w:rFonts w:ascii="Calibri" w:eastAsia="Calibri" w:hAnsi="Calibri" w:cs="Helv"/>
                <w:color w:val="000000" w:themeColor="text1"/>
                <w:lang w:eastAsia="en-GB"/>
              </w:rPr>
              <w:t xml:space="preserve"> – the UPR process is an inclusive process and action</w:t>
            </w:r>
            <w:r w:rsidR="00CB2205" w:rsidRPr="001F7248">
              <w:rPr>
                <w:rFonts w:ascii="Calibri" w:eastAsia="Calibri" w:hAnsi="Calibri" w:cs="Helv"/>
                <w:color w:val="000000" w:themeColor="text1"/>
                <w:lang w:eastAsia="en-GB"/>
              </w:rPr>
              <w:t>-</w:t>
            </w:r>
            <w:r w:rsidRPr="001F7248">
              <w:rPr>
                <w:rFonts w:ascii="Calibri" w:eastAsia="Calibri" w:hAnsi="Calibri" w:cs="Helv"/>
                <w:color w:val="000000" w:themeColor="text1"/>
                <w:lang w:eastAsia="en-GB"/>
              </w:rPr>
              <w:t xml:space="preserve">oriented mechanism involving all States on an equal footing to promote and protect human </w:t>
            </w:r>
            <w:proofErr w:type="gramStart"/>
            <w:r w:rsidRPr="001F7248">
              <w:rPr>
                <w:rFonts w:ascii="Calibri" w:eastAsia="Calibri" w:hAnsi="Calibri" w:cs="Helv"/>
                <w:color w:val="000000" w:themeColor="text1"/>
                <w:lang w:eastAsia="en-GB"/>
              </w:rPr>
              <w:t>rights.</w:t>
            </w:r>
            <w:proofErr w:type="gramEnd"/>
            <w:r w:rsidRPr="001F7248">
              <w:rPr>
                <w:rFonts w:ascii="Calibri" w:eastAsia="Calibri" w:hAnsi="Calibri" w:cs="Helv"/>
                <w:color w:val="000000" w:themeColor="text1"/>
                <w:lang w:eastAsia="en-GB"/>
              </w:rPr>
              <w:t xml:space="preserve"> Such an important mechanism shall help States share their best practices and to cooperate with each other to advance human rights while ensuring non-selectivity, impartiality and objectivity. </w:t>
            </w:r>
          </w:p>
          <w:p w14:paraId="654C389F" w14:textId="2E1CFFA4" w:rsidR="00961662" w:rsidRPr="001F7248" w:rsidRDefault="00961662" w:rsidP="00DB4E4B">
            <w:pPr>
              <w:spacing w:after="120"/>
              <w:jc w:val="both"/>
              <w:rPr>
                <w:rFonts w:ascii="Calibri" w:eastAsia="Calibri" w:hAnsi="Calibri" w:cs="Helv"/>
                <w:color w:val="000000" w:themeColor="text1"/>
                <w:lang w:eastAsia="en-GB"/>
              </w:rPr>
            </w:pPr>
            <w:r w:rsidRPr="001F7248">
              <w:rPr>
                <w:rFonts w:ascii="Calibri" w:eastAsia="Calibri" w:hAnsi="Calibri" w:cs="Helv"/>
                <w:b/>
                <w:color w:val="000000" w:themeColor="text1"/>
                <w:lang w:eastAsia="en-GB"/>
              </w:rPr>
              <w:t>Strengthening national level coordination</w:t>
            </w:r>
            <w:r w:rsidRPr="001F7248">
              <w:rPr>
                <w:rFonts w:ascii="Calibri" w:eastAsia="Calibri" w:hAnsi="Calibri" w:cs="Helv"/>
                <w:color w:val="000000" w:themeColor="text1"/>
                <w:lang w:eastAsia="en-GB"/>
              </w:rPr>
              <w:t xml:space="preserve"> </w:t>
            </w:r>
            <w:r w:rsidR="00CB2205" w:rsidRPr="001F7248">
              <w:rPr>
                <w:rFonts w:ascii="Calibri" w:eastAsia="Calibri" w:hAnsi="Calibri" w:cs="Helv"/>
                <w:color w:val="000000" w:themeColor="text1"/>
                <w:lang w:eastAsia="en-GB"/>
              </w:rPr>
              <w:t xml:space="preserve">– </w:t>
            </w:r>
            <w:r w:rsidRPr="001F7248">
              <w:rPr>
                <w:rFonts w:ascii="Calibri" w:eastAsia="Calibri" w:hAnsi="Calibri" w:cs="Helv"/>
                <w:color w:val="000000" w:themeColor="text1"/>
                <w:lang w:eastAsia="en-GB"/>
              </w:rPr>
              <w:t>Practical experience show</w:t>
            </w:r>
            <w:r w:rsidR="00CB2205" w:rsidRPr="001F7248">
              <w:rPr>
                <w:rFonts w:ascii="Calibri" w:eastAsia="Calibri" w:hAnsi="Calibri" w:cs="Helv"/>
                <w:color w:val="000000" w:themeColor="text1"/>
                <w:lang w:eastAsia="en-GB"/>
              </w:rPr>
              <w:t>s</w:t>
            </w:r>
            <w:r w:rsidRPr="001F7248">
              <w:rPr>
                <w:rFonts w:ascii="Calibri" w:eastAsia="Calibri" w:hAnsi="Calibri" w:cs="Helv"/>
                <w:color w:val="000000" w:themeColor="text1"/>
                <w:lang w:eastAsia="en-GB"/>
              </w:rPr>
              <w:t xml:space="preserve"> the critical role played by coordination mechanisms for reporting and follow</w:t>
            </w:r>
            <w:r w:rsidR="00CB2205" w:rsidRPr="001F7248">
              <w:rPr>
                <w:rFonts w:ascii="Calibri" w:eastAsia="Calibri" w:hAnsi="Calibri" w:cs="Helv"/>
                <w:color w:val="000000" w:themeColor="text1"/>
                <w:lang w:eastAsia="en-GB"/>
              </w:rPr>
              <w:t>-</w:t>
            </w:r>
            <w:r w:rsidRPr="001F7248">
              <w:rPr>
                <w:rFonts w:ascii="Calibri" w:eastAsia="Calibri" w:hAnsi="Calibri" w:cs="Helv"/>
                <w:color w:val="000000" w:themeColor="text1"/>
                <w:lang w:eastAsia="en-GB"/>
              </w:rPr>
              <w:t xml:space="preserve">up (NMRFs) which recognize the leading role of the Government (often the Ministry of Foreign Affairs, Ministry of Justice or Attorney-General’s Office, with other line ministries involved), various state entities (such as parliament and the judiciary), and </w:t>
            </w:r>
            <w:r w:rsidR="00785455" w:rsidRPr="001F7248">
              <w:rPr>
                <w:rFonts w:ascii="Calibri" w:eastAsia="Calibri" w:hAnsi="Calibri" w:cs="Helv"/>
                <w:color w:val="000000" w:themeColor="text1"/>
                <w:lang w:eastAsia="en-GB"/>
              </w:rPr>
              <w:t>national human rights institutions</w:t>
            </w:r>
            <w:r w:rsidRPr="001F7248">
              <w:rPr>
                <w:rFonts w:ascii="Calibri" w:eastAsia="Calibri" w:hAnsi="Calibri" w:cs="Helv"/>
                <w:color w:val="000000" w:themeColor="text1"/>
                <w:lang w:eastAsia="en-GB"/>
              </w:rPr>
              <w:t xml:space="preserve"> and </w:t>
            </w:r>
            <w:r w:rsidR="00785455" w:rsidRPr="001F7248">
              <w:rPr>
                <w:rFonts w:ascii="Calibri" w:eastAsia="Calibri" w:hAnsi="Calibri" w:cs="Helv"/>
                <w:color w:val="000000" w:themeColor="text1"/>
                <w:lang w:eastAsia="en-GB"/>
              </w:rPr>
              <w:t>non-governmental organizations</w:t>
            </w:r>
            <w:r w:rsidRPr="001F7248">
              <w:rPr>
                <w:rFonts w:ascii="Calibri" w:eastAsia="Calibri" w:hAnsi="Calibri" w:cs="Helv"/>
                <w:color w:val="000000" w:themeColor="text1"/>
                <w:lang w:eastAsia="en-GB"/>
              </w:rPr>
              <w:t xml:space="preserve"> playing an oversight role on implementation. Benchmark of success is the achievement of concrete results at country level and changes in law and practices that enhance human rights protection, also through national action or implementation plans.</w:t>
            </w:r>
          </w:p>
          <w:p w14:paraId="38250F1E" w14:textId="1A2E5E7D" w:rsidR="00961662" w:rsidRPr="001F7248" w:rsidRDefault="00961662" w:rsidP="00DB4E4B">
            <w:pPr>
              <w:spacing w:after="120"/>
              <w:jc w:val="both"/>
              <w:rPr>
                <w:rFonts w:ascii="Calibri" w:eastAsia="Calibri" w:hAnsi="Calibri" w:cs="Helv"/>
                <w:color w:val="000000" w:themeColor="text1"/>
                <w:lang w:eastAsia="en-GB"/>
              </w:rPr>
            </w:pPr>
            <w:r w:rsidRPr="001F7248">
              <w:rPr>
                <w:rFonts w:ascii="Calibri" w:eastAsia="Calibri" w:hAnsi="Calibri" w:cs="Helv"/>
                <w:b/>
                <w:color w:val="000000" w:themeColor="text1"/>
                <w:lang w:eastAsia="en-GB"/>
              </w:rPr>
              <w:t>Strengthening coordination</w:t>
            </w:r>
            <w:r w:rsidR="00456F0A" w:rsidRPr="001F7248">
              <w:rPr>
                <w:rFonts w:ascii="Calibri" w:eastAsia="Calibri" w:hAnsi="Calibri" w:cs="Helv"/>
                <w:b/>
                <w:color w:val="000000" w:themeColor="text1"/>
                <w:lang w:eastAsia="en-GB"/>
              </w:rPr>
              <w:t xml:space="preserve"> at the United Nations level</w:t>
            </w:r>
            <w:r w:rsidRPr="001F7248">
              <w:rPr>
                <w:rFonts w:ascii="Calibri" w:eastAsia="Calibri" w:hAnsi="Calibri" w:cs="Helv"/>
                <w:color w:val="000000" w:themeColor="text1"/>
                <w:lang w:eastAsia="en-GB"/>
              </w:rPr>
              <w:t xml:space="preserve"> </w:t>
            </w:r>
            <w:r w:rsidR="00456F0A" w:rsidRPr="001F7248">
              <w:rPr>
                <w:rFonts w:ascii="Calibri" w:eastAsia="Calibri" w:hAnsi="Calibri" w:cs="Helv"/>
                <w:color w:val="000000" w:themeColor="text1"/>
                <w:lang w:eastAsia="en-GB"/>
              </w:rPr>
              <w:t xml:space="preserve">– </w:t>
            </w:r>
            <w:r w:rsidRPr="001F7248">
              <w:rPr>
                <w:rFonts w:ascii="Calibri" w:eastAsia="Calibri" w:hAnsi="Calibri" w:cs="Helv"/>
                <w:color w:val="000000" w:themeColor="text1"/>
                <w:lang w:eastAsia="en-GB"/>
              </w:rPr>
              <w:t>Through the leadership of the United Nations Resident Coordinators, UPR recommendations could be more systematically reflected in Common Country Assessment/United Nations Development Assistance Framework documents and become part of the overall SDGs efforts. This could enhance both mainstreaming human rights and operationalizing that mainstreaming through added support in implementation provided to Member States through the planning and programming of individual U</w:t>
            </w:r>
            <w:r w:rsidR="00EA05A5" w:rsidRPr="001F7248">
              <w:rPr>
                <w:rFonts w:ascii="Calibri" w:eastAsia="Calibri" w:hAnsi="Calibri" w:cs="Helv"/>
                <w:color w:val="000000" w:themeColor="text1"/>
                <w:lang w:eastAsia="en-GB"/>
              </w:rPr>
              <w:t xml:space="preserve">nited </w:t>
            </w:r>
            <w:r w:rsidRPr="001F7248">
              <w:rPr>
                <w:rFonts w:ascii="Calibri" w:eastAsia="Calibri" w:hAnsi="Calibri" w:cs="Helv"/>
                <w:color w:val="000000" w:themeColor="text1"/>
                <w:lang w:eastAsia="en-GB"/>
              </w:rPr>
              <w:t>N</w:t>
            </w:r>
            <w:r w:rsidR="00EA05A5" w:rsidRPr="001F7248">
              <w:rPr>
                <w:rFonts w:ascii="Calibri" w:eastAsia="Calibri" w:hAnsi="Calibri" w:cs="Helv"/>
                <w:color w:val="000000" w:themeColor="text1"/>
                <w:lang w:eastAsia="en-GB"/>
              </w:rPr>
              <w:t xml:space="preserve">ations </w:t>
            </w:r>
            <w:r w:rsidRPr="001F7248">
              <w:rPr>
                <w:rFonts w:ascii="Calibri" w:eastAsia="Calibri" w:hAnsi="Calibri" w:cs="Helv"/>
                <w:color w:val="000000" w:themeColor="text1"/>
                <w:lang w:eastAsia="en-GB"/>
              </w:rPr>
              <w:t>C</w:t>
            </w:r>
            <w:r w:rsidR="00EA05A5" w:rsidRPr="001F7248">
              <w:rPr>
                <w:rFonts w:ascii="Calibri" w:eastAsia="Calibri" w:hAnsi="Calibri" w:cs="Helv"/>
                <w:color w:val="000000" w:themeColor="text1"/>
                <w:lang w:eastAsia="en-GB"/>
              </w:rPr>
              <w:t xml:space="preserve">ountry </w:t>
            </w:r>
            <w:r w:rsidRPr="001F7248">
              <w:rPr>
                <w:rFonts w:ascii="Calibri" w:eastAsia="Calibri" w:hAnsi="Calibri" w:cs="Helv"/>
                <w:color w:val="000000" w:themeColor="text1"/>
                <w:lang w:eastAsia="en-GB"/>
              </w:rPr>
              <w:t>T</w:t>
            </w:r>
            <w:r w:rsidR="00EA05A5" w:rsidRPr="001F7248">
              <w:rPr>
                <w:rFonts w:ascii="Calibri" w:eastAsia="Calibri" w:hAnsi="Calibri" w:cs="Helv"/>
                <w:color w:val="000000" w:themeColor="text1"/>
                <w:lang w:eastAsia="en-GB"/>
              </w:rPr>
              <w:t>eam</w:t>
            </w:r>
            <w:r w:rsidRPr="001F7248">
              <w:rPr>
                <w:rFonts w:ascii="Calibri" w:eastAsia="Calibri" w:hAnsi="Calibri" w:cs="Helv"/>
                <w:color w:val="000000" w:themeColor="text1"/>
                <w:lang w:eastAsia="en-GB"/>
              </w:rPr>
              <w:t xml:space="preserve"> members </w:t>
            </w:r>
            <w:r w:rsidR="00EA05A5" w:rsidRPr="001F7248">
              <w:rPr>
                <w:rFonts w:ascii="Calibri" w:eastAsia="Calibri" w:hAnsi="Calibri" w:cs="Helv"/>
                <w:color w:val="000000" w:themeColor="text1"/>
                <w:lang w:eastAsia="en-GB"/>
              </w:rPr>
              <w:t>–</w:t>
            </w:r>
            <w:r w:rsidRPr="001F7248">
              <w:rPr>
                <w:rFonts w:ascii="Calibri" w:eastAsia="Calibri" w:hAnsi="Calibri" w:cs="Helv"/>
                <w:color w:val="000000" w:themeColor="text1"/>
                <w:lang w:eastAsia="en-GB"/>
              </w:rPr>
              <w:t xml:space="preserve"> fully within their mandate.</w:t>
            </w:r>
          </w:p>
          <w:p w14:paraId="00C1C632" w14:textId="3BDDF071" w:rsidR="000A5FD9" w:rsidRPr="001F7248" w:rsidRDefault="00961662" w:rsidP="00DB4E4B">
            <w:pPr>
              <w:spacing w:after="120"/>
              <w:jc w:val="both"/>
              <w:rPr>
                <w:rFonts w:ascii="Calibri" w:eastAsia="Calibri" w:hAnsi="Calibri" w:cs="Helv"/>
                <w:b/>
                <w:color w:val="000000" w:themeColor="text1"/>
                <w:lang w:eastAsia="en-GB"/>
              </w:rPr>
            </w:pPr>
            <w:r w:rsidRPr="001F7248">
              <w:rPr>
                <w:rFonts w:ascii="Calibri" w:eastAsia="Calibri" w:hAnsi="Calibri" w:cs="Helv"/>
                <w:b/>
                <w:color w:val="000000" w:themeColor="text1"/>
                <w:lang w:eastAsia="en-GB"/>
              </w:rPr>
              <w:t>Strengthening South-South, North-South cooperation and international donor coordination</w:t>
            </w:r>
            <w:r w:rsidRPr="001F7248">
              <w:rPr>
                <w:rFonts w:ascii="Calibri" w:eastAsia="Calibri" w:hAnsi="Calibri" w:cs="Helv"/>
                <w:color w:val="000000" w:themeColor="text1"/>
                <w:lang w:eastAsia="en-GB"/>
              </w:rPr>
              <w:t xml:space="preserve"> </w:t>
            </w:r>
            <w:r w:rsidR="00EA05A5" w:rsidRPr="001F7248">
              <w:rPr>
                <w:rFonts w:ascii="Calibri" w:eastAsia="Calibri" w:hAnsi="Calibri" w:cs="Helv"/>
                <w:color w:val="000000" w:themeColor="text1"/>
                <w:lang w:eastAsia="en-GB"/>
              </w:rPr>
              <w:t>–</w:t>
            </w:r>
            <w:r w:rsidRPr="001F7248">
              <w:rPr>
                <w:rFonts w:ascii="Calibri" w:eastAsia="Calibri" w:hAnsi="Calibri" w:cs="Helv"/>
                <w:color w:val="000000" w:themeColor="text1"/>
                <w:lang w:eastAsia="en-GB"/>
              </w:rPr>
              <w:t xml:space="preserve"> Aligning more development and human rights efforts in the context of South-South and North-South cooperation in countries that receive official development assistance, especially when the countries are ready to follow</w:t>
            </w:r>
            <w:r w:rsidR="00EA05A5" w:rsidRPr="001F7248">
              <w:rPr>
                <w:rFonts w:ascii="Calibri" w:eastAsia="Calibri" w:hAnsi="Calibri" w:cs="Helv"/>
                <w:color w:val="000000" w:themeColor="text1"/>
                <w:lang w:eastAsia="en-GB"/>
              </w:rPr>
              <w:t xml:space="preserve"> </w:t>
            </w:r>
            <w:r w:rsidRPr="001F7248">
              <w:rPr>
                <w:rFonts w:ascii="Calibri" w:eastAsia="Calibri" w:hAnsi="Calibri" w:cs="Helv"/>
                <w:color w:val="000000" w:themeColor="text1"/>
                <w:lang w:eastAsia="en-GB"/>
              </w:rPr>
              <w:t xml:space="preserve">up to recommendations that were received and accepted during the UPR, ahead of their next review, four and a half </w:t>
            </w:r>
            <w:r w:rsidRPr="001F7248">
              <w:rPr>
                <w:rFonts w:ascii="Calibri" w:eastAsia="Calibri" w:hAnsi="Calibri" w:cs="Helv"/>
                <w:color w:val="000000" w:themeColor="text1"/>
                <w:lang w:eastAsia="en-GB"/>
              </w:rPr>
              <w:lastRenderedPageBreak/>
              <w:t>years later. Enhancing the effectiveness of aid could also benefit from taking into account accepted UPR recommendations.</w:t>
            </w:r>
          </w:p>
        </w:tc>
      </w:tr>
      <w:tr w:rsidR="000A5FD9" w:rsidRPr="001F7248" w14:paraId="5CDFA9CD" w14:textId="77777777" w:rsidTr="009F6747">
        <w:trPr>
          <w:trHeight w:val="270"/>
        </w:trPr>
        <w:tc>
          <w:tcPr>
            <w:tcW w:w="789" w:type="pct"/>
            <w:shd w:val="clear" w:color="auto" w:fill="auto"/>
          </w:tcPr>
          <w:p w14:paraId="5410715C" w14:textId="77777777" w:rsidR="000A5FD9" w:rsidRPr="001F7248" w:rsidRDefault="00961662" w:rsidP="000A5FD9">
            <w:pPr>
              <w:spacing w:after="120"/>
              <w:rPr>
                <w:rFonts w:ascii="Calibri" w:eastAsia="MS Mincho" w:hAnsi="Calibri"/>
                <w:b/>
                <w:lang w:eastAsia="ja-JP"/>
              </w:rPr>
            </w:pPr>
            <w:r w:rsidRPr="001F7248">
              <w:rPr>
                <w:rFonts w:asciiTheme="minorHAnsi" w:eastAsia="Tahoma" w:hAnsiTheme="minorHAnsi" w:cstheme="minorHAnsi"/>
                <w:b/>
                <w:color w:val="000000"/>
              </w:rPr>
              <w:lastRenderedPageBreak/>
              <w:t>Mandate:</w:t>
            </w:r>
          </w:p>
        </w:tc>
        <w:tc>
          <w:tcPr>
            <w:tcW w:w="4211" w:type="pct"/>
            <w:shd w:val="clear" w:color="auto" w:fill="auto"/>
          </w:tcPr>
          <w:p w14:paraId="15D9BACB" w14:textId="23AE3796" w:rsidR="000A5FD9" w:rsidRPr="001F7248" w:rsidRDefault="00961662" w:rsidP="00DB4E4B">
            <w:pPr>
              <w:spacing w:after="120"/>
              <w:jc w:val="both"/>
              <w:rPr>
                <w:rFonts w:ascii="Calibri" w:eastAsia="Calibri" w:hAnsi="Calibri" w:cs="Helv"/>
                <w:b/>
                <w:color w:val="000000" w:themeColor="text1"/>
                <w:lang w:eastAsia="en-GB"/>
              </w:rPr>
            </w:pPr>
            <w:r w:rsidRPr="001F7248">
              <w:rPr>
                <w:rFonts w:ascii="Calibri" w:eastAsia="Calibri" w:hAnsi="Calibri"/>
              </w:rPr>
              <w:t xml:space="preserve">In paragraph 42 of the annex to Human Rights Council resolution 16/21, the </w:t>
            </w:r>
            <w:r w:rsidR="008A220F" w:rsidRPr="001F7248">
              <w:rPr>
                <w:rFonts w:ascii="Calibri" w:eastAsia="Calibri" w:hAnsi="Calibri"/>
              </w:rPr>
              <w:t xml:space="preserve">Human Rights </w:t>
            </w:r>
            <w:r w:rsidRPr="001F7248">
              <w:rPr>
                <w:rFonts w:ascii="Calibri" w:eastAsia="Calibri" w:hAnsi="Calibri"/>
              </w:rPr>
              <w:t>Council decided to hold an annual high-level panel discussion to interact with heads of governing bodies and secretariats of United Nations agencies and funds within their respective mandates on specific human rights themes, with the objective of promoting the mainstreaming of human rights throughout the United Nations system. Following consultations</w:t>
            </w:r>
            <w:r w:rsidR="00EA05A5" w:rsidRPr="001F7248">
              <w:rPr>
                <w:rFonts w:ascii="Calibri" w:eastAsia="Calibri" w:hAnsi="Calibri"/>
              </w:rPr>
              <w:t>,</w:t>
            </w:r>
            <w:r w:rsidRPr="001F7248">
              <w:rPr>
                <w:rFonts w:ascii="Calibri" w:eastAsia="Calibri" w:hAnsi="Calibri"/>
              </w:rPr>
              <w:t xml:space="preserve"> </w:t>
            </w:r>
            <w:r w:rsidR="00EA05A5" w:rsidRPr="001F7248">
              <w:rPr>
                <w:rFonts w:ascii="Calibri" w:eastAsia="Calibri" w:hAnsi="Calibri"/>
              </w:rPr>
              <w:t>the Council decided that the theme of the 2018 panel discussion would be “The promotion and protection of human rights in the light of the universal periodic review mechanism: challenges and opportunities”.</w:t>
            </w:r>
          </w:p>
        </w:tc>
      </w:tr>
      <w:tr w:rsidR="000A5FD9" w:rsidRPr="001F7248" w14:paraId="607835A3" w14:textId="77777777" w:rsidTr="009F6747">
        <w:trPr>
          <w:trHeight w:val="270"/>
        </w:trPr>
        <w:tc>
          <w:tcPr>
            <w:tcW w:w="789" w:type="pct"/>
            <w:shd w:val="clear" w:color="auto" w:fill="auto"/>
          </w:tcPr>
          <w:p w14:paraId="0B821630" w14:textId="77777777" w:rsidR="000A5FD9" w:rsidRPr="001F7248" w:rsidRDefault="00961662" w:rsidP="000A5FD9">
            <w:pPr>
              <w:spacing w:after="120"/>
              <w:rPr>
                <w:rFonts w:ascii="Calibri" w:eastAsia="MS Mincho" w:hAnsi="Calibri"/>
                <w:b/>
                <w:lang w:eastAsia="ja-JP"/>
              </w:rPr>
            </w:pPr>
            <w:r w:rsidRPr="001F7248">
              <w:rPr>
                <w:rFonts w:asciiTheme="minorHAnsi" w:eastAsia="Tahoma" w:hAnsiTheme="minorHAnsi" w:cstheme="minorHAnsi"/>
                <w:b/>
                <w:color w:val="000000"/>
              </w:rPr>
              <w:t>Format:</w:t>
            </w:r>
          </w:p>
        </w:tc>
        <w:tc>
          <w:tcPr>
            <w:tcW w:w="4211" w:type="pct"/>
            <w:shd w:val="clear" w:color="auto" w:fill="auto"/>
          </w:tcPr>
          <w:p w14:paraId="018EE236" w14:textId="4E406E98" w:rsidR="009F047C" w:rsidRPr="00C81D67" w:rsidRDefault="009F047C" w:rsidP="009F047C">
            <w:pPr>
              <w:spacing w:after="120"/>
              <w:jc w:val="both"/>
              <w:rPr>
                <w:rFonts w:asciiTheme="minorHAnsi" w:hAnsiTheme="minorHAnsi" w:cstheme="minorHAnsi"/>
                <w:bCs/>
              </w:rPr>
            </w:pPr>
            <w:r w:rsidRPr="00C81D67">
              <w:rPr>
                <w:rFonts w:asciiTheme="minorHAnsi" w:hAnsiTheme="minorHAnsi" w:cstheme="minorHAnsi"/>
                <w:bCs/>
              </w:rPr>
              <w:t>The duration of the panel discussion will be strictly limited to two hours. A maximum of</w:t>
            </w:r>
            <w:r w:rsidRPr="00C81D67">
              <w:rPr>
                <w:rFonts w:asciiTheme="minorHAnsi" w:hAnsiTheme="minorHAnsi" w:cstheme="minorHAnsi"/>
              </w:rPr>
              <w:t xml:space="preserve"> </w:t>
            </w:r>
            <w:r w:rsidRPr="00C81D67">
              <w:rPr>
                <w:rFonts w:asciiTheme="minorHAnsi" w:hAnsiTheme="minorHAnsi" w:cstheme="minorHAnsi"/>
                <w:bCs/>
              </w:rPr>
              <w:t xml:space="preserve">one hour will be set aside for the podium, including opening </w:t>
            </w:r>
            <w:r w:rsidRPr="00C81D67">
              <w:rPr>
                <w:rFonts w:asciiTheme="minorHAnsi" w:hAnsiTheme="minorHAnsi" w:cstheme="minorHAnsi"/>
                <w:bCs/>
                <w:color w:val="000000" w:themeColor="text1"/>
              </w:rPr>
              <w:t xml:space="preserve">statements, moderator comments, if any, panellist presentations, and their responses to </w:t>
            </w:r>
            <w:r w:rsidRPr="00C81D67">
              <w:rPr>
                <w:rFonts w:asciiTheme="minorHAnsi" w:hAnsiTheme="minorHAnsi" w:cstheme="minorHAnsi"/>
                <w:bCs/>
              </w:rPr>
              <w:t xml:space="preserve">questions and concluding remarks. Speaking time limits for the panellists and guests, if any, will be calculated based on the maximum one hour limit for the podium. </w:t>
            </w:r>
          </w:p>
          <w:p w14:paraId="5A8A89BF" w14:textId="4E76F205" w:rsidR="009F047C" w:rsidRPr="00C81D67" w:rsidRDefault="009F047C" w:rsidP="009F047C">
            <w:pPr>
              <w:spacing w:after="120"/>
              <w:jc w:val="both"/>
              <w:rPr>
                <w:rFonts w:asciiTheme="minorHAnsi" w:hAnsiTheme="minorHAnsi" w:cstheme="minorHAnsi"/>
                <w:bCs/>
              </w:rPr>
            </w:pPr>
            <w:r w:rsidRPr="00C81D67">
              <w:rPr>
                <w:rFonts w:asciiTheme="minorHAnsi" w:hAnsiTheme="minorHAnsi" w:cstheme="minorHAnsi"/>
                <w:bCs/>
              </w:rPr>
              <w:t xml:space="preserve">States and observers, including national human rights institutions (NHRIs) and non-governmental organizations (NGOs), intervening from the floor will also have a maximum of one hour. Each speaker will have two minutes to raise issues and to ask panellists questions. The list of speakers for the discussion will be established at the beginning of the panel and, as per practice, statements by high-level dignitaries and groups will be moved to the beginning of the list. </w:t>
            </w:r>
          </w:p>
          <w:p w14:paraId="373D7AC7" w14:textId="639F90F0" w:rsidR="009F047C" w:rsidRPr="00C81D67" w:rsidRDefault="009F047C" w:rsidP="009F047C">
            <w:pPr>
              <w:spacing w:after="120"/>
              <w:jc w:val="both"/>
              <w:rPr>
                <w:rFonts w:asciiTheme="minorHAnsi" w:hAnsiTheme="minorHAnsi" w:cstheme="minorHAnsi"/>
                <w:bCs/>
              </w:rPr>
            </w:pPr>
            <w:r w:rsidRPr="00C81D67">
              <w:rPr>
                <w:rFonts w:asciiTheme="minorHAnsi" w:hAnsiTheme="minorHAnsi" w:cstheme="minorHAnsi"/>
                <w:bCs/>
              </w:rPr>
              <w:t>The practice of having two slots for Member and observer States (2x12), NHRIs (2x1) and NGOs (2x2) will be maintained but the possibility for panellists to intervene in-between will depend entirely on the time u</w:t>
            </w:r>
            <w:r w:rsidR="00C25FF6" w:rsidRPr="00C81D67">
              <w:rPr>
                <w:rFonts w:asciiTheme="minorHAnsi" w:hAnsiTheme="minorHAnsi" w:cstheme="minorHAnsi"/>
                <w:bCs/>
              </w:rPr>
              <w:t xml:space="preserve">sed at the start of the panel. </w:t>
            </w:r>
          </w:p>
          <w:p w14:paraId="1899D474" w14:textId="04B6B682" w:rsidR="000A5FD9" w:rsidRPr="009F047C" w:rsidRDefault="009F047C" w:rsidP="009F047C">
            <w:pPr>
              <w:spacing w:after="120"/>
              <w:jc w:val="both"/>
              <w:rPr>
                <w:rFonts w:asciiTheme="minorHAnsi" w:hAnsiTheme="minorHAnsi" w:cstheme="minorHAnsi"/>
                <w:bCs/>
              </w:rPr>
            </w:pPr>
            <w:r w:rsidRPr="009F047C">
              <w:rPr>
                <w:rFonts w:asciiTheme="minorHAnsi" w:hAnsiTheme="minorHAnsi" w:cstheme="minorHAnsi"/>
                <w:bCs/>
              </w:rPr>
              <w:t>Interpretation will be provided in the six United Nations official languages (Arabic, Chinese, English, French, Russian and Spanish).</w:t>
            </w:r>
          </w:p>
        </w:tc>
      </w:tr>
      <w:tr w:rsidR="000A5FD9" w:rsidRPr="001F7248" w14:paraId="261A7BDD" w14:textId="77777777" w:rsidTr="009F6747">
        <w:trPr>
          <w:trHeight w:val="270"/>
        </w:trPr>
        <w:tc>
          <w:tcPr>
            <w:tcW w:w="789" w:type="pct"/>
            <w:shd w:val="clear" w:color="auto" w:fill="auto"/>
          </w:tcPr>
          <w:p w14:paraId="7EAEA3B3" w14:textId="77777777" w:rsidR="000A5FD9" w:rsidRPr="001F7248" w:rsidRDefault="00961662" w:rsidP="00731F6C">
            <w:pPr>
              <w:tabs>
                <w:tab w:val="left" w:pos="1440"/>
              </w:tabs>
              <w:jc w:val="both"/>
              <w:textAlignment w:val="baseline"/>
              <w:rPr>
                <w:rFonts w:ascii="Calibri" w:eastAsia="MS Mincho" w:hAnsi="Calibri"/>
                <w:b/>
                <w:lang w:eastAsia="ja-JP"/>
              </w:rPr>
            </w:pPr>
            <w:r w:rsidRPr="001F7248">
              <w:rPr>
                <w:rFonts w:asciiTheme="minorHAnsi" w:eastAsia="Tahoma" w:hAnsiTheme="minorHAnsi" w:cstheme="minorHAnsi"/>
                <w:b/>
                <w:color w:val="000000"/>
                <w:spacing w:val="7"/>
              </w:rPr>
              <w:t>Background documents and information:</w:t>
            </w:r>
          </w:p>
        </w:tc>
        <w:tc>
          <w:tcPr>
            <w:tcW w:w="4211" w:type="pct"/>
            <w:shd w:val="clear" w:color="auto" w:fill="auto"/>
          </w:tcPr>
          <w:p w14:paraId="0CCB030A" w14:textId="65351BC3" w:rsidR="00961662" w:rsidRPr="001F7248" w:rsidRDefault="00961662" w:rsidP="00961662">
            <w:pPr>
              <w:pStyle w:val="ListParagraph"/>
              <w:numPr>
                <w:ilvl w:val="0"/>
                <w:numId w:val="8"/>
              </w:numPr>
              <w:tabs>
                <w:tab w:val="left" w:pos="1440"/>
              </w:tabs>
              <w:spacing w:after="120"/>
              <w:ind w:left="317" w:hanging="357"/>
              <w:contextualSpacing w:val="0"/>
              <w:textAlignment w:val="baseline"/>
              <w:rPr>
                <w:rFonts w:asciiTheme="minorHAnsi" w:eastAsia="Tahoma" w:hAnsiTheme="minorHAnsi" w:cstheme="minorHAnsi"/>
                <w:b/>
                <w:color w:val="000000"/>
                <w:spacing w:val="7"/>
              </w:rPr>
            </w:pPr>
            <w:r w:rsidRPr="001F7248">
              <w:rPr>
                <w:rFonts w:asciiTheme="minorHAnsi" w:eastAsia="Tahoma" w:hAnsiTheme="minorHAnsi" w:cstheme="minorHAnsi"/>
                <w:color w:val="000000"/>
                <w:spacing w:val="7"/>
              </w:rPr>
              <w:t xml:space="preserve">Report of the Secretary-General on the </w:t>
            </w:r>
            <w:r w:rsidR="00731F6C" w:rsidRPr="001F7248">
              <w:rPr>
                <w:rFonts w:asciiTheme="minorHAnsi" w:eastAsia="Tahoma" w:hAnsiTheme="minorHAnsi" w:cstheme="minorHAnsi"/>
                <w:color w:val="000000"/>
                <w:spacing w:val="7"/>
              </w:rPr>
              <w:t>w</w:t>
            </w:r>
            <w:r w:rsidRPr="001F7248">
              <w:rPr>
                <w:rFonts w:asciiTheme="minorHAnsi" w:eastAsia="Tahoma" w:hAnsiTheme="minorHAnsi" w:cstheme="minorHAnsi"/>
                <w:color w:val="000000"/>
                <w:spacing w:val="7"/>
              </w:rPr>
              <w:t>ork of the Organization (</w:t>
            </w:r>
            <w:hyperlink r:id="rId9" w:history="1">
              <w:r w:rsidRPr="001F7248">
                <w:rPr>
                  <w:rStyle w:val="Hyperlink"/>
                  <w:rFonts w:asciiTheme="minorHAnsi" w:eastAsia="Tahoma" w:hAnsiTheme="minorHAnsi" w:cstheme="minorHAnsi"/>
                  <w:spacing w:val="7"/>
                  <w:u w:val="none"/>
                </w:rPr>
                <w:t>A/72/1</w:t>
              </w:r>
            </w:hyperlink>
            <w:r w:rsidRPr="001F7248">
              <w:rPr>
                <w:rFonts w:asciiTheme="minorHAnsi" w:eastAsia="Tahoma" w:hAnsiTheme="minorHAnsi" w:cstheme="minorHAnsi"/>
                <w:color w:val="000000"/>
                <w:spacing w:val="7"/>
              </w:rPr>
              <w:t>,</w:t>
            </w:r>
            <w:r w:rsidR="00731F6C" w:rsidRPr="001F7248">
              <w:rPr>
                <w:rFonts w:asciiTheme="minorHAnsi" w:eastAsia="Tahoma" w:hAnsiTheme="minorHAnsi" w:cstheme="minorHAnsi"/>
                <w:color w:val="000000"/>
                <w:spacing w:val="7"/>
              </w:rPr>
              <w:t xml:space="preserve"> </w:t>
            </w:r>
            <w:r w:rsidRPr="001F7248">
              <w:rPr>
                <w:rFonts w:asciiTheme="minorHAnsi" w:eastAsia="Tahoma" w:hAnsiTheme="minorHAnsi" w:cstheme="minorHAnsi"/>
                <w:color w:val="000000"/>
                <w:spacing w:val="1"/>
              </w:rPr>
              <w:t>paragraph 98);</w:t>
            </w:r>
          </w:p>
          <w:p w14:paraId="63405798" w14:textId="43F9F5DE" w:rsidR="00961662" w:rsidRPr="001F7248" w:rsidRDefault="00961662" w:rsidP="00961662">
            <w:pPr>
              <w:pStyle w:val="ListParagraph"/>
              <w:numPr>
                <w:ilvl w:val="0"/>
                <w:numId w:val="8"/>
              </w:numPr>
              <w:tabs>
                <w:tab w:val="left" w:pos="360"/>
                <w:tab w:val="left" w:pos="1872"/>
              </w:tabs>
              <w:spacing w:after="120"/>
              <w:ind w:left="317" w:right="216" w:hanging="357"/>
              <w:contextualSpacing w:val="0"/>
              <w:textAlignment w:val="baseline"/>
              <w:rPr>
                <w:rFonts w:asciiTheme="minorHAnsi" w:eastAsia="Tahoma" w:hAnsiTheme="minorHAnsi" w:cstheme="minorHAnsi"/>
                <w:color w:val="000000"/>
              </w:rPr>
            </w:pPr>
            <w:r w:rsidRPr="001F7248">
              <w:rPr>
                <w:rFonts w:asciiTheme="minorHAnsi" w:eastAsia="Tahoma" w:hAnsiTheme="minorHAnsi" w:cstheme="minorHAnsi"/>
                <w:color w:val="000000"/>
              </w:rPr>
              <w:t xml:space="preserve">Report of the Secretary-General on </w:t>
            </w:r>
            <w:r w:rsidR="00731F6C" w:rsidRPr="001F7248">
              <w:rPr>
                <w:rFonts w:asciiTheme="minorHAnsi" w:eastAsia="Tahoma" w:hAnsiTheme="minorHAnsi" w:cstheme="minorHAnsi"/>
                <w:color w:val="000000"/>
              </w:rPr>
              <w:t>s</w:t>
            </w:r>
            <w:r w:rsidRPr="001F7248">
              <w:rPr>
                <w:rFonts w:asciiTheme="minorHAnsi" w:eastAsia="Tahoma" w:hAnsiTheme="minorHAnsi" w:cstheme="minorHAnsi"/>
                <w:color w:val="000000"/>
              </w:rPr>
              <w:t>trengthening United Nations action in the field of human rights through the promotion of international cooperation and the importance of non-selectivity, impartiality and objectivity (</w:t>
            </w:r>
            <w:hyperlink r:id="rId10" w:history="1">
              <w:r w:rsidRPr="001F7248">
                <w:rPr>
                  <w:rStyle w:val="Hyperlink"/>
                  <w:rFonts w:asciiTheme="minorHAnsi" w:eastAsia="Tahoma" w:hAnsiTheme="minorHAnsi" w:cstheme="minorHAnsi"/>
                  <w:u w:val="none"/>
                </w:rPr>
                <w:t>A/72/351</w:t>
              </w:r>
            </w:hyperlink>
            <w:r w:rsidRPr="001F7248">
              <w:rPr>
                <w:rFonts w:asciiTheme="minorHAnsi" w:eastAsia="Tahoma" w:hAnsiTheme="minorHAnsi" w:cstheme="minorHAnsi"/>
                <w:color w:val="000000"/>
              </w:rPr>
              <w:t xml:space="preserve">) </w:t>
            </w:r>
          </w:p>
          <w:p w14:paraId="366D4E91" w14:textId="77777777" w:rsidR="00961662" w:rsidRPr="001F7248" w:rsidRDefault="00961662" w:rsidP="00961662">
            <w:pPr>
              <w:pStyle w:val="ListParagraph"/>
              <w:numPr>
                <w:ilvl w:val="0"/>
                <w:numId w:val="8"/>
              </w:numPr>
              <w:tabs>
                <w:tab w:val="left" w:pos="360"/>
                <w:tab w:val="left" w:pos="1872"/>
              </w:tabs>
              <w:spacing w:after="120"/>
              <w:ind w:left="317" w:right="144" w:hanging="357"/>
              <w:contextualSpacing w:val="0"/>
              <w:textAlignment w:val="baseline"/>
              <w:rPr>
                <w:rFonts w:asciiTheme="minorHAnsi" w:eastAsia="Tahoma" w:hAnsiTheme="minorHAnsi" w:cstheme="minorHAnsi"/>
                <w:color w:val="000000"/>
              </w:rPr>
            </w:pPr>
            <w:r w:rsidRPr="001F7248">
              <w:rPr>
                <w:rFonts w:asciiTheme="minorHAnsi" w:eastAsia="Tahoma" w:hAnsiTheme="minorHAnsi" w:cstheme="minorHAnsi"/>
                <w:color w:val="000000"/>
              </w:rPr>
              <w:t>Summary of the panel discussion on promoting international cooperation to support national human rights follow-up systems and processes - Report of the United Nations High Commissioner for Human Rights (</w:t>
            </w:r>
            <w:hyperlink r:id="rId11" w:history="1">
              <w:r w:rsidRPr="001F7248">
                <w:rPr>
                  <w:rStyle w:val="Hyperlink"/>
                  <w:rFonts w:asciiTheme="minorHAnsi" w:eastAsia="Tahoma" w:hAnsiTheme="minorHAnsi" w:cstheme="minorHAnsi"/>
                  <w:u w:val="none"/>
                </w:rPr>
                <w:t>A/HRC/34/24</w:t>
              </w:r>
            </w:hyperlink>
            <w:r w:rsidRPr="001F7248">
              <w:rPr>
                <w:rFonts w:asciiTheme="minorHAnsi" w:eastAsia="Tahoma" w:hAnsiTheme="minorHAnsi" w:cstheme="minorHAnsi"/>
                <w:color w:val="000000"/>
              </w:rPr>
              <w:t>)</w:t>
            </w:r>
          </w:p>
          <w:p w14:paraId="1A6BDD2E" w14:textId="77777777" w:rsidR="00961662" w:rsidRPr="001F7248" w:rsidRDefault="00961662" w:rsidP="00961662">
            <w:pPr>
              <w:pStyle w:val="ListParagraph"/>
              <w:numPr>
                <w:ilvl w:val="0"/>
                <w:numId w:val="8"/>
              </w:numPr>
              <w:tabs>
                <w:tab w:val="left" w:pos="360"/>
                <w:tab w:val="left" w:pos="1872"/>
              </w:tabs>
              <w:spacing w:after="120"/>
              <w:ind w:left="317" w:right="432" w:hanging="357"/>
              <w:contextualSpacing w:val="0"/>
              <w:textAlignment w:val="baseline"/>
              <w:rPr>
                <w:rFonts w:asciiTheme="minorHAnsi" w:eastAsia="Tahoma" w:hAnsiTheme="minorHAnsi" w:cstheme="minorHAnsi"/>
                <w:color w:val="000000"/>
              </w:rPr>
            </w:pPr>
            <w:r w:rsidRPr="001F7248">
              <w:rPr>
                <w:rFonts w:asciiTheme="minorHAnsi" w:eastAsia="Tahoma" w:hAnsiTheme="minorHAnsi" w:cstheme="minorHAnsi"/>
                <w:color w:val="000000"/>
              </w:rPr>
              <w:t>Report of the Chair of the Board of Trustees of the United Nations Voluntary Fund for Technical Cooperation in the Field of Human Rights (</w:t>
            </w:r>
            <w:hyperlink r:id="rId12" w:history="1">
              <w:r w:rsidRPr="001F7248">
                <w:rPr>
                  <w:rStyle w:val="Hyperlink"/>
                  <w:rFonts w:asciiTheme="minorHAnsi" w:eastAsia="Tahoma" w:hAnsiTheme="minorHAnsi" w:cstheme="minorHAnsi"/>
                  <w:u w:val="none"/>
                </w:rPr>
                <w:t>A/HRC/34/74</w:t>
              </w:r>
            </w:hyperlink>
            <w:r w:rsidRPr="001F7248">
              <w:rPr>
                <w:rFonts w:asciiTheme="minorHAnsi" w:eastAsia="Tahoma" w:hAnsiTheme="minorHAnsi" w:cstheme="minorHAnsi"/>
                <w:color w:val="000000"/>
              </w:rPr>
              <w:t>)</w:t>
            </w:r>
          </w:p>
          <w:p w14:paraId="3710F2A5" w14:textId="77777777" w:rsidR="00961662" w:rsidRPr="001F7248" w:rsidRDefault="00961662" w:rsidP="00961662">
            <w:pPr>
              <w:pStyle w:val="ListParagraph"/>
              <w:numPr>
                <w:ilvl w:val="0"/>
                <w:numId w:val="8"/>
              </w:numPr>
              <w:tabs>
                <w:tab w:val="left" w:pos="360"/>
                <w:tab w:val="left" w:pos="1872"/>
              </w:tabs>
              <w:spacing w:after="120"/>
              <w:ind w:left="317" w:right="431" w:hanging="357"/>
              <w:contextualSpacing w:val="0"/>
              <w:textAlignment w:val="baseline"/>
              <w:rPr>
                <w:rFonts w:asciiTheme="minorHAnsi" w:eastAsia="Tahoma" w:hAnsiTheme="minorHAnsi" w:cstheme="minorHAnsi"/>
                <w:color w:val="000000"/>
              </w:rPr>
            </w:pPr>
            <w:r w:rsidRPr="001F7248">
              <w:rPr>
                <w:rFonts w:asciiTheme="minorHAnsi" w:eastAsia="Tahoma" w:hAnsiTheme="minorHAnsi" w:cstheme="minorHAnsi"/>
                <w:color w:val="000000"/>
                <w:spacing w:val="6"/>
              </w:rPr>
              <w:t xml:space="preserve">Summary report of the United Nations High Commissioner for Human Rights on </w:t>
            </w:r>
            <w:r w:rsidRPr="001F7248">
              <w:rPr>
                <w:rFonts w:asciiTheme="minorHAnsi" w:eastAsia="Tahoma" w:hAnsiTheme="minorHAnsi" w:cstheme="minorHAnsi"/>
                <w:color w:val="000000"/>
              </w:rPr>
              <w:t>the panel discussion on the contribution of parliaments to the work of the Human Rights Council and its universal periodic review (</w:t>
            </w:r>
            <w:hyperlink r:id="rId13" w:history="1">
              <w:r w:rsidRPr="001F7248">
                <w:rPr>
                  <w:rStyle w:val="Hyperlink"/>
                  <w:rFonts w:asciiTheme="minorHAnsi" w:eastAsia="Tahoma" w:hAnsiTheme="minorHAnsi" w:cstheme="minorHAnsi"/>
                  <w:u w:val="none"/>
                </w:rPr>
                <w:t>A/HRC/35/16</w:t>
              </w:r>
            </w:hyperlink>
            <w:r w:rsidRPr="001F7248">
              <w:rPr>
                <w:rFonts w:asciiTheme="minorHAnsi" w:eastAsia="Tahoma" w:hAnsiTheme="minorHAnsi" w:cstheme="minorHAnsi"/>
                <w:color w:val="000000"/>
              </w:rPr>
              <w:t>)</w:t>
            </w:r>
          </w:p>
          <w:p w14:paraId="203981FB" w14:textId="77777777" w:rsidR="00961662" w:rsidRPr="001F7248" w:rsidRDefault="00961662" w:rsidP="00961662">
            <w:pPr>
              <w:pStyle w:val="ListParagraph"/>
              <w:numPr>
                <w:ilvl w:val="0"/>
                <w:numId w:val="8"/>
              </w:numPr>
              <w:tabs>
                <w:tab w:val="left" w:pos="360"/>
                <w:tab w:val="left" w:pos="1872"/>
              </w:tabs>
              <w:spacing w:after="120"/>
              <w:ind w:left="317" w:right="72" w:hanging="357"/>
              <w:contextualSpacing w:val="0"/>
              <w:textAlignment w:val="baseline"/>
              <w:rPr>
                <w:rFonts w:asciiTheme="minorHAnsi" w:eastAsia="Tahoma" w:hAnsiTheme="minorHAnsi" w:cstheme="minorHAnsi"/>
                <w:color w:val="000000"/>
              </w:rPr>
            </w:pPr>
            <w:r w:rsidRPr="001F7248">
              <w:rPr>
                <w:rFonts w:asciiTheme="minorHAnsi" w:eastAsia="Tahoma" w:hAnsiTheme="minorHAnsi" w:cstheme="minorHAnsi"/>
                <w:color w:val="000000"/>
              </w:rPr>
              <w:t>Report of the Office of the United Nations High Commissioner for Human Rights on the operations of the Voluntary Fund for Financial and Technical Assistance in the implementation of the universal periodic review (</w:t>
            </w:r>
            <w:hyperlink r:id="rId14" w:history="1">
              <w:r w:rsidRPr="001F7248">
                <w:rPr>
                  <w:rStyle w:val="Hyperlink"/>
                  <w:rFonts w:asciiTheme="minorHAnsi" w:eastAsia="Tahoma" w:hAnsiTheme="minorHAnsi" w:cstheme="minorHAnsi"/>
                  <w:u w:val="none"/>
                </w:rPr>
                <w:t>A/HRC/35/18</w:t>
              </w:r>
            </w:hyperlink>
            <w:r w:rsidRPr="001F7248">
              <w:rPr>
                <w:rFonts w:asciiTheme="minorHAnsi" w:eastAsia="Tahoma" w:hAnsiTheme="minorHAnsi" w:cstheme="minorHAnsi"/>
                <w:color w:val="000000"/>
              </w:rPr>
              <w:t>)</w:t>
            </w:r>
          </w:p>
          <w:p w14:paraId="593C2C16" w14:textId="77777777" w:rsidR="00961662" w:rsidRPr="001F7248" w:rsidRDefault="00961662" w:rsidP="00961662">
            <w:pPr>
              <w:pStyle w:val="ListParagraph"/>
              <w:numPr>
                <w:ilvl w:val="0"/>
                <w:numId w:val="8"/>
              </w:numPr>
              <w:tabs>
                <w:tab w:val="left" w:pos="360"/>
                <w:tab w:val="left" w:pos="1872"/>
              </w:tabs>
              <w:spacing w:after="120"/>
              <w:ind w:left="317" w:right="72" w:hanging="357"/>
              <w:contextualSpacing w:val="0"/>
              <w:textAlignment w:val="baseline"/>
              <w:rPr>
                <w:rFonts w:asciiTheme="minorHAnsi" w:eastAsia="Tahoma" w:hAnsiTheme="minorHAnsi" w:cstheme="minorHAnsi"/>
                <w:color w:val="000000"/>
              </w:rPr>
            </w:pPr>
            <w:r w:rsidRPr="001F7248">
              <w:rPr>
                <w:rFonts w:asciiTheme="minorHAnsi" w:eastAsia="Tahoma" w:hAnsiTheme="minorHAnsi" w:cstheme="minorHAnsi"/>
                <w:color w:val="000000"/>
              </w:rPr>
              <w:t>Report of the Office of the United Nations High Commissioner for Human Rights on the progress and the challenges encountered in the main activities aimed at enhancing technical cooperation and capacity-building undertaken since the establishment of the Human Rights Council (</w:t>
            </w:r>
            <w:hyperlink r:id="rId15" w:history="1">
              <w:r w:rsidRPr="001F7248">
                <w:rPr>
                  <w:rStyle w:val="Hyperlink"/>
                  <w:rFonts w:asciiTheme="minorHAnsi" w:eastAsia="Tahoma" w:hAnsiTheme="minorHAnsi" w:cstheme="minorHAnsi"/>
                  <w:u w:val="none"/>
                </w:rPr>
                <w:t>A/HRC/35/20</w:t>
              </w:r>
            </w:hyperlink>
            <w:r w:rsidRPr="001F7248">
              <w:rPr>
                <w:rFonts w:asciiTheme="minorHAnsi" w:eastAsia="Tahoma" w:hAnsiTheme="minorHAnsi" w:cstheme="minorHAnsi"/>
                <w:color w:val="000000"/>
              </w:rPr>
              <w:t>)</w:t>
            </w:r>
          </w:p>
          <w:p w14:paraId="747420C8" w14:textId="77777777" w:rsidR="000A5FD9" w:rsidRPr="001F7248" w:rsidRDefault="00731F6C" w:rsidP="00961662">
            <w:pPr>
              <w:pStyle w:val="ListParagraph"/>
              <w:numPr>
                <w:ilvl w:val="0"/>
                <w:numId w:val="8"/>
              </w:numPr>
              <w:spacing w:after="120"/>
              <w:ind w:left="317" w:hanging="357"/>
              <w:rPr>
                <w:rFonts w:asciiTheme="minorHAnsi" w:eastAsia="Calibri" w:hAnsiTheme="minorHAnsi" w:cstheme="minorHAnsi"/>
                <w:b/>
                <w:color w:val="000000" w:themeColor="text1"/>
                <w:lang w:eastAsia="en-GB"/>
              </w:rPr>
            </w:pPr>
            <w:r w:rsidRPr="001F7248">
              <w:rPr>
                <w:rFonts w:asciiTheme="minorHAnsi" w:hAnsiTheme="minorHAnsi" w:cstheme="minorHAnsi"/>
              </w:rPr>
              <w:t xml:space="preserve">OHCHR web pages on the universal periodic review: </w:t>
            </w:r>
            <w:hyperlink r:id="rId16">
              <w:r w:rsidR="00961662" w:rsidRPr="001F7248">
                <w:rPr>
                  <w:rFonts w:asciiTheme="minorHAnsi" w:eastAsia="Tahoma" w:hAnsiTheme="minorHAnsi" w:cstheme="minorHAnsi"/>
                  <w:color w:val="0000FF"/>
                  <w:spacing w:val="6"/>
                </w:rPr>
                <w:t>http://www.ohchr.org/EN/HRBodies/UPR/Pages/UPRMain.aspx</w:t>
              </w:r>
            </w:hyperlink>
          </w:p>
        </w:tc>
      </w:tr>
    </w:tbl>
    <w:p w14:paraId="610E93A4" w14:textId="77777777" w:rsidR="00E81B82" w:rsidRPr="001F7248" w:rsidRDefault="00E81B82" w:rsidP="00961662">
      <w:pPr>
        <w:tabs>
          <w:tab w:val="left" w:pos="1418"/>
          <w:tab w:val="right" w:pos="9000"/>
        </w:tabs>
        <w:jc w:val="both"/>
        <w:textAlignment w:val="baseline"/>
        <w:rPr>
          <w:rFonts w:asciiTheme="minorHAnsi" w:eastAsia="Tahoma" w:hAnsiTheme="minorHAnsi" w:cstheme="minorHAnsi"/>
          <w:color w:val="000000"/>
          <w:spacing w:val="6"/>
          <w:u w:val="single"/>
        </w:rPr>
      </w:pPr>
    </w:p>
    <w:sectPr w:rsidR="00E81B82" w:rsidRPr="001F7248" w:rsidSect="009D48FA">
      <w:footerReference w:type="default" r:id="rId17"/>
      <w:pgSz w:w="11909" w:h="16838"/>
      <w:pgMar w:top="709" w:right="852" w:bottom="382" w:left="1379" w:header="720" w:footer="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578D9" w14:textId="77777777" w:rsidR="00961662" w:rsidRDefault="00961662" w:rsidP="00961662">
      <w:r>
        <w:separator/>
      </w:r>
    </w:p>
  </w:endnote>
  <w:endnote w:type="continuationSeparator" w:id="0">
    <w:p w14:paraId="6BA28E86" w14:textId="77777777" w:rsidR="00961662" w:rsidRDefault="00961662" w:rsidP="0096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523664"/>
      <w:docPartObj>
        <w:docPartGallery w:val="Page Numbers (Bottom of Page)"/>
        <w:docPartUnique/>
      </w:docPartObj>
    </w:sdtPr>
    <w:sdtEndPr>
      <w:rPr>
        <w:rFonts w:asciiTheme="minorHAnsi" w:hAnsiTheme="minorHAnsi" w:cstheme="minorHAnsi"/>
        <w:noProof/>
        <w:sz w:val="20"/>
        <w:szCs w:val="20"/>
      </w:rPr>
    </w:sdtEndPr>
    <w:sdtContent>
      <w:p w14:paraId="549FE8EC" w14:textId="72CFAD70" w:rsidR="00961662" w:rsidRPr="00961662" w:rsidRDefault="00961662">
        <w:pPr>
          <w:pStyle w:val="Footer"/>
          <w:jc w:val="right"/>
          <w:rPr>
            <w:rFonts w:asciiTheme="minorHAnsi" w:hAnsiTheme="minorHAnsi" w:cstheme="minorHAnsi"/>
            <w:sz w:val="20"/>
            <w:szCs w:val="20"/>
          </w:rPr>
        </w:pPr>
        <w:r w:rsidRPr="00961662">
          <w:rPr>
            <w:rFonts w:asciiTheme="minorHAnsi" w:hAnsiTheme="minorHAnsi" w:cstheme="minorHAnsi"/>
            <w:sz w:val="20"/>
            <w:szCs w:val="20"/>
          </w:rPr>
          <w:fldChar w:fldCharType="begin"/>
        </w:r>
        <w:r w:rsidRPr="00961662">
          <w:rPr>
            <w:rFonts w:asciiTheme="minorHAnsi" w:hAnsiTheme="minorHAnsi" w:cstheme="minorHAnsi"/>
            <w:sz w:val="20"/>
            <w:szCs w:val="20"/>
          </w:rPr>
          <w:instrText xml:space="preserve"> PAGE   \* MERGEFORMAT </w:instrText>
        </w:r>
        <w:r w:rsidRPr="00961662">
          <w:rPr>
            <w:rFonts w:asciiTheme="minorHAnsi" w:hAnsiTheme="minorHAnsi" w:cstheme="minorHAnsi"/>
            <w:sz w:val="20"/>
            <w:szCs w:val="20"/>
          </w:rPr>
          <w:fldChar w:fldCharType="separate"/>
        </w:r>
        <w:r w:rsidR="00B04C0B">
          <w:rPr>
            <w:rFonts w:asciiTheme="minorHAnsi" w:hAnsiTheme="minorHAnsi" w:cstheme="minorHAnsi"/>
            <w:noProof/>
            <w:sz w:val="20"/>
            <w:szCs w:val="20"/>
          </w:rPr>
          <w:t>3</w:t>
        </w:r>
        <w:r w:rsidRPr="00961662">
          <w:rPr>
            <w:rFonts w:asciiTheme="minorHAnsi" w:hAnsiTheme="minorHAnsi" w:cstheme="minorHAnsi"/>
            <w:noProof/>
            <w:sz w:val="20"/>
            <w:szCs w:val="20"/>
          </w:rPr>
          <w:fldChar w:fldCharType="end"/>
        </w:r>
      </w:p>
    </w:sdtContent>
  </w:sdt>
  <w:p w14:paraId="15B787E5" w14:textId="77777777" w:rsidR="00961662" w:rsidRDefault="00961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CABF7" w14:textId="77777777" w:rsidR="00961662" w:rsidRDefault="00961662" w:rsidP="00961662">
      <w:r>
        <w:separator/>
      </w:r>
    </w:p>
  </w:footnote>
  <w:footnote w:type="continuationSeparator" w:id="0">
    <w:p w14:paraId="4AAB5587" w14:textId="77777777" w:rsidR="00961662" w:rsidRDefault="00961662" w:rsidP="00961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11F"/>
    <w:multiLevelType w:val="hybridMultilevel"/>
    <w:tmpl w:val="C8B674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3259D8"/>
    <w:multiLevelType w:val="multilevel"/>
    <w:tmpl w:val="0FF21FF6"/>
    <w:lvl w:ilvl="0">
      <w:start w:val="1"/>
      <w:numFmt w:val="bullet"/>
      <w:lvlText w:val="·"/>
      <w:lvlJc w:val="left"/>
      <w:pPr>
        <w:tabs>
          <w:tab w:val="left" w:pos="360"/>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AA0348"/>
    <w:multiLevelType w:val="hybridMultilevel"/>
    <w:tmpl w:val="06843376"/>
    <w:lvl w:ilvl="0" w:tplc="0809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B4069A4"/>
    <w:multiLevelType w:val="hybridMultilevel"/>
    <w:tmpl w:val="0BDC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6440C"/>
    <w:multiLevelType w:val="hybridMultilevel"/>
    <w:tmpl w:val="639A931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09E2CD2"/>
    <w:multiLevelType w:val="multilevel"/>
    <w:tmpl w:val="EB9EA016"/>
    <w:lvl w:ilvl="0">
      <w:start w:val="1"/>
      <w:numFmt w:val="decimal"/>
      <w:lvlText w:val="%1."/>
      <w:lvlJc w:val="left"/>
      <w:pPr>
        <w:tabs>
          <w:tab w:val="left" w:pos="360"/>
        </w:tabs>
        <w:ind w:left="720"/>
      </w:pPr>
      <w:rPr>
        <w:rFonts w:ascii="Tahoma" w:eastAsia="Tahoma" w:hAnsi="Tahoma"/>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A717BC"/>
    <w:multiLevelType w:val="hybridMultilevel"/>
    <w:tmpl w:val="69A0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D31382"/>
    <w:multiLevelType w:val="multilevel"/>
    <w:tmpl w:val="0A0CADE6"/>
    <w:lvl w:ilvl="0">
      <w:start w:val="2"/>
      <w:numFmt w:val="decimal"/>
      <w:lvlText w:val="%1."/>
      <w:lvlJc w:val="left"/>
      <w:pPr>
        <w:tabs>
          <w:tab w:val="left" w:pos="360"/>
        </w:tabs>
        <w:ind w:left="720"/>
      </w:pPr>
      <w:rPr>
        <w:rFonts w:ascii="Tahoma" w:eastAsia="Tahoma" w:hAnsi="Tahoma"/>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1"/>
  </w:num>
  <w:num w:numId="4">
    <w:abstractNumId w:val="0"/>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es-VE"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A7"/>
    <w:rsid w:val="000146A5"/>
    <w:rsid w:val="00022348"/>
    <w:rsid w:val="00027DB9"/>
    <w:rsid w:val="000418C1"/>
    <w:rsid w:val="00047C78"/>
    <w:rsid w:val="00054001"/>
    <w:rsid w:val="00074B43"/>
    <w:rsid w:val="00077A51"/>
    <w:rsid w:val="00090480"/>
    <w:rsid w:val="000A147A"/>
    <w:rsid w:val="000A554D"/>
    <w:rsid w:val="000A5FD9"/>
    <w:rsid w:val="000B7519"/>
    <w:rsid w:val="000D47BF"/>
    <w:rsid w:val="000D4C03"/>
    <w:rsid w:val="000F40B6"/>
    <w:rsid w:val="00121C1B"/>
    <w:rsid w:val="00162807"/>
    <w:rsid w:val="00163716"/>
    <w:rsid w:val="0016561B"/>
    <w:rsid w:val="0018051F"/>
    <w:rsid w:val="001F7248"/>
    <w:rsid w:val="00205005"/>
    <w:rsid w:val="00211BAA"/>
    <w:rsid w:val="00224012"/>
    <w:rsid w:val="00254246"/>
    <w:rsid w:val="0028318E"/>
    <w:rsid w:val="00284549"/>
    <w:rsid w:val="00290DE1"/>
    <w:rsid w:val="002A418C"/>
    <w:rsid w:val="002B10ED"/>
    <w:rsid w:val="002B2D2F"/>
    <w:rsid w:val="002E2BA7"/>
    <w:rsid w:val="002E693B"/>
    <w:rsid w:val="003059DF"/>
    <w:rsid w:val="00306AE0"/>
    <w:rsid w:val="003304E4"/>
    <w:rsid w:val="00330A87"/>
    <w:rsid w:val="003420FF"/>
    <w:rsid w:val="00346F3D"/>
    <w:rsid w:val="003722E7"/>
    <w:rsid w:val="00384742"/>
    <w:rsid w:val="003B01C3"/>
    <w:rsid w:val="003B5483"/>
    <w:rsid w:val="003C699B"/>
    <w:rsid w:val="003D2641"/>
    <w:rsid w:val="0040172B"/>
    <w:rsid w:val="0040555A"/>
    <w:rsid w:val="00456F0A"/>
    <w:rsid w:val="00462F9C"/>
    <w:rsid w:val="00471356"/>
    <w:rsid w:val="004A05B9"/>
    <w:rsid w:val="004A5C86"/>
    <w:rsid w:val="004F7E98"/>
    <w:rsid w:val="005241FD"/>
    <w:rsid w:val="00532DFF"/>
    <w:rsid w:val="00535D71"/>
    <w:rsid w:val="00547B32"/>
    <w:rsid w:val="00552193"/>
    <w:rsid w:val="00572CB8"/>
    <w:rsid w:val="005750F9"/>
    <w:rsid w:val="0058453C"/>
    <w:rsid w:val="0058554F"/>
    <w:rsid w:val="00586884"/>
    <w:rsid w:val="005B2DB2"/>
    <w:rsid w:val="005E4602"/>
    <w:rsid w:val="005F4774"/>
    <w:rsid w:val="005F4DC0"/>
    <w:rsid w:val="006141B5"/>
    <w:rsid w:val="00626D18"/>
    <w:rsid w:val="006664F5"/>
    <w:rsid w:val="006808CD"/>
    <w:rsid w:val="006A3CB4"/>
    <w:rsid w:val="006B5D64"/>
    <w:rsid w:val="006C558E"/>
    <w:rsid w:val="006D77FC"/>
    <w:rsid w:val="006E21C6"/>
    <w:rsid w:val="006E5E0C"/>
    <w:rsid w:val="006F5F46"/>
    <w:rsid w:val="00707E47"/>
    <w:rsid w:val="00731F6C"/>
    <w:rsid w:val="00734225"/>
    <w:rsid w:val="00761EBB"/>
    <w:rsid w:val="00775B6E"/>
    <w:rsid w:val="00785455"/>
    <w:rsid w:val="00785F79"/>
    <w:rsid w:val="00794AA7"/>
    <w:rsid w:val="007A6A87"/>
    <w:rsid w:val="007B0090"/>
    <w:rsid w:val="007D3BFF"/>
    <w:rsid w:val="007D59F4"/>
    <w:rsid w:val="007F24DB"/>
    <w:rsid w:val="008053D9"/>
    <w:rsid w:val="008277D5"/>
    <w:rsid w:val="008337DB"/>
    <w:rsid w:val="00836169"/>
    <w:rsid w:val="00837064"/>
    <w:rsid w:val="00842516"/>
    <w:rsid w:val="00860290"/>
    <w:rsid w:val="00884ED6"/>
    <w:rsid w:val="008A220F"/>
    <w:rsid w:val="00925253"/>
    <w:rsid w:val="009273ED"/>
    <w:rsid w:val="00935718"/>
    <w:rsid w:val="00961662"/>
    <w:rsid w:val="0097747C"/>
    <w:rsid w:val="00977C2A"/>
    <w:rsid w:val="009B2CC0"/>
    <w:rsid w:val="009B764B"/>
    <w:rsid w:val="009C5C04"/>
    <w:rsid w:val="009C6932"/>
    <w:rsid w:val="009D48FA"/>
    <w:rsid w:val="009F047C"/>
    <w:rsid w:val="009F6747"/>
    <w:rsid w:val="00A02984"/>
    <w:rsid w:val="00A03D00"/>
    <w:rsid w:val="00A069C4"/>
    <w:rsid w:val="00A420B4"/>
    <w:rsid w:val="00A45343"/>
    <w:rsid w:val="00A83747"/>
    <w:rsid w:val="00A83EDE"/>
    <w:rsid w:val="00AC2E2B"/>
    <w:rsid w:val="00AE1511"/>
    <w:rsid w:val="00AF450C"/>
    <w:rsid w:val="00B02E23"/>
    <w:rsid w:val="00B04C0B"/>
    <w:rsid w:val="00B45BF7"/>
    <w:rsid w:val="00B562F1"/>
    <w:rsid w:val="00B64EBD"/>
    <w:rsid w:val="00B81D9F"/>
    <w:rsid w:val="00B91234"/>
    <w:rsid w:val="00BC6621"/>
    <w:rsid w:val="00C25FF6"/>
    <w:rsid w:val="00C35F4C"/>
    <w:rsid w:val="00C37293"/>
    <w:rsid w:val="00C81D67"/>
    <w:rsid w:val="00C9587E"/>
    <w:rsid w:val="00CB2205"/>
    <w:rsid w:val="00D42E94"/>
    <w:rsid w:val="00D55EA0"/>
    <w:rsid w:val="00D61601"/>
    <w:rsid w:val="00D67BE4"/>
    <w:rsid w:val="00D701B1"/>
    <w:rsid w:val="00D84A04"/>
    <w:rsid w:val="00DB2E98"/>
    <w:rsid w:val="00DB4E4B"/>
    <w:rsid w:val="00DB5A45"/>
    <w:rsid w:val="00DD6F74"/>
    <w:rsid w:val="00E03F23"/>
    <w:rsid w:val="00E117C3"/>
    <w:rsid w:val="00E37603"/>
    <w:rsid w:val="00E409E0"/>
    <w:rsid w:val="00E639AF"/>
    <w:rsid w:val="00E741CA"/>
    <w:rsid w:val="00E81B82"/>
    <w:rsid w:val="00E85278"/>
    <w:rsid w:val="00E9158D"/>
    <w:rsid w:val="00EA05A5"/>
    <w:rsid w:val="00EA5B3D"/>
    <w:rsid w:val="00EB4C73"/>
    <w:rsid w:val="00ED7C15"/>
    <w:rsid w:val="00EE3FD4"/>
    <w:rsid w:val="00F000DD"/>
    <w:rsid w:val="00F0273F"/>
    <w:rsid w:val="00F21BB7"/>
    <w:rsid w:val="00F243C0"/>
    <w:rsid w:val="00F65291"/>
    <w:rsid w:val="00F801B9"/>
    <w:rsid w:val="00F85BA9"/>
    <w:rsid w:val="00FC7C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83E908B"/>
  <w15:docId w15:val="{EFA47824-8C0A-49DA-A4BB-29B21E48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166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356"/>
    <w:pPr>
      <w:ind w:left="720"/>
      <w:contextualSpacing/>
    </w:pPr>
  </w:style>
  <w:style w:type="character" w:styleId="Hyperlink">
    <w:name w:val="Hyperlink"/>
    <w:uiPriority w:val="99"/>
    <w:unhideWhenUsed/>
    <w:rsid w:val="00306AE0"/>
    <w:rPr>
      <w:color w:val="0000FF"/>
      <w:u w:val="single"/>
    </w:rPr>
  </w:style>
  <w:style w:type="paragraph" w:styleId="BalloonText">
    <w:name w:val="Balloon Text"/>
    <w:basedOn w:val="Normal"/>
    <w:link w:val="BalloonTextChar"/>
    <w:uiPriority w:val="99"/>
    <w:semiHidden/>
    <w:unhideWhenUsed/>
    <w:rsid w:val="00572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CB8"/>
    <w:rPr>
      <w:rFonts w:ascii="Segoe UI" w:hAnsi="Segoe UI" w:cs="Segoe UI"/>
      <w:sz w:val="18"/>
      <w:szCs w:val="18"/>
    </w:rPr>
  </w:style>
  <w:style w:type="character" w:customStyle="1" w:styleId="header-line-3">
    <w:name w:val="header-line-3"/>
    <w:basedOn w:val="DefaultParagraphFont"/>
    <w:rsid w:val="00162807"/>
  </w:style>
  <w:style w:type="paragraph" w:styleId="Header">
    <w:name w:val="header"/>
    <w:basedOn w:val="Normal"/>
    <w:link w:val="HeaderChar"/>
    <w:uiPriority w:val="99"/>
    <w:unhideWhenUsed/>
    <w:rsid w:val="00961662"/>
    <w:pPr>
      <w:tabs>
        <w:tab w:val="center" w:pos="4513"/>
        <w:tab w:val="right" w:pos="9026"/>
      </w:tabs>
    </w:pPr>
  </w:style>
  <w:style w:type="character" w:customStyle="1" w:styleId="HeaderChar">
    <w:name w:val="Header Char"/>
    <w:basedOn w:val="DefaultParagraphFont"/>
    <w:link w:val="Header"/>
    <w:uiPriority w:val="99"/>
    <w:rsid w:val="00961662"/>
  </w:style>
  <w:style w:type="paragraph" w:styleId="Footer">
    <w:name w:val="footer"/>
    <w:basedOn w:val="Normal"/>
    <w:link w:val="FooterChar"/>
    <w:uiPriority w:val="99"/>
    <w:unhideWhenUsed/>
    <w:rsid w:val="00961662"/>
    <w:pPr>
      <w:tabs>
        <w:tab w:val="center" w:pos="4513"/>
        <w:tab w:val="right" w:pos="9026"/>
      </w:tabs>
    </w:pPr>
  </w:style>
  <w:style w:type="character" w:customStyle="1" w:styleId="FooterChar">
    <w:name w:val="Footer Char"/>
    <w:basedOn w:val="DefaultParagraphFont"/>
    <w:link w:val="Footer"/>
    <w:uiPriority w:val="99"/>
    <w:rsid w:val="00961662"/>
  </w:style>
  <w:style w:type="character" w:styleId="FollowedHyperlink">
    <w:name w:val="FollowedHyperlink"/>
    <w:basedOn w:val="DefaultParagraphFont"/>
    <w:uiPriority w:val="99"/>
    <w:semiHidden/>
    <w:unhideWhenUsed/>
    <w:rsid w:val="00731F6C"/>
    <w:rPr>
      <w:color w:val="800080" w:themeColor="followedHyperlink"/>
      <w:u w:val="single"/>
    </w:rPr>
  </w:style>
  <w:style w:type="character" w:styleId="CommentReference">
    <w:name w:val="annotation reference"/>
    <w:basedOn w:val="DefaultParagraphFont"/>
    <w:uiPriority w:val="99"/>
    <w:semiHidden/>
    <w:unhideWhenUsed/>
    <w:rsid w:val="00761EBB"/>
    <w:rPr>
      <w:sz w:val="16"/>
      <w:szCs w:val="16"/>
    </w:rPr>
  </w:style>
  <w:style w:type="paragraph" w:styleId="CommentText">
    <w:name w:val="annotation text"/>
    <w:basedOn w:val="Normal"/>
    <w:link w:val="CommentTextChar"/>
    <w:uiPriority w:val="99"/>
    <w:semiHidden/>
    <w:unhideWhenUsed/>
    <w:rsid w:val="00761EBB"/>
    <w:rPr>
      <w:sz w:val="20"/>
      <w:szCs w:val="20"/>
    </w:rPr>
  </w:style>
  <w:style w:type="character" w:customStyle="1" w:styleId="CommentTextChar">
    <w:name w:val="Comment Text Char"/>
    <w:basedOn w:val="DefaultParagraphFont"/>
    <w:link w:val="CommentText"/>
    <w:uiPriority w:val="99"/>
    <w:semiHidden/>
    <w:rsid w:val="00761EBB"/>
    <w:rPr>
      <w:sz w:val="20"/>
      <w:szCs w:val="20"/>
    </w:rPr>
  </w:style>
  <w:style w:type="paragraph" w:styleId="CommentSubject">
    <w:name w:val="annotation subject"/>
    <w:basedOn w:val="CommentText"/>
    <w:next w:val="CommentText"/>
    <w:link w:val="CommentSubjectChar"/>
    <w:uiPriority w:val="99"/>
    <w:semiHidden/>
    <w:unhideWhenUsed/>
    <w:rsid w:val="00761EBB"/>
    <w:rPr>
      <w:b/>
      <w:bCs/>
    </w:rPr>
  </w:style>
  <w:style w:type="character" w:customStyle="1" w:styleId="CommentSubjectChar">
    <w:name w:val="Comment Subject Char"/>
    <w:basedOn w:val="CommentTextChar"/>
    <w:link w:val="CommentSubject"/>
    <w:uiPriority w:val="99"/>
    <w:semiHidden/>
    <w:rsid w:val="00761E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92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btv.un.org" TargetMode="External"/><Relationship Id="rId13" Type="http://schemas.openxmlformats.org/officeDocument/2006/relationships/hyperlink" Target="http://www.un.org/en/ga/search/view_doc.asp?symbol=A/HRC/35/16"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ap.ohchr.org/documents/dpage_e.aspx?si=A/HRC/34/7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hchr.org/EN/HRBodies/UPR/Pages/UPRMain.aspx" TargetMode="External"/><Relationship Id="drId2" Type="http://schemas.openxmlformats.org/wordprocessingml/2006/fontTable" Target="fontTable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ohchr.org/documents/dpage_e.aspx?si=A/HRC/34/24" TargetMode="External"/><Relationship Id="rId5" Type="http://schemas.openxmlformats.org/officeDocument/2006/relationships/webSettings" Target="webSettings.xml"/><Relationship Id="rId15" Type="http://schemas.openxmlformats.org/officeDocument/2006/relationships/hyperlink" Target="http://ap.ohchr.org/documents/dpage_e.aspx?si=A/HRC/35/20" TargetMode="External"/><Relationship Id="rId10" Type="http://schemas.openxmlformats.org/officeDocument/2006/relationships/hyperlink" Target="http://www.un.org/en/ga/search/view_doc.asp?symbol=A/72/3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org/en/ga/search/view_doc.asp?symbol=A/72/1" TargetMode="External"/><Relationship Id="rId14" Type="http://schemas.openxmlformats.org/officeDocument/2006/relationships/hyperlink" Target="http://ap.ohchr.org/documents/dpage_e.aspx?si=A/HRC/35/18" TargetMode="External"/><Relationship Id="rId22"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BDBFC3-449A-4BBA-9663-405145853C02}">
  <ds:schemaRefs>
    <ds:schemaRef ds:uri="http://schemas.openxmlformats.org/officeDocument/2006/bibliography"/>
  </ds:schemaRefs>
</ds:datastoreItem>
</file>

<file path=customXml/itemProps2.xml><?xml version="1.0" encoding="utf-8"?>
<ds:datastoreItem xmlns:ds="http://schemas.openxmlformats.org/officeDocument/2006/customXml" ds:itemID="{9E77B239-89AF-4BAE-B078-09627415E21A}"/>
</file>

<file path=customXml/itemProps3.xml><?xml version="1.0" encoding="utf-8"?>
<ds:datastoreItem xmlns:ds="http://schemas.openxmlformats.org/officeDocument/2006/customXml" ds:itemID="{7A3C0A3A-A3F3-4979-85D5-0DF768995277}"/>
</file>

<file path=customXml/itemProps4.xml><?xml version="1.0" encoding="utf-8"?>
<ds:datastoreItem xmlns:ds="http://schemas.openxmlformats.org/officeDocument/2006/customXml" ds:itemID="{38E0AB28-403F-47BA-BE24-B8FEB677DCC0}"/>
</file>

<file path=docProps/app.xml><?xml version="1.0" encoding="utf-8"?>
<Properties xmlns="http://schemas.openxmlformats.org/officeDocument/2006/extended-properties" xmlns:vt="http://schemas.openxmlformats.org/officeDocument/2006/docPropsVTypes">
  <Template>Normal.dotm</Template>
  <TotalTime>24</TotalTime>
  <Pages>3</Pages>
  <Words>1735</Words>
  <Characters>9896</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 Mainstreaming in English</dc:title>
  <dc:creator>Felix Peña</dc:creator>
  <cp:lastModifiedBy>Petra Ticha</cp:lastModifiedBy>
  <cp:revision>15</cp:revision>
  <cp:lastPrinted>2018-02-20T07:48:00Z</cp:lastPrinted>
  <dcterms:created xsi:type="dcterms:W3CDTF">2018-02-20T07:28:00Z</dcterms:created>
  <dcterms:modified xsi:type="dcterms:W3CDTF">2018-02-20T10:19:00Z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