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892B5E" w:rsidRPr="00993B34" w14:paraId="1C9B7D72" w14:textId="77777777" w:rsidTr="00993B34">
        <w:trPr>
          <w:trHeight w:val="851"/>
        </w:trPr>
        <w:tc>
          <w:tcPr>
            <w:tcW w:w="1259" w:type="dxa"/>
            <w:tcBorders>
              <w:top w:val="nil"/>
              <w:left w:val="nil"/>
              <w:bottom w:val="single" w:sz="4" w:space="0" w:color="auto"/>
              <w:right w:val="nil"/>
            </w:tcBorders>
          </w:tcPr>
          <w:p w14:paraId="1C9B7D6F" w14:textId="77777777" w:rsidR="00B4698C" w:rsidRPr="00892B5E" w:rsidRDefault="00B4698C">
            <w:pPr>
              <w:tabs>
                <w:tab w:val="right" w:pos="850"/>
                <w:tab w:val="left" w:pos="1134"/>
                <w:tab w:val="right" w:leader="dot" w:pos="8504"/>
              </w:tabs>
              <w:spacing w:before="360" w:after="240"/>
              <w:rPr>
                <w:color w:val="000000" w:themeColor="text1"/>
                <w:lang w:val="en-US"/>
              </w:rPr>
            </w:pPr>
          </w:p>
        </w:tc>
        <w:tc>
          <w:tcPr>
            <w:tcW w:w="2236" w:type="dxa"/>
            <w:tcBorders>
              <w:top w:val="nil"/>
              <w:left w:val="nil"/>
              <w:bottom w:val="single" w:sz="4" w:space="0" w:color="auto"/>
              <w:right w:val="nil"/>
            </w:tcBorders>
            <w:vAlign w:val="bottom"/>
          </w:tcPr>
          <w:p w14:paraId="1C9B7D70" w14:textId="0F1D60BA" w:rsidR="00B4698C" w:rsidRPr="00892B5E" w:rsidRDefault="00B4698C">
            <w:pPr>
              <w:spacing w:after="80" w:line="300" w:lineRule="exact"/>
              <w:rPr>
                <w:color w:val="000000" w:themeColor="text1"/>
                <w:sz w:val="28"/>
                <w:szCs w:val="28"/>
                <w:lang w:val="en-US"/>
              </w:rPr>
            </w:pPr>
          </w:p>
        </w:tc>
        <w:tc>
          <w:tcPr>
            <w:tcW w:w="6144" w:type="dxa"/>
            <w:gridSpan w:val="2"/>
            <w:tcBorders>
              <w:top w:val="nil"/>
              <w:left w:val="nil"/>
              <w:bottom w:val="single" w:sz="4" w:space="0" w:color="auto"/>
              <w:right w:val="nil"/>
            </w:tcBorders>
            <w:vAlign w:val="bottom"/>
          </w:tcPr>
          <w:p w14:paraId="1C9B7D71" w14:textId="563584A9" w:rsidR="00B4698C" w:rsidRPr="00993B34" w:rsidRDefault="00E32681" w:rsidP="00D96377">
            <w:pPr>
              <w:jc w:val="right"/>
              <w:rPr>
                <w:color w:val="000000" w:themeColor="text1"/>
                <w:lang w:val="en-US"/>
              </w:rPr>
            </w:pPr>
            <w:r w:rsidRPr="00993B34">
              <w:rPr>
                <w:color w:val="000000" w:themeColor="text1"/>
                <w:lang w:val="en-US"/>
              </w:rPr>
              <w:t>A/76/</w:t>
            </w:r>
            <w:r w:rsidR="00B76104">
              <w:rPr>
                <w:color w:val="000000" w:themeColor="text1"/>
                <w:lang w:val="en-US"/>
              </w:rPr>
              <w:t>433</w:t>
            </w:r>
          </w:p>
        </w:tc>
      </w:tr>
      <w:tr w:rsidR="00892B5E" w:rsidRPr="00892B5E" w14:paraId="1C9B7D79" w14:textId="77777777" w:rsidTr="00993B34">
        <w:trPr>
          <w:trHeight w:val="2835"/>
        </w:trPr>
        <w:tc>
          <w:tcPr>
            <w:tcW w:w="1259" w:type="dxa"/>
            <w:tcBorders>
              <w:top w:val="single" w:sz="4" w:space="0" w:color="auto"/>
              <w:left w:val="nil"/>
              <w:bottom w:val="single" w:sz="12" w:space="0" w:color="auto"/>
              <w:right w:val="nil"/>
            </w:tcBorders>
          </w:tcPr>
          <w:p w14:paraId="1C9B7D73" w14:textId="62C8AC44" w:rsidR="00B4698C" w:rsidRPr="00892B5E" w:rsidRDefault="00B4698C">
            <w:pPr>
              <w:spacing w:before="120"/>
              <w:jc w:val="center"/>
              <w:rPr>
                <w:color w:val="000000" w:themeColor="text1"/>
                <w:lang w:val="en-US"/>
              </w:rPr>
            </w:pPr>
          </w:p>
        </w:tc>
        <w:tc>
          <w:tcPr>
            <w:tcW w:w="5450" w:type="dxa"/>
            <w:gridSpan w:val="2"/>
            <w:tcBorders>
              <w:top w:val="single" w:sz="4" w:space="0" w:color="auto"/>
              <w:left w:val="nil"/>
              <w:bottom w:val="single" w:sz="12" w:space="0" w:color="auto"/>
              <w:right w:val="nil"/>
            </w:tcBorders>
          </w:tcPr>
          <w:p w14:paraId="1C9B7D74" w14:textId="29D04A3A" w:rsidR="00B4698C" w:rsidRPr="00E32681" w:rsidRDefault="00B76104">
            <w:pPr>
              <w:spacing w:before="120" w:line="420" w:lineRule="exact"/>
              <w:rPr>
                <w:b/>
                <w:color w:val="000000" w:themeColor="text1"/>
                <w:sz w:val="40"/>
                <w:szCs w:val="40"/>
                <w:lang w:val="en-US"/>
              </w:rPr>
            </w:pPr>
            <w:bookmarkStart w:id="0" w:name="_GoBack"/>
            <w:bookmarkEnd w:id="0"/>
            <w:r>
              <w:rPr>
                <w:b/>
                <w:color w:val="000000" w:themeColor="text1"/>
                <w:sz w:val="40"/>
                <w:szCs w:val="40"/>
                <w:lang w:val="en-US"/>
              </w:rPr>
              <w:t>Advance Unedited Version</w:t>
            </w:r>
          </w:p>
        </w:tc>
        <w:tc>
          <w:tcPr>
            <w:tcW w:w="2930" w:type="dxa"/>
            <w:tcBorders>
              <w:top w:val="single" w:sz="4" w:space="0" w:color="auto"/>
              <w:left w:val="nil"/>
              <w:bottom w:val="single" w:sz="12" w:space="0" w:color="auto"/>
              <w:right w:val="nil"/>
            </w:tcBorders>
          </w:tcPr>
          <w:p w14:paraId="1C9B7D75" w14:textId="77777777" w:rsidR="00B4698C" w:rsidRPr="00E32681" w:rsidRDefault="00B4698C">
            <w:pPr>
              <w:spacing w:before="240" w:line="240" w:lineRule="exact"/>
              <w:rPr>
                <w:color w:val="000000" w:themeColor="text1"/>
                <w:lang w:val="en-US"/>
              </w:rPr>
            </w:pPr>
            <w:r w:rsidRPr="00E32681">
              <w:rPr>
                <w:color w:val="000000" w:themeColor="text1"/>
                <w:lang w:val="en-US"/>
              </w:rPr>
              <w:t>Distr.: General</w:t>
            </w:r>
          </w:p>
          <w:p w14:paraId="1C9B7D77" w14:textId="79B220FE" w:rsidR="00B4698C" w:rsidRPr="00E32681" w:rsidRDefault="00697A81" w:rsidP="00B46810">
            <w:pPr>
              <w:spacing w:line="240" w:lineRule="exact"/>
              <w:rPr>
                <w:color w:val="000000" w:themeColor="text1"/>
                <w:lang w:val="en-US"/>
              </w:rPr>
            </w:pPr>
            <w:r>
              <w:rPr>
                <w:color w:val="000000" w:themeColor="text1"/>
                <w:lang w:val="en-US"/>
              </w:rPr>
              <w:t>22</w:t>
            </w:r>
            <w:r w:rsidR="006F7B41" w:rsidRPr="00E32681">
              <w:rPr>
                <w:color w:val="000000" w:themeColor="text1"/>
                <w:lang w:val="en-US"/>
              </w:rPr>
              <w:t xml:space="preserve"> October 2021</w:t>
            </w:r>
          </w:p>
          <w:p w14:paraId="1C9B7D78" w14:textId="77777777" w:rsidR="00B4698C" w:rsidRPr="00E32681" w:rsidRDefault="00B4698C">
            <w:pPr>
              <w:spacing w:line="240" w:lineRule="exact"/>
              <w:rPr>
                <w:color w:val="000000" w:themeColor="text1"/>
                <w:lang w:val="en-US"/>
              </w:rPr>
            </w:pPr>
            <w:r w:rsidRPr="00E32681">
              <w:rPr>
                <w:color w:val="000000" w:themeColor="text1"/>
                <w:lang w:val="en-US"/>
              </w:rPr>
              <w:t>Original: English</w:t>
            </w:r>
          </w:p>
        </w:tc>
      </w:tr>
    </w:tbl>
    <w:p w14:paraId="1C9B7D7A" w14:textId="71C12152" w:rsidR="00B4698C" w:rsidRPr="00892B5E" w:rsidRDefault="007A7E4D" w:rsidP="006F7B41">
      <w:pPr>
        <w:spacing w:before="120"/>
        <w:rPr>
          <w:b/>
          <w:bCs/>
          <w:color w:val="000000" w:themeColor="text1"/>
          <w:sz w:val="24"/>
          <w:szCs w:val="24"/>
        </w:rPr>
      </w:pPr>
      <w:r w:rsidRPr="00892B5E">
        <w:rPr>
          <w:b/>
          <w:bCs/>
          <w:color w:val="000000" w:themeColor="text1"/>
          <w:sz w:val="24"/>
          <w:szCs w:val="24"/>
        </w:rPr>
        <w:t>Seventy-</w:t>
      </w:r>
      <w:r w:rsidR="006F7B41">
        <w:rPr>
          <w:b/>
          <w:bCs/>
          <w:color w:val="000000" w:themeColor="text1"/>
          <w:sz w:val="24"/>
          <w:szCs w:val="24"/>
        </w:rPr>
        <w:t>sixth</w:t>
      </w:r>
      <w:r w:rsidR="00257175" w:rsidRPr="00892B5E">
        <w:rPr>
          <w:b/>
          <w:bCs/>
          <w:color w:val="000000" w:themeColor="text1"/>
          <w:sz w:val="24"/>
          <w:szCs w:val="24"/>
        </w:rPr>
        <w:t xml:space="preserve"> </w:t>
      </w:r>
      <w:r w:rsidR="002F06A9" w:rsidRPr="00892B5E">
        <w:rPr>
          <w:b/>
          <w:bCs/>
          <w:color w:val="000000" w:themeColor="text1"/>
          <w:sz w:val="24"/>
          <w:szCs w:val="24"/>
        </w:rPr>
        <w:t>session</w:t>
      </w:r>
    </w:p>
    <w:p w14:paraId="1C9B7D7B" w14:textId="5D1BF65B" w:rsidR="00B4698C" w:rsidRPr="00892B5E" w:rsidRDefault="00093E44" w:rsidP="006F7B41">
      <w:pPr>
        <w:rPr>
          <w:color w:val="000000" w:themeColor="text1"/>
        </w:rPr>
      </w:pPr>
      <w:r w:rsidRPr="00892B5E">
        <w:rPr>
          <w:color w:val="000000" w:themeColor="text1"/>
        </w:rPr>
        <w:t xml:space="preserve">Item </w:t>
      </w:r>
      <w:r w:rsidR="00697A81">
        <w:rPr>
          <w:color w:val="000000" w:themeColor="text1"/>
        </w:rPr>
        <w:t>75 (c)</w:t>
      </w:r>
      <w:r w:rsidR="00B4698C" w:rsidRPr="00892B5E">
        <w:rPr>
          <w:color w:val="000000" w:themeColor="text1"/>
        </w:rPr>
        <w:t xml:space="preserve"> </w:t>
      </w:r>
      <w:r w:rsidR="00697A81">
        <w:t>of the provisional agenda</w:t>
      </w:r>
      <w:r w:rsidR="00697A81" w:rsidRPr="00697A81">
        <w:rPr>
          <w:rStyle w:val="FootnoteReference"/>
          <w:sz w:val="20"/>
          <w:vertAlign w:val="baseline"/>
        </w:rPr>
        <w:footnoteReference w:customMarkFollows="1" w:id="2"/>
        <w:t>*</w:t>
      </w:r>
    </w:p>
    <w:p w14:paraId="1C9B7D7C" w14:textId="102B431B" w:rsidR="00B4698C" w:rsidRPr="00892B5E" w:rsidRDefault="007A7E4D" w:rsidP="0043622A">
      <w:pPr>
        <w:rPr>
          <w:color w:val="000000" w:themeColor="text1"/>
          <w:lang w:val="en-US"/>
        </w:rPr>
      </w:pPr>
      <w:r w:rsidRPr="00892B5E">
        <w:rPr>
          <w:rFonts w:eastAsia="MS Mincho"/>
          <w:b/>
          <w:color w:val="000000" w:themeColor="text1"/>
        </w:rPr>
        <w:t>Promotion and protection of human rights: human</w:t>
      </w:r>
      <w:r w:rsidR="00E34EC9">
        <w:rPr>
          <w:rFonts w:eastAsia="MS Mincho"/>
          <w:b/>
          <w:color w:val="000000" w:themeColor="text1"/>
        </w:rPr>
        <w:br/>
      </w:r>
      <w:r w:rsidRPr="00892B5E">
        <w:rPr>
          <w:rFonts w:eastAsia="MS Mincho"/>
          <w:b/>
          <w:color w:val="000000" w:themeColor="text1"/>
        </w:rPr>
        <w:t>rights</w:t>
      </w:r>
      <w:r w:rsidR="00E34EC9">
        <w:rPr>
          <w:rFonts w:eastAsia="MS Mincho"/>
          <w:b/>
          <w:color w:val="000000" w:themeColor="text1"/>
        </w:rPr>
        <w:t xml:space="preserve"> </w:t>
      </w:r>
      <w:r w:rsidRPr="00892B5E">
        <w:rPr>
          <w:rFonts w:eastAsia="MS Mincho"/>
          <w:b/>
          <w:color w:val="000000" w:themeColor="text1"/>
        </w:rPr>
        <w:t>situations and reports of special rapporteurs</w:t>
      </w:r>
      <w:r w:rsidR="00E34EC9">
        <w:rPr>
          <w:rFonts w:eastAsia="MS Mincho"/>
          <w:b/>
          <w:color w:val="000000" w:themeColor="text1"/>
        </w:rPr>
        <w:br/>
      </w:r>
      <w:r w:rsidRPr="00892B5E">
        <w:rPr>
          <w:rFonts w:eastAsia="MS Mincho"/>
          <w:b/>
          <w:color w:val="000000" w:themeColor="text1"/>
        </w:rPr>
        <w:t>and representatives</w:t>
      </w:r>
    </w:p>
    <w:p w14:paraId="1C9B7D7D" w14:textId="1C4A60EF" w:rsidR="00B4698C" w:rsidRPr="00892B5E" w:rsidRDefault="00B4698C" w:rsidP="0043622A">
      <w:pPr>
        <w:pStyle w:val="HChG"/>
        <w:rPr>
          <w:color w:val="000000" w:themeColor="text1"/>
        </w:rPr>
      </w:pPr>
      <w:r w:rsidRPr="00892B5E">
        <w:rPr>
          <w:color w:val="000000" w:themeColor="text1"/>
          <w:lang w:val="en-US"/>
        </w:rPr>
        <w:tab/>
      </w:r>
      <w:r w:rsidRPr="00892B5E">
        <w:rPr>
          <w:color w:val="000000" w:themeColor="text1"/>
          <w:lang w:val="en-US"/>
        </w:rPr>
        <w:tab/>
      </w:r>
      <w:r w:rsidR="007A7E4D" w:rsidRPr="00892B5E">
        <w:rPr>
          <w:color w:val="000000" w:themeColor="text1"/>
        </w:rPr>
        <w:t>Situation of human rights in the Palestinian territories occupied since 1967</w:t>
      </w:r>
    </w:p>
    <w:p w14:paraId="1C9B7D7E" w14:textId="21C47CC7" w:rsidR="00B4698C" w:rsidRPr="00892B5E" w:rsidRDefault="00B4698C" w:rsidP="0043622A">
      <w:pPr>
        <w:pStyle w:val="H1G"/>
        <w:rPr>
          <w:color w:val="000000" w:themeColor="text1"/>
        </w:rPr>
      </w:pPr>
      <w:r w:rsidRPr="00892B5E">
        <w:rPr>
          <w:color w:val="000000" w:themeColor="text1"/>
        </w:rPr>
        <w:tab/>
      </w:r>
      <w:r w:rsidRPr="00892B5E">
        <w:rPr>
          <w:color w:val="000000" w:themeColor="text1"/>
        </w:rPr>
        <w:tab/>
      </w:r>
      <w:r w:rsidR="007A7E4D" w:rsidRPr="00892B5E">
        <w:rPr>
          <w:color w:val="000000" w:themeColor="text1"/>
        </w:rPr>
        <w:t>Note by the Secretary-General</w:t>
      </w:r>
      <w:r w:rsidR="00697A81" w:rsidRPr="00697A81">
        <w:rPr>
          <w:rStyle w:val="FootnoteReference"/>
          <w:color w:val="000000" w:themeColor="text1"/>
          <w:sz w:val="20"/>
          <w:vertAlign w:val="baseline"/>
        </w:rPr>
        <w:footnoteReference w:customMarkFollows="1" w:id="3"/>
        <w:t>**</w:t>
      </w:r>
    </w:p>
    <w:p w14:paraId="7BCE9F36" w14:textId="459BC955" w:rsidR="007A7E4D" w:rsidRPr="00892B5E" w:rsidRDefault="007A7E4D" w:rsidP="00E34EC9">
      <w:pPr>
        <w:pStyle w:val="SingleTxtG"/>
        <w:ind w:right="810" w:firstLine="552"/>
        <w:rPr>
          <w:color w:val="000000" w:themeColor="text1"/>
        </w:rPr>
      </w:pPr>
      <w:r w:rsidRPr="00892B5E">
        <w:rPr>
          <w:color w:val="000000" w:themeColor="text1"/>
        </w:rPr>
        <w:t>The Secretary-General has the honour to transmit to the General Assembly the report of the Special Rapporteur on the situation of human rights in the Palestinian territories occupied since 1967, S. Michael Lynk, submitted in accordance with Human Rights Council resolution 5/1.</w:t>
      </w:r>
    </w:p>
    <w:p w14:paraId="40BEE22A" w14:textId="75F72F5C" w:rsidR="007A7E4D" w:rsidRPr="00892B5E" w:rsidRDefault="007A7E4D">
      <w:pPr>
        <w:suppressAutoHyphens w:val="0"/>
        <w:spacing w:line="240" w:lineRule="auto"/>
        <w:rPr>
          <w:color w:val="000000" w:themeColor="text1"/>
          <w:lang w:val="en-US"/>
        </w:rPr>
      </w:pPr>
      <w:r w:rsidRPr="00892B5E">
        <w:rPr>
          <w:color w:val="000000" w:themeColor="text1"/>
          <w:lang w:val="en-US"/>
        </w:rPr>
        <w:br w:type="page"/>
      </w:r>
    </w:p>
    <w:p w14:paraId="4AB181FD" w14:textId="1E08F956" w:rsidR="007A7E4D" w:rsidRPr="00892B5E" w:rsidRDefault="007A7E4D" w:rsidP="007A7E4D">
      <w:pPr>
        <w:pStyle w:val="HChG"/>
        <w:ind w:firstLine="0"/>
        <w:rPr>
          <w:color w:val="000000" w:themeColor="text1"/>
          <w:lang w:val="en-US"/>
        </w:rPr>
      </w:pPr>
      <w:r w:rsidRPr="00892B5E">
        <w:rPr>
          <w:color w:val="000000" w:themeColor="text1"/>
          <w:lang w:val="en-US"/>
        </w:rPr>
        <w:lastRenderedPageBreak/>
        <w:t>Report of the Special Rapporteur on the situation of human rights in the Palestinian territories occupied since 1967</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892B5E" w:rsidRPr="00892B5E" w14:paraId="1C9B7D80" w14:textId="77777777" w:rsidTr="00E34EC9">
        <w:trPr>
          <w:jc w:val="center"/>
        </w:trPr>
        <w:tc>
          <w:tcPr>
            <w:tcW w:w="9629" w:type="dxa"/>
            <w:shd w:val="clear" w:color="auto" w:fill="auto"/>
          </w:tcPr>
          <w:p w14:paraId="1C9B7D7F" w14:textId="4BE17D01" w:rsidR="00B4698C" w:rsidRPr="00892B5E" w:rsidRDefault="0024324E" w:rsidP="007A7E4D">
            <w:pPr>
              <w:spacing w:before="240" w:after="120"/>
              <w:ind w:left="255"/>
              <w:rPr>
                <w:i/>
                <w:color w:val="000000" w:themeColor="text1"/>
                <w:sz w:val="24"/>
                <w:lang w:val="en-US"/>
              </w:rPr>
            </w:pPr>
            <w:r w:rsidRPr="00892B5E">
              <w:rPr>
                <w:i/>
                <w:color w:val="000000" w:themeColor="text1"/>
                <w:sz w:val="24"/>
                <w:lang w:val="en-US"/>
              </w:rPr>
              <w:t>Summary</w:t>
            </w:r>
          </w:p>
        </w:tc>
      </w:tr>
      <w:tr w:rsidR="00892B5E" w:rsidRPr="00892B5E" w14:paraId="1C9B7D82" w14:textId="77777777" w:rsidTr="00E34EC9">
        <w:trPr>
          <w:jc w:val="center"/>
        </w:trPr>
        <w:tc>
          <w:tcPr>
            <w:tcW w:w="9629" w:type="dxa"/>
            <w:shd w:val="clear" w:color="auto" w:fill="auto"/>
          </w:tcPr>
          <w:p w14:paraId="1C9B7D81" w14:textId="2EE5F5B7" w:rsidR="00B4698C" w:rsidRPr="00892B5E" w:rsidRDefault="00B4698C" w:rsidP="00993B34">
            <w:pPr>
              <w:pStyle w:val="SingleTxtG"/>
              <w:ind w:right="810"/>
              <w:rPr>
                <w:color w:val="000000" w:themeColor="text1"/>
                <w:lang w:val="en-US"/>
              </w:rPr>
            </w:pPr>
            <w:r w:rsidRPr="00892B5E">
              <w:rPr>
                <w:color w:val="000000" w:themeColor="text1"/>
                <w:sz w:val="24"/>
                <w:szCs w:val="24"/>
                <w:lang w:val="en-US"/>
              </w:rPr>
              <w:tab/>
            </w:r>
            <w:r w:rsidR="007A7E4D" w:rsidRPr="00892B5E">
              <w:rPr>
                <w:color w:val="000000" w:themeColor="text1"/>
                <w:lang w:val="en-US"/>
              </w:rPr>
              <w:t xml:space="preserve">The Special Rapporteur on the situation of human rights in the Palestinian territories occupied since 1967, S. Michael Lynk, submits his </w:t>
            </w:r>
            <w:r w:rsidR="00ED2593">
              <w:rPr>
                <w:color w:val="000000" w:themeColor="text1"/>
                <w:lang w:val="en-US"/>
              </w:rPr>
              <w:t>sixth</w:t>
            </w:r>
            <w:r w:rsidR="007A7E4D" w:rsidRPr="00892B5E">
              <w:rPr>
                <w:color w:val="000000" w:themeColor="text1"/>
                <w:lang w:val="en-US"/>
              </w:rPr>
              <w:t xml:space="preserve"> report to the General Assembly. The report is based primarily on information provided by victims, witnesses, civil society representatives, United Nations </w:t>
            </w:r>
            <w:r w:rsidR="0008605C" w:rsidRPr="00892B5E">
              <w:rPr>
                <w:color w:val="000000" w:themeColor="text1"/>
                <w:lang w:val="en-US"/>
              </w:rPr>
              <w:t>agencies</w:t>
            </w:r>
            <w:r w:rsidR="007A7E4D" w:rsidRPr="00892B5E">
              <w:rPr>
                <w:color w:val="000000" w:themeColor="text1"/>
                <w:lang w:val="en-US"/>
              </w:rPr>
              <w:t>. The report addresses a number of concerns pertaining to the situation of human rights in the West Bank, including East Jerusalem, and in Gaza</w:t>
            </w:r>
            <w:r w:rsidR="006F7B41">
              <w:rPr>
                <w:color w:val="000000" w:themeColor="text1"/>
                <w:lang w:val="en-US"/>
              </w:rPr>
              <w:t xml:space="preserve"> and provides an in depth analysis of </w:t>
            </w:r>
            <w:r w:rsidR="00EC6733">
              <w:rPr>
                <w:color w:val="000000" w:themeColor="text1"/>
                <w:lang w:val="en-US"/>
              </w:rPr>
              <w:t xml:space="preserve">the </w:t>
            </w:r>
            <w:r w:rsidR="00993B34">
              <w:rPr>
                <w:color w:val="000000" w:themeColor="text1"/>
              </w:rPr>
              <w:t>responsibility and performance of international a</w:t>
            </w:r>
            <w:r w:rsidR="00993B34" w:rsidRPr="002C1875">
              <w:rPr>
                <w:color w:val="000000" w:themeColor="text1"/>
              </w:rPr>
              <w:t>ctors</w:t>
            </w:r>
            <w:r w:rsidR="00993B34">
              <w:rPr>
                <w:color w:val="000000" w:themeColor="text1"/>
              </w:rPr>
              <w:t>.</w:t>
            </w:r>
          </w:p>
        </w:tc>
      </w:tr>
      <w:tr w:rsidR="00892B5E" w:rsidRPr="00892B5E" w14:paraId="1C9B7D84" w14:textId="77777777" w:rsidTr="00E34EC9">
        <w:trPr>
          <w:jc w:val="center"/>
        </w:trPr>
        <w:tc>
          <w:tcPr>
            <w:tcW w:w="9629" w:type="dxa"/>
            <w:shd w:val="clear" w:color="auto" w:fill="auto"/>
          </w:tcPr>
          <w:p w14:paraId="1C9B7D83" w14:textId="4DFCA122" w:rsidR="00B4698C" w:rsidRPr="00892B5E" w:rsidRDefault="00B4698C">
            <w:pPr>
              <w:rPr>
                <w:color w:val="000000" w:themeColor="text1"/>
                <w:lang w:val="en-US"/>
              </w:rPr>
            </w:pPr>
          </w:p>
        </w:tc>
      </w:tr>
    </w:tbl>
    <w:p w14:paraId="1C9B7D85" w14:textId="77777777" w:rsidR="00B4698C" w:rsidRPr="00892B5E" w:rsidRDefault="00B4698C">
      <w:pPr>
        <w:rPr>
          <w:color w:val="000000" w:themeColor="text1"/>
          <w:lang w:val="en-US"/>
        </w:rPr>
      </w:pPr>
    </w:p>
    <w:p w14:paraId="463C4D42" w14:textId="3BEBDB57" w:rsidR="002F06A9" w:rsidRPr="00892B5E" w:rsidRDefault="00B4698C" w:rsidP="002F06A9">
      <w:pPr>
        <w:pStyle w:val="HChG"/>
        <w:ind w:right="560"/>
        <w:rPr>
          <w:color w:val="000000" w:themeColor="text1"/>
        </w:rPr>
      </w:pPr>
      <w:r w:rsidRPr="00892B5E">
        <w:rPr>
          <w:color w:val="000000" w:themeColor="text1"/>
        </w:rPr>
        <w:br w:type="page"/>
      </w:r>
    </w:p>
    <w:p w14:paraId="13BF0697" w14:textId="65D107FD" w:rsidR="007A7E4D" w:rsidRPr="00E152A7" w:rsidRDefault="00E152A7" w:rsidP="00E152A7">
      <w:pPr>
        <w:pStyle w:val="HChG"/>
        <w:rPr>
          <w:rFonts w:eastAsiaTheme="minorHAnsi"/>
        </w:rPr>
      </w:pPr>
      <w:r>
        <w:rPr>
          <w:rFonts w:eastAsiaTheme="minorHAnsi"/>
        </w:rPr>
        <w:lastRenderedPageBreak/>
        <w:tab/>
        <w:t>I.</w:t>
      </w:r>
      <w:r>
        <w:rPr>
          <w:rFonts w:eastAsiaTheme="minorHAnsi"/>
        </w:rPr>
        <w:tab/>
      </w:r>
      <w:r w:rsidR="001B06C9" w:rsidRPr="00E152A7">
        <w:rPr>
          <w:rFonts w:eastAsiaTheme="minorHAnsi"/>
        </w:rPr>
        <w:t>Int</w:t>
      </w:r>
      <w:r w:rsidR="007A7E4D" w:rsidRPr="00E152A7">
        <w:rPr>
          <w:rFonts w:eastAsiaTheme="minorHAnsi"/>
        </w:rPr>
        <w:t>roduction</w:t>
      </w:r>
    </w:p>
    <w:p w14:paraId="44D37B6B" w14:textId="0AB25DC9" w:rsidR="0008605C" w:rsidRPr="00E152A7" w:rsidRDefault="0008605C" w:rsidP="004A6A97">
      <w:pPr>
        <w:pStyle w:val="SingleTxtG"/>
        <w:numPr>
          <w:ilvl w:val="0"/>
          <w:numId w:val="15"/>
        </w:numPr>
        <w:kinsoku w:val="0"/>
        <w:overflowPunct w:val="0"/>
        <w:autoSpaceDE w:val="0"/>
        <w:autoSpaceDN w:val="0"/>
        <w:adjustRightInd w:val="0"/>
        <w:snapToGrid w:val="0"/>
        <w:ind w:left="1134" w:firstLine="0"/>
        <w:rPr>
          <w:rFonts w:eastAsiaTheme="minorHAnsi"/>
        </w:rPr>
      </w:pPr>
      <w:r w:rsidRPr="00E152A7">
        <w:rPr>
          <w:rFonts w:eastAsiaTheme="minorHAnsi"/>
        </w:rPr>
        <w:t xml:space="preserve">The present report provides a brief overview of the most pressing human rights concerns in the Occupied Palestinian Territory at the time of submission as identified by the Rapporteur in conversations and meetings with civil society. The report then presents a detailed analysis of latest human rights concerns in the Occupied Palestinian Territory with a specific focus </w:t>
      </w:r>
      <w:r w:rsidR="004A6A97">
        <w:rPr>
          <w:rFonts w:eastAsiaTheme="minorHAnsi"/>
        </w:rPr>
        <w:t xml:space="preserve">on </w:t>
      </w:r>
      <w:r w:rsidR="00993B34">
        <w:rPr>
          <w:color w:val="000000" w:themeColor="text1"/>
          <w:lang w:val="en-US"/>
        </w:rPr>
        <w:t xml:space="preserve">the </w:t>
      </w:r>
      <w:r w:rsidR="00993B34">
        <w:rPr>
          <w:color w:val="000000" w:themeColor="text1"/>
        </w:rPr>
        <w:t>responsibility and performance of international a</w:t>
      </w:r>
      <w:r w:rsidR="00993B34" w:rsidRPr="002C1875">
        <w:rPr>
          <w:color w:val="000000" w:themeColor="text1"/>
        </w:rPr>
        <w:t>ctors</w:t>
      </w:r>
      <w:r w:rsidRPr="00E152A7">
        <w:rPr>
          <w:rFonts w:eastAsiaTheme="minorHAnsi"/>
        </w:rPr>
        <w:t>.</w:t>
      </w:r>
    </w:p>
    <w:p w14:paraId="29FF1654" w14:textId="4AA4EFE7" w:rsidR="0008605C" w:rsidRPr="00892B5E" w:rsidRDefault="0008605C" w:rsidP="00E152A7">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892B5E">
        <w:rPr>
          <w:color w:val="000000" w:themeColor="text1"/>
          <w:lang w:val="en-US"/>
        </w:rPr>
        <w:t xml:space="preserve">The Special Rapporteur would like to </w:t>
      </w:r>
      <w:r w:rsidR="00D52B79" w:rsidRPr="00892B5E">
        <w:rPr>
          <w:color w:val="000000" w:themeColor="text1"/>
          <w:lang w:val="en-US"/>
        </w:rPr>
        <w:t>highlight once again</w:t>
      </w:r>
      <w:r w:rsidRPr="00892B5E">
        <w:rPr>
          <w:color w:val="000000" w:themeColor="text1"/>
          <w:lang w:val="en-US"/>
        </w:rPr>
        <w:t xml:space="preserve"> that</w:t>
      </w:r>
      <w:r w:rsidR="008639C0" w:rsidRPr="00892B5E">
        <w:rPr>
          <w:color w:val="000000" w:themeColor="text1"/>
          <w:lang w:val="en-US"/>
        </w:rPr>
        <w:t>,</w:t>
      </w:r>
      <w:r w:rsidRPr="00892B5E">
        <w:rPr>
          <w:color w:val="000000" w:themeColor="text1"/>
          <w:lang w:val="en-US"/>
        </w:rPr>
        <w:t xml:space="preserve"> despite his </w:t>
      </w:r>
      <w:r w:rsidR="007B6977" w:rsidRPr="00892B5E">
        <w:rPr>
          <w:color w:val="000000" w:themeColor="text1"/>
          <w:lang w:val="en-US"/>
        </w:rPr>
        <w:t xml:space="preserve">repeated </w:t>
      </w:r>
      <w:r w:rsidRPr="00892B5E">
        <w:rPr>
          <w:color w:val="000000" w:themeColor="text1"/>
          <w:lang w:val="en-US"/>
        </w:rPr>
        <w:t xml:space="preserve">requests, he has not yet been granted access to the Occupied Palestinian Territory by Israel. The Special Rapporteur emphasizes once again his view that an open dialogue among all parties is essential for the protection and promotion of human rights, and reminds Israel that he is ready and willing to </w:t>
      </w:r>
      <w:r w:rsidRPr="00E152A7">
        <w:rPr>
          <w:rFonts w:eastAsiaTheme="minorHAnsi"/>
        </w:rPr>
        <w:t>engage</w:t>
      </w:r>
      <w:r w:rsidRPr="00892B5E">
        <w:rPr>
          <w:color w:val="000000" w:themeColor="text1"/>
          <w:lang w:val="en-US"/>
        </w:rPr>
        <w:t>. In addition, the Rapporteur continues to highlight that access to the Occupied Palestinian Territory would play a key role in understanding the fundamental realities of the human rights situation in the territory. Israel’s pattern of non-cooperation with th</w:t>
      </w:r>
      <w:r w:rsidR="00C67EF7">
        <w:rPr>
          <w:color w:val="000000" w:themeColor="text1"/>
          <w:lang w:val="en-US"/>
        </w:rPr>
        <w:t>e mandate is a serious concern.</w:t>
      </w:r>
    </w:p>
    <w:p w14:paraId="3A0862BE" w14:textId="36E6A83D" w:rsidR="0008605C" w:rsidRPr="00892B5E" w:rsidRDefault="0008605C" w:rsidP="00E152A7">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892B5E">
        <w:rPr>
          <w:color w:val="000000" w:themeColor="text1"/>
          <w:lang w:val="en-US"/>
        </w:rPr>
        <w:t xml:space="preserve">The Special Rapporteur </w:t>
      </w:r>
      <w:r w:rsidRPr="00E152A7">
        <w:rPr>
          <w:rFonts w:eastAsiaTheme="minorHAnsi"/>
        </w:rPr>
        <w:t>was</w:t>
      </w:r>
      <w:r w:rsidRPr="00892B5E">
        <w:rPr>
          <w:color w:val="000000" w:themeColor="text1"/>
          <w:lang w:val="en-US"/>
        </w:rPr>
        <w:t xml:space="preserve"> not able to travel to the region, including Amman, Jordan, due to travel restrictions in connection with the spread of COVID-19. However, he was able to engage actively with members of civil society</w:t>
      </w:r>
      <w:r w:rsidR="007B6977" w:rsidRPr="00892B5E">
        <w:rPr>
          <w:color w:val="000000" w:themeColor="text1"/>
          <w:lang w:val="en-US"/>
        </w:rPr>
        <w:t xml:space="preserve"> and other United Nations Agencies</w:t>
      </w:r>
      <w:r w:rsidRPr="00892B5E">
        <w:rPr>
          <w:color w:val="000000" w:themeColor="text1"/>
          <w:lang w:val="en-US"/>
        </w:rPr>
        <w:t xml:space="preserve"> and collect important information on the topic mo</w:t>
      </w:r>
      <w:r w:rsidR="00C67EF7">
        <w:rPr>
          <w:color w:val="000000" w:themeColor="text1"/>
          <w:lang w:val="en-US"/>
        </w:rPr>
        <w:t>st notable through submissions.</w:t>
      </w:r>
    </w:p>
    <w:p w14:paraId="6EC0DEC6" w14:textId="0312FEF8" w:rsidR="0008605C" w:rsidRPr="00892B5E" w:rsidRDefault="0008605C" w:rsidP="004A6A97">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892B5E">
        <w:rPr>
          <w:color w:val="000000" w:themeColor="text1"/>
          <w:lang w:val="en-US"/>
        </w:rPr>
        <w:t>In the present report, the Special Rapporteur focuses on</w:t>
      </w:r>
      <w:r w:rsidR="00993B34" w:rsidRPr="00993B34">
        <w:rPr>
          <w:color w:val="000000" w:themeColor="text1"/>
          <w:lang w:val="en-US"/>
        </w:rPr>
        <w:t xml:space="preserve"> </w:t>
      </w:r>
      <w:r w:rsidR="00993B34">
        <w:rPr>
          <w:color w:val="000000" w:themeColor="text1"/>
          <w:lang w:val="en-US"/>
        </w:rPr>
        <w:t xml:space="preserve">in depth analysis of the </w:t>
      </w:r>
      <w:r w:rsidR="00993B34">
        <w:rPr>
          <w:color w:val="000000" w:themeColor="text1"/>
        </w:rPr>
        <w:t>responsibility and performance of international a</w:t>
      </w:r>
      <w:r w:rsidR="00993B34" w:rsidRPr="002C1875">
        <w:rPr>
          <w:color w:val="000000" w:themeColor="text1"/>
        </w:rPr>
        <w:t>ctors</w:t>
      </w:r>
      <w:r w:rsidR="00C67EF7">
        <w:rPr>
          <w:color w:val="000000" w:themeColor="text1"/>
          <w:lang w:val="en-US"/>
        </w:rPr>
        <w:t>.</w:t>
      </w:r>
    </w:p>
    <w:p w14:paraId="782F4444" w14:textId="610531E9" w:rsidR="0008605C" w:rsidRPr="00E152A7" w:rsidRDefault="0008605C" w:rsidP="00E152A7">
      <w:pPr>
        <w:pStyle w:val="SingleTxtG"/>
        <w:numPr>
          <w:ilvl w:val="0"/>
          <w:numId w:val="15"/>
        </w:numPr>
        <w:kinsoku w:val="0"/>
        <w:overflowPunct w:val="0"/>
        <w:autoSpaceDE w:val="0"/>
        <w:autoSpaceDN w:val="0"/>
        <w:adjustRightInd w:val="0"/>
        <w:snapToGrid w:val="0"/>
        <w:ind w:left="1134" w:firstLine="0"/>
        <w:rPr>
          <w:rFonts w:eastAsiaTheme="minorHAnsi"/>
        </w:rPr>
      </w:pPr>
      <w:r w:rsidRPr="00892B5E">
        <w:rPr>
          <w:color w:val="000000" w:themeColor="text1"/>
          <w:lang w:val="en-US"/>
        </w:rPr>
        <w:t xml:space="preserve">The Special Rapporteur wishes </w:t>
      </w:r>
      <w:r w:rsidRPr="00E152A7">
        <w:rPr>
          <w:rFonts w:eastAsiaTheme="minorHAnsi"/>
        </w:rPr>
        <w:t>to express his appreciation for the full cooperation with his mandate extended by the Govern</w:t>
      </w:r>
      <w:r w:rsidR="00C67EF7">
        <w:rPr>
          <w:rFonts w:eastAsiaTheme="minorHAnsi"/>
        </w:rPr>
        <w:t>ment of the State of Palestine.</w:t>
      </w:r>
    </w:p>
    <w:p w14:paraId="4A29D154" w14:textId="793236AF" w:rsidR="0008605C" w:rsidRPr="00892B5E" w:rsidRDefault="0008605C" w:rsidP="00E152A7">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E152A7">
        <w:rPr>
          <w:rFonts w:eastAsiaTheme="minorHAnsi"/>
        </w:rPr>
        <w:t xml:space="preserve">The Special Rapporteur emphasizes again his support for the vital work being done by Palestinian, Israeli, and international human rights organizations. This work is indispensable not only to the Rapporteur as he seeks to </w:t>
      </w:r>
      <w:proofErr w:type="spellStart"/>
      <w:r w:rsidRPr="00E152A7">
        <w:rPr>
          <w:rFonts w:eastAsiaTheme="minorHAnsi"/>
        </w:rPr>
        <w:t>fulfill</w:t>
      </w:r>
      <w:proofErr w:type="spellEnd"/>
      <w:r w:rsidRPr="00E152A7">
        <w:rPr>
          <w:rFonts w:eastAsiaTheme="minorHAnsi"/>
        </w:rPr>
        <w:t xml:space="preserve"> his mandate, but to the broader international community. The efforts of human rights organizations to ensure that accurate and complete information about the situation in the</w:t>
      </w:r>
      <w:r w:rsidRPr="00892B5E">
        <w:rPr>
          <w:color w:val="000000" w:themeColor="text1"/>
          <w:lang w:val="en-US"/>
        </w:rPr>
        <w:t xml:space="preserve"> Occupied Palestinian Territory is readily available should not go unacknowledged.</w:t>
      </w:r>
    </w:p>
    <w:p w14:paraId="2AC557A4" w14:textId="78290BA6" w:rsidR="00C36972" w:rsidRDefault="0021576B" w:rsidP="00E152A7">
      <w:pPr>
        <w:pStyle w:val="HChG"/>
        <w:rPr>
          <w:color w:val="000000" w:themeColor="text1"/>
        </w:rPr>
      </w:pPr>
      <w:r w:rsidRPr="00892B5E">
        <w:rPr>
          <w:color w:val="000000" w:themeColor="text1"/>
        </w:rPr>
        <w:tab/>
      </w:r>
      <w:r w:rsidR="00C36972" w:rsidRPr="00892B5E">
        <w:rPr>
          <w:color w:val="000000" w:themeColor="text1"/>
        </w:rPr>
        <w:t>II.</w:t>
      </w:r>
      <w:r w:rsidR="003E394A" w:rsidRPr="00892B5E">
        <w:rPr>
          <w:color w:val="000000" w:themeColor="text1"/>
        </w:rPr>
        <w:tab/>
      </w:r>
      <w:r w:rsidR="004D5F0D" w:rsidRPr="00892B5E">
        <w:rPr>
          <w:color w:val="000000" w:themeColor="text1"/>
        </w:rPr>
        <w:t>The</w:t>
      </w:r>
      <w:r w:rsidR="002F06A9" w:rsidRPr="00892B5E">
        <w:rPr>
          <w:color w:val="000000" w:themeColor="text1"/>
        </w:rPr>
        <w:t xml:space="preserve"> Current Human Rights Situation</w:t>
      </w:r>
    </w:p>
    <w:p w14:paraId="2BE8E7F3" w14:textId="117C00F3" w:rsidR="00A715C1" w:rsidRPr="00892B5E" w:rsidRDefault="00E152A7" w:rsidP="00F9469C">
      <w:pPr>
        <w:pStyle w:val="H1G"/>
        <w:rPr>
          <w:color w:val="000000" w:themeColor="text1"/>
        </w:rPr>
      </w:pPr>
      <w:r>
        <w:rPr>
          <w:color w:val="000000" w:themeColor="text1"/>
        </w:rPr>
        <w:tab/>
        <w:t>A.</w:t>
      </w:r>
      <w:r>
        <w:rPr>
          <w:color w:val="000000" w:themeColor="text1"/>
        </w:rPr>
        <w:tab/>
      </w:r>
      <w:r w:rsidR="004A6A97">
        <w:rPr>
          <w:color w:val="000000" w:themeColor="text1"/>
        </w:rPr>
        <w:t>Excessive use of force by Israel</w:t>
      </w:r>
    </w:p>
    <w:p w14:paraId="03AD70D7" w14:textId="44164F98" w:rsidR="00227A22" w:rsidRPr="00227A22" w:rsidRDefault="00F70C1C" w:rsidP="00227A22">
      <w:pPr>
        <w:pStyle w:val="SingleTxtG"/>
        <w:numPr>
          <w:ilvl w:val="0"/>
          <w:numId w:val="15"/>
        </w:numPr>
        <w:kinsoku w:val="0"/>
        <w:overflowPunct w:val="0"/>
        <w:autoSpaceDE w:val="0"/>
        <w:autoSpaceDN w:val="0"/>
        <w:adjustRightInd w:val="0"/>
        <w:snapToGrid w:val="0"/>
        <w:ind w:left="1134" w:firstLine="0"/>
        <w:rPr>
          <w:rFonts w:eastAsiaTheme="minorHAnsi"/>
        </w:rPr>
      </w:pPr>
      <w:r>
        <w:rPr>
          <w:rFonts w:eastAsiaTheme="minorHAnsi"/>
        </w:rPr>
        <w:t xml:space="preserve">According to OCHA, </w:t>
      </w:r>
      <w:r w:rsidRPr="00F3589A">
        <w:rPr>
          <w:rFonts w:eastAsiaTheme="minorHAnsi"/>
        </w:rPr>
        <w:t xml:space="preserve">55 Palestinians have been killed by Israeli forces in the West Bank </w:t>
      </w:r>
      <w:r>
        <w:rPr>
          <w:rFonts w:eastAsiaTheme="minorHAnsi"/>
        </w:rPr>
        <w:t>in 2021</w:t>
      </w:r>
      <w:r w:rsidRPr="00F3589A">
        <w:rPr>
          <w:rFonts w:eastAsiaTheme="minorHAnsi"/>
        </w:rPr>
        <w:t>, all by live ammunition.</w:t>
      </w:r>
      <w:r>
        <w:rPr>
          <w:rStyle w:val="FootnoteReference"/>
          <w:rFonts w:eastAsiaTheme="minorHAnsi"/>
        </w:rPr>
        <w:footnoteReference w:id="4"/>
      </w:r>
      <w:r w:rsidRPr="00F3589A">
        <w:rPr>
          <w:rFonts w:eastAsiaTheme="minorHAnsi"/>
        </w:rPr>
        <w:t xml:space="preserve"> </w:t>
      </w:r>
      <w:r>
        <w:rPr>
          <w:rFonts w:eastAsiaTheme="minorHAnsi"/>
        </w:rPr>
        <w:t>In one such recent example, o</w:t>
      </w:r>
      <w:r w:rsidR="00F3589A">
        <w:rPr>
          <w:rFonts w:eastAsiaTheme="minorHAnsi"/>
        </w:rPr>
        <w:t xml:space="preserve">n 15 August, </w:t>
      </w:r>
      <w:r w:rsidR="00F3589A" w:rsidRPr="00F3589A">
        <w:rPr>
          <w:rFonts w:eastAsiaTheme="minorHAnsi"/>
        </w:rPr>
        <w:t>five Palestinians were killed by Israeli forces durin</w:t>
      </w:r>
      <w:r w:rsidR="00F3589A">
        <w:rPr>
          <w:rFonts w:eastAsiaTheme="minorHAnsi"/>
        </w:rPr>
        <w:t xml:space="preserve">g search-and-arrest operations </w:t>
      </w:r>
      <w:r w:rsidR="00F3589A" w:rsidRPr="00F3589A">
        <w:rPr>
          <w:rFonts w:eastAsiaTheme="minorHAnsi"/>
        </w:rPr>
        <w:t xml:space="preserve">in the Jenin refugee camp. </w:t>
      </w:r>
      <w:r w:rsidR="00F3589A">
        <w:rPr>
          <w:rFonts w:eastAsiaTheme="minorHAnsi"/>
        </w:rPr>
        <w:t>The five were reportedly killed following an</w:t>
      </w:r>
      <w:r w:rsidR="00F3589A" w:rsidRPr="00F3589A">
        <w:rPr>
          <w:rFonts w:eastAsiaTheme="minorHAnsi"/>
        </w:rPr>
        <w:t xml:space="preserve"> armed clash between Palestinians and an Israeli undercover unit, who entered the camp to arrest a Palestinian, reportedly affiliated with Hamas.</w:t>
      </w:r>
      <w:r>
        <w:rPr>
          <w:rStyle w:val="FootnoteReference"/>
          <w:rFonts w:eastAsiaTheme="minorHAnsi"/>
        </w:rPr>
        <w:footnoteReference w:id="5"/>
      </w:r>
      <w:r w:rsidR="00F3589A" w:rsidRPr="00F3589A">
        <w:rPr>
          <w:rFonts w:eastAsiaTheme="minorHAnsi"/>
        </w:rPr>
        <w:t xml:space="preserve"> </w:t>
      </w:r>
      <w:r w:rsidR="00227A22" w:rsidRPr="00227A22">
        <w:rPr>
          <w:rFonts w:eastAsiaTheme="minorHAnsi"/>
        </w:rPr>
        <w:t xml:space="preserve">On 28 July, an eleven-year-old boy was killed in Beit </w:t>
      </w:r>
      <w:proofErr w:type="spellStart"/>
      <w:r w:rsidR="00227A22" w:rsidRPr="00227A22">
        <w:rPr>
          <w:rFonts w:eastAsiaTheme="minorHAnsi"/>
        </w:rPr>
        <w:t>Ummar</w:t>
      </w:r>
      <w:proofErr w:type="spellEnd"/>
      <w:r w:rsidR="00227A22" w:rsidRPr="00227A22">
        <w:rPr>
          <w:rFonts w:eastAsiaTheme="minorHAnsi"/>
        </w:rPr>
        <w:t xml:space="preserve">. He was in a car that slowly drove away from soldiers when some of them started running after the vehicle and opened fire. At his funeral, held on 29 July, during protests against his killing, </w:t>
      </w:r>
      <w:r w:rsidR="00227A22" w:rsidRPr="00227A22">
        <w:rPr>
          <w:rFonts w:eastAsiaTheme="minorHAnsi"/>
        </w:rPr>
        <w:lastRenderedPageBreak/>
        <w:t>Palestinians threw stones and Israeli forces opened fire, shooting and killing another Palestinian man.</w:t>
      </w:r>
      <w:r w:rsidR="00785A75">
        <w:rPr>
          <w:rStyle w:val="FootnoteReference"/>
          <w:rFonts w:eastAsiaTheme="minorHAnsi"/>
        </w:rPr>
        <w:footnoteReference w:id="6"/>
      </w:r>
    </w:p>
    <w:p w14:paraId="423E458E" w14:textId="56E73749" w:rsidR="004065C7" w:rsidRDefault="00227A22" w:rsidP="00785A75">
      <w:pPr>
        <w:pStyle w:val="SingleTxtG"/>
        <w:numPr>
          <w:ilvl w:val="0"/>
          <w:numId w:val="15"/>
        </w:numPr>
        <w:kinsoku w:val="0"/>
        <w:overflowPunct w:val="0"/>
        <w:autoSpaceDE w:val="0"/>
        <w:autoSpaceDN w:val="0"/>
        <w:adjustRightInd w:val="0"/>
        <w:snapToGrid w:val="0"/>
        <w:ind w:left="1134" w:firstLine="0"/>
        <w:rPr>
          <w:rFonts w:eastAsiaTheme="minorHAnsi"/>
        </w:rPr>
      </w:pPr>
      <w:r>
        <w:rPr>
          <w:rFonts w:eastAsiaTheme="minorHAnsi"/>
        </w:rPr>
        <w:t xml:space="preserve">Many incidents of killing and </w:t>
      </w:r>
      <w:r w:rsidR="00785A75">
        <w:rPr>
          <w:rFonts w:eastAsiaTheme="minorHAnsi"/>
        </w:rPr>
        <w:t>injuries to</w:t>
      </w:r>
      <w:r>
        <w:rPr>
          <w:rFonts w:eastAsiaTheme="minorHAnsi"/>
        </w:rPr>
        <w:t xml:space="preserve"> Palestinians took place as a result of demonstrations and clashes between demonstrators and security forces</w:t>
      </w:r>
      <w:r w:rsidR="00785A75">
        <w:rPr>
          <w:rFonts w:eastAsiaTheme="minorHAnsi"/>
        </w:rPr>
        <w:t>, many of which were held in protest of settlements and settlement expansion</w:t>
      </w:r>
      <w:r>
        <w:rPr>
          <w:rFonts w:eastAsiaTheme="minorHAnsi"/>
        </w:rPr>
        <w:t>. On</w:t>
      </w:r>
      <w:r w:rsidRPr="00227A22">
        <w:rPr>
          <w:rFonts w:eastAsiaTheme="minorHAnsi"/>
        </w:rPr>
        <w:t xml:space="preserve"> 6 August</w:t>
      </w:r>
      <w:r w:rsidR="00785A75">
        <w:rPr>
          <w:rFonts w:eastAsiaTheme="minorHAnsi"/>
        </w:rPr>
        <w:t xml:space="preserve"> for example</w:t>
      </w:r>
      <w:r w:rsidRPr="00227A22">
        <w:rPr>
          <w:rFonts w:eastAsiaTheme="minorHAnsi"/>
        </w:rPr>
        <w:t xml:space="preserve">, during a demonstration in </w:t>
      </w:r>
      <w:proofErr w:type="spellStart"/>
      <w:r w:rsidRPr="00227A22">
        <w:rPr>
          <w:rFonts w:eastAsiaTheme="minorHAnsi"/>
        </w:rPr>
        <w:t>Beita</w:t>
      </w:r>
      <w:proofErr w:type="spellEnd"/>
      <w:r w:rsidRPr="00227A22">
        <w:rPr>
          <w:rFonts w:eastAsiaTheme="minorHAnsi"/>
        </w:rPr>
        <w:t xml:space="preserve">, Palestinians threw stones at Israeli forces, who fired live ammunition, rubber bullets and tear gas canisters, killing </w:t>
      </w:r>
      <w:r w:rsidR="00785A75">
        <w:rPr>
          <w:rFonts w:eastAsiaTheme="minorHAnsi"/>
        </w:rPr>
        <w:t>a</w:t>
      </w:r>
      <w:r>
        <w:rPr>
          <w:rFonts w:eastAsiaTheme="minorHAnsi"/>
        </w:rPr>
        <w:t xml:space="preserve"> Palestinian</w:t>
      </w:r>
      <w:r w:rsidR="00785A75">
        <w:rPr>
          <w:rFonts w:eastAsiaTheme="minorHAnsi"/>
        </w:rPr>
        <w:t xml:space="preserve"> man</w:t>
      </w:r>
      <w:r>
        <w:rPr>
          <w:rFonts w:eastAsiaTheme="minorHAnsi"/>
        </w:rPr>
        <w:t>.</w:t>
      </w:r>
      <w:r>
        <w:rPr>
          <w:rStyle w:val="FootnoteReference"/>
          <w:rFonts w:eastAsiaTheme="minorHAnsi"/>
        </w:rPr>
        <w:footnoteReference w:id="7"/>
      </w:r>
    </w:p>
    <w:p w14:paraId="024E5A4F" w14:textId="2BA8001D" w:rsidR="004065C7" w:rsidRDefault="004065C7" w:rsidP="004065C7">
      <w:pPr>
        <w:pStyle w:val="SingleTxtG"/>
        <w:numPr>
          <w:ilvl w:val="0"/>
          <w:numId w:val="15"/>
        </w:numPr>
        <w:kinsoku w:val="0"/>
        <w:overflowPunct w:val="0"/>
        <w:autoSpaceDE w:val="0"/>
        <w:autoSpaceDN w:val="0"/>
        <w:adjustRightInd w:val="0"/>
        <w:snapToGrid w:val="0"/>
        <w:ind w:left="1134" w:firstLine="0"/>
        <w:rPr>
          <w:rFonts w:eastAsiaTheme="minorHAnsi"/>
        </w:rPr>
      </w:pPr>
      <w:r w:rsidRPr="006B0BD1">
        <w:rPr>
          <w:rFonts w:eastAsiaTheme="minorHAnsi"/>
        </w:rPr>
        <w:t>Palestinian journalists who report</w:t>
      </w:r>
      <w:r>
        <w:rPr>
          <w:rFonts w:eastAsiaTheme="minorHAnsi"/>
        </w:rPr>
        <w:t xml:space="preserve"> on</w:t>
      </w:r>
      <w:r w:rsidRPr="006B0BD1">
        <w:rPr>
          <w:rFonts w:eastAsiaTheme="minorHAnsi"/>
        </w:rPr>
        <w:t xml:space="preserve"> human rights violations in the </w:t>
      </w:r>
      <w:r>
        <w:rPr>
          <w:rFonts w:eastAsiaTheme="minorHAnsi"/>
        </w:rPr>
        <w:t>occupied Palestinian territory faced harassment, and violence</w:t>
      </w:r>
      <w:r w:rsidRPr="006B0BD1">
        <w:rPr>
          <w:rFonts w:eastAsiaTheme="minorHAnsi"/>
        </w:rPr>
        <w:t xml:space="preserve">, in an attempt to intimidate them and prevent media coverage of Palestinian peaceful protests. </w:t>
      </w:r>
      <w:r>
        <w:rPr>
          <w:rFonts w:eastAsiaTheme="minorHAnsi"/>
        </w:rPr>
        <w:t>On August 27,</w:t>
      </w:r>
      <w:r w:rsidRPr="006B0BD1">
        <w:rPr>
          <w:rFonts w:eastAsiaTheme="minorHAnsi"/>
        </w:rPr>
        <w:t xml:space="preserve"> 2021, Israeli </w:t>
      </w:r>
      <w:r>
        <w:rPr>
          <w:rFonts w:eastAsiaTheme="minorHAnsi"/>
        </w:rPr>
        <w:t>security forces</w:t>
      </w:r>
      <w:r w:rsidRPr="006B0BD1">
        <w:rPr>
          <w:rFonts w:eastAsiaTheme="minorHAnsi"/>
        </w:rPr>
        <w:t xml:space="preserve"> arrested seven Palestinian journalists who were covering a peaceful demonstration against the establishment of new outposts and settlers’ violence in south Hebron hills. The journalists were arrested and their equipment was confiscated shortly after the protest was over when they were heading to their cars, although they identified themselves as journalists to the soldiers. They were handcuffed, left to sit in the scorching sun for an hour, and later taken to the </w:t>
      </w:r>
      <w:proofErr w:type="spellStart"/>
      <w:r w:rsidRPr="006B0BD1">
        <w:rPr>
          <w:rFonts w:eastAsiaTheme="minorHAnsi"/>
        </w:rPr>
        <w:t>Kiryat</w:t>
      </w:r>
      <w:proofErr w:type="spellEnd"/>
      <w:r w:rsidRPr="006B0BD1">
        <w:rPr>
          <w:rFonts w:eastAsiaTheme="minorHAnsi"/>
        </w:rPr>
        <w:t xml:space="preserve"> </w:t>
      </w:r>
      <w:proofErr w:type="spellStart"/>
      <w:r w:rsidRPr="006B0BD1">
        <w:rPr>
          <w:rFonts w:eastAsiaTheme="minorHAnsi"/>
        </w:rPr>
        <w:t>Arba</w:t>
      </w:r>
      <w:proofErr w:type="spellEnd"/>
      <w:r w:rsidRPr="006B0BD1">
        <w:rPr>
          <w:rFonts w:eastAsiaTheme="minorHAnsi"/>
        </w:rPr>
        <w:t xml:space="preserve"> police station where they were interrogated. </w:t>
      </w:r>
      <w:r w:rsidRPr="00F3589A">
        <w:rPr>
          <w:rFonts w:eastAsiaTheme="minorHAnsi"/>
        </w:rPr>
        <w:t>Two of the journalists claimed that they were attacked and beaten by the soldiers during the arrest.</w:t>
      </w:r>
      <w:r w:rsidRPr="004065C7">
        <w:rPr>
          <w:rFonts w:eastAsiaTheme="minorHAnsi"/>
          <w:vertAlign w:val="superscript"/>
        </w:rPr>
        <w:footnoteReference w:id="8"/>
      </w:r>
    </w:p>
    <w:p w14:paraId="642914AD" w14:textId="2C9FFC37" w:rsidR="006A75BE" w:rsidRPr="00892B5E" w:rsidRDefault="007B2F7B" w:rsidP="007B2F7B">
      <w:pPr>
        <w:pStyle w:val="H1G"/>
        <w:rPr>
          <w:color w:val="000000" w:themeColor="text1"/>
        </w:rPr>
      </w:pPr>
      <w:r>
        <w:rPr>
          <w:color w:val="000000" w:themeColor="text1"/>
        </w:rPr>
        <w:tab/>
      </w:r>
      <w:r w:rsidR="00A46F44">
        <w:rPr>
          <w:color w:val="000000" w:themeColor="text1"/>
        </w:rPr>
        <w:t>B.</w:t>
      </w:r>
      <w:r w:rsidR="00F9469C">
        <w:rPr>
          <w:color w:val="000000" w:themeColor="text1"/>
        </w:rPr>
        <w:tab/>
      </w:r>
      <w:r w:rsidR="00A46F44">
        <w:rPr>
          <w:color w:val="000000" w:themeColor="text1"/>
        </w:rPr>
        <w:t>Gaza</w:t>
      </w:r>
    </w:p>
    <w:p w14:paraId="78EE13D6" w14:textId="7624493E" w:rsidR="00B45542" w:rsidRPr="00B45542" w:rsidRDefault="00227A22" w:rsidP="00B45542">
      <w:pPr>
        <w:pStyle w:val="SingleTxtG"/>
        <w:numPr>
          <w:ilvl w:val="0"/>
          <w:numId w:val="15"/>
        </w:numPr>
        <w:kinsoku w:val="0"/>
        <w:overflowPunct w:val="0"/>
        <w:autoSpaceDE w:val="0"/>
        <w:autoSpaceDN w:val="0"/>
        <w:adjustRightInd w:val="0"/>
        <w:snapToGrid w:val="0"/>
        <w:ind w:left="1134" w:firstLine="0"/>
        <w:rPr>
          <w:rFonts w:eastAsiaTheme="minorHAnsi"/>
        </w:rPr>
      </w:pPr>
      <w:r w:rsidRPr="003C36A6">
        <w:rPr>
          <w:rFonts w:eastAsiaTheme="minorHAnsi"/>
        </w:rPr>
        <w:t xml:space="preserve">During the </w:t>
      </w:r>
      <w:r w:rsidR="00B45542">
        <w:rPr>
          <w:rFonts w:eastAsiaTheme="minorHAnsi"/>
        </w:rPr>
        <w:t xml:space="preserve">11-day </w:t>
      </w:r>
      <w:r w:rsidRPr="003C36A6">
        <w:rPr>
          <w:rFonts w:eastAsiaTheme="minorHAnsi"/>
        </w:rPr>
        <w:t>escalation in Gaza in May 2021, 260 Palestinians were killed, including 66 children. It has been assessed that 129 of the fatalities were civilians. Over 2,200 Palestinians were injured during the hostilities, including 685 children and 480 women, some of whom may suffer a long-term disability requiring rehabilitation.</w:t>
      </w:r>
      <w:r w:rsidR="003C36A6">
        <w:rPr>
          <w:rStyle w:val="FootnoteReference"/>
          <w:rFonts w:eastAsiaTheme="minorHAnsi"/>
        </w:rPr>
        <w:footnoteReference w:id="9"/>
      </w:r>
      <w:r w:rsidRPr="003C36A6">
        <w:rPr>
          <w:rFonts w:eastAsiaTheme="minorHAnsi"/>
        </w:rPr>
        <w:t xml:space="preserve"> </w:t>
      </w:r>
      <w:r w:rsidR="003C36A6">
        <w:rPr>
          <w:rFonts w:eastAsiaTheme="minorHAnsi"/>
        </w:rPr>
        <w:t>The escalation in hostilities resulted in</w:t>
      </w:r>
      <w:r w:rsidRPr="003C36A6">
        <w:rPr>
          <w:rFonts w:eastAsiaTheme="minorHAnsi"/>
        </w:rPr>
        <w:t xml:space="preserve"> 113,000 IDPs </w:t>
      </w:r>
      <w:r w:rsidR="003C36A6">
        <w:rPr>
          <w:rFonts w:eastAsiaTheme="minorHAnsi"/>
        </w:rPr>
        <w:t>seeking</w:t>
      </w:r>
      <w:r w:rsidRPr="003C36A6">
        <w:rPr>
          <w:rFonts w:eastAsiaTheme="minorHAnsi"/>
        </w:rPr>
        <w:t xml:space="preserve"> shelter and protection at UNRWA schools or with families.</w:t>
      </w:r>
      <w:r w:rsidR="003C36A6">
        <w:rPr>
          <w:rStyle w:val="FootnoteReference"/>
          <w:rFonts w:eastAsiaTheme="minorHAnsi"/>
        </w:rPr>
        <w:footnoteReference w:id="10"/>
      </w:r>
      <w:r w:rsidR="00B45542">
        <w:rPr>
          <w:rFonts w:eastAsiaTheme="minorHAnsi"/>
        </w:rPr>
        <w:t xml:space="preserve"> </w:t>
      </w:r>
      <w:r w:rsidR="00B45542" w:rsidRPr="00B45542">
        <w:rPr>
          <w:rFonts w:eastAsiaTheme="minorHAnsi"/>
        </w:rPr>
        <w:t xml:space="preserve">During the escalation, 290 </w:t>
      </w:r>
      <w:r w:rsidR="00B45542">
        <w:rPr>
          <w:rFonts w:eastAsiaTheme="minorHAnsi"/>
        </w:rPr>
        <w:t>Water, Sanitation and Hygiene (</w:t>
      </w:r>
      <w:r w:rsidR="00B45542" w:rsidRPr="00B45542">
        <w:rPr>
          <w:rFonts w:eastAsiaTheme="minorHAnsi"/>
        </w:rPr>
        <w:t>WASH</w:t>
      </w:r>
      <w:r w:rsidR="00B45542">
        <w:rPr>
          <w:rFonts w:eastAsiaTheme="minorHAnsi"/>
        </w:rPr>
        <w:t>)</w:t>
      </w:r>
      <w:r w:rsidR="00B45542" w:rsidRPr="00B45542">
        <w:rPr>
          <w:rFonts w:eastAsiaTheme="minorHAnsi"/>
        </w:rPr>
        <w:t xml:space="preserve"> facilities were damaged or destroyed, including water wells, water pumping stations, and distribution networks.</w:t>
      </w:r>
      <w:r w:rsidR="00B45542">
        <w:rPr>
          <w:rStyle w:val="FootnoteReference"/>
          <w:rFonts w:eastAsiaTheme="minorHAnsi"/>
        </w:rPr>
        <w:footnoteReference w:id="11"/>
      </w:r>
      <w:r w:rsidR="00B45542">
        <w:rPr>
          <w:rFonts w:eastAsiaTheme="minorHAnsi"/>
        </w:rPr>
        <w:t xml:space="preserve"> As of the month of July 2021, </w:t>
      </w:r>
      <w:r w:rsidR="00B45542" w:rsidRPr="00B45542">
        <w:rPr>
          <w:rFonts w:eastAsiaTheme="minorHAnsi"/>
        </w:rPr>
        <w:t>most electricity lines</w:t>
      </w:r>
      <w:r w:rsidR="00B45542">
        <w:rPr>
          <w:rFonts w:eastAsiaTheme="minorHAnsi"/>
        </w:rPr>
        <w:t xml:space="preserve"> have been reconnected</w:t>
      </w:r>
      <w:r w:rsidR="00B45542" w:rsidRPr="00B45542">
        <w:rPr>
          <w:rFonts w:eastAsiaTheme="minorHAnsi"/>
        </w:rPr>
        <w:t xml:space="preserve"> and the Qatari-funded fuel </w:t>
      </w:r>
      <w:r w:rsidR="00B45542">
        <w:rPr>
          <w:rFonts w:eastAsiaTheme="minorHAnsi"/>
        </w:rPr>
        <w:t xml:space="preserve">has entered </w:t>
      </w:r>
      <w:r w:rsidR="00B45542" w:rsidRPr="00B45542">
        <w:rPr>
          <w:rFonts w:eastAsiaTheme="minorHAnsi"/>
        </w:rPr>
        <w:t>into Gaza</w:t>
      </w:r>
      <w:r w:rsidR="00B45542">
        <w:rPr>
          <w:rFonts w:eastAsiaTheme="minorHAnsi"/>
        </w:rPr>
        <w:t xml:space="preserve"> again</w:t>
      </w:r>
      <w:r w:rsidR="00B45542" w:rsidRPr="00B45542">
        <w:rPr>
          <w:rFonts w:eastAsiaTheme="minorHAnsi"/>
        </w:rPr>
        <w:t xml:space="preserve">, </w:t>
      </w:r>
      <w:r w:rsidR="00B45542">
        <w:rPr>
          <w:rFonts w:eastAsiaTheme="minorHAnsi"/>
        </w:rPr>
        <w:t>resulting in the availability of elec</w:t>
      </w:r>
      <w:r w:rsidR="00B45542" w:rsidRPr="00B45542">
        <w:rPr>
          <w:rFonts w:eastAsiaTheme="minorHAnsi"/>
        </w:rPr>
        <w:t xml:space="preserve">tricity for an average </w:t>
      </w:r>
      <w:r w:rsidR="00B45542">
        <w:rPr>
          <w:rFonts w:eastAsiaTheme="minorHAnsi"/>
        </w:rPr>
        <w:t>of 14 hours per day across Gaza</w:t>
      </w:r>
      <w:r w:rsidR="00B45542" w:rsidRPr="00B45542">
        <w:rPr>
          <w:rFonts w:eastAsiaTheme="minorHAnsi"/>
        </w:rPr>
        <w:t>.</w:t>
      </w:r>
      <w:r w:rsidR="00B45542">
        <w:rPr>
          <w:rStyle w:val="FootnoteReference"/>
          <w:rFonts w:eastAsiaTheme="minorHAnsi"/>
        </w:rPr>
        <w:footnoteReference w:id="12"/>
      </w:r>
    </w:p>
    <w:p w14:paraId="14095EEB" w14:textId="7C283B27" w:rsidR="00B146B0" w:rsidRDefault="00CD3515" w:rsidP="00B146B0">
      <w:pPr>
        <w:pStyle w:val="SingleTxtG"/>
        <w:numPr>
          <w:ilvl w:val="0"/>
          <w:numId w:val="15"/>
        </w:numPr>
        <w:kinsoku w:val="0"/>
        <w:overflowPunct w:val="0"/>
        <w:autoSpaceDE w:val="0"/>
        <w:autoSpaceDN w:val="0"/>
        <w:adjustRightInd w:val="0"/>
        <w:snapToGrid w:val="0"/>
        <w:ind w:left="1134" w:firstLine="0"/>
        <w:rPr>
          <w:rFonts w:eastAsiaTheme="minorHAnsi"/>
        </w:rPr>
      </w:pPr>
      <w:r>
        <w:rPr>
          <w:rFonts w:eastAsiaTheme="minorHAnsi"/>
        </w:rPr>
        <w:t xml:space="preserve">In August 2021, demonstrations resumed along the Gaza fence and were met with force by Israel. </w:t>
      </w:r>
      <w:r w:rsidR="00227A22" w:rsidRPr="003C36A6">
        <w:rPr>
          <w:rFonts w:eastAsiaTheme="minorHAnsi"/>
        </w:rPr>
        <w:t xml:space="preserve">On 21 August, </w:t>
      </w:r>
      <w:r w:rsidR="00785A75">
        <w:rPr>
          <w:rFonts w:eastAsiaTheme="minorHAnsi"/>
        </w:rPr>
        <w:t>a “day of rage” was announced and</w:t>
      </w:r>
      <w:r w:rsidR="00785A75" w:rsidRPr="003C36A6">
        <w:rPr>
          <w:rFonts w:eastAsiaTheme="minorHAnsi"/>
        </w:rPr>
        <w:t xml:space="preserve"> </w:t>
      </w:r>
      <w:r w:rsidR="00227A22" w:rsidRPr="003C36A6">
        <w:rPr>
          <w:rFonts w:eastAsiaTheme="minorHAnsi"/>
        </w:rPr>
        <w:t xml:space="preserve">hundreds of </w:t>
      </w:r>
      <w:r w:rsidR="000D6342">
        <w:rPr>
          <w:rFonts w:eastAsiaTheme="minorHAnsi"/>
        </w:rPr>
        <w:t>Palestinians</w:t>
      </w:r>
      <w:r w:rsidR="00227A22" w:rsidRPr="003C36A6">
        <w:rPr>
          <w:rFonts w:eastAsiaTheme="minorHAnsi"/>
        </w:rPr>
        <w:t xml:space="preserve"> held a mass demonstration on the Gaza perimeter fence. During the protest,</w:t>
      </w:r>
      <w:r w:rsidR="00785A75">
        <w:rPr>
          <w:rFonts w:eastAsiaTheme="minorHAnsi"/>
        </w:rPr>
        <w:t xml:space="preserve"> demonstrators</w:t>
      </w:r>
      <w:r w:rsidR="00227A22" w:rsidRPr="003C36A6">
        <w:rPr>
          <w:rFonts w:eastAsiaTheme="minorHAnsi"/>
        </w:rPr>
        <w:t xml:space="preserve"> hurled stones and other objects towards Israeli forces</w:t>
      </w:r>
      <w:r w:rsidR="000D6342">
        <w:rPr>
          <w:rFonts w:eastAsiaTheme="minorHAnsi"/>
        </w:rPr>
        <w:t xml:space="preserve"> while Israeli forces</w:t>
      </w:r>
      <w:r w:rsidR="00227A22" w:rsidRPr="003C36A6">
        <w:rPr>
          <w:rFonts w:eastAsiaTheme="minorHAnsi"/>
        </w:rPr>
        <w:t xml:space="preserve"> fired live ammunition and tear gas canisters.</w:t>
      </w:r>
      <w:r w:rsidR="00785A75">
        <w:rPr>
          <w:rFonts w:eastAsiaTheme="minorHAnsi"/>
        </w:rPr>
        <w:t xml:space="preserve"> Another demonstration followed on 23 August.</w:t>
      </w:r>
      <w:r w:rsidR="00227A22" w:rsidRPr="003C36A6">
        <w:rPr>
          <w:rFonts w:eastAsiaTheme="minorHAnsi"/>
        </w:rPr>
        <w:t xml:space="preserve"> </w:t>
      </w:r>
      <w:r w:rsidR="00785A75">
        <w:rPr>
          <w:rFonts w:eastAsiaTheme="minorHAnsi"/>
        </w:rPr>
        <w:t>A 31-year-old man and a 12-year-old child were killed by Israeli fire in these demonstrations and over 100 Palestinians were injured.</w:t>
      </w:r>
      <w:r w:rsidR="00557C95">
        <w:rPr>
          <w:rStyle w:val="FootnoteReference"/>
          <w:rFonts w:eastAsiaTheme="minorHAnsi"/>
        </w:rPr>
        <w:footnoteReference w:id="13"/>
      </w:r>
    </w:p>
    <w:p w14:paraId="538B9690" w14:textId="2DBA77A7" w:rsidR="00B146B0" w:rsidRPr="00A459E8" w:rsidRDefault="00B146B0" w:rsidP="00A459E8">
      <w:pPr>
        <w:pStyle w:val="SingleTxtG"/>
        <w:numPr>
          <w:ilvl w:val="0"/>
          <w:numId w:val="15"/>
        </w:numPr>
        <w:kinsoku w:val="0"/>
        <w:overflowPunct w:val="0"/>
        <w:autoSpaceDE w:val="0"/>
        <w:autoSpaceDN w:val="0"/>
        <w:adjustRightInd w:val="0"/>
        <w:snapToGrid w:val="0"/>
        <w:ind w:left="1134" w:firstLine="0"/>
        <w:rPr>
          <w:rFonts w:eastAsiaTheme="minorHAnsi"/>
        </w:rPr>
      </w:pPr>
      <w:r w:rsidRPr="000C23ED">
        <w:t>Gaza humanitarian aid worker, Mohammad el-</w:t>
      </w:r>
      <w:proofErr w:type="spellStart"/>
      <w:r w:rsidRPr="000C23ED">
        <w:t>Halabi</w:t>
      </w:r>
      <w:proofErr w:type="spellEnd"/>
      <w:r w:rsidRPr="000C23ED">
        <w:t xml:space="preserve">, </w:t>
      </w:r>
      <w:r w:rsidR="00941186">
        <w:t xml:space="preserve">who was accused of diverting </w:t>
      </w:r>
      <w:r w:rsidR="00941186" w:rsidRPr="00A459E8">
        <w:rPr>
          <w:lang w:val="en-US"/>
        </w:rPr>
        <w:t>World Vision’s funds</w:t>
      </w:r>
      <w:r w:rsidR="00941186" w:rsidRPr="000C23ED">
        <w:t xml:space="preserve"> </w:t>
      </w:r>
      <w:r w:rsidR="00941186">
        <w:t xml:space="preserve">to armed groups, </w:t>
      </w:r>
      <w:r w:rsidRPr="000C23ED">
        <w:t>continues to be det</w:t>
      </w:r>
      <w:r w:rsidR="00535B39">
        <w:t>ained by the Israeli authorities</w:t>
      </w:r>
      <w:r w:rsidR="00A459E8">
        <w:t>. H</w:t>
      </w:r>
      <w:r w:rsidR="00535B39">
        <w:t xml:space="preserve">is trial </w:t>
      </w:r>
      <w:r>
        <w:t xml:space="preserve">concluded </w:t>
      </w:r>
      <w:r w:rsidR="00941186">
        <w:t xml:space="preserve">in August </w:t>
      </w:r>
      <w:r>
        <w:t xml:space="preserve">and </w:t>
      </w:r>
      <w:r w:rsidR="00535B39">
        <w:t xml:space="preserve">his verdict is </w:t>
      </w:r>
      <w:r>
        <w:t>pending the District Court verdict</w:t>
      </w:r>
      <w:r w:rsidR="00535B39">
        <w:t>.</w:t>
      </w:r>
      <w:r w:rsidR="00941186">
        <w:t xml:space="preserve"> </w:t>
      </w:r>
      <w:r w:rsidR="006A21D0">
        <w:t>T</w:t>
      </w:r>
      <w:r w:rsidR="00A459E8">
        <w:t xml:space="preserve">he </w:t>
      </w:r>
      <w:r w:rsidR="00A459E8">
        <w:lastRenderedPageBreak/>
        <w:t>prosecution</w:t>
      </w:r>
      <w:r w:rsidRPr="000C23ED">
        <w:t xml:space="preserve"> relied on secret evidence and did not initially allow him access to a lawyer. </w:t>
      </w:r>
      <w:r w:rsidR="00A459E8">
        <w:t>On numerous occasions,</w:t>
      </w:r>
      <w:r w:rsidR="00A459E8" w:rsidRPr="00A459E8">
        <w:t xml:space="preserve"> Mr. el-</w:t>
      </w:r>
      <w:proofErr w:type="spellStart"/>
      <w:r w:rsidR="00A459E8" w:rsidRPr="00A459E8">
        <w:t>Halabi</w:t>
      </w:r>
      <w:proofErr w:type="spellEnd"/>
      <w:r w:rsidR="00A459E8">
        <w:t xml:space="preserve"> was reportedly pressured</w:t>
      </w:r>
      <w:r w:rsidR="00A459E8" w:rsidRPr="00A459E8">
        <w:t xml:space="preserve"> to accept a plea bargain in exchange for mitigated list of charges and lenient sentence w</w:t>
      </w:r>
      <w:r w:rsidR="00A459E8">
        <w:t>hich he repeatedly rejected. According to information received, h</w:t>
      </w:r>
      <w:r w:rsidR="00A459E8" w:rsidRPr="00A459E8">
        <w:t xml:space="preserve">eavy restrictions </w:t>
      </w:r>
      <w:r w:rsidR="00A459E8">
        <w:t>were imposed on his</w:t>
      </w:r>
      <w:r w:rsidR="00A459E8" w:rsidRPr="00A459E8">
        <w:t xml:space="preserve"> </w:t>
      </w:r>
      <w:r w:rsidR="006A21D0" w:rsidRPr="00A459E8">
        <w:t>defence</w:t>
      </w:r>
      <w:r w:rsidR="00A459E8" w:rsidRPr="00A459E8">
        <w:t xml:space="preserve"> lawyer, the decision </w:t>
      </w:r>
      <w:r w:rsidR="00A459E8">
        <w:t xml:space="preserve">of the court </w:t>
      </w:r>
      <w:r w:rsidR="00A459E8" w:rsidRPr="00A459E8">
        <w:t xml:space="preserve">regarding the admissibility of the </w:t>
      </w:r>
      <w:r w:rsidR="00A459E8">
        <w:t>reported</w:t>
      </w:r>
      <w:r w:rsidR="00A459E8" w:rsidRPr="00A459E8">
        <w:t xml:space="preserve"> confession extracted under duress </w:t>
      </w:r>
      <w:r w:rsidR="00A459E8">
        <w:t>was classified and,</w:t>
      </w:r>
      <w:r w:rsidR="00A459E8" w:rsidRPr="00A459E8">
        <w:t xml:space="preserve"> the court held all hearings behind closed doors. The</w:t>
      </w:r>
      <w:r w:rsidR="006A21D0">
        <w:t xml:space="preserve"> Special Rapporteur reiterates his concern that Mr. el-</w:t>
      </w:r>
      <w:proofErr w:type="spellStart"/>
      <w:r w:rsidR="006A21D0">
        <w:t>Halabi</w:t>
      </w:r>
      <w:proofErr w:type="spellEnd"/>
      <w:r w:rsidR="006A21D0">
        <w:t xml:space="preserve"> was not</w:t>
      </w:r>
      <w:r w:rsidR="006A21D0" w:rsidRPr="000C23ED">
        <w:t xml:space="preserve"> granted a fair trial</w:t>
      </w:r>
      <w:r w:rsidR="006A21D0">
        <w:rPr>
          <w:rStyle w:val="FootnoteReference"/>
        </w:rPr>
        <w:footnoteReference w:id="14"/>
      </w:r>
      <w:r w:rsidR="006A21D0">
        <w:t>, and calls on</w:t>
      </w:r>
      <w:r w:rsidR="00A459E8" w:rsidRPr="00A459E8">
        <w:t xml:space="preserve"> Israel to immediately release him.</w:t>
      </w:r>
    </w:p>
    <w:p w14:paraId="7C7B83A3" w14:textId="462BBFCC" w:rsidR="00E86755" w:rsidRPr="00892B5E" w:rsidRDefault="00E152A7" w:rsidP="00F9469C">
      <w:pPr>
        <w:pStyle w:val="H1G"/>
        <w:rPr>
          <w:color w:val="000000" w:themeColor="text1"/>
        </w:rPr>
      </w:pPr>
      <w:r>
        <w:rPr>
          <w:color w:val="000000" w:themeColor="text1"/>
        </w:rPr>
        <w:tab/>
      </w:r>
      <w:r w:rsidR="00F9469C">
        <w:rPr>
          <w:color w:val="000000" w:themeColor="text1"/>
        </w:rPr>
        <w:t>C.</w:t>
      </w:r>
      <w:r>
        <w:rPr>
          <w:color w:val="000000" w:themeColor="text1"/>
        </w:rPr>
        <w:tab/>
      </w:r>
      <w:r w:rsidR="004A6A97">
        <w:rPr>
          <w:color w:val="000000" w:themeColor="text1"/>
        </w:rPr>
        <w:t>Freedom of movement</w:t>
      </w:r>
    </w:p>
    <w:p w14:paraId="1104C971" w14:textId="54B353B8" w:rsidR="00463192" w:rsidRDefault="00BB3E4C" w:rsidP="00557C95">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Pr>
          <w:color w:val="000000" w:themeColor="text1"/>
          <w:lang w:val="en-US"/>
        </w:rPr>
        <w:t>Restrictions on freedom of movement continued throughout the occupied Palestinian territory as a method for Israel to enforce its regime of occupation. Restrictions were imposed on the movement of Pal</w:t>
      </w:r>
      <w:r w:rsidR="00557C95">
        <w:rPr>
          <w:color w:val="000000" w:themeColor="text1"/>
          <w:lang w:val="en-US"/>
        </w:rPr>
        <w:t>estinians between the West Bank including</w:t>
      </w:r>
      <w:r>
        <w:rPr>
          <w:color w:val="000000" w:themeColor="text1"/>
          <w:lang w:val="en-US"/>
        </w:rPr>
        <w:t xml:space="preserve"> East Jerusalem, the Gaza Strip and </w:t>
      </w:r>
      <w:r w:rsidR="00557C95">
        <w:rPr>
          <w:color w:val="000000" w:themeColor="text1"/>
          <w:lang w:val="en-US"/>
        </w:rPr>
        <w:t xml:space="preserve">to travel </w:t>
      </w:r>
      <w:r>
        <w:rPr>
          <w:color w:val="000000" w:themeColor="text1"/>
          <w:lang w:val="en-US"/>
        </w:rPr>
        <w:t xml:space="preserve">abroad. </w:t>
      </w:r>
      <w:r w:rsidR="00AA3A25">
        <w:rPr>
          <w:color w:val="000000" w:themeColor="text1"/>
          <w:lang w:val="en-US"/>
        </w:rPr>
        <w:t xml:space="preserve">Some 593 Israeli checkpoints and roadblocks </w:t>
      </w:r>
      <w:r w:rsidR="00557C95">
        <w:rPr>
          <w:color w:val="000000" w:themeColor="text1"/>
          <w:lang w:val="en-US"/>
        </w:rPr>
        <w:t xml:space="preserve">continue to </w:t>
      </w:r>
      <w:r w:rsidR="00AA3A25">
        <w:rPr>
          <w:color w:val="000000" w:themeColor="text1"/>
          <w:lang w:val="en-US"/>
        </w:rPr>
        <w:t>effectively obstruct Palestinians’ access to rights and services including health, education and work. In addition, Palestinians in the West Bank are barred from using roads built for Israeli settlers.</w:t>
      </w:r>
      <w:r w:rsidR="00AA3A25">
        <w:rPr>
          <w:rStyle w:val="FootnoteReference"/>
          <w:color w:val="000000" w:themeColor="text1"/>
          <w:lang w:val="en-US"/>
        </w:rPr>
        <w:footnoteReference w:id="15"/>
      </w:r>
      <w:r w:rsidR="00557C95">
        <w:rPr>
          <w:color w:val="000000" w:themeColor="text1"/>
          <w:lang w:val="en-US"/>
        </w:rPr>
        <w:t xml:space="preserve"> </w:t>
      </w:r>
      <w:r w:rsidR="00AA3A25">
        <w:rPr>
          <w:color w:val="000000" w:themeColor="text1"/>
          <w:lang w:val="en-US"/>
        </w:rPr>
        <w:t>Those who attempt to cross checkpoints are routinely harassed and obstructed, severely impact</w:t>
      </w:r>
      <w:r w:rsidR="00557C95">
        <w:rPr>
          <w:color w:val="000000" w:themeColor="text1"/>
          <w:lang w:val="en-US"/>
        </w:rPr>
        <w:t>ing their freedom of movement. For example, o</w:t>
      </w:r>
      <w:r w:rsidR="00AA3A25">
        <w:rPr>
          <w:color w:val="000000" w:themeColor="text1"/>
          <w:lang w:val="en-US"/>
        </w:rPr>
        <w:t>n</w:t>
      </w:r>
      <w:r w:rsidR="00557C95">
        <w:rPr>
          <w:color w:val="000000" w:themeColor="text1"/>
          <w:lang w:val="en-US"/>
        </w:rPr>
        <w:t xml:space="preserve"> 5 July</w:t>
      </w:r>
      <w:r w:rsidR="00EF4BF1">
        <w:rPr>
          <w:color w:val="000000" w:themeColor="text1"/>
          <w:lang w:val="en-US"/>
        </w:rPr>
        <w:t xml:space="preserve"> 2021</w:t>
      </w:r>
      <w:r w:rsidR="00557C95">
        <w:rPr>
          <w:color w:val="000000" w:themeColor="text1"/>
          <w:lang w:val="en-US"/>
        </w:rPr>
        <w:t>,</w:t>
      </w:r>
      <w:r w:rsidR="00EF4BF1">
        <w:rPr>
          <w:color w:val="000000" w:themeColor="text1"/>
          <w:lang w:val="en-US"/>
        </w:rPr>
        <w:t xml:space="preserve"> two </w:t>
      </w:r>
      <w:r w:rsidR="00557C95">
        <w:rPr>
          <w:color w:val="000000" w:themeColor="text1"/>
          <w:lang w:val="en-US"/>
        </w:rPr>
        <w:t>Palestinian women</w:t>
      </w:r>
      <w:r w:rsidR="00EF4BF1">
        <w:rPr>
          <w:color w:val="000000" w:themeColor="text1"/>
          <w:lang w:val="en-US"/>
        </w:rPr>
        <w:t xml:space="preserve"> travelled from a medical appointment to </w:t>
      </w:r>
      <w:r w:rsidR="00557C95">
        <w:rPr>
          <w:color w:val="000000" w:themeColor="text1"/>
          <w:lang w:val="en-US"/>
        </w:rPr>
        <w:t>one of their homes</w:t>
      </w:r>
      <w:r w:rsidR="00EF4BF1">
        <w:rPr>
          <w:color w:val="000000" w:themeColor="text1"/>
          <w:lang w:val="en-US"/>
        </w:rPr>
        <w:t xml:space="preserve"> in Hebron. 200 meters before the woman’s house the two were stopped and Israeli border police refused to open the gate and let them through. </w:t>
      </w:r>
      <w:r w:rsidR="00CB4093">
        <w:rPr>
          <w:color w:val="000000" w:themeColor="text1"/>
          <w:lang w:val="en-US"/>
        </w:rPr>
        <w:t xml:space="preserve">While they were held at the checkpoint, settlers came and attacked one of the </w:t>
      </w:r>
      <w:r w:rsidR="00557C95">
        <w:rPr>
          <w:color w:val="000000" w:themeColor="text1"/>
          <w:lang w:val="en-US"/>
        </w:rPr>
        <w:t>women</w:t>
      </w:r>
      <w:r w:rsidR="00CB4093">
        <w:rPr>
          <w:color w:val="000000" w:themeColor="text1"/>
          <w:lang w:val="en-US"/>
        </w:rPr>
        <w:t xml:space="preserve"> who was later taken to the hospital</w:t>
      </w:r>
      <w:r w:rsidR="00557C95">
        <w:rPr>
          <w:color w:val="000000" w:themeColor="text1"/>
          <w:lang w:val="en-US"/>
        </w:rPr>
        <w:t xml:space="preserve"> to treat her injuries</w:t>
      </w:r>
      <w:r w:rsidR="00CB4093">
        <w:rPr>
          <w:color w:val="000000" w:themeColor="text1"/>
          <w:lang w:val="en-US"/>
        </w:rPr>
        <w:t>. The Israeli border patrol reportedly did not intervene during this incident.</w:t>
      </w:r>
      <w:r w:rsidR="00CB4093">
        <w:rPr>
          <w:rStyle w:val="FootnoteReference"/>
          <w:color w:val="000000" w:themeColor="text1"/>
          <w:lang w:val="en-US"/>
        </w:rPr>
        <w:footnoteReference w:id="16"/>
      </w:r>
      <w:r w:rsidR="00CB4093">
        <w:rPr>
          <w:color w:val="000000" w:themeColor="text1"/>
          <w:lang w:val="en-US"/>
        </w:rPr>
        <w:t xml:space="preserve"> This incident is indicative of the situation in Hebron in particular which is laden with checkpoints severely restricting the movement of Palestinians, and the West Bank more generally.</w:t>
      </w:r>
    </w:p>
    <w:p w14:paraId="51DCA622" w14:textId="01A77C9C" w:rsidR="004A6A97" w:rsidRPr="00892B5E" w:rsidRDefault="00A71610" w:rsidP="00463192">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Pr>
          <w:color w:val="000000" w:themeColor="text1"/>
          <w:lang w:val="en-US"/>
        </w:rPr>
        <w:t xml:space="preserve">Palestinians were also killed and injured in incidents involving checkpoints and </w:t>
      </w:r>
      <w:r w:rsidR="00463192">
        <w:rPr>
          <w:color w:val="000000" w:themeColor="text1"/>
          <w:lang w:val="en-US"/>
        </w:rPr>
        <w:t>roadblocks</w:t>
      </w:r>
      <w:r>
        <w:rPr>
          <w:color w:val="000000" w:themeColor="text1"/>
          <w:lang w:val="en-US"/>
        </w:rPr>
        <w:t>.</w:t>
      </w:r>
      <w:r w:rsidR="00CB4093">
        <w:rPr>
          <w:color w:val="000000" w:themeColor="text1"/>
          <w:lang w:val="en-US"/>
        </w:rPr>
        <w:t xml:space="preserve"> </w:t>
      </w:r>
      <w:r>
        <w:rPr>
          <w:color w:val="000000" w:themeColor="text1"/>
          <w:lang w:val="en-US"/>
        </w:rPr>
        <w:t xml:space="preserve">In a particularly egregious incident, </w:t>
      </w:r>
      <w:r w:rsidR="00AB0D1B">
        <w:rPr>
          <w:color w:val="000000" w:themeColor="text1"/>
          <w:lang w:val="en-US"/>
        </w:rPr>
        <w:t xml:space="preserve">in the night of </w:t>
      </w:r>
      <w:r>
        <w:rPr>
          <w:color w:val="000000" w:themeColor="text1"/>
          <w:lang w:val="en-US"/>
        </w:rPr>
        <w:t>6 April, 2021</w:t>
      </w:r>
      <w:r w:rsidR="00AB0D1B">
        <w:rPr>
          <w:color w:val="000000" w:themeColor="text1"/>
          <w:lang w:val="en-US"/>
        </w:rPr>
        <w:t>,</w:t>
      </w:r>
      <w:r>
        <w:rPr>
          <w:color w:val="000000" w:themeColor="text1"/>
          <w:lang w:val="en-US"/>
        </w:rPr>
        <w:t xml:space="preserve"> </w:t>
      </w:r>
      <w:r w:rsidR="00AB0D1B">
        <w:rPr>
          <w:color w:val="000000" w:themeColor="text1"/>
          <w:lang w:val="en-US"/>
        </w:rPr>
        <w:t>Israeli security forces</w:t>
      </w:r>
      <w:r>
        <w:rPr>
          <w:color w:val="000000" w:themeColor="text1"/>
          <w:lang w:val="en-US"/>
        </w:rPr>
        <w:t xml:space="preserve"> </w:t>
      </w:r>
      <w:r w:rsidR="00AB0D1B">
        <w:rPr>
          <w:color w:val="000000" w:themeColor="text1"/>
          <w:lang w:val="en-US"/>
        </w:rPr>
        <w:t xml:space="preserve">erected a temporary checkpoint between </w:t>
      </w:r>
      <w:proofErr w:type="spellStart"/>
      <w:r w:rsidR="00AB0D1B">
        <w:rPr>
          <w:color w:val="000000" w:themeColor="text1"/>
          <w:lang w:val="en-US"/>
        </w:rPr>
        <w:t>Bir</w:t>
      </w:r>
      <w:proofErr w:type="spellEnd"/>
      <w:r w:rsidR="00AB0D1B">
        <w:rPr>
          <w:color w:val="000000" w:themeColor="text1"/>
          <w:lang w:val="en-US"/>
        </w:rPr>
        <w:t xml:space="preserve"> </w:t>
      </w:r>
      <w:proofErr w:type="spellStart"/>
      <w:r w:rsidR="00AB0D1B">
        <w:rPr>
          <w:color w:val="000000" w:themeColor="text1"/>
          <w:lang w:val="en-US"/>
        </w:rPr>
        <w:t>Nabala</w:t>
      </w:r>
      <w:proofErr w:type="spellEnd"/>
      <w:r w:rsidR="00AB0D1B">
        <w:rPr>
          <w:color w:val="000000" w:themeColor="text1"/>
          <w:lang w:val="en-US"/>
        </w:rPr>
        <w:t xml:space="preserve"> and al-jib north of Jerusalem. At the checkpoint, security forces stopped the car of a Palestinian couple, parents of five children who were driving home from a medical appointment. Soldiers opened fire at the car when the couple drove away, resulting in the killing of the man and wounding of his wife.</w:t>
      </w:r>
      <w:r w:rsidR="00AB0D1B">
        <w:rPr>
          <w:rStyle w:val="FootnoteReference"/>
          <w:color w:val="000000" w:themeColor="text1"/>
          <w:lang w:val="en-US"/>
        </w:rPr>
        <w:footnoteReference w:id="17"/>
      </w:r>
      <w:r w:rsidR="00AB0D1B">
        <w:rPr>
          <w:color w:val="000000" w:themeColor="text1"/>
          <w:lang w:val="en-US"/>
        </w:rPr>
        <w:t xml:space="preserve"> According to </w:t>
      </w:r>
      <w:proofErr w:type="spellStart"/>
      <w:r w:rsidR="00AB0D1B">
        <w:rPr>
          <w:color w:val="000000" w:themeColor="text1"/>
          <w:lang w:val="en-US"/>
        </w:rPr>
        <w:t>B</w:t>
      </w:r>
      <w:r w:rsidR="004543A1">
        <w:rPr>
          <w:color w:val="000000" w:themeColor="text1"/>
          <w:lang w:val="en-US"/>
        </w:rPr>
        <w:t>’</w:t>
      </w:r>
      <w:r w:rsidR="00AB0D1B">
        <w:rPr>
          <w:color w:val="000000" w:themeColor="text1"/>
          <w:lang w:val="en-US"/>
        </w:rPr>
        <w:t>tselem</w:t>
      </w:r>
      <w:proofErr w:type="spellEnd"/>
      <w:r w:rsidR="00AB0D1B">
        <w:rPr>
          <w:color w:val="000000" w:themeColor="text1"/>
          <w:lang w:val="en-US"/>
        </w:rPr>
        <w:t>, the Israeli Security Forces announced the launch of a military police investigation into the incident. However, given the widespread impunity surrounding similar incidents, h</w:t>
      </w:r>
      <w:r w:rsidR="001E43C2">
        <w:rPr>
          <w:color w:val="000000" w:themeColor="text1"/>
          <w:lang w:val="en-US"/>
        </w:rPr>
        <w:t xml:space="preserve">uman rights </w:t>
      </w:r>
      <w:proofErr w:type="spellStart"/>
      <w:r w:rsidR="001E43C2">
        <w:rPr>
          <w:color w:val="000000" w:themeColor="text1"/>
          <w:lang w:val="en-US"/>
        </w:rPr>
        <w:t>organisations</w:t>
      </w:r>
      <w:proofErr w:type="spellEnd"/>
      <w:r w:rsidR="001E43C2">
        <w:rPr>
          <w:color w:val="000000" w:themeColor="text1"/>
          <w:lang w:val="en-US"/>
        </w:rPr>
        <w:t xml:space="preserve"> expressed concerns over a similar outcome in this case.</w:t>
      </w:r>
      <w:r w:rsidR="001E43C2">
        <w:rPr>
          <w:rStyle w:val="FootnoteReference"/>
          <w:color w:val="000000" w:themeColor="text1"/>
          <w:lang w:val="en-US"/>
        </w:rPr>
        <w:footnoteReference w:id="18"/>
      </w:r>
    </w:p>
    <w:p w14:paraId="05C0561B" w14:textId="0D2CAAD0" w:rsidR="004A6A97" w:rsidRPr="005A0F9A" w:rsidRDefault="003B33B4" w:rsidP="00557C95">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Pr>
          <w:color w:val="000000" w:themeColor="text1"/>
          <w:lang w:val="en-US"/>
        </w:rPr>
        <w:t>The ability of Palestinians to leave the G</w:t>
      </w:r>
      <w:r w:rsidR="00463192">
        <w:rPr>
          <w:color w:val="000000" w:themeColor="text1"/>
          <w:lang w:val="en-US"/>
        </w:rPr>
        <w:t>aza strip continued</w:t>
      </w:r>
      <w:r w:rsidR="004543A1">
        <w:rPr>
          <w:color w:val="000000" w:themeColor="text1"/>
          <w:lang w:val="en-US"/>
        </w:rPr>
        <w:t xml:space="preserve"> to be severely </w:t>
      </w:r>
      <w:r w:rsidR="00F3589A">
        <w:rPr>
          <w:color w:val="000000" w:themeColor="text1"/>
          <w:lang w:val="en-US"/>
        </w:rPr>
        <w:t>impaired</w:t>
      </w:r>
      <w:r w:rsidR="004543A1">
        <w:rPr>
          <w:color w:val="000000" w:themeColor="text1"/>
          <w:lang w:val="en-US"/>
        </w:rPr>
        <w:t xml:space="preserve">, </w:t>
      </w:r>
      <w:r w:rsidR="00557C95">
        <w:rPr>
          <w:color w:val="000000" w:themeColor="text1"/>
          <w:lang w:val="en-US"/>
        </w:rPr>
        <w:t>to a much greater degree</w:t>
      </w:r>
      <w:r>
        <w:rPr>
          <w:color w:val="000000" w:themeColor="text1"/>
          <w:lang w:val="en-US"/>
        </w:rPr>
        <w:t xml:space="preserve"> following the May 2021 escalation of hostilities. In early July, more than six weeks after the ceasefire, Israel continued to severely restrict travel to and from Gaza via </w:t>
      </w:r>
      <w:proofErr w:type="spellStart"/>
      <w:r>
        <w:rPr>
          <w:color w:val="000000" w:themeColor="text1"/>
          <w:lang w:val="en-US"/>
        </w:rPr>
        <w:t>Erez</w:t>
      </w:r>
      <w:proofErr w:type="spellEnd"/>
      <w:r>
        <w:rPr>
          <w:color w:val="000000" w:themeColor="text1"/>
          <w:lang w:val="en-US"/>
        </w:rPr>
        <w:t xml:space="preserve"> crossing</w:t>
      </w:r>
      <w:r w:rsidR="004543A1">
        <w:rPr>
          <w:color w:val="000000" w:themeColor="text1"/>
          <w:lang w:val="en-US"/>
        </w:rPr>
        <w:t>.</w:t>
      </w:r>
      <w:r w:rsidR="004543A1" w:rsidRPr="005A0F9A">
        <w:rPr>
          <w:vertAlign w:val="superscript"/>
        </w:rPr>
        <w:footnoteReference w:id="19"/>
      </w:r>
      <w:r w:rsidR="004543A1" w:rsidRPr="005A0F9A">
        <w:rPr>
          <w:color w:val="000000" w:themeColor="text1"/>
          <w:vertAlign w:val="superscript"/>
          <w:lang w:val="en-US"/>
        </w:rPr>
        <w:t xml:space="preserve"> </w:t>
      </w:r>
      <w:r w:rsidR="004543A1">
        <w:rPr>
          <w:color w:val="000000" w:themeColor="text1"/>
          <w:lang w:val="en-US"/>
        </w:rPr>
        <w:t xml:space="preserve">Measures relating to COVID-19 also contributed to enhanced restrictions. In March 2020 Israel announced that it would further reduce the already small </w:t>
      </w:r>
      <w:r w:rsidR="004543A1">
        <w:rPr>
          <w:color w:val="000000" w:themeColor="text1"/>
          <w:lang w:val="en-US"/>
        </w:rPr>
        <w:lastRenderedPageBreak/>
        <w:t>number of people granted permits to leave Gaza for medical purposes. As the pandemic progressed, Israel removed some of the movement restrictions imposed on the West Bank (for example allowing Palestinians work permits to enter Israel), however, the restrictions imposed on Gaza largely remained.</w:t>
      </w:r>
      <w:r w:rsidR="004543A1" w:rsidRPr="005A0F9A">
        <w:rPr>
          <w:vertAlign w:val="superscript"/>
        </w:rPr>
        <w:footnoteReference w:id="20"/>
      </w:r>
      <w:r>
        <w:rPr>
          <w:color w:val="000000" w:themeColor="text1"/>
          <w:lang w:val="en-US"/>
        </w:rPr>
        <w:t xml:space="preserve"> </w:t>
      </w:r>
      <w:r w:rsidR="004543A1">
        <w:rPr>
          <w:color w:val="000000" w:themeColor="text1"/>
          <w:lang w:val="en-US"/>
        </w:rPr>
        <w:t>The Palestinian Authority’s cessation of security coordination with Israel in May 2020 - in response to Israel’s intention to annex parts of the West Bank, also contributed to further restrictions. As a result</w:t>
      </w:r>
      <w:r w:rsidR="004162F5">
        <w:rPr>
          <w:color w:val="000000" w:themeColor="text1"/>
          <w:lang w:val="en-US"/>
        </w:rPr>
        <w:t xml:space="preserve">, applications for permits dropped and in March 2021 for example, traffic at </w:t>
      </w:r>
      <w:proofErr w:type="spellStart"/>
      <w:r w:rsidR="004162F5">
        <w:rPr>
          <w:color w:val="000000" w:themeColor="text1"/>
          <w:lang w:val="en-US"/>
        </w:rPr>
        <w:t>Erez</w:t>
      </w:r>
      <w:proofErr w:type="spellEnd"/>
      <w:r w:rsidR="004162F5">
        <w:rPr>
          <w:color w:val="000000" w:themeColor="text1"/>
          <w:lang w:val="en-US"/>
        </w:rPr>
        <w:t xml:space="preserve"> crossing significantly reduced to some six percent of its volume in previous months.</w:t>
      </w:r>
      <w:r w:rsidR="004162F5" w:rsidRPr="005A0F9A">
        <w:rPr>
          <w:vertAlign w:val="superscript"/>
        </w:rPr>
        <w:footnoteReference w:id="21"/>
      </w:r>
      <w:r w:rsidR="004162F5">
        <w:rPr>
          <w:color w:val="000000" w:themeColor="text1"/>
          <w:lang w:val="en-US"/>
        </w:rPr>
        <w:t xml:space="preserve"> </w:t>
      </w:r>
      <w:r w:rsidR="00F3589A">
        <w:rPr>
          <w:color w:val="000000" w:themeColor="text1"/>
          <w:lang w:val="en-US"/>
        </w:rPr>
        <w:t>The month of May 2021 recorded 1,000 people leaving the Gaza strip; the lowest number of exits for the entire year.</w:t>
      </w:r>
      <w:r w:rsidR="00F3589A" w:rsidRPr="005A0F9A">
        <w:rPr>
          <w:vertAlign w:val="superscript"/>
        </w:rPr>
        <w:footnoteReference w:id="22"/>
      </w:r>
      <w:r w:rsidR="005A0F9A" w:rsidRPr="005A0F9A">
        <w:rPr>
          <w:color w:val="000000" w:themeColor="text1"/>
          <w:vertAlign w:val="superscript"/>
          <w:lang w:val="en-US"/>
        </w:rPr>
        <w:t xml:space="preserve"> </w:t>
      </w:r>
      <w:r w:rsidR="005A0F9A" w:rsidRPr="005A0F9A">
        <w:rPr>
          <w:color w:val="000000" w:themeColor="text1"/>
          <w:lang w:val="en-US"/>
        </w:rPr>
        <w:t xml:space="preserve">While </w:t>
      </w:r>
      <w:r w:rsidR="00D079DA">
        <w:rPr>
          <w:color w:val="000000" w:themeColor="text1"/>
          <w:lang w:val="en-US"/>
        </w:rPr>
        <w:t xml:space="preserve">it has been reported that </w:t>
      </w:r>
      <w:r w:rsidR="005A0F9A" w:rsidRPr="005A0F9A">
        <w:rPr>
          <w:color w:val="000000" w:themeColor="text1"/>
          <w:lang w:val="en-US"/>
        </w:rPr>
        <w:t xml:space="preserve">the Israeli authorities have eased some movement restrictions for Palestinian patients since the </w:t>
      </w:r>
      <w:r w:rsidR="00D079DA">
        <w:rPr>
          <w:color w:val="000000" w:themeColor="text1"/>
          <w:lang w:val="en-US"/>
        </w:rPr>
        <w:t>ceasefire</w:t>
      </w:r>
      <w:r w:rsidR="005A0F9A" w:rsidRPr="005A0F9A">
        <w:rPr>
          <w:color w:val="000000" w:themeColor="text1"/>
          <w:lang w:val="en-US"/>
        </w:rPr>
        <w:t>, two of every three patients who apply for such permits do not get an approval by the time of their scheduled appointment.</w:t>
      </w:r>
      <w:r w:rsidR="00D079DA">
        <w:rPr>
          <w:rStyle w:val="FootnoteReference"/>
          <w:color w:val="000000" w:themeColor="text1"/>
          <w:lang w:val="en-US"/>
        </w:rPr>
        <w:footnoteReference w:id="23"/>
      </w:r>
    </w:p>
    <w:p w14:paraId="5116863C" w14:textId="6DB0DE41" w:rsidR="003A029F" w:rsidRDefault="004A6A97" w:rsidP="00F9469C">
      <w:pPr>
        <w:pStyle w:val="H1G"/>
        <w:rPr>
          <w:color w:val="000000" w:themeColor="text1"/>
        </w:rPr>
      </w:pPr>
      <w:r>
        <w:rPr>
          <w:color w:val="000000" w:themeColor="text1"/>
        </w:rPr>
        <w:tab/>
      </w:r>
      <w:r w:rsidR="00F9469C">
        <w:rPr>
          <w:color w:val="000000" w:themeColor="text1"/>
        </w:rPr>
        <w:t>D</w:t>
      </w:r>
      <w:r w:rsidRPr="004A6A97">
        <w:rPr>
          <w:color w:val="000000" w:themeColor="text1"/>
        </w:rPr>
        <w:t>.</w:t>
      </w:r>
      <w:r>
        <w:rPr>
          <w:color w:val="000000" w:themeColor="text1"/>
        </w:rPr>
        <w:tab/>
      </w:r>
      <w:r w:rsidRPr="004A6A97">
        <w:rPr>
          <w:color w:val="000000" w:themeColor="text1"/>
        </w:rPr>
        <w:t>Settler violence</w:t>
      </w:r>
    </w:p>
    <w:p w14:paraId="0071DF40" w14:textId="1BCE8D64" w:rsidR="009A6853" w:rsidRDefault="009A6853" w:rsidP="00FC2405">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Pr>
          <w:color w:val="000000" w:themeColor="text1"/>
          <w:lang w:val="en-US"/>
        </w:rPr>
        <w:t xml:space="preserve">Despite </w:t>
      </w:r>
      <w:r w:rsidR="00FC2405">
        <w:rPr>
          <w:color w:val="000000" w:themeColor="text1"/>
          <w:lang w:val="en-US"/>
        </w:rPr>
        <w:t>the instatement</w:t>
      </w:r>
      <w:r w:rsidR="00A2658D">
        <w:rPr>
          <w:color w:val="000000" w:themeColor="text1"/>
          <w:lang w:val="en-US"/>
        </w:rPr>
        <w:t xml:space="preserve"> of a new Israeli Government</w:t>
      </w:r>
      <w:r>
        <w:rPr>
          <w:color w:val="000000" w:themeColor="text1"/>
          <w:lang w:val="en-US"/>
        </w:rPr>
        <w:t xml:space="preserve"> in June 2021, </w:t>
      </w:r>
      <w:r w:rsidR="00A2658D">
        <w:rPr>
          <w:color w:val="000000" w:themeColor="text1"/>
          <w:lang w:val="en-US"/>
        </w:rPr>
        <w:t>which</w:t>
      </w:r>
      <w:r>
        <w:rPr>
          <w:color w:val="000000" w:themeColor="text1"/>
          <w:lang w:val="en-US"/>
        </w:rPr>
        <w:t xml:space="preserve"> includes </w:t>
      </w:r>
      <w:r w:rsidR="00557C95">
        <w:rPr>
          <w:color w:val="000000" w:themeColor="text1"/>
          <w:lang w:val="en-US"/>
        </w:rPr>
        <w:t xml:space="preserve">more ‘centrist’ </w:t>
      </w:r>
      <w:r>
        <w:rPr>
          <w:color w:val="000000" w:themeColor="text1"/>
          <w:lang w:val="en-US"/>
        </w:rPr>
        <w:t xml:space="preserve">politicians </w:t>
      </w:r>
      <w:r w:rsidR="00FC2405">
        <w:rPr>
          <w:color w:val="000000" w:themeColor="text1"/>
          <w:lang w:val="en-US"/>
        </w:rPr>
        <w:t>some of whom</w:t>
      </w:r>
      <w:r>
        <w:rPr>
          <w:color w:val="000000" w:themeColor="text1"/>
          <w:lang w:val="en-US"/>
        </w:rPr>
        <w:t xml:space="preserve"> have spoken out in the past against the settlements enterprise</w:t>
      </w:r>
      <w:r w:rsidR="00A2658D">
        <w:rPr>
          <w:rStyle w:val="FootnoteReference"/>
          <w:color w:val="000000" w:themeColor="text1"/>
          <w:lang w:val="en-US"/>
        </w:rPr>
        <w:footnoteReference w:id="24"/>
      </w:r>
      <w:r>
        <w:rPr>
          <w:color w:val="000000" w:themeColor="text1"/>
          <w:lang w:val="en-US"/>
        </w:rPr>
        <w:t>, the expansion of settlements has continued, and s</w:t>
      </w:r>
      <w:r w:rsidR="00B16E90">
        <w:rPr>
          <w:color w:val="000000" w:themeColor="text1"/>
          <w:lang w:val="en-US"/>
        </w:rPr>
        <w:t xml:space="preserve">ettler violence </w:t>
      </w:r>
      <w:r>
        <w:rPr>
          <w:color w:val="000000" w:themeColor="text1"/>
          <w:lang w:val="en-US"/>
        </w:rPr>
        <w:t>has shown</w:t>
      </w:r>
      <w:r w:rsidR="00B16E90">
        <w:rPr>
          <w:color w:val="000000" w:themeColor="text1"/>
          <w:lang w:val="en-US"/>
        </w:rPr>
        <w:t xml:space="preserve"> no signs of abating</w:t>
      </w:r>
      <w:r>
        <w:rPr>
          <w:color w:val="000000" w:themeColor="text1"/>
          <w:lang w:val="en-US"/>
        </w:rPr>
        <w:t>. I</w:t>
      </w:r>
      <w:r w:rsidR="00B16E90">
        <w:rPr>
          <w:color w:val="000000" w:themeColor="text1"/>
          <w:lang w:val="en-US"/>
        </w:rPr>
        <w:t>ncreasingly egregious cases have been documented</w:t>
      </w:r>
      <w:r>
        <w:rPr>
          <w:color w:val="000000" w:themeColor="text1"/>
          <w:lang w:val="en-US"/>
        </w:rPr>
        <w:t xml:space="preserve"> in 2021, as well as cases involving active support and collaboration between settlers and Israeli security forces</w:t>
      </w:r>
      <w:r w:rsidR="00227A22" w:rsidRPr="00227A22">
        <w:rPr>
          <w:color w:val="000000" w:themeColor="text1"/>
          <w:lang w:val="en-US"/>
        </w:rPr>
        <w:t xml:space="preserve">. </w:t>
      </w:r>
      <w:r w:rsidR="00FC2405">
        <w:rPr>
          <w:color w:val="000000" w:themeColor="text1"/>
          <w:lang w:val="en-US"/>
        </w:rPr>
        <w:t>A</w:t>
      </w:r>
      <w:r w:rsidR="00D14368">
        <w:rPr>
          <w:color w:val="000000" w:themeColor="text1"/>
          <w:lang w:val="en-US"/>
        </w:rPr>
        <w:t xml:space="preserve">s of </w:t>
      </w:r>
      <w:r w:rsidR="00FC2405">
        <w:rPr>
          <w:color w:val="000000" w:themeColor="text1"/>
          <w:lang w:val="en-US"/>
        </w:rPr>
        <w:t>24 September</w:t>
      </w:r>
      <w:r w:rsidR="00D14368">
        <w:rPr>
          <w:color w:val="000000" w:themeColor="text1"/>
          <w:lang w:val="en-US"/>
        </w:rPr>
        <w:t xml:space="preserve"> 2021, OCHA </w:t>
      </w:r>
      <w:r w:rsidR="00FC2405">
        <w:rPr>
          <w:color w:val="000000" w:themeColor="text1"/>
          <w:lang w:val="en-US"/>
        </w:rPr>
        <w:t>had</w:t>
      </w:r>
      <w:r w:rsidR="00D14368">
        <w:rPr>
          <w:color w:val="000000" w:themeColor="text1"/>
          <w:lang w:val="en-US"/>
        </w:rPr>
        <w:t xml:space="preserve"> documented 246 </w:t>
      </w:r>
      <w:r w:rsidR="00FC2405">
        <w:rPr>
          <w:color w:val="000000" w:themeColor="text1"/>
          <w:lang w:val="en-US"/>
        </w:rPr>
        <w:t>incidents of settler violence resulting in property damage and 93 incidents resulting in injuries.</w:t>
      </w:r>
      <w:r w:rsidR="00FC2405">
        <w:rPr>
          <w:rStyle w:val="FootnoteReference"/>
          <w:color w:val="000000" w:themeColor="text1"/>
          <w:lang w:val="en-US"/>
        </w:rPr>
        <w:footnoteReference w:id="25"/>
      </w:r>
      <w:r w:rsidR="00D14368">
        <w:rPr>
          <w:color w:val="000000" w:themeColor="text1"/>
          <w:lang w:val="en-US"/>
        </w:rPr>
        <w:t xml:space="preserve"> </w:t>
      </w:r>
      <w:r>
        <w:rPr>
          <w:color w:val="000000" w:themeColor="text1"/>
          <w:lang w:val="en-US"/>
        </w:rPr>
        <w:t>Violence is predominantly ideologically motivated and designed to deny access of Palestinians to their land and to terrorize Palestinians. Besides physical violence against Palestinians, many incidents involve targeting the livelihood of Palestinians in rural areas, including by vandalizing livestock, agricultural lands, trees and homes.</w:t>
      </w:r>
      <w:r>
        <w:rPr>
          <w:rStyle w:val="FootnoteReference"/>
          <w:color w:val="000000" w:themeColor="text1"/>
          <w:lang w:val="en-US"/>
        </w:rPr>
        <w:footnoteReference w:id="26"/>
      </w:r>
    </w:p>
    <w:p w14:paraId="036604E6" w14:textId="315BA986" w:rsidR="00E266FB" w:rsidRDefault="00227A22" w:rsidP="0040788F">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227A22">
        <w:rPr>
          <w:color w:val="000000" w:themeColor="text1"/>
          <w:lang w:val="en-US"/>
        </w:rPr>
        <w:t xml:space="preserve">In one </w:t>
      </w:r>
      <w:r w:rsidR="00D14368">
        <w:rPr>
          <w:color w:val="000000" w:themeColor="text1"/>
          <w:lang w:val="en-US"/>
        </w:rPr>
        <w:t>particularly heinous</w:t>
      </w:r>
      <w:r w:rsidR="00B16E90">
        <w:rPr>
          <w:color w:val="000000" w:themeColor="text1"/>
          <w:lang w:val="en-US"/>
        </w:rPr>
        <w:t xml:space="preserve"> </w:t>
      </w:r>
      <w:r w:rsidRPr="00227A22">
        <w:rPr>
          <w:color w:val="000000" w:themeColor="text1"/>
          <w:lang w:val="en-US"/>
        </w:rPr>
        <w:t xml:space="preserve">incident </w:t>
      </w:r>
      <w:r w:rsidR="009A6853">
        <w:rPr>
          <w:color w:val="000000" w:themeColor="text1"/>
          <w:lang w:val="en-US"/>
        </w:rPr>
        <w:t xml:space="preserve">that took place </w:t>
      </w:r>
      <w:r w:rsidRPr="00227A22">
        <w:rPr>
          <w:color w:val="000000" w:themeColor="text1"/>
          <w:lang w:val="en-US"/>
        </w:rPr>
        <w:t xml:space="preserve">on 17 August, </w:t>
      </w:r>
      <w:r w:rsidR="009A6853">
        <w:rPr>
          <w:color w:val="000000" w:themeColor="text1"/>
          <w:lang w:val="en-US"/>
        </w:rPr>
        <w:t xml:space="preserve">2021, </w:t>
      </w:r>
      <w:r w:rsidRPr="00227A22">
        <w:rPr>
          <w:color w:val="000000" w:themeColor="text1"/>
          <w:lang w:val="en-US"/>
        </w:rPr>
        <w:t>settlers</w:t>
      </w:r>
      <w:r w:rsidR="00FC2405">
        <w:rPr>
          <w:color w:val="000000" w:themeColor="text1"/>
          <w:lang w:val="en-US"/>
        </w:rPr>
        <w:t xml:space="preserve"> reportedly</w:t>
      </w:r>
      <w:r w:rsidRPr="00227A22">
        <w:rPr>
          <w:color w:val="000000" w:themeColor="text1"/>
          <w:lang w:val="en-US"/>
        </w:rPr>
        <w:t xml:space="preserve"> struck a </w:t>
      </w:r>
      <w:r w:rsidR="00E539F5">
        <w:rPr>
          <w:color w:val="000000" w:themeColor="text1"/>
          <w:lang w:val="en-US"/>
        </w:rPr>
        <w:t xml:space="preserve">15 year old </w:t>
      </w:r>
      <w:r w:rsidRPr="00227A22">
        <w:rPr>
          <w:color w:val="000000" w:themeColor="text1"/>
          <w:lang w:val="en-US"/>
        </w:rPr>
        <w:t>boy wi</w:t>
      </w:r>
      <w:r w:rsidR="00FC2405">
        <w:rPr>
          <w:color w:val="000000" w:themeColor="text1"/>
          <w:lang w:val="en-US"/>
        </w:rPr>
        <w:t xml:space="preserve">th their vehicle near </w:t>
      </w:r>
      <w:proofErr w:type="spellStart"/>
      <w:r w:rsidR="00FC2405">
        <w:rPr>
          <w:color w:val="000000" w:themeColor="text1"/>
          <w:lang w:val="en-US"/>
        </w:rPr>
        <w:t>Silat</w:t>
      </w:r>
      <w:proofErr w:type="spellEnd"/>
      <w:r w:rsidR="00FC2405">
        <w:rPr>
          <w:color w:val="000000" w:themeColor="text1"/>
          <w:lang w:val="en-US"/>
        </w:rPr>
        <w:t xml:space="preserve"> al-</w:t>
      </w:r>
      <w:proofErr w:type="spellStart"/>
      <w:r w:rsidRPr="00227A22">
        <w:rPr>
          <w:color w:val="000000" w:themeColor="text1"/>
          <w:lang w:val="en-US"/>
        </w:rPr>
        <w:t>Dah</w:t>
      </w:r>
      <w:r w:rsidR="00FC2405">
        <w:rPr>
          <w:color w:val="000000" w:themeColor="text1"/>
          <w:lang w:val="en-US"/>
        </w:rPr>
        <w:t>e</w:t>
      </w:r>
      <w:r w:rsidRPr="00227A22">
        <w:rPr>
          <w:color w:val="000000" w:themeColor="text1"/>
          <w:lang w:val="en-US"/>
        </w:rPr>
        <w:t>r</w:t>
      </w:r>
      <w:proofErr w:type="spellEnd"/>
      <w:r w:rsidRPr="00227A22">
        <w:rPr>
          <w:color w:val="000000" w:themeColor="text1"/>
          <w:lang w:val="en-US"/>
        </w:rPr>
        <w:t xml:space="preserve"> village </w:t>
      </w:r>
      <w:r w:rsidR="00FC2405">
        <w:rPr>
          <w:color w:val="000000" w:themeColor="text1"/>
          <w:lang w:val="en-US"/>
        </w:rPr>
        <w:t>on the Nablus-</w:t>
      </w:r>
      <w:r w:rsidRPr="00227A22">
        <w:rPr>
          <w:color w:val="000000" w:themeColor="text1"/>
          <w:lang w:val="en-US"/>
        </w:rPr>
        <w:t>Jenin</w:t>
      </w:r>
      <w:r w:rsidR="00FC2405">
        <w:rPr>
          <w:color w:val="000000" w:themeColor="text1"/>
          <w:lang w:val="en-US"/>
        </w:rPr>
        <w:t xml:space="preserve"> road</w:t>
      </w:r>
      <w:r w:rsidRPr="00227A22">
        <w:rPr>
          <w:color w:val="000000" w:themeColor="text1"/>
          <w:lang w:val="en-US"/>
        </w:rPr>
        <w:t xml:space="preserve">, </w:t>
      </w:r>
      <w:r w:rsidR="0024056B">
        <w:rPr>
          <w:color w:val="000000" w:themeColor="text1"/>
          <w:lang w:val="en-US"/>
        </w:rPr>
        <w:t>kidnapped</w:t>
      </w:r>
      <w:r w:rsidRPr="00227A22">
        <w:rPr>
          <w:color w:val="000000" w:themeColor="text1"/>
          <w:lang w:val="en-US"/>
        </w:rPr>
        <w:t xml:space="preserve"> him to the previously-evacuated Israeli settlement </w:t>
      </w:r>
      <w:proofErr w:type="spellStart"/>
      <w:r w:rsidRPr="00227A22">
        <w:rPr>
          <w:color w:val="000000" w:themeColor="text1"/>
          <w:lang w:val="en-US"/>
        </w:rPr>
        <w:t>Homesh</w:t>
      </w:r>
      <w:proofErr w:type="spellEnd"/>
      <w:r w:rsidRPr="00227A22">
        <w:rPr>
          <w:color w:val="000000" w:themeColor="text1"/>
          <w:lang w:val="en-US"/>
        </w:rPr>
        <w:t>, tied him to a tree and beat him until he lost consciousness</w:t>
      </w:r>
      <w:r w:rsidR="00E539F5">
        <w:rPr>
          <w:color w:val="000000" w:themeColor="text1"/>
          <w:lang w:val="en-US"/>
        </w:rPr>
        <w:t>, including inflicting burns on his feet</w:t>
      </w:r>
      <w:r w:rsidRPr="00227A22">
        <w:rPr>
          <w:color w:val="000000" w:themeColor="text1"/>
          <w:lang w:val="en-US"/>
        </w:rPr>
        <w:t>. An Israeli military jeep found the boy two hours later and handed him over to an ambulance. The boy was taken to hospital where he was treated for contusions and burns</w:t>
      </w:r>
      <w:r w:rsidR="00A2658D">
        <w:rPr>
          <w:color w:val="000000" w:themeColor="text1"/>
          <w:lang w:val="en-US"/>
        </w:rPr>
        <w:t xml:space="preserve"> and </w:t>
      </w:r>
      <w:r w:rsidR="0040788F">
        <w:rPr>
          <w:color w:val="000000" w:themeColor="text1"/>
          <w:lang w:val="en-US"/>
        </w:rPr>
        <w:t>continues to suffer</w:t>
      </w:r>
      <w:r w:rsidR="00A2658D">
        <w:rPr>
          <w:color w:val="000000" w:themeColor="text1"/>
          <w:lang w:val="en-US"/>
        </w:rPr>
        <w:t xml:space="preserve"> from serious psychological trauma</w:t>
      </w:r>
      <w:r w:rsidRPr="00227A22">
        <w:rPr>
          <w:color w:val="000000" w:themeColor="text1"/>
          <w:lang w:val="en-US"/>
        </w:rPr>
        <w:t>.</w:t>
      </w:r>
      <w:r w:rsidR="00E266FB">
        <w:rPr>
          <w:rStyle w:val="FootnoteReference"/>
          <w:color w:val="000000" w:themeColor="text1"/>
          <w:lang w:val="en-US"/>
        </w:rPr>
        <w:footnoteReference w:id="27"/>
      </w:r>
    </w:p>
    <w:p w14:paraId="6504776F" w14:textId="0D28662C" w:rsidR="00A2658D" w:rsidRDefault="00A2658D" w:rsidP="00D734D3">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Pr>
          <w:color w:val="000000" w:themeColor="text1"/>
          <w:lang w:val="en-US"/>
        </w:rPr>
        <w:t>Several incidents have been documented of Israeli Security Forces actively assisting settlers in their attacks.</w:t>
      </w:r>
      <w:r w:rsidR="004065C7">
        <w:rPr>
          <w:color w:val="000000" w:themeColor="text1"/>
          <w:lang w:val="en-US"/>
        </w:rPr>
        <w:t xml:space="preserve"> According to </w:t>
      </w:r>
      <w:proofErr w:type="spellStart"/>
      <w:r w:rsidR="004065C7">
        <w:rPr>
          <w:color w:val="000000" w:themeColor="text1"/>
          <w:lang w:val="en-US"/>
        </w:rPr>
        <w:t>B’tselem</w:t>
      </w:r>
      <w:proofErr w:type="spellEnd"/>
      <w:r w:rsidR="004065C7">
        <w:rPr>
          <w:color w:val="000000" w:themeColor="text1"/>
          <w:lang w:val="en-US"/>
        </w:rPr>
        <w:t>, o</w:t>
      </w:r>
      <w:r w:rsidR="004065C7" w:rsidRPr="004065C7">
        <w:rPr>
          <w:color w:val="000000" w:themeColor="text1"/>
          <w:lang w:val="en-US"/>
        </w:rPr>
        <w:t>n Friday, 14 May 2021, settlers and soldiers raided two villages, ‘</w:t>
      </w:r>
      <w:proofErr w:type="spellStart"/>
      <w:r w:rsidR="004065C7" w:rsidRPr="004065C7">
        <w:rPr>
          <w:color w:val="000000" w:themeColor="text1"/>
          <w:lang w:val="en-US"/>
        </w:rPr>
        <w:t>Urif</w:t>
      </w:r>
      <w:proofErr w:type="spellEnd"/>
      <w:r w:rsidR="004065C7" w:rsidRPr="004065C7">
        <w:rPr>
          <w:color w:val="000000" w:themeColor="text1"/>
          <w:lang w:val="en-US"/>
        </w:rPr>
        <w:t xml:space="preserve"> and </w:t>
      </w:r>
      <w:proofErr w:type="spellStart"/>
      <w:r w:rsidR="004065C7" w:rsidRPr="004065C7">
        <w:rPr>
          <w:color w:val="000000" w:themeColor="text1"/>
          <w:lang w:val="en-US"/>
        </w:rPr>
        <w:t>Iskaka</w:t>
      </w:r>
      <w:proofErr w:type="spellEnd"/>
      <w:r w:rsidR="004065C7" w:rsidRPr="004065C7">
        <w:rPr>
          <w:color w:val="000000" w:themeColor="text1"/>
          <w:lang w:val="en-US"/>
        </w:rPr>
        <w:t>, in two separate incidents. The settlers, some of whom were armed, threw stones at homes and local residents.</w:t>
      </w:r>
      <w:r w:rsidR="004065C7">
        <w:rPr>
          <w:color w:val="000000" w:themeColor="text1"/>
          <w:lang w:val="en-US"/>
        </w:rPr>
        <w:t xml:space="preserve"> Settlers and soldiers </w:t>
      </w:r>
      <w:r w:rsidR="00D734D3">
        <w:rPr>
          <w:color w:val="000000" w:themeColor="text1"/>
          <w:lang w:val="en-US"/>
        </w:rPr>
        <w:t xml:space="preserve">jointly </w:t>
      </w:r>
      <w:r w:rsidR="004065C7">
        <w:rPr>
          <w:color w:val="000000" w:themeColor="text1"/>
          <w:lang w:val="en-US"/>
        </w:rPr>
        <w:t>opened fire injuring a total of 12 Palestinians and killing two.</w:t>
      </w:r>
      <w:r w:rsidR="004065C7">
        <w:rPr>
          <w:rStyle w:val="FootnoteReference"/>
          <w:color w:val="000000" w:themeColor="text1"/>
          <w:lang w:val="en-US"/>
        </w:rPr>
        <w:footnoteReference w:id="28"/>
      </w:r>
    </w:p>
    <w:p w14:paraId="62F482F4" w14:textId="75BA5541" w:rsidR="009A6853" w:rsidRDefault="009A6853" w:rsidP="0040788F">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Pr>
          <w:color w:val="000000" w:themeColor="text1"/>
          <w:lang w:val="en-US"/>
        </w:rPr>
        <w:lastRenderedPageBreak/>
        <w:t>The atmosphere of impunity surrounding attacks by settlers is deeply concerning</w:t>
      </w:r>
      <w:r w:rsidR="00A2658D">
        <w:rPr>
          <w:color w:val="000000" w:themeColor="text1"/>
          <w:lang w:val="en-US"/>
        </w:rPr>
        <w:t xml:space="preserve"> and sends an affirmation to settlers that there will be no consequences for their illegal and egregious acts against Palestinians</w:t>
      </w:r>
      <w:r>
        <w:rPr>
          <w:color w:val="000000" w:themeColor="text1"/>
          <w:lang w:val="en-US"/>
        </w:rPr>
        <w:t xml:space="preserve">. </w:t>
      </w:r>
      <w:r w:rsidR="00A2658D">
        <w:rPr>
          <w:color w:val="000000" w:themeColor="text1"/>
          <w:lang w:val="en-US"/>
        </w:rPr>
        <w:t xml:space="preserve">Israeli human rights NGO </w:t>
      </w:r>
      <w:proofErr w:type="spellStart"/>
      <w:r w:rsidR="00A2658D">
        <w:rPr>
          <w:color w:val="000000" w:themeColor="text1"/>
          <w:lang w:val="en-US"/>
        </w:rPr>
        <w:t>Yesh</w:t>
      </w:r>
      <w:proofErr w:type="spellEnd"/>
      <w:r w:rsidR="00A2658D">
        <w:rPr>
          <w:color w:val="000000" w:themeColor="text1"/>
          <w:lang w:val="en-US"/>
        </w:rPr>
        <w:t xml:space="preserve"> Din analyzed 63 incidents of settler violence taking place between 2017 and 2020, including violent offences, property damages, and desecration of mosques</w:t>
      </w:r>
      <w:r>
        <w:rPr>
          <w:color w:val="000000" w:themeColor="text1"/>
          <w:lang w:val="en-US"/>
        </w:rPr>
        <w:t>.</w:t>
      </w:r>
      <w:r w:rsidR="0040788F">
        <w:rPr>
          <w:color w:val="000000" w:themeColor="text1"/>
          <w:lang w:val="en-US"/>
        </w:rPr>
        <w:t xml:space="preserve"> While p</w:t>
      </w:r>
      <w:r w:rsidR="00A2658D">
        <w:rPr>
          <w:color w:val="000000" w:themeColor="text1"/>
          <w:lang w:val="en-US"/>
        </w:rPr>
        <w:t>olice complaints were filed in 60 of the incidents, the police concluded its investigation in 38 incidents. No indictments were filed in any of the incidents.</w:t>
      </w:r>
      <w:r w:rsidRPr="004065C7">
        <w:rPr>
          <w:vertAlign w:val="superscript"/>
        </w:rPr>
        <w:footnoteReference w:id="29"/>
      </w:r>
      <w:r w:rsidRPr="004065C7">
        <w:rPr>
          <w:color w:val="000000" w:themeColor="text1"/>
          <w:vertAlign w:val="superscript"/>
          <w:lang w:val="en-US"/>
        </w:rPr>
        <w:t xml:space="preserve"> </w:t>
      </w:r>
      <w:r w:rsidR="004065C7" w:rsidRPr="004065C7">
        <w:rPr>
          <w:color w:val="000000" w:themeColor="text1"/>
          <w:lang w:val="en-US"/>
        </w:rPr>
        <w:t>Settler violence has a</w:t>
      </w:r>
      <w:r w:rsidR="006B3B34">
        <w:rPr>
          <w:color w:val="000000" w:themeColor="text1"/>
          <w:lang w:val="en-US"/>
        </w:rPr>
        <w:t>n</w:t>
      </w:r>
      <w:r w:rsidR="004065C7" w:rsidRPr="004065C7">
        <w:rPr>
          <w:color w:val="000000" w:themeColor="text1"/>
          <w:lang w:val="en-US"/>
        </w:rPr>
        <w:t xml:space="preserve"> inescapable impact on </w:t>
      </w:r>
      <w:r w:rsidR="004065C7">
        <w:rPr>
          <w:color w:val="000000" w:themeColor="text1"/>
          <w:lang w:val="en-US"/>
        </w:rPr>
        <w:t>Palestinians’ lives in</w:t>
      </w:r>
      <w:r w:rsidR="004065C7" w:rsidRPr="004065C7">
        <w:rPr>
          <w:color w:val="000000" w:themeColor="text1"/>
          <w:lang w:val="en-US"/>
        </w:rPr>
        <w:t xml:space="preserve"> the West Bank, creating a lingering sense of </w:t>
      </w:r>
      <w:r w:rsidR="004065C7">
        <w:rPr>
          <w:color w:val="000000" w:themeColor="text1"/>
          <w:lang w:val="en-US"/>
        </w:rPr>
        <w:t>terror and intimidation</w:t>
      </w:r>
      <w:r w:rsidR="004065C7" w:rsidRPr="004065C7">
        <w:rPr>
          <w:color w:val="000000" w:themeColor="text1"/>
          <w:lang w:val="en-US"/>
        </w:rPr>
        <w:t>.</w:t>
      </w:r>
    </w:p>
    <w:p w14:paraId="177D9D6A" w14:textId="0FB21ECE" w:rsidR="00157036" w:rsidRPr="00892B5E" w:rsidRDefault="00F9469C" w:rsidP="00A46F44">
      <w:pPr>
        <w:pStyle w:val="H1G"/>
        <w:rPr>
          <w:color w:val="000000" w:themeColor="text1"/>
        </w:rPr>
      </w:pPr>
      <w:r>
        <w:rPr>
          <w:color w:val="000000" w:themeColor="text1"/>
        </w:rPr>
        <w:tab/>
        <w:t>E</w:t>
      </w:r>
      <w:r w:rsidR="00E152A7">
        <w:rPr>
          <w:color w:val="000000" w:themeColor="text1"/>
        </w:rPr>
        <w:t>.</w:t>
      </w:r>
      <w:r w:rsidR="00E152A7">
        <w:rPr>
          <w:color w:val="000000" w:themeColor="text1"/>
        </w:rPr>
        <w:tab/>
      </w:r>
      <w:r w:rsidR="00446E65" w:rsidRPr="00892B5E">
        <w:rPr>
          <w:color w:val="000000" w:themeColor="text1"/>
        </w:rPr>
        <w:t>The Palestinian Authority and the de-facto authorities in Gaza</w:t>
      </w:r>
    </w:p>
    <w:p w14:paraId="087BACA7" w14:textId="43304891" w:rsidR="00B52FA9" w:rsidRDefault="00B16E90" w:rsidP="00744084">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B16E90">
        <w:rPr>
          <w:color w:val="000000" w:themeColor="text1"/>
          <w:lang w:val="en-US"/>
        </w:rPr>
        <w:t xml:space="preserve">On 24 June 2021, long-time critic of the Palestinian Authority, Nizar Banat, </w:t>
      </w:r>
      <w:r>
        <w:rPr>
          <w:color w:val="000000" w:themeColor="text1"/>
          <w:lang w:val="en-US"/>
        </w:rPr>
        <w:t>died under the custody of</w:t>
      </w:r>
      <w:r w:rsidRPr="00B16E90">
        <w:rPr>
          <w:color w:val="000000" w:themeColor="text1"/>
          <w:lang w:val="en-US"/>
        </w:rPr>
        <w:t xml:space="preserve"> Palestinian security forces.</w:t>
      </w:r>
      <w:r w:rsidR="0040788F">
        <w:rPr>
          <w:color w:val="000000" w:themeColor="text1"/>
          <w:lang w:val="en-US"/>
        </w:rPr>
        <w:t xml:space="preserve"> Since the killing of Mr</w:t>
      </w:r>
      <w:r w:rsidR="006A21D0">
        <w:rPr>
          <w:color w:val="000000" w:themeColor="text1"/>
          <w:lang w:val="en-US"/>
        </w:rPr>
        <w:t>.</w:t>
      </w:r>
      <w:r w:rsidR="0040788F">
        <w:rPr>
          <w:color w:val="000000" w:themeColor="text1"/>
          <w:lang w:val="en-US"/>
        </w:rPr>
        <w:t xml:space="preserve"> Banat in late June, </w:t>
      </w:r>
      <w:r w:rsidRPr="00B16E90">
        <w:rPr>
          <w:color w:val="000000" w:themeColor="text1"/>
          <w:lang w:val="en-US"/>
        </w:rPr>
        <w:t xml:space="preserve">protests </w:t>
      </w:r>
      <w:r w:rsidR="0040788F">
        <w:rPr>
          <w:color w:val="000000" w:themeColor="text1"/>
          <w:lang w:val="en-US"/>
        </w:rPr>
        <w:t>have taken</w:t>
      </w:r>
      <w:r w:rsidRPr="00B16E90">
        <w:rPr>
          <w:color w:val="000000" w:themeColor="text1"/>
          <w:lang w:val="en-US"/>
        </w:rPr>
        <w:t xml:space="preserve"> place in Hebron, Bethlehem and Ramallah</w:t>
      </w:r>
      <w:r>
        <w:rPr>
          <w:color w:val="000000" w:themeColor="text1"/>
          <w:lang w:val="en-US"/>
        </w:rPr>
        <w:t xml:space="preserve"> and were</w:t>
      </w:r>
      <w:r w:rsidRPr="00B16E90">
        <w:rPr>
          <w:color w:val="000000" w:themeColor="text1"/>
          <w:lang w:val="en-US"/>
        </w:rPr>
        <w:t xml:space="preserve"> met with </w:t>
      </w:r>
      <w:r>
        <w:rPr>
          <w:color w:val="000000" w:themeColor="text1"/>
          <w:lang w:val="en-US"/>
        </w:rPr>
        <w:t>excessive</w:t>
      </w:r>
      <w:r w:rsidRPr="00B16E90">
        <w:rPr>
          <w:color w:val="000000" w:themeColor="text1"/>
          <w:lang w:val="en-US"/>
        </w:rPr>
        <w:t xml:space="preserve"> force by Palestinian Security Forces, whether deployed in their regular uniforms or in civilian clothes.</w:t>
      </w:r>
      <w:r w:rsidRPr="00744084">
        <w:rPr>
          <w:vertAlign w:val="superscript"/>
        </w:rPr>
        <w:footnoteReference w:id="30"/>
      </w:r>
      <w:r w:rsidRPr="00B16E90">
        <w:rPr>
          <w:color w:val="000000" w:themeColor="text1"/>
          <w:lang w:val="en-US"/>
        </w:rPr>
        <w:t xml:space="preserve"> </w:t>
      </w:r>
      <w:r>
        <w:rPr>
          <w:color w:val="000000" w:themeColor="text1"/>
          <w:lang w:val="en-US"/>
        </w:rPr>
        <w:t>On</w:t>
      </w:r>
      <w:r w:rsidRPr="00B16E90">
        <w:rPr>
          <w:color w:val="000000" w:themeColor="text1"/>
          <w:lang w:val="en-US"/>
        </w:rPr>
        <w:t xml:space="preserve"> 21 August 2021 in Ramallah, Palestinian Security Forces arrested </w:t>
      </w:r>
      <w:r w:rsidR="00B52FA9">
        <w:rPr>
          <w:color w:val="000000" w:themeColor="text1"/>
          <w:lang w:val="en-US"/>
        </w:rPr>
        <w:t>23 Palestinians</w:t>
      </w:r>
      <w:r w:rsidRPr="00B16E90">
        <w:rPr>
          <w:color w:val="000000" w:themeColor="text1"/>
          <w:lang w:val="en-US"/>
        </w:rPr>
        <w:t xml:space="preserve"> on the basis that they were holding a public protest.</w:t>
      </w:r>
      <w:r w:rsidR="00B52FA9">
        <w:rPr>
          <w:color w:val="000000" w:themeColor="text1"/>
          <w:lang w:val="en-US"/>
        </w:rPr>
        <w:t xml:space="preserve"> Those arrested were part of a protest demanding the prosecution of those responsible for the killing of Nizar Banat in June.</w:t>
      </w:r>
      <w:r w:rsidRPr="00B16E90">
        <w:rPr>
          <w:color w:val="000000" w:themeColor="text1"/>
          <w:lang w:val="en-US"/>
        </w:rPr>
        <w:t xml:space="preserve"> The majority of </w:t>
      </w:r>
      <w:r w:rsidR="00B52FA9">
        <w:rPr>
          <w:color w:val="000000" w:themeColor="text1"/>
          <w:lang w:val="en-US"/>
        </w:rPr>
        <w:t>those arrested</w:t>
      </w:r>
      <w:r w:rsidRPr="00B16E90">
        <w:rPr>
          <w:color w:val="000000" w:themeColor="text1"/>
          <w:lang w:val="en-US"/>
        </w:rPr>
        <w:t xml:space="preserve"> were detained before any protest had even started. The planned protest had been notified to authorities as required by law.</w:t>
      </w:r>
      <w:r w:rsidR="00B52FA9" w:rsidRPr="00744084">
        <w:rPr>
          <w:vertAlign w:val="superscript"/>
        </w:rPr>
        <w:footnoteReference w:id="31"/>
      </w:r>
      <w:r w:rsidR="00B52FA9" w:rsidRPr="00744084">
        <w:rPr>
          <w:color w:val="000000" w:themeColor="text1"/>
          <w:vertAlign w:val="superscript"/>
          <w:lang w:val="en-US"/>
        </w:rPr>
        <w:t xml:space="preserve"> </w:t>
      </w:r>
      <w:r w:rsidR="00B52FA9">
        <w:rPr>
          <w:color w:val="000000" w:themeColor="text1"/>
          <w:lang w:val="en-US"/>
        </w:rPr>
        <w:t>More arr</w:t>
      </w:r>
      <w:r w:rsidRPr="00B16E90">
        <w:rPr>
          <w:color w:val="000000" w:themeColor="text1"/>
          <w:lang w:val="en-US"/>
        </w:rPr>
        <w:t>ests appear to be taking place. Most were charged with participating in an illegal gathering, inciting sectarian strife and defamation of the higher authorities. Several of those arrested are well-known human rights defenders and political activists.</w:t>
      </w:r>
      <w:r w:rsidR="00B52FA9">
        <w:rPr>
          <w:color w:val="000000" w:themeColor="text1"/>
          <w:lang w:val="en-US"/>
        </w:rPr>
        <w:t xml:space="preserve"> The arrests sparked a wave of condemnation from the UN, the EU and human rights organization, warning against a dangerous decline in rights and public freedoms. </w:t>
      </w:r>
      <w:r w:rsidR="00744084">
        <w:rPr>
          <w:color w:val="000000" w:themeColor="text1"/>
          <w:lang w:val="en-US"/>
        </w:rPr>
        <w:t>The Special Rapporteur would like to reiterate that t</w:t>
      </w:r>
      <w:r w:rsidR="00744084" w:rsidRPr="00744084">
        <w:rPr>
          <w:color w:val="000000" w:themeColor="text1"/>
          <w:lang w:val="en-US"/>
        </w:rPr>
        <w:t>he obligation to respect, protect and fulfill human rights rest</w:t>
      </w:r>
      <w:r w:rsidR="00744084">
        <w:rPr>
          <w:color w:val="000000" w:themeColor="text1"/>
          <w:lang w:val="en-US"/>
        </w:rPr>
        <w:t>s</w:t>
      </w:r>
      <w:r w:rsidR="00744084" w:rsidRPr="00744084">
        <w:rPr>
          <w:color w:val="000000" w:themeColor="text1"/>
          <w:lang w:val="en-US"/>
        </w:rPr>
        <w:t xml:space="preserve"> with the competent authority exercising power. Notwithstanding a harsh occupation by Israel, Palestinian civil society has every right to demand that its own political and security leaders live up to their solemn promises to abide by international human rights commitments</w:t>
      </w:r>
      <w:r w:rsidR="00C67EF7">
        <w:rPr>
          <w:color w:val="000000" w:themeColor="text1"/>
          <w:lang w:val="en-US"/>
        </w:rPr>
        <w:t>.</w:t>
      </w:r>
    </w:p>
    <w:p w14:paraId="30F01546" w14:textId="73FE81C4" w:rsidR="00ED2593" w:rsidRDefault="00F9166A" w:rsidP="00ED2593">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6B3B34">
        <w:rPr>
          <w:color w:val="000000" w:themeColor="text1"/>
          <w:lang w:val="en-US"/>
        </w:rPr>
        <w:t>A</w:t>
      </w:r>
      <w:r w:rsidR="00B52FA9" w:rsidRPr="006B3B34">
        <w:rPr>
          <w:color w:val="000000" w:themeColor="text1"/>
          <w:lang w:val="en-US"/>
        </w:rPr>
        <w:t>nger</w:t>
      </w:r>
      <w:r w:rsidRPr="006B3B34">
        <w:rPr>
          <w:color w:val="000000" w:themeColor="text1"/>
          <w:lang w:val="en-US"/>
        </w:rPr>
        <w:t xml:space="preserve"> was also fueled by the decision to indefinitely postpone elections that were scheduled for May and July 2021, and would have been the first Palestinian elections in 15 years.</w:t>
      </w:r>
      <w:r w:rsidRPr="0024056B">
        <w:rPr>
          <w:vertAlign w:val="superscript"/>
        </w:rPr>
        <w:footnoteReference w:id="32"/>
      </w:r>
      <w:r w:rsidRPr="0024056B">
        <w:rPr>
          <w:color w:val="000000" w:themeColor="text1"/>
          <w:vertAlign w:val="superscript"/>
          <w:lang w:val="en-US"/>
        </w:rPr>
        <w:t xml:space="preserve"> </w:t>
      </w:r>
      <w:r w:rsidRPr="006B3B34">
        <w:rPr>
          <w:color w:val="000000" w:themeColor="text1"/>
          <w:lang w:val="en-US"/>
        </w:rPr>
        <w:t xml:space="preserve">Palestinian President Mahmoud Abbas announced the indefinite postponement of the elections on 29 April 2021, due to concerns about Palestinians’ ability to vote in East Jerusalem. </w:t>
      </w:r>
      <w:r w:rsidR="006B3B34">
        <w:rPr>
          <w:color w:val="000000" w:themeColor="text1"/>
          <w:lang w:val="en-US"/>
        </w:rPr>
        <w:t>The Special Rapporteur has noted that t</w:t>
      </w:r>
      <w:r w:rsidRPr="006B3B34">
        <w:rPr>
          <w:color w:val="000000" w:themeColor="text1"/>
          <w:lang w:val="en-US"/>
        </w:rPr>
        <w:t xml:space="preserve">he Palestinian elections present </w:t>
      </w:r>
      <w:r w:rsidR="006B3B34">
        <w:rPr>
          <w:color w:val="000000" w:themeColor="text1"/>
          <w:lang w:val="en-US"/>
        </w:rPr>
        <w:t>an</w:t>
      </w:r>
      <w:r w:rsidRPr="006B3B34">
        <w:rPr>
          <w:color w:val="000000" w:themeColor="text1"/>
          <w:lang w:val="en-US"/>
        </w:rPr>
        <w:t xml:space="preserve"> opportunity to renew the democratic process, to address the long-standing internal political divisions, to strengthen accountable institutions and to take an important step towards achieving the fundamental national and individual rights of the Palestinian people.</w:t>
      </w:r>
      <w:r w:rsidR="006B3B34" w:rsidRPr="006B3B34">
        <w:rPr>
          <w:color w:val="000000" w:themeColor="text1"/>
          <w:lang w:val="en-US"/>
        </w:rPr>
        <w:t xml:space="preserve"> </w:t>
      </w:r>
      <w:r w:rsidR="006B3B34">
        <w:rPr>
          <w:color w:val="000000" w:themeColor="text1"/>
          <w:lang w:val="en-US"/>
        </w:rPr>
        <w:t xml:space="preserve">For the elections to take place, it is important that Israel </w:t>
      </w:r>
      <w:r w:rsidRPr="006B3B34">
        <w:rPr>
          <w:color w:val="000000" w:themeColor="text1"/>
          <w:lang w:val="en-US"/>
        </w:rPr>
        <w:t>clearly state</w:t>
      </w:r>
      <w:r w:rsidR="006B3B34">
        <w:rPr>
          <w:color w:val="000000" w:themeColor="text1"/>
          <w:lang w:val="en-US"/>
        </w:rPr>
        <w:t>s</w:t>
      </w:r>
      <w:r w:rsidRPr="006B3B34">
        <w:rPr>
          <w:color w:val="000000" w:themeColor="text1"/>
          <w:lang w:val="en-US"/>
        </w:rPr>
        <w:t xml:space="preserve"> that it will allow the full democratic participation of Palestinians in East Jerusalem. As the occupying power in East Jerusalem, it must interfere as little as possible with the rights and daily lives of the Palestinians.</w:t>
      </w:r>
      <w:r w:rsidR="006B3B34">
        <w:rPr>
          <w:rStyle w:val="FootnoteReference"/>
          <w:color w:val="000000" w:themeColor="text1"/>
          <w:lang w:val="en-US"/>
        </w:rPr>
        <w:footnoteReference w:id="33"/>
      </w:r>
    </w:p>
    <w:p w14:paraId="023D76ED" w14:textId="774E6ADA" w:rsidR="00DB1F5D" w:rsidRPr="00ED2593" w:rsidRDefault="00ED2593" w:rsidP="00ED2593">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Pr>
          <w:color w:val="000000" w:themeColor="text1"/>
          <w:lang w:val="en-US"/>
        </w:rPr>
        <w:lastRenderedPageBreak/>
        <w:t xml:space="preserve">On 22 July, an explosion took place in a three-story building in a popular market in Al </w:t>
      </w:r>
      <w:proofErr w:type="spellStart"/>
      <w:r>
        <w:rPr>
          <w:color w:val="000000" w:themeColor="text1"/>
          <w:lang w:val="en-US"/>
        </w:rPr>
        <w:t>Zawiya</w:t>
      </w:r>
      <w:proofErr w:type="spellEnd"/>
      <w:r>
        <w:rPr>
          <w:color w:val="000000" w:themeColor="text1"/>
          <w:lang w:val="en-US"/>
        </w:rPr>
        <w:t xml:space="preserve"> area. It killed a 68-year old man while injuring 14 others including six children. The </w:t>
      </w:r>
      <w:r w:rsidRPr="0040788F">
        <w:rPr>
          <w:i/>
          <w:iCs/>
          <w:color w:val="000000" w:themeColor="text1"/>
          <w:lang w:val="en-US"/>
        </w:rPr>
        <w:t>de-facto</w:t>
      </w:r>
      <w:r>
        <w:rPr>
          <w:color w:val="000000" w:themeColor="text1"/>
          <w:lang w:val="en-US"/>
        </w:rPr>
        <w:t xml:space="preserve"> authorities’ follow-up committee announced that they gave instructions to the Ministry of Interior to investigate the matter. A number of human rights organizations have called for a prompt investigation into the incident and concern over an increase in explosions in residential areas increasing causing harm to civilians.</w:t>
      </w:r>
      <w:r>
        <w:rPr>
          <w:rStyle w:val="FootnoteReference"/>
          <w:color w:val="000000" w:themeColor="text1"/>
          <w:lang w:val="en-US"/>
        </w:rPr>
        <w:footnoteReference w:id="34"/>
      </w:r>
      <w:r>
        <w:rPr>
          <w:color w:val="000000" w:themeColor="text1"/>
          <w:lang w:val="en-US"/>
        </w:rPr>
        <w:t xml:space="preserve"> As of the writing of this report the investigation is still ongoing.</w:t>
      </w:r>
    </w:p>
    <w:p w14:paraId="05095FC8" w14:textId="6C5C5889" w:rsidR="00940E10" w:rsidRPr="00481C0F" w:rsidRDefault="00A46F44" w:rsidP="00481C0F">
      <w:pPr>
        <w:pStyle w:val="HChG"/>
        <w:rPr>
          <w:color w:val="000000" w:themeColor="text1"/>
        </w:rPr>
      </w:pPr>
      <w:r>
        <w:rPr>
          <w:color w:val="000000" w:themeColor="text1"/>
        </w:rPr>
        <w:tab/>
        <w:t>III.</w:t>
      </w:r>
      <w:r w:rsidR="00E577B6">
        <w:rPr>
          <w:color w:val="000000" w:themeColor="text1"/>
        </w:rPr>
        <w:tab/>
      </w:r>
      <w:r w:rsidR="002C1875" w:rsidRPr="002C1875">
        <w:rPr>
          <w:color w:val="000000" w:themeColor="text1"/>
        </w:rPr>
        <w:t>Responsibility and Performance of International Actors</w:t>
      </w:r>
    </w:p>
    <w:p w14:paraId="09B764F2" w14:textId="57EA1050" w:rsidR="00940E10" w:rsidRDefault="00940E10" w:rsidP="00940E10">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940E10">
        <w:rPr>
          <w:color w:val="000000" w:themeColor="text1"/>
          <w:lang w:val="en-US"/>
        </w:rPr>
        <w:t>The international community – and particularly, but not only, the United Nations – has long accepted that it bears a special responsibility for supervising the question of Palestine, fully ending the Israeli occupation, realizing Palestinian self-determination and ensuring that all of the issues related to the conflict are brought to a just and durable resolution.</w:t>
      </w:r>
      <w:r w:rsidRPr="00481C0F">
        <w:rPr>
          <w:rStyle w:val="FootnoteReference"/>
        </w:rPr>
        <w:footnoteReference w:id="35"/>
      </w:r>
      <w:r w:rsidRPr="00940E10">
        <w:rPr>
          <w:color w:val="000000" w:themeColor="text1"/>
          <w:lang w:val="en-US"/>
        </w:rPr>
        <w:t xml:space="preserve"> These issues have understandably taken on an immense politic</w:t>
      </w:r>
      <w:r w:rsidR="00844179">
        <w:rPr>
          <w:color w:val="000000" w:themeColor="text1"/>
          <w:lang w:val="en-US"/>
        </w:rPr>
        <w:t xml:space="preserve">al, legal and popular resonance, </w:t>
      </w:r>
      <w:r w:rsidRPr="00940E10">
        <w:rPr>
          <w:color w:val="000000" w:themeColor="text1"/>
          <w:lang w:val="en-US"/>
        </w:rPr>
        <w:t xml:space="preserve">which ripples well beyond the Levant. Kofi Annan, the former Secretary General of the United Nations, recalled in his memoirs that: </w:t>
      </w:r>
      <w:bookmarkStart w:id="1" w:name="_Hlk56000656"/>
      <w:r w:rsidRPr="00940E10">
        <w:rPr>
          <w:color w:val="000000" w:themeColor="text1"/>
          <w:lang w:val="en-US"/>
        </w:rPr>
        <w:t>“…the Israeli-Palestinian conflict is not simply one unresolved problem among many. No other issue carries such a powerful symbolic and emotional charge affecting people far from the zone of conflict.”</w:t>
      </w:r>
      <w:r w:rsidRPr="00481C0F">
        <w:rPr>
          <w:rStyle w:val="FootnoteReference"/>
        </w:rPr>
        <w:footnoteReference w:id="36"/>
      </w:r>
      <w:r w:rsidRPr="00481C0F">
        <w:rPr>
          <w:rStyle w:val="FootnoteReference"/>
        </w:rPr>
        <w:t xml:space="preserve"> </w:t>
      </w:r>
      <w:bookmarkEnd w:id="1"/>
      <w:r w:rsidRPr="00940E10">
        <w:rPr>
          <w:color w:val="000000" w:themeColor="text1"/>
          <w:lang w:val="en-US"/>
        </w:rPr>
        <w:t xml:space="preserve"> </w:t>
      </w:r>
    </w:p>
    <w:p w14:paraId="79B35059" w14:textId="2334F568" w:rsidR="00940E10" w:rsidRPr="00E945A8" w:rsidRDefault="00844179" w:rsidP="00940E10">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Pr>
          <w:color w:val="000000" w:themeColor="text1"/>
          <w:lang w:val="en-US"/>
        </w:rPr>
        <w:t xml:space="preserve">It was the United Nations, </w:t>
      </w:r>
      <w:r w:rsidR="00940E10" w:rsidRPr="00940E10">
        <w:rPr>
          <w:color w:val="000000" w:themeColor="text1"/>
          <w:lang w:val="en-US"/>
        </w:rPr>
        <w:t>which voted to partition Palestine and enabled the creation of the State of Israel,</w:t>
      </w:r>
      <w:r>
        <w:rPr>
          <w:color w:val="000000" w:themeColor="text1"/>
          <w:lang w:val="en-US"/>
        </w:rPr>
        <w:t xml:space="preserve"> </w:t>
      </w:r>
      <w:r w:rsidR="00940E10" w:rsidRPr="00940E10">
        <w:rPr>
          <w:color w:val="000000" w:themeColor="text1"/>
          <w:lang w:val="en-US"/>
        </w:rPr>
        <w:footnoteReference w:id="37"/>
      </w:r>
      <w:r w:rsidR="00940E10" w:rsidRPr="00940E10">
        <w:rPr>
          <w:color w:val="000000" w:themeColor="text1"/>
          <w:lang w:val="en-US"/>
        </w:rPr>
        <w:t xml:space="preserve"> cared for millions of Palestinian refugees for seven decades,</w:t>
      </w:r>
      <w:r w:rsidR="00940E10" w:rsidRPr="00940E10">
        <w:rPr>
          <w:color w:val="000000" w:themeColor="text1"/>
          <w:lang w:val="en-US"/>
        </w:rPr>
        <w:footnoteReference w:id="38"/>
      </w:r>
      <w:r w:rsidR="00940E10" w:rsidRPr="00940E10">
        <w:rPr>
          <w:color w:val="000000" w:themeColor="text1"/>
          <w:lang w:val="en-US"/>
        </w:rPr>
        <w:t xml:space="preserve"> established multiple peacekeeping missions in the region,</w:t>
      </w:r>
      <w:r w:rsidR="00940E10" w:rsidRPr="00940E10">
        <w:rPr>
          <w:color w:val="000000" w:themeColor="text1"/>
          <w:lang w:val="en-US"/>
        </w:rPr>
        <w:footnoteReference w:id="39"/>
      </w:r>
      <w:r w:rsidR="00940E10" w:rsidRPr="00940E10">
        <w:rPr>
          <w:color w:val="000000" w:themeColor="text1"/>
          <w:lang w:val="en-US"/>
        </w:rPr>
        <w:t xml:space="preserve"> and closely monitored the ongoing conflict and occupation through the issuance of hundreds of resolutions and myriad reports.</w:t>
      </w:r>
      <w:r w:rsidR="00940E10" w:rsidRPr="00940E10">
        <w:rPr>
          <w:color w:val="000000" w:themeColor="text1"/>
          <w:lang w:val="en-US"/>
        </w:rPr>
        <w:footnoteReference w:id="40"/>
      </w:r>
      <w:r w:rsidR="00940E10" w:rsidRPr="00940E10">
        <w:rPr>
          <w:color w:val="000000" w:themeColor="text1"/>
          <w:lang w:val="en-US"/>
        </w:rPr>
        <w:t xml:space="preserve"> The international community has been intimately engaged in the conflict through numerous diplomatic ceasefire and peace initiatives, massive arm sales and significant quantities of aid, trade, grants and investment. This has long been the most widely documented and reported conflict zone in the world. Whenever the conflict between Israelis and Arabs over the Palestine question has reached an acute stage, the United Nations has served as the diplomatic cockpit to address the crisis. The conflict has become, in many ways, the most international of international conflicts, and it will almost certainly remain at or near the top of the international community’s political agenda until peace with justice has been accomplished.</w:t>
      </w:r>
    </w:p>
    <w:p w14:paraId="44040C39" w14:textId="1B497C68"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940E10">
        <w:rPr>
          <w:color w:val="000000" w:themeColor="text1"/>
          <w:lang w:val="en-US"/>
        </w:rPr>
        <w:t xml:space="preserve">Given this special responsibility of the international community, how can we assess its actual performance in seeking to successfully end the Israeli occupation? This is especially important given the occupation’s inordinate length – it is the longest occupation in the modern world – and the fact that leading international actors appear resigned to the fact that the end of the occupation is nowhere in sight, and that they have run out of ideas and energy </w:t>
      </w:r>
      <w:r w:rsidRPr="00940E10">
        <w:rPr>
          <w:color w:val="000000" w:themeColor="text1"/>
          <w:lang w:val="en-US"/>
        </w:rPr>
        <w:lastRenderedPageBreak/>
        <w:t>on how to challenge Israel’s strategic patience and enable genuine Palestinian self-determination.</w:t>
      </w:r>
    </w:p>
    <w:p w14:paraId="0A50BD37" w14:textId="601822B3"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color w:val="000000" w:themeColor="text1"/>
          <w:lang w:val="en-US"/>
        </w:rPr>
      </w:pPr>
      <w:r w:rsidRPr="00940E10">
        <w:rPr>
          <w:color w:val="000000" w:themeColor="text1"/>
          <w:lang w:val="en-US"/>
        </w:rPr>
        <w:t>In a 2019 report, the Special Rapporteur addressed the issue of international accountability obligations, pointing to the legal and political duties under the Fourth Geneva Convention of 1949, the 2001 Articles on State Responsibility and Article 25 of the Charter of the United Nations.</w:t>
      </w:r>
      <w:r w:rsidRPr="00940E10">
        <w:rPr>
          <w:color w:val="000000" w:themeColor="text1"/>
          <w:lang w:val="en-US"/>
        </w:rPr>
        <w:footnoteReference w:id="41"/>
      </w:r>
      <w:r w:rsidRPr="00940E10">
        <w:rPr>
          <w:color w:val="000000" w:themeColor="text1"/>
          <w:lang w:val="en-US"/>
        </w:rPr>
        <w:t xml:space="preserve"> In a 2020 report, the Special Rapporteur critically reviewed the role of the United Nations Security Council in supervising the occupation, pointing out that the Council has failed to impose any meaningful costs on Israel for deepening its occupation of Palestine in defiance of its own resolutions and international law.</w:t>
      </w:r>
      <w:r w:rsidRPr="00940E10">
        <w:rPr>
          <w:color w:val="000000" w:themeColor="text1"/>
          <w:lang w:val="en-US"/>
        </w:rPr>
        <w:footnoteReference w:id="42"/>
      </w:r>
      <w:r w:rsidRPr="00940E10">
        <w:rPr>
          <w:color w:val="000000" w:themeColor="text1"/>
          <w:lang w:val="en-US"/>
        </w:rPr>
        <w:t xml:space="preserve"> In this report, the Special Rapporteur examines the role of four international actors – the United States, the European Union, the World Bank and the Quartet – who have played various influential roles as mediators, funders, f</w:t>
      </w:r>
      <w:r w:rsidR="00844179">
        <w:rPr>
          <w:color w:val="000000" w:themeColor="text1"/>
          <w:lang w:val="en-US"/>
        </w:rPr>
        <w:t xml:space="preserve">acilitators and/or supervisors </w:t>
      </w:r>
      <w:r w:rsidRPr="00940E10">
        <w:rPr>
          <w:color w:val="000000" w:themeColor="text1"/>
          <w:lang w:val="en-US"/>
        </w:rPr>
        <w:t>during part or all of the Madrid-Oslo process ove</w:t>
      </w:r>
      <w:r w:rsidR="008361F5">
        <w:rPr>
          <w:color w:val="000000" w:themeColor="text1"/>
          <w:lang w:val="en-US"/>
        </w:rPr>
        <w:t>rseeing the Israeli occupation.</w:t>
      </w:r>
    </w:p>
    <w:p w14:paraId="1392DE31" w14:textId="5741BAB0" w:rsidR="00940E10" w:rsidRPr="00940E10" w:rsidRDefault="002C1875" w:rsidP="00940E10">
      <w:pPr>
        <w:pStyle w:val="H1G"/>
        <w:numPr>
          <w:ilvl w:val="0"/>
          <w:numId w:val="44"/>
        </w:numPr>
        <w:rPr>
          <w:color w:val="000000" w:themeColor="text1"/>
        </w:rPr>
      </w:pPr>
      <w:r w:rsidRPr="00A46F44">
        <w:rPr>
          <w:color w:val="000000" w:themeColor="text1"/>
        </w:rPr>
        <w:t>Interna</w:t>
      </w:r>
      <w:r w:rsidR="00E577B6" w:rsidRPr="00A46F44">
        <w:rPr>
          <w:color w:val="000000" w:themeColor="text1"/>
        </w:rPr>
        <w:t>t</w:t>
      </w:r>
      <w:r w:rsidRPr="00A46F44">
        <w:rPr>
          <w:color w:val="000000" w:themeColor="text1"/>
        </w:rPr>
        <w:t>ional Responsibility for the Deepening Occupation</w:t>
      </w:r>
    </w:p>
    <w:p w14:paraId="076AB9BA" w14:textId="20593C22"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lang w:val="en-CA"/>
        </w:rPr>
      </w:pPr>
      <w:r w:rsidRPr="00940E10">
        <w:rPr>
          <w:lang w:val="en-US"/>
        </w:rPr>
        <w:t xml:space="preserve">In recent years, the now 54-year-old Israeli occupation of Palestine – always repressive, always acquisitive – has been metastasizing into something much harsher and more entrenched: </w:t>
      </w:r>
      <w:r w:rsidRPr="00940E10">
        <w:rPr>
          <w:lang w:val="en-CA"/>
        </w:rPr>
        <w:t>The permanent alien rule of one people over another, encased in a two-tiered system of unequal laws and political rights. More than 680,000 Israeli settlers living in segregated and privileged settlements amidst five million stateless Palestinians. Asymmetrical wars. Geographic fragmentation. A smothered and heavily aid-dependant economy. Separate networks of roads and utilities. Impoverished and fenced-in ghettos unique in the modern world. A coercive environment. The growing amount of violence required to maintain the occupation. The denial of self-determination. The deeply lopsided access to property, social, health and employment rights. All of this based entirely on nationality and ethnicity.</w:t>
      </w:r>
      <w:r w:rsidRPr="00940E10">
        <w:rPr>
          <w:vertAlign w:val="superscript"/>
          <w:lang w:val="en-CA"/>
        </w:rPr>
        <w:footnoteReference w:id="43"/>
      </w:r>
      <w:r w:rsidRPr="00940E10">
        <w:rPr>
          <w:lang w:val="en-CA"/>
        </w:rPr>
        <w:t xml:space="preserve"> All of this should be unthinkable in the 21</w:t>
      </w:r>
      <w:r w:rsidRPr="00940E10">
        <w:rPr>
          <w:vertAlign w:val="superscript"/>
          <w:lang w:val="en-CA"/>
        </w:rPr>
        <w:t>st</w:t>
      </w:r>
      <w:r w:rsidR="008361F5">
        <w:rPr>
          <w:lang w:val="en-CA"/>
        </w:rPr>
        <w:t xml:space="preserve"> century.</w:t>
      </w:r>
    </w:p>
    <w:p w14:paraId="2463B817" w14:textId="7728596B"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lang w:val="en-CA"/>
        </w:rPr>
      </w:pPr>
      <w:r w:rsidRPr="00940E10">
        <w:rPr>
          <w:lang w:val="en-CA"/>
        </w:rPr>
        <w:t>Legal scholars, including Israeli academics, have confirmed that, under international law, an occupation: (</w:t>
      </w:r>
      <w:proofErr w:type="spellStart"/>
      <w:r w:rsidRPr="00940E10">
        <w:rPr>
          <w:lang w:val="en-CA"/>
        </w:rPr>
        <w:t>i</w:t>
      </w:r>
      <w:proofErr w:type="spellEnd"/>
      <w:r w:rsidRPr="00940E10">
        <w:rPr>
          <w:lang w:val="en-CA"/>
        </w:rPr>
        <w:t xml:space="preserve">) must be short-term and temporary, (ii) it must be strictly conducted in good faith and for the best interests of the population under occupation, (iii) the occupying power acquires absolutely no right to settle any of its civilian population in, or to annex any part of, the occupied territory, and (iv) the territory must be returned </w:t>
      </w:r>
      <w:r w:rsidRPr="00940E10">
        <w:rPr>
          <w:i/>
          <w:iCs/>
          <w:lang w:val="en-CA"/>
        </w:rPr>
        <w:t xml:space="preserve">in </w:t>
      </w:r>
      <w:proofErr w:type="spellStart"/>
      <w:r w:rsidRPr="00940E10">
        <w:rPr>
          <w:i/>
          <w:iCs/>
          <w:lang w:val="en-CA"/>
        </w:rPr>
        <w:t>toto</w:t>
      </w:r>
      <w:proofErr w:type="spellEnd"/>
      <w:r w:rsidRPr="00940E10">
        <w:rPr>
          <w:lang w:val="en-CA"/>
        </w:rPr>
        <w:t xml:space="preserve"> to the sovereign – the people under occupation – as soon as reasonably possible.</w:t>
      </w:r>
      <w:r w:rsidRPr="00940E10">
        <w:rPr>
          <w:vertAlign w:val="superscript"/>
          <w:lang w:val="en-CA"/>
        </w:rPr>
        <w:footnoteReference w:id="44"/>
      </w:r>
      <w:r w:rsidRPr="00940E10">
        <w:rPr>
          <w:lang w:val="en-CA"/>
        </w:rPr>
        <w:t xml:space="preserve"> Israel is in long-standing breach of all of these foundational principles, with its occupation having crossed a bright red line into illegality under international law.</w:t>
      </w:r>
      <w:r w:rsidRPr="00940E10">
        <w:rPr>
          <w:vertAlign w:val="superscript"/>
          <w:lang w:val="en-CA"/>
        </w:rPr>
        <w:footnoteReference w:id="45"/>
      </w:r>
    </w:p>
    <w:p w14:paraId="647753D3" w14:textId="53D63824"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CA"/>
        </w:rPr>
        <w:t xml:space="preserve">Yet, the international community has been perplexingly unwilling to meaningfully challenge, let alone acting decisively to reverse, the momentous changes that Israel has been generating on the ground. This is a political failure of the first order. Let us recall that this very same international community – speaking through the principal political and legal organs of the United Nations – has established the widely accepted and detailed rights-based </w:t>
      </w:r>
      <w:r w:rsidRPr="00940E10">
        <w:rPr>
          <w:lang w:val="en-CA"/>
        </w:rPr>
        <w:lastRenderedPageBreak/>
        <w:t>framework for the supervision and resolution of the Israeli occupation of Palestine.</w:t>
      </w:r>
      <w:r w:rsidRPr="00940E10">
        <w:rPr>
          <w:vertAlign w:val="superscript"/>
          <w:lang w:val="en-CA"/>
        </w:rPr>
        <w:footnoteReference w:id="46"/>
      </w:r>
      <w:r w:rsidRPr="00940E10">
        <w:rPr>
          <w:lang w:val="en-CA"/>
        </w:rPr>
        <w:t xml:space="preserve"> Accordingly, the protracted Israeli occupation must fully end.</w:t>
      </w:r>
      <w:r w:rsidRPr="00940E10">
        <w:rPr>
          <w:vertAlign w:val="superscript"/>
          <w:lang w:val="en-CA"/>
        </w:rPr>
        <w:footnoteReference w:id="47"/>
      </w:r>
      <w:r w:rsidRPr="00940E10">
        <w:rPr>
          <w:lang w:val="en-CA"/>
        </w:rPr>
        <w:t xml:space="preserve"> Both the Palestinians and Israelis are entitled to live in peace and security and enjoy the right to self-determination, including sovereign, secure and viable states, within the boundaries of mandate Palestine, based on the 1967 border.</w:t>
      </w:r>
      <w:r w:rsidRPr="00940E10">
        <w:rPr>
          <w:vertAlign w:val="superscript"/>
          <w:lang w:val="en-CA"/>
        </w:rPr>
        <w:footnoteReference w:id="48"/>
      </w:r>
      <w:r w:rsidRPr="00940E10">
        <w:rPr>
          <w:lang w:val="en-CA"/>
        </w:rPr>
        <w:t xml:space="preserve"> Annexation of occupied territory is illegal.</w:t>
      </w:r>
      <w:r w:rsidRPr="00940E10">
        <w:rPr>
          <w:vertAlign w:val="superscript"/>
          <w:lang w:val="en-CA"/>
        </w:rPr>
        <w:footnoteReference w:id="49"/>
      </w:r>
      <w:r w:rsidRPr="00940E10">
        <w:rPr>
          <w:lang w:val="en-CA"/>
        </w:rPr>
        <w:t xml:space="preserve"> All of the more than 280 Israeli settlements in East Jerusalem and the West Bank are a flagrant violation under international law.</w:t>
      </w:r>
      <w:r w:rsidRPr="00940E10">
        <w:rPr>
          <w:vertAlign w:val="superscript"/>
          <w:lang w:val="en-CA"/>
        </w:rPr>
        <w:footnoteReference w:id="50"/>
      </w:r>
      <w:r w:rsidRPr="00940E10">
        <w:rPr>
          <w:lang w:val="en-CA"/>
        </w:rPr>
        <w:t xml:space="preserve"> East Jerusalem has been illegally annexed by Israel and remains occupied territory.</w:t>
      </w:r>
      <w:r w:rsidRPr="00940E10">
        <w:rPr>
          <w:vertAlign w:val="superscript"/>
          <w:lang w:val="en-CA"/>
        </w:rPr>
        <w:footnoteReference w:id="51"/>
      </w:r>
      <w:r w:rsidRPr="00940E10">
        <w:rPr>
          <w:lang w:val="en-CA"/>
        </w:rPr>
        <w:t xml:space="preserve"> The Palestinian refugees from the 1948 and 1967 wars have the right to choose to return to their homeland.</w:t>
      </w:r>
      <w:r w:rsidRPr="00940E10">
        <w:rPr>
          <w:vertAlign w:val="superscript"/>
          <w:lang w:val="en-CA"/>
        </w:rPr>
        <w:footnoteReference w:id="52"/>
      </w:r>
      <w:r w:rsidRPr="00940E10">
        <w:rPr>
          <w:lang w:val="en-CA"/>
        </w:rPr>
        <w:t xml:space="preserve"> Gaza is an integral part of Palestine, it remains occupied, and the Israeli blockade is a prohibited form of collective punishment.</w:t>
      </w:r>
      <w:r w:rsidRPr="00940E10">
        <w:rPr>
          <w:vertAlign w:val="superscript"/>
          <w:lang w:val="en-CA"/>
        </w:rPr>
        <w:footnoteReference w:id="53"/>
      </w:r>
      <w:r w:rsidRPr="00940E10">
        <w:rPr>
          <w:lang w:val="en-CA"/>
        </w:rPr>
        <w:t xml:space="preserve"> Let us also recall the political and legal duty of accountability: the international community bears the responsibility to challenge and vanquish serious violations of international law and human rights,</w:t>
      </w:r>
      <w:r w:rsidRPr="00940E10">
        <w:rPr>
          <w:vertAlign w:val="superscript"/>
          <w:lang w:val="en-CA"/>
        </w:rPr>
        <w:footnoteReference w:id="54"/>
      </w:r>
      <w:r w:rsidRPr="00940E10">
        <w:rPr>
          <w:lang w:val="en-CA"/>
        </w:rPr>
        <w:t xml:space="preserve"> for which it possesses abundant political and legal powers to sanction violators until they have complied with their obligations.</w:t>
      </w:r>
      <w:r w:rsidRPr="00940E10">
        <w:rPr>
          <w:vertAlign w:val="superscript"/>
          <w:lang w:val="en-CA"/>
        </w:rPr>
        <w:footnoteReference w:id="55"/>
      </w:r>
    </w:p>
    <w:p w14:paraId="7E30725C" w14:textId="47C0ABE4"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 xml:space="preserve">Insisting upon international law and a rights-based framework as the basis for supervising and ending the Israeli occupation, and the creation of a just and durable resolution for Palestinians and Israelis alike, is neither a flight from reality nor an inflexible impediment to engaged diplomacy. Rather, such a framework establishes the clear political boundaries for permissible and impermissible </w:t>
      </w:r>
      <w:proofErr w:type="spellStart"/>
      <w:r w:rsidRPr="00940E10">
        <w:rPr>
          <w:lang w:val="en-US"/>
        </w:rPr>
        <w:t>behaviour</w:t>
      </w:r>
      <w:proofErr w:type="spellEnd"/>
      <w:r w:rsidRPr="00940E10">
        <w:rPr>
          <w:lang w:val="en-US"/>
        </w:rPr>
        <w:t xml:space="preserve"> that </w:t>
      </w:r>
      <w:r w:rsidRPr="00940E10">
        <w:rPr>
          <w:i/>
          <w:iCs/>
          <w:lang w:val="en-US"/>
        </w:rPr>
        <w:t>all</w:t>
      </w:r>
      <w:r w:rsidRPr="00940E10">
        <w:rPr>
          <w:lang w:val="en-US"/>
        </w:rPr>
        <w:t xml:space="preserve"> states and international actors – large and small, strong and weak, democratic and authoritarian – have committed themselves to follow through their ratification of modern treaties, conventions and covenants, and their membership in the United Nations.</w:t>
      </w:r>
      <w:r w:rsidRPr="00940E10">
        <w:rPr>
          <w:vertAlign w:val="superscript"/>
          <w:lang w:val="en-US"/>
        </w:rPr>
        <w:footnoteReference w:id="56"/>
      </w:r>
      <w:r w:rsidR="00136045">
        <w:rPr>
          <w:lang w:val="en-US"/>
        </w:rPr>
        <w:t xml:space="preserve"> Obeying international law</w:t>
      </w:r>
      <w:r w:rsidRPr="00940E10">
        <w:rPr>
          <w:lang w:val="en-US"/>
        </w:rPr>
        <w:t xml:space="preserve"> is not only a duty among international actors, but has actually been a wide-spread practice among states, demonstrated by the flow of international investment and trade, the respect for borders and sovereignty, the proliferation of international institutions which monitor compliance and promote cooperation, and the regulation of such ordinary features of daily life as travel, mail, custody rights and technology.</w:t>
      </w:r>
      <w:r w:rsidRPr="00940E10">
        <w:rPr>
          <w:vertAlign w:val="superscript"/>
          <w:lang w:val="en-US"/>
        </w:rPr>
        <w:footnoteReference w:id="57"/>
      </w:r>
    </w:p>
    <w:p w14:paraId="540331A2" w14:textId="09F3F674"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lastRenderedPageBreak/>
        <w:t>Regarding the occupation of Palestine, among the clear advantages for the international community to demand Israel’s compliance with international legal obligations are the following: First, it would level out some of the vast disparities in power between Israel and the Palestinians which have plagued the entire peace process, and thereby make the realization of a lasting and equitable agreement more likely.</w:t>
      </w:r>
      <w:r w:rsidRPr="00940E10">
        <w:rPr>
          <w:vertAlign w:val="superscript"/>
          <w:lang w:val="en-US"/>
        </w:rPr>
        <w:footnoteReference w:id="58"/>
      </w:r>
      <w:r w:rsidRPr="00940E10">
        <w:rPr>
          <w:lang w:val="en-US"/>
        </w:rPr>
        <w:t xml:space="preserve"> Second, it would provide well-defined ground-rules as to what is legitimately negotiable (such as trade, security, </w:t>
      </w:r>
      <w:proofErr w:type="spellStart"/>
      <w:r w:rsidRPr="00940E10">
        <w:rPr>
          <w:lang w:val="en-US"/>
        </w:rPr>
        <w:t>labour</w:t>
      </w:r>
      <w:proofErr w:type="spellEnd"/>
      <w:r w:rsidRPr="00940E10">
        <w:rPr>
          <w:lang w:val="en-US"/>
        </w:rPr>
        <w:t xml:space="preserve"> migration and equitable adjustments to the 1967 lines) and what is not (such as the retention of settlements, the continuation of annexation and the abuse of sovereignty), as per the long-standing legal principle of </w:t>
      </w:r>
      <w:r w:rsidRPr="00940E10">
        <w:rPr>
          <w:i/>
          <w:iCs/>
          <w:lang w:val="en-US"/>
        </w:rPr>
        <w:t xml:space="preserve">ex </w:t>
      </w:r>
      <w:proofErr w:type="spellStart"/>
      <w:r w:rsidRPr="00940E10">
        <w:rPr>
          <w:i/>
          <w:iCs/>
          <w:lang w:val="en-US"/>
        </w:rPr>
        <w:t>turpi</w:t>
      </w:r>
      <w:proofErr w:type="spellEnd"/>
      <w:r w:rsidRPr="00940E10">
        <w:rPr>
          <w:i/>
          <w:iCs/>
          <w:lang w:val="en-US"/>
        </w:rPr>
        <w:t xml:space="preserve"> causa non </w:t>
      </w:r>
      <w:proofErr w:type="spellStart"/>
      <w:r w:rsidRPr="00940E10">
        <w:rPr>
          <w:i/>
          <w:iCs/>
          <w:lang w:val="en-US"/>
        </w:rPr>
        <w:t>oritur</w:t>
      </w:r>
      <w:proofErr w:type="spellEnd"/>
      <w:r w:rsidRPr="00940E10">
        <w:rPr>
          <w:i/>
          <w:iCs/>
          <w:lang w:val="en-US"/>
        </w:rPr>
        <w:t xml:space="preserve"> </w:t>
      </w:r>
      <w:proofErr w:type="spellStart"/>
      <w:r w:rsidRPr="00940E10">
        <w:rPr>
          <w:i/>
          <w:iCs/>
          <w:lang w:val="en-US"/>
        </w:rPr>
        <w:t>actio</w:t>
      </w:r>
      <w:proofErr w:type="spellEnd"/>
      <w:r w:rsidRPr="00940E10">
        <w:rPr>
          <w:lang w:val="en-US"/>
        </w:rPr>
        <w:t>.</w:t>
      </w:r>
      <w:r w:rsidRPr="00940E10">
        <w:rPr>
          <w:vertAlign w:val="superscript"/>
          <w:lang w:val="en-US"/>
        </w:rPr>
        <w:footnoteReference w:id="59"/>
      </w:r>
      <w:r w:rsidRPr="00940E10">
        <w:rPr>
          <w:lang w:val="en-US"/>
        </w:rPr>
        <w:t xml:space="preserve"> Third, it would enhance the chances that an end-of-occupation and final peace agreement would endure, given that the rules-based international order would provide both predictability and accountability mechanisms in addressing any subsequent difficulties.</w:t>
      </w:r>
      <w:r w:rsidRPr="00940E10">
        <w:rPr>
          <w:lang w:val="en-CA"/>
        </w:rPr>
        <w:t xml:space="preserve"> And fourth, it would clearly signal to future would-be abusive occupiers that the international community will not accept no-go zones for human rights, humanitarian and criminal law. In the modern world, international law cannot be treated as a menu </w:t>
      </w:r>
      <w:r w:rsidRPr="00940E10">
        <w:rPr>
          <w:i/>
          <w:iCs/>
          <w:lang w:val="en-CA"/>
        </w:rPr>
        <w:t>à la carte</w:t>
      </w:r>
      <w:r w:rsidRPr="00940E10">
        <w:rPr>
          <w:lang w:val="en-CA"/>
        </w:rPr>
        <w:t xml:space="preserve">, with the choice to decide what to obey and what to scorn. </w:t>
      </w:r>
    </w:p>
    <w:p w14:paraId="5B320F8C" w14:textId="37E37628"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CA"/>
        </w:rPr>
        <w:t xml:space="preserve">Alas, the international community’s remarkable tolerance for Israeli exceptionalism in its conduct of the occupation has allowed </w:t>
      </w:r>
      <w:r w:rsidRPr="00940E10">
        <w:rPr>
          <w:i/>
          <w:iCs/>
          <w:lang w:val="en-CA"/>
        </w:rPr>
        <w:t>realpolitik</w:t>
      </w:r>
      <w:r w:rsidRPr="00940E10">
        <w:rPr>
          <w:lang w:val="en-CA"/>
        </w:rPr>
        <w:t xml:space="preserve"> to trump rights, power to supplant justice, and impunity to undercut accountability. This has been the conspicuous thread throughout the Madrid-Oslo peace process which began in 1991. Israel, with little resistance from major international actors, has been able to successfully insist that negotiations with the Palestinians are to be conducted outside of the framework of applicable international law and the prevailing international consensus,</w:t>
      </w:r>
      <w:r w:rsidRPr="00940E10">
        <w:rPr>
          <w:vertAlign w:val="superscript"/>
          <w:lang w:val="en-CA"/>
        </w:rPr>
        <w:footnoteReference w:id="60"/>
      </w:r>
      <w:r w:rsidRPr="00940E10">
        <w:rPr>
          <w:lang w:val="en-CA"/>
        </w:rPr>
        <w:t xml:space="preserve"> notwithstanding the imperatives of the rules-based international order. This has enabled Israel to maintain an obdurate bargaining stance, with the endgame of formalizing its claims to East Jerusalem and to most, if not all, of its West Bank settlements, while acquiescing to a Potemkin </w:t>
      </w:r>
      <w:proofErr w:type="spellStart"/>
      <w:r w:rsidRPr="00940E10">
        <w:rPr>
          <w:lang w:val="en-CA"/>
        </w:rPr>
        <w:t>statelet</w:t>
      </w:r>
      <w:proofErr w:type="spellEnd"/>
      <w:r w:rsidRPr="00940E10">
        <w:rPr>
          <w:lang w:val="en-CA"/>
        </w:rPr>
        <w:t xml:space="preserve"> for the Palestinians that would enjoy neither meaningful territory nor sovereignty.</w:t>
      </w:r>
      <w:r w:rsidRPr="00940E10">
        <w:rPr>
          <w:vertAlign w:val="superscript"/>
          <w:lang w:val="en-CA"/>
        </w:rPr>
        <w:footnoteReference w:id="61"/>
      </w:r>
      <w:r w:rsidRPr="00940E10">
        <w:rPr>
          <w:lang w:val="en-CA"/>
        </w:rPr>
        <w:t xml:space="preserve"> </w:t>
      </w:r>
      <w:bookmarkStart w:id="2" w:name="_Hlk70458063"/>
      <w:r w:rsidRPr="00940E10">
        <w:rPr>
          <w:lang w:val="en-CA"/>
        </w:rPr>
        <w:t>For the international community, this has created a troubling paradox: while there is no conflict zone in the world where the United Nations has pronounced with as much frequency and detail on the framework for conflict resolution, this framework has rarely informed the various Oslo-related peace process initiatives – including the 1993 Declaration of Principles, the 1995 Oslo II agreement, the 2000 Camp David negotiations, the 2001 Clinton parameters, the 2003 Quartet principles, the 2007 Annapolis formula, the 2013-14 Kerry initiative and the 2020 Trump Peace for Prosperity plan – that have successively collapsed in the absence of any sturdy legal scaffolding and political will to sustain a rights-based resolution.</w:t>
      </w:r>
      <w:bookmarkEnd w:id="2"/>
    </w:p>
    <w:p w14:paraId="40ED9A4A" w14:textId="1377ABFE"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The cost of the international community’s failure to insist upon its own rights-based framework and to enforce its many resolutions has been the evaporation of what lingering possibilities remain for a genuine two-state solution. In its place has emerged what the European Union has acknowledged to be a one state reality of unequal rights,</w:t>
      </w:r>
      <w:r w:rsidRPr="00940E10">
        <w:rPr>
          <w:vertAlign w:val="superscript"/>
          <w:lang w:val="en-US"/>
        </w:rPr>
        <w:footnoteReference w:id="62"/>
      </w:r>
      <w:r w:rsidRPr="00940E10">
        <w:rPr>
          <w:lang w:val="en-US"/>
        </w:rPr>
        <w:t xml:space="preserve"> and what regional and international human rights groups have declared to be apartheid.</w:t>
      </w:r>
      <w:r w:rsidRPr="00940E10">
        <w:rPr>
          <w:vertAlign w:val="superscript"/>
          <w:lang w:val="en-US"/>
        </w:rPr>
        <w:footnoteReference w:id="63"/>
      </w:r>
      <w:r w:rsidRPr="00940E10">
        <w:rPr>
          <w:lang w:val="en-US"/>
        </w:rPr>
        <w:t xml:space="preserve"> The United Nations Security Council warned in 2016 that Israel’s settlement activities were “…</w:t>
      </w:r>
      <w:r w:rsidRPr="00940E10">
        <w:rPr>
          <w:lang w:val="en-CA"/>
        </w:rPr>
        <w:t>dangerously imperilling the viability of the two-State solution based on the 1967 lines.”</w:t>
      </w:r>
      <w:r w:rsidRPr="00940E10">
        <w:rPr>
          <w:vertAlign w:val="superscript"/>
          <w:lang w:val="en-CA"/>
        </w:rPr>
        <w:footnoteReference w:id="64"/>
      </w:r>
      <w:r w:rsidRPr="00940E10">
        <w:rPr>
          <w:lang w:val="en-CA"/>
        </w:rPr>
        <w:t xml:space="preserve"> </w:t>
      </w:r>
      <w:r w:rsidRPr="00940E10">
        <w:rPr>
          <w:lang w:val="en-CA"/>
        </w:rPr>
        <w:lastRenderedPageBreak/>
        <w:t xml:space="preserve">Former United Nations Secretary-General Ban Ki-Moon stated in June 2021 that: “Israel has pursued a policy of incremental </w:t>
      </w:r>
      <w:r w:rsidRPr="00940E10">
        <w:rPr>
          <w:i/>
          <w:iCs/>
          <w:lang w:val="en-CA"/>
        </w:rPr>
        <w:t>de facto</w:t>
      </w:r>
      <w:r w:rsidRPr="00940E10">
        <w:rPr>
          <w:lang w:val="en-CA"/>
        </w:rPr>
        <w:t xml:space="preserve"> annexation in the territories it has occupied since 1967, to the point where the prospect of a two-state solution has all but vanished.”</w:t>
      </w:r>
      <w:r w:rsidRPr="00940E10">
        <w:rPr>
          <w:vertAlign w:val="superscript"/>
          <w:lang w:val="en-CA"/>
        </w:rPr>
        <w:footnoteReference w:id="65"/>
      </w:r>
      <w:r w:rsidRPr="00940E10">
        <w:rPr>
          <w:lang w:val="en-CA"/>
        </w:rPr>
        <w:t xml:space="preserve"> The minimalist pink lines that the international community has drawn for Israel – no further </w:t>
      </w:r>
      <w:r w:rsidRPr="00940E10">
        <w:rPr>
          <w:i/>
          <w:iCs/>
          <w:lang w:val="en-CA"/>
        </w:rPr>
        <w:t>de jure</w:t>
      </w:r>
      <w:r w:rsidRPr="00940E10">
        <w:rPr>
          <w:lang w:val="en-CA"/>
        </w:rPr>
        <w:t xml:space="preserve"> annexations, no new settlements, no destruction of Palestinian communities – have hardly slowed down the growth of Israel’s settler population, the expansion of its transportation and utility infrastructure linking the settlements, its hermetic sealing of Gaza, or the regularity of declarations by many in its political leadership that East Jerusalem and the West Bank belong to Israel by right and will never be yielded. The ritual avowals by major international actors that they remain committed to a two state solution have become a diplomatic pantomime, a cover for paralysis rather than a declaration of resolve which is occurring with everyone’s eyes wide open about the dynamic reality on the ground. </w:t>
      </w:r>
    </w:p>
    <w:p w14:paraId="466E472A" w14:textId="77777777"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The political trends during the summer of 2021 have been dispiriting, if unsurprising. The new Israeli Prime Minister, Naftali Bennett, expressly stated in September that he opposes the creation of a Palestinian state.</w:t>
      </w:r>
      <w:r w:rsidRPr="00940E10">
        <w:rPr>
          <w:vertAlign w:val="superscript"/>
          <w:lang w:val="en-US"/>
        </w:rPr>
        <w:footnoteReference w:id="66"/>
      </w:r>
      <w:r w:rsidRPr="00940E10">
        <w:rPr>
          <w:lang w:val="en-US"/>
        </w:rPr>
        <w:t xml:space="preserve"> The Israeli defense minister, Benny </w:t>
      </w:r>
      <w:proofErr w:type="spellStart"/>
      <w:r w:rsidRPr="00940E10">
        <w:rPr>
          <w:lang w:val="en-US"/>
        </w:rPr>
        <w:t>Gantz</w:t>
      </w:r>
      <w:proofErr w:type="spellEnd"/>
      <w:r w:rsidRPr="00940E10">
        <w:rPr>
          <w:lang w:val="en-US"/>
        </w:rPr>
        <w:t>, said that peace negotiations are impossible because of the Palestinian Authority’s opposition to Israel’s settlements in East Jerusalem and the West Bank: “We’re not taking down settlements.”</w:t>
      </w:r>
      <w:r w:rsidRPr="00940E10">
        <w:rPr>
          <w:vertAlign w:val="superscript"/>
          <w:lang w:val="en-US"/>
        </w:rPr>
        <w:footnoteReference w:id="67"/>
      </w:r>
      <w:r w:rsidRPr="00940E10">
        <w:rPr>
          <w:lang w:val="en-US"/>
        </w:rPr>
        <w:t xml:space="preserve"> The new Israeli Foreign Minister, </w:t>
      </w:r>
      <w:proofErr w:type="spellStart"/>
      <w:r w:rsidRPr="00940E10">
        <w:rPr>
          <w:lang w:val="en-US"/>
        </w:rPr>
        <w:t>Yair</w:t>
      </w:r>
      <w:proofErr w:type="spellEnd"/>
      <w:r w:rsidRPr="00940E10">
        <w:rPr>
          <w:lang w:val="en-US"/>
        </w:rPr>
        <w:t xml:space="preserve"> </w:t>
      </w:r>
      <w:proofErr w:type="spellStart"/>
      <w:r w:rsidRPr="00940E10">
        <w:rPr>
          <w:lang w:val="en-US"/>
        </w:rPr>
        <w:t>Lapid</w:t>
      </w:r>
      <w:proofErr w:type="spellEnd"/>
      <w:r w:rsidRPr="00940E10">
        <w:rPr>
          <w:lang w:val="en-US"/>
        </w:rPr>
        <w:t>, told a meeting of European Union foreign ministers in July that there is no present prospect for a peace process.</w:t>
      </w:r>
      <w:r w:rsidRPr="00940E10">
        <w:rPr>
          <w:vertAlign w:val="superscript"/>
          <w:lang w:val="en-US"/>
        </w:rPr>
        <w:footnoteReference w:id="68"/>
      </w:r>
      <w:r w:rsidRPr="00940E10">
        <w:rPr>
          <w:lang w:val="en-US"/>
        </w:rPr>
        <w:t xml:space="preserve"> None of this has been receiving serious international pushback.</w:t>
      </w:r>
      <w:r w:rsidRPr="00940E10">
        <w:rPr>
          <w:vertAlign w:val="superscript"/>
          <w:lang w:val="en-US"/>
        </w:rPr>
        <w:footnoteReference w:id="69"/>
      </w:r>
      <w:r w:rsidRPr="00940E10">
        <w:rPr>
          <w:lang w:val="en-US"/>
        </w:rPr>
        <w:t xml:space="preserve"> Instead, with the apparent blessing of major international actors,</w:t>
      </w:r>
      <w:r w:rsidRPr="00940E10">
        <w:rPr>
          <w:vertAlign w:val="superscript"/>
          <w:lang w:val="en-US"/>
        </w:rPr>
        <w:footnoteReference w:id="70"/>
      </w:r>
      <w:r w:rsidRPr="00940E10">
        <w:rPr>
          <w:lang w:val="en-US"/>
        </w:rPr>
        <w:t xml:space="preserve"> the focus of the new government is to “shrink the conflict”</w:t>
      </w:r>
      <w:r w:rsidRPr="00940E10">
        <w:rPr>
          <w:vertAlign w:val="superscript"/>
          <w:lang w:val="en-US"/>
        </w:rPr>
        <w:footnoteReference w:id="71"/>
      </w:r>
      <w:r w:rsidRPr="00940E10">
        <w:rPr>
          <w:lang w:val="en-US"/>
        </w:rPr>
        <w:t xml:space="preserve"> and remove some existing irritants for the Palestinians, such as allowing the construction of a modest number of Palestinian homes in Area C, increasing the number of Palestinians allowed to work in Israel, and enabling more advanced cellphone networks.</w:t>
      </w:r>
      <w:r w:rsidRPr="00940E10">
        <w:rPr>
          <w:vertAlign w:val="superscript"/>
          <w:lang w:val="en-US"/>
        </w:rPr>
        <w:footnoteReference w:id="72"/>
      </w:r>
      <w:r w:rsidRPr="00940E10">
        <w:rPr>
          <w:lang w:val="en-US"/>
        </w:rPr>
        <w:t xml:space="preserve"> Such an economic peace is understood by Israeli political leaders not as a path to genuine Palestinian statehood,</w:t>
      </w:r>
      <w:r w:rsidRPr="00940E10">
        <w:rPr>
          <w:vertAlign w:val="superscript"/>
          <w:lang w:val="en-US"/>
        </w:rPr>
        <w:footnoteReference w:id="73"/>
      </w:r>
      <w:r w:rsidRPr="00940E10">
        <w:rPr>
          <w:lang w:val="en-US"/>
        </w:rPr>
        <w:t xml:space="preserve"> but as a substitute in order to sustain the status quo.</w:t>
      </w:r>
      <w:r w:rsidRPr="00940E10">
        <w:rPr>
          <w:vertAlign w:val="superscript"/>
          <w:lang w:val="en-US"/>
        </w:rPr>
        <w:footnoteReference w:id="74"/>
      </w:r>
      <w:r w:rsidRPr="00940E10">
        <w:rPr>
          <w:lang w:val="en-US"/>
        </w:rPr>
        <w:t xml:space="preserve"> </w:t>
      </w:r>
      <w:proofErr w:type="spellStart"/>
      <w:r w:rsidRPr="00940E10">
        <w:rPr>
          <w:lang w:val="en-US"/>
        </w:rPr>
        <w:t>Mairav</w:t>
      </w:r>
      <w:proofErr w:type="spellEnd"/>
      <w:r w:rsidRPr="00940E10">
        <w:rPr>
          <w:lang w:val="en-US"/>
        </w:rPr>
        <w:t xml:space="preserve"> </w:t>
      </w:r>
      <w:proofErr w:type="spellStart"/>
      <w:r w:rsidRPr="00940E10">
        <w:rPr>
          <w:lang w:val="en-US"/>
        </w:rPr>
        <w:lastRenderedPageBreak/>
        <w:t>Zonszein</w:t>
      </w:r>
      <w:proofErr w:type="spellEnd"/>
      <w:r w:rsidRPr="00940E10">
        <w:rPr>
          <w:lang w:val="en-US"/>
        </w:rPr>
        <w:t xml:space="preserve"> of the International Crisis Group has remarked that: “You can’t have economic peace or stability under occupation, because occupation prioritizes Israeli interests, resources and expansionism over all else.”</w:t>
      </w:r>
      <w:r w:rsidRPr="00940E10">
        <w:rPr>
          <w:vertAlign w:val="superscript"/>
          <w:lang w:val="en-US"/>
        </w:rPr>
        <w:footnoteReference w:id="75"/>
      </w:r>
    </w:p>
    <w:p w14:paraId="3022302A" w14:textId="58FC2AA7"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This report is focused on the effectiveness of four of the influential international actors involved in the Middle East process and the supervisi</w:t>
      </w:r>
      <w:r w:rsidR="00E757E3">
        <w:rPr>
          <w:lang w:val="en-US"/>
        </w:rPr>
        <w:t xml:space="preserve">on of the Israeli occupation. </w:t>
      </w:r>
      <w:r w:rsidRPr="00940E10">
        <w:rPr>
          <w:lang w:val="en-US"/>
        </w:rPr>
        <w:t>The purpose of focusing on the United States, the European Union, the World Bank and the Quartet is to assess whether they have been assiduously advancing, or effectively retarding, the stated goal of the international community to end the occupation, enable Palestinian self-determination and provide peace, security and a prosperous and shared future for both Israelis and Palestini</w:t>
      </w:r>
      <w:r w:rsidR="00E757E3">
        <w:rPr>
          <w:lang w:val="en-US"/>
        </w:rPr>
        <w:t>ans.</w:t>
      </w:r>
    </w:p>
    <w:p w14:paraId="60ABBD12" w14:textId="77777777"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rPr>
          <w:bCs/>
          <w:lang w:val="en-US"/>
        </w:rPr>
      </w:pPr>
      <w:r w:rsidRPr="00940E10">
        <w:rPr>
          <w:lang w:val="en-US"/>
        </w:rPr>
        <w:t>To assess their effectiveness, the Special Rapporteur is proposing five foundational criteria to measure the role of these leading actors. These criteria</w:t>
      </w:r>
      <w:r w:rsidRPr="00940E10">
        <w:rPr>
          <w:lang w:val="en-CA"/>
        </w:rPr>
        <w:t xml:space="preserve"> are important to accentuate, because they go to the heart of the disparate relationship between Israel and Palestine. Any efforts by the international community, collectively or individually, to create a framework for supervising and ending the occupation that does not place these criteria at or near the core of its endeavours will almost certainly crash upon the shoals of Middle East realism</w:t>
      </w:r>
      <w:r w:rsidRPr="00940E10">
        <w:rPr>
          <w:lang w:val="en-US"/>
        </w:rPr>
        <w:t>:</w:t>
      </w:r>
    </w:p>
    <w:p w14:paraId="2F8A597B" w14:textId="6905883F" w:rsidR="00940E10" w:rsidRPr="00940E10" w:rsidRDefault="00940E10" w:rsidP="00940E10">
      <w:pPr>
        <w:pStyle w:val="SingleTxtG"/>
        <w:numPr>
          <w:ilvl w:val="0"/>
          <w:numId w:val="46"/>
        </w:numPr>
        <w:kinsoku w:val="0"/>
        <w:overflowPunct w:val="0"/>
        <w:autoSpaceDE w:val="0"/>
        <w:autoSpaceDN w:val="0"/>
        <w:adjustRightInd w:val="0"/>
        <w:snapToGrid w:val="0"/>
        <w:rPr>
          <w:bCs/>
          <w:lang w:val="en-US"/>
        </w:rPr>
      </w:pPr>
      <w:r w:rsidRPr="00136045">
        <w:rPr>
          <w:b/>
          <w:bCs/>
          <w:lang w:val="en-US"/>
        </w:rPr>
        <w:t>Because of the vast asymmetry in power between Israel and the Palestinians, active international intervention is indispensable</w:t>
      </w:r>
      <w:r w:rsidRPr="00940E10">
        <w:rPr>
          <w:bCs/>
          <w:lang w:val="en-US"/>
        </w:rPr>
        <w:t xml:space="preserve">. </w:t>
      </w:r>
      <w:r w:rsidRPr="00136045">
        <w:rPr>
          <w:i/>
          <w:iCs/>
          <w:lang w:val="en-US"/>
        </w:rPr>
        <w:t>Militarily</w:t>
      </w:r>
      <w:r w:rsidRPr="00136045">
        <w:rPr>
          <w:i/>
          <w:lang w:val="en-US"/>
        </w:rPr>
        <w:t>,</w:t>
      </w:r>
      <w:r w:rsidRPr="00940E10">
        <w:rPr>
          <w:lang w:val="en-US"/>
        </w:rPr>
        <w:t xml:space="preserve"> Israel has the strongest armed forces in the region. </w:t>
      </w:r>
      <w:r w:rsidRPr="00940E10">
        <w:rPr>
          <w:i/>
          <w:iCs/>
          <w:lang w:val="en-US"/>
        </w:rPr>
        <w:t>Economically</w:t>
      </w:r>
      <w:r w:rsidRPr="00940E10">
        <w:rPr>
          <w:lang w:val="en-US"/>
        </w:rPr>
        <w:t xml:space="preserve">, Israel enjoys a European-level GDP per capita that is 12 times higher than that of the Palestinians. </w:t>
      </w:r>
      <w:r w:rsidRPr="00940E10">
        <w:rPr>
          <w:i/>
          <w:iCs/>
          <w:lang w:val="en-US"/>
        </w:rPr>
        <w:t>Diplomatically</w:t>
      </w:r>
      <w:r w:rsidRPr="00940E10">
        <w:rPr>
          <w:lang w:val="en-US"/>
        </w:rPr>
        <w:t xml:space="preserve">, Israel relies upon the enduring support of major international actors. </w:t>
      </w:r>
      <w:r w:rsidRPr="00940E10">
        <w:rPr>
          <w:i/>
          <w:iCs/>
          <w:lang w:val="en-US"/>
        </w:rPr>
        <w:t>Territorially</w:t>
      </w:r>
      <w:r w:rsidRPr="00940E10">
        <w:rPr>
          <w:lang w:val="en-US"/>
        </w:rPr>
        <w:t xml:space="preserve">, Israel enjoys complete military freedom of action between the Mediterranean and the Jordan. Only on </w:t>
      </w:r>
      <w:r w:rsidRPr="00940E10">
        <w:rPr>
          <w:i/>
          <w:iCs/>
          <w:lang w:val="en-US"/>
        </w:rPr>
        <w:t>demography</w:t>
      </w:r>
      <w:r w:rsidRPr="00940E10">
        <w:rPr>
          <w:lang w:val="en-US"/>
        </w:rPr>
        <w:t xml:space="preserve"> do the Palestinians have the edge: they now constitute a slight majority of the population between the Sea and the River. Without active and decisive international accountability measures to counter the abuse of this overwhelming power, Israel’s vast advantages will continue to dictate what happens on the groun</w:t>
      </w:r>
      <w:r w:rsidR="00E757E3">
        <w:rPr>
          <w:lang w:val="en-US"/>
        </w:rPr>
        <w:t>d and at any negotiating table.</w:t>
      </w:r>
    </w:p>
    <w:p w14:paraId="656AD5D6" w14:textId="65B7400E" w:rsidR="00940E10" w:rsidRPr="00940E10" w:rsidRDefault="00940E10" w:rsidP="00940E10">
      <w:pPr>
        <w:pStyle w:val="SingleTxtG"/>
        <w:numPr>
          <w:ilvl w:val="0"/>
          <w:numId w:val="46"/>
        </w:numPr>
        <w:kinsoku w:val="0"/>
        <w:overflowPunct w:val="0"/>
        <w:autoSpaceDE w:val="0"/>
        <w:autoSpaceDN w:val="0"/>
        <w:adjustRightInd w:val="0"/>
        <w:snapToGrid w:val="0"/>
        <w:rPr>
          <w:lang w:val="en-US"/>
        </w:rPr>
      </w:pPr>
      <w:r w:rsidRPr="00940E10">
        <w:rPr>
          <w:bCs/>
          <w:lang w:val="en-US"/>
        </w:rPr>
        <w:t>The framework for fully ending the occupation must employ a rights-based approach, anchored in international law and human rights.</w:t>
      </w:r>
      <w:r w:rsidRPr="00940E10">
        <w:rPr>
          <w:b/>
          <w:bCs/>
          <w:lang w:val="en-US"/>
        </w:rPr>
        <w:t xml:space="preserve"> </w:t>
      </w:r>
      <w:r w:rsidRPr="00940E10">
        <w:rPr>
          <w:lang w:val="en-US"/>
        </w:rPr>
        <w:t xml:space="preserve">Yesterday’s diplomatic playbook – relying on the </w:t>
      </w:r>
      <w:r w:rsidRPr="00940E10">
        <w:rPr>
          <w:i/>
          <w:iCs/>
          <w:lang w:val="en-US"/>
        </w:rPr>
        <w:t xml:space="preserve">realpolitik </w:t>
      </w:r>
      <w:r w:rsidRPr="00940E10">
        <w:rPr>
          <w:lang w:val="en-US"/>
        </w:rPr>
        <w:t xml:space="preserve">of Israel’s ‘facts on the ground’, Palestinian weakness and the absence of law – has only led to repeated diplomatic </w:t>
      </w:r>
      <w:r w:rsidRPr="00940E10">
        <w:rPr>
          <w:i/>
          <w:iCs/>
          <w:lang w:val="en-US"/>
        </w:rPr>
        <w:t>cul-de-sacs</w:t>
      </w:r>
      <w:r w:rsidRPr="00940E10">
        <w:rPr>
          <w:lang w:val="en-US"/>
        </w:rPr>
        <w:t>, while enabling the patterns of human rights abuses and an endless occupation to continue largely unimpeded.</w:t>
      </w:r>
      <w:r w:rsidRPr="00940E10">
        <w:rPr>
          <w:vertAlign w:val="superscript"/>
          <w:lang w:val="en-US"/>
        </w:rPr>
        <w:footnoteReference w:id="76"/>
      </w:r>
      <w:r w:rsidRPr="00940E10">
        <w:rPr>
          <w:lang w:val="en-US"/>
        </w:rPr>
        <w:t xml:space="preserve"> Ignoring the established international framework on occupation and rights only accelerates this downward trajectory.</w:t>
      </w:r>
      <w:r w:rsidRPr="00940E10">
        <w:rPr>
          <w:vertAlign w:val="superscript"/>
          <w:lang w:val="en-US"/>
        </w:rPr>
        <w:footnoteReference w:id="77"/>
      </w:r>
      <w:r w:rsidRPr="00940E10">
        <w:rPr>
          <w:lang w:val="en-US"/>
        </w:rPr>
        <w:t xml:space="preserve"> Only a rights-based approach can engage the considerable tools of accountability and the already widely-endorsed body of international law, including human rights and humanitarian law, to end impunity and advance the interests of </w:t>
      </w:r>
      <w:r w:rsidR="00E757E3">
        <w:rPr>
          <w:lang w:val="en-US"/>
        </w:rPr>
        <w:t>both Palestinians and Israelis.</w:t>
      </w:r>
    </w:p>
    <w:p w14:paraId="4546AB11" w14:textId="3447EBE6" w:rsidR="00940E10" w:rsidRPr="00940E10" w:rsidRDefault="00940E10" w:rsidP="00940E10">
      <w:pPr>
        <w:pStyle w:val="SingleTxtG"/>
        <w:numPr>
          <w:ilvl w:val="0"/>
          <w:numId w:val="46"/>
        </w:numPr>
        <w:kinsoku w:val="0"/>
        <w:overflowPunct w:val="0"/>
        <w:autoSpaceDE w:val="0"/>
        <w:autoSpaceDN w:val="0"/>
        <w:adjustRightInd w:val="0"/>
        <w:snapToGrid w:val="0"/>
        <w:rPr>
          <w:lang w:val="en-US"/>
        </w:rPr>
      </w:pPr>
      <w:r w:rsidRPr="00940E10">
        <w:rPr>
          <w:bCs/>
          <w:lang w:val="en-US"/>
        </w:rPr>
        <w:t xml:space="preserve">The end goal must be the realization of Palestinian self-determination. </w:t>
      </w:r>
      <w:r w:rsidRPr="00940E10">
        <w:rPr>
          <w:lang w:val="en-US"/>
        </w:rPr>
        <w:t xml:space="preserve">Israel already exists, and has </w:t>
      </w:r>
      <w:r w:rsidR="004870BA">
        <w:rPr>
          <w:lang w:val="en-US"/>
        </w:rPr>
        <w:t xml:space="preserve">since </w:t>
      </w:r>
      <w:r w:rsidRPr="00940E10">
        <w:rPr>
          <w:lang w:val="en-US"/>
        </w:rPr>
        <w:t>1948. The missing key to enduring peace has always been the denial of Palestinian self-determination.</w:t>
      </w:r>
      <w:r w:rsidRPr="00940E10">
        <w:rPr>
          <w:vertAlign w:val="superscript"/>
          <w:lang w:val="en-US"/>
        </w:rPr>
        <w:footnoteReference w:id="78"/>
      </w:r>
      <w:r w:rsidRPr="00940E10">
        <w:rPr>
          <w:lang w:val="en-US"/>
        </w:rPr>
        <w:t xml:space="preserve"> But the </w:t>
      </w:r>
      <w:r w:rsidRPr="00940E10">
        <w:rPr>
          <w:i/>
          <w:iCs/>
          <w:lang w:val="en-US"/>
        </w:rPr>
        <w:t>de facto</w:t>
      </w:r>
      <w:r w:rsidRPr="00940E10">
        <w:rPr>
          <w:lang w:val="en-US"/>
        </w:rPr>
        <w:t xml:space="preserve"> and </w:t>
      </w:r>
      <w:r w:rsidRPr="00940E10">
        <w:rPr>
          <w:i/>
          <w:iCs/>
          <w:lang w:val="en-US"/>
        </w:rPr>
        <w:t>de jure</w:t>
      </w:r>
      <w:r w:rsidRPr="00940E10">
        <w:rPr>
          <w:lang w:val="en-US"/>
        </w:rPr>
        <w:t xml:space="preserve"> annexation of occupied territory by Israel, primarily led by the relentless expansion of its settlements, has </w:t>
      </w:r>
      <w:r w:rsidRPr="00940E10">
        <w:rPr>
          <w:lang w:val="en-US"/>
        </w:rPr>
        <w:lastRenderedPageBreak/>
        <w:t xml:space="preserve">undercut any meaningful exercise of self-determination on what remains of Palestinian land. Self-determination is at the heart of modern human rights, and it is the </w:t>
      </w:r>
      <w:r w:rsidRPr="00940E10">
        <w:rPr>
          <w:i/>
          <w:iCs/>
          <w:lang w:val="en-US"/>
        </w:rPr>
        <w:t xml:space="preserve">sin qua non </w:t>
      </w:r>
      <w:r w:rsidRPr="00940E10">
        <w:rPr>
          <w:lang w:val="en-US"/>
        </w:rPr>
        <w:t xml:space="preserve">for a just and final peace. Palestinian self-determination must be based on the 1967 borders and the realization of authentic sovereignty, if a genuine two state solution remains a possibility. If not, then self-determination must be </w:t>
      </w:r>
      <w:proofErr w:type="spellStart"/>
      <w:r w:rsidRPr="00940E10">
        <w:rPr>
          <w:lang w:val="en-US"/>
        </w:rPr>
        <w:t>centred</w:t>
      </w:r>
      <w:proofErr w:type="spellEnd"/>
      <w:r w:rsidRPr="00940E10">
        <w:rPr>
          <w:lang w:val="en-US"/>
        </w:rPr>
        <w:t xml:space="preserve"> on individual and collective equality rights for all those living between th</w:t>
      </w:r>
      <w:r w:rsidR="00E757E3">
        <w:rPr>
          <w:lang w:val="en-US"/>
        </w:rPr>
        <w:t>e Mediterranean and the Jordan.</w:t>
      </w:r>
    </w:p>
    <w:p w14:paraId="7F87ACDE" w14:textId="77777777" w:rsidR="00940E10" w:rsidRDefault="00940E10" w:rsidP="00940E10">
      <w:pPr>
        <w:pStyle w:val="SingleTxtG"/>
        <w:numPr>
          <w:ilvl w:val="0"/>
          <w:numId w:val="46"/>
        </w:numPr>
        <w:kinsoku w:val="0"/>
        <w:overflowPunct w:val="0"/>
        <w:autoSpaceDE w:val="0"/>
        <w:autoSpaceDN w:val="0"/>
        <w:adjustRightInd w:val="0"/>
        <w:snapToGrid w:val="0"/>
        <w:rPr>
          <w:lang w:val="en-US"/>
        </w:rPr>
      </w:pPr>
      <w:r w:rsidRPr="00940E10">
        <w:rPr>
          <w:bCs/>
          <w:lang w:val="en-US"/>
        </w:rPr>
        <w:t>Israel is a bad-faith occupier</w:t>
      </w:r>
      <w:r w:rsidRPr="00940E10">
        <w:rPr>
          <w:b/>
          <w:bCs/>
          <w:lang w:val="en-US"/>
        </w:rPr>
        <w:t xml:space="preserve">. </w:t>
      </w:r>
      <w:r w:rsidRPr="00940E10">
        <w:rPr>
          <w:lang w:val="en-US"/>
        </w:rPr>
        <w:t xml:space="preserve">This is the inescapable conclusion from Israel’s conduct of its 54-year-old occupation of the Palestinian territory. Its non-compliance with hundreds of United Nations resolutions from the Security Council, the General Assembly and the Human Rights Council regarding the occupation, and its refusal to apply the </w:t>
      </w:r>
      <w:r w:rsidRPr="00940E10">
        <w:rPr>
          <w:i/>
          <w:iCs/>
          <w:lang w:val="en-US"/>
        </w:rPr>
        <w:t>Fourth Geneva Convention</w:t>
      </w:r>
      <w:r w:rsidRPr="00940E10">
        <w:rPr>
          <w:lang w:val="en-US"/>
        </w:rPr>
        <w:t>, is not an honest policy difference with the world, but a sustained show of defiance meant to preserve the fruits of its conquest. To assume that Israel is a responsible occupier, marred only by an errant and unfortunate policy towards the Palestinians, is to indulge in the magical thinking that has led to the past diplomatic failures</w:t>
      </w:r>
      <w:r>
        <w:rPr>
          <w:lang w:val="en-US"/>
        </w:rPr>
        <w:t>.</w:t>
      </w:r>
    </w:p>
    <w:p w14:paraId="60495FAF" w14:textId="12FFC799" w:rsidR="00940E10" w:rsidRPr="00940E10" w:rsidRDefault="00940E10" w:rsidP="00940E10">
      <w:pPr>
        <w:pStyle w:val="SingleTxtG"/>
        <w:numPr>
          <w:ilvl w:val="0"/>
          <w:numId w:val="46"/>
        </w:numPr>
        <w:kinsoku w:val="0"/>
        <w:overflowPunct w:val="0"/>
        <w:autoSpaceDE w:val="0"/>
        <w:autoSpaceDN w:val="0"/>
        <w:adjustRightInd w:val="0"/>
        <w:snapToGrid w:val="0"/>
        <w:ind w:left="1494"/>
        <w:rPr>
          <w:lang w:val="en-US"/>
        </w:rPr>
      </w:pPr>
      <w:r w:rsidRPr="00940E10">
        <w:rPr>
          <w:bCs/>
          <w:lang w:val="en-US"/>
        </w:rPr>
        <w:t>The occupation must end with all deliberate speed.</w:t>
      </w:r>
      <w:r w:rsidRPr="00940E10">
        <w:rPr>
          <w:b/>
          <w:bCs/>
          <w:lang w:val="en-US"/>
        </w:rPr>
        <w:t xml:space="preserve"> </w:t>
      </w:r>
      <w:r w:rsidRPr="00940E10">
        <w:rPr>
          <w:lang w:val="en-US"/>
        </w:rPr>
        <w:t>Occupations are designed in international law to be temporary, and to last only for the period of time necessary for the occupying power to re-establish state and social institutions and civic life in the occupied territory, and for the territory to be then returned to the displaced sovereign (the people under occupation).</w:t>
      </w:r>
      <w:r w:rsidRPr="00940E10">
        <w:rPr>
          <w:vertAlign w:val="superscript"/>
          <w:lang w:val="en-US"/>
        </w:rPr>
        <w:footnoteReference w:id="79"/>
      </w:r>
      <w:r w:rsidRPr="00940E10">
        <w:rPr>
          <w:lang w:val="en-US"/>
        </w:rPr>
        <w:t xml:space="preserve"> Alien rule in the 21</w:t>
      </w:r>
      <w:r w:rsidRPr="00940E10">
        <w:rPr>
          <w:vertAlign w:val="superscript"/>
          <w:lang w:val="en-US"/>
        </w:rPr>
        <w:t>st</w:t>
      </w:r>
      <w:r w:rsidRPr="00940E10">
        <w:rPr>
          <w:lang w:val="en-US"/>
        </w:rPr>
        <w:t xml:space="preserve"> century can only be justified in exceptional and highly conditioned circumstances. Modern international law and effective international statecraft do not tolerate an indeterminate clock for injustice to end, particularly for an avaricious occupation that has long ago slipped the restraining bonds of legitimacy.</w:t>
      </w:r>
    </w:p>
    <w:p w14:paraId="04162CCB" w14:textId="0A966C72" w:rsidR="002C1875" w:rsidRPr="002C1875" w:rsidRDefault="00A46F44" w:rsidP="00A46F44">
      <w:pPr>
        <w:pStyle w:val="H1G"/>
        <w:rPr>
          <w:lang w:val="en-US"/>
        </w:rPr>
      </w:pPr>
      <w:r>
        <w:rPr>
          <w:lang w:val="en-US"/>
        </w:rPr>
        <w:tab/>
        <w:t>B.</w:t>
      </w:r>
      <w:r>
        <w:rPr>
          <w:lang w:val="en-US"/>
        </w:rPr>
        <w:tab/>
        <w:t>The Four International Actors</w:t>
      </w:r>
    </w:p>
    <w:p w14:paraId="4832ABE5" w14:textId="76B6DDB1" w:rsidR="002C1875" w:rsidRPr="00A46F44" w:rsidRDefault="00DC7B3E" w:rsidP="00DC7B3E">
      <w:pPr>
        <w:pStyle w:val="H23G"/>
        <w:rPr>
          <w:lang w:val="en-US"/>
        </w:rPr>
      </w:pPr>
      <w:r>
        <w:rPr>
          <w:lang w:val="en-US"/>
        </w:rPr>
        <w:tab/>
      </w:r>
      <w:r>
        <w:rPr>
          <w:lang w:val="en-US"/>
        </w:rPr>
        <w:tab/>
      </w:r>
      <w:r w:rsidR="002C1875" w:rsidRPr="00A46F44">
        <w:rPr>
          <w:lang w:val="en-US"/>
        </w:rPr>
        <w:t>The United States</w:t>
      </w:r>
    </w:p>
    <w:p w14:paraId="791893DA" w14:textId="77777777"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CA"/>
        </w:rPr>
        <w:t>The United States has played an outsized role in the Middle East peace process over the past 50 years, leading virtually every significant international peace initiative, while at the same time delivering enormous amounts of cutting-edge military aid to Israel and acting as that country’s diplomatic patron at the United Nations and other international forums. This two-hat role of the United States in the peace process has been an overriding reason why the Israeli occupation stays intact and the quest for Palestinian self-determination remains unfulfilled. Kofi Annan spoke of the “unhealthy possessiveness” that the United States has had over the peace process, and its “reluctance to share it meaningfully with others”.</w:t>
      </w:r>
      <w:r w:rsidRPr="00940E10">
        <w:rPr>
          <w:vertAlign w:val="superscript"/>
          <w:lang w:val="en-CA"/>
        </w:rPr>
        <w:footnoteReference w:id="80"/>
      </w:r>
      <w:r w:rsidRPr="00940E10">
        <w:rPr>
          <w:lang w:val="en-CA"/>
        </w:rPr>
        <w:t xml:space="preserve"> Ban Ki-Moon has lamented the “political cover provided by successive US governments to Israel”, which is “partly to blame for this lack of accountability.”</w:t>
      </w:r>
      <w:r w:rsidRPr="00940E10">
        <w:rPr>
          <w:vertAlign w:val="superscript"/>
          <w:lang w:val="en-CA"/>
        </w:rPr>
        <w:footnoteReference w:id="81"/>
      </w:r>
      <w:r w:rsidRPr="00940E10">
        <w:rPr>
          <w:lang w:val="en-CA"/>
        </w:rPr>
        <w:t xml:space="preserve"> In many ways, the role of the United States in defending Israel has been to give permission for the Israeli occupation to continue, while tarnishing America’s global reputation. In his memoirs, Barack Obama observed that America’s shielding of Israeli violations of international law meant that: “our </w:t>
      </w:r>
      <w:r w:rsidRPr="00940E10">
        <w:rPr>
          <w:lang w:val="en-CA"/>
        </w:rPr>
        <w:lastRenderedPageBreak/>
        <w:t>diplomats found themselves in the awkward position of having to defend Israel for actions that we ourselves opposed.”</w:t>
      </w:r>
      <w:r w:rsidRPr="00940E10">
        <w:rPr>
          <w:vertAlign w:val="superscript"/>
          <w:lang w:val="en-CA"/>
        </w:rPr>
        <w:footnoteReference w:id="82"/>
      </w:r>
    </w:p>
    <w:p w14:paraId="1D8BCA1C" w14:textId="22DEAF56"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 xml:space="preserve">In May 2021, tensions in Jerusalem escalated over attempts by Israeli settlers to displace Palestinians from their homes, leading to rockets fired by </w:t>
      </w:r>
      <w:proofErr w:type="spellStart"/>
      <w:r w:rsidRPr="00940E10">
        <w:rPr>
          <w:lang w:val="en-US"/>
        </w:rPr>
        <w:t>Hames</w:t>
      </w:r>
      <w:proofErr w:type="spellEnd"/>
      <w:r w:rsidRPr="00940E10">
        <w:rPr>
          <w:lang w:val="en-US"/>
        </w:rPr>
        <w:t xml:space="preserve"> at Israeli civilian targets and a disproportionate military response by Israel, culminating in 11 days of intense violence with heavy civilian causalities and property destruction in Gaza. The diplomatic role of the United States during this violence was discouragingly familiar: at the UN Security Council, it successively blocked both a draft resolution seeking a ceasefire and even the issuance of a Council press statement, arguing that it would only alienate Israel.</w:t>
      </w:r>
      <w:r w:rsidRPr="00940E10">
        <w:rPr>
          <w:vertAlign w:val="superscript"/>
          <w:lang w:val="en-US"/>
        </w:rPr>
        <w:footnoteReference w:id="83"/>
      </w:r>
      <w:r w:rsidRPr="00940E10">
        <w:rPr>
          <w:lang w:val="en-US"/>
        </w:rPr>
        <w:t xml:space="preserve"> This buffer allowed Israel to sustain its assault on Gaza until it had achieved most of its military goals, in the face of diplomatic and public opinion seeking to end the violence much earlier. Since the Israel occupation began in June 1967, the United States has regularly allowed the Council to adopt resolutions critical of Israel – 77 in total – but it has also used its threat of a veto to thwart the ability of the Security Council – the most powerful international political forum – to enforce any of these resolutions. Additionally, it has vetoed 32 resolutions critical of Is</w:t>
      </w:r>
      <w:r w:rsidR="00E757E3">
        <w:rPr>
          <w:lang w:val="en-US"/>
        </w:rPr>
        <w:t>rael since 1973.</w:t>
      </w:r>
    </w:p>
    <w:p w14:paraId="088BF066" w14:textId="3CDE9CC9"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The United States has developed an extraordinary military relationship with Israel, with its annual aid unmatched by any other bilateral relationship in the world. Since the early 1950s, it has delivered more than $100 billion dollars in military aid (along with $35 billion in economic aid).</w:t>
      </w:r>
      <w:r w:rsidRPr="00940E10">
        <w:rPr>
          <w:vertAlign w:val="superscript"/>
          <w:lang w:val="en-US"/>
        </w:rPr>
        <w:footnoteReference w:id="84"/>
      </w:r>
      <w:r w:rsidRPr="00940E10">
        <w:rPr>
          <w:lang w:val="en-US"/>
        </w:rPr>
        <w:t xml:space="preserve"> Its military aid has enabled Israel’s armed forces to become one of the most technologically sophisticated militaries in the world. American aid has also allowed Israel to establish a major domestic defense industry, which has permitted it to become one of the world’s leading exporters in arms and cyber-security technology. (Indeed, observers have noted that Israeli prowess as a major arms and cybersecurity exporter is due in considerable part to its weapons and security testing as an experienced occupier regulating the lives of five million Palestinians).</w:t>
      </w:r>
      <w:r w:rsidRPr="00940E10">
        <w:rPr>
          <w:vertAlign w:val="superscript"/>
          <w:lang w:val="en-US"/>
        </w:rPr>
        <w:footnoteReference w:id="85"/>
      </w:r>
      <w:r w:rsidRPr="00940E10">
        <w:rPr>
          <w:lang w:val="en-US"/>
        </w:rPr>
        <w:t xml:space="preserve"> This American military assistance is provided, notwithstanding the fact that congressional laws governing US weapons exports state that recipient countries cannot be engaged in consistent patterns of gross violations of human rights.</w:t>
      </w:r>
      <w:r w:rsidRPr="00940E10">
        <w:rPr>
          <w:vertAlign w:val="superscript"/>
          <w:lang w:val="en-US"/>
        </w:rPr>
        <w:footnoteReference w:id="86"/>
      </w:r>
      <w:r w:rsidRPr="00940E10">
        <w:rPr>
          <w:lang w:val="en-US"/>
        </w:rPr>
        <w:t xml:space="preserve"> A recent poll of American public opinion indicated that a slim majority (50% in </w:t>
      </w:r>
      <w:proofErr w:type="spellStart"/>
      <w:r w:rsidRPr="00940E10">
        <w:rPr>
          <w:lang w:val="en-US"/>
        </w:rPr>
        <w:t>favour</w:t>
      </w:r>
      <w:proofErr w:type="spellEnd"/>
      <w:r w:rsidRPr="00940E10">
        <w:rPr>
          <w:lang w:val="en-US"/>
        </w:rPr>
        <w:t xml:space="preserve"> to 45% opposed) </w:t>
      </w:r>
      <w:proofErr w:type="spellStart"/>
      <w:r w:rsidRPr="00940E10">
        <w:rPr>
          <w:lang w:val="en-US"/>
        </w:rPr>
        <w:t>favoured</w:t>
      </w:r>
      <w:proofErr w:type="spellEnd"/>
      <w:r w:rsidRPr="00940E10">
        <w:rPr>
          <w:lang w:val="en-US"/>
        </w:rPr>
        <w:t xml:space="preserve"> restricting US military aid to Israel to prevent it from being used in military operations against Palestinians.</w:t>
      </w:r>
      <w:r w:rsidRPr="00940E10">
        <w:rPr>
          <w:vertAlign w:val="superscript"/>
          <w:lang w:val="en-US"/>
        </w:rPr>
        <w:footnoteReference w:id="87"/>
      </w:r>
    </w:p>
    <w:p w14:paraId="2A062996" w14:textId="69460612" w:rsidR="00940E10" w:rsidRPr="00017438"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 xml:space="preserve">Given the </w:t>
      </w:r>
      <w:r w:rsidRPr="00940E10">
        <w:rPr>
          <w:i/>
          <w:iCs/>
          <w:lang w:val="en-US"/>
        </w:rPr>
        <w:t>sui generis</w:t>
      </w:r>
      <w:r w:rsidRPr="00940E10">
        <w:rPr>
          <w:lang w:val="en-US"/>
        </w:rPr>
        <w:t xml:space="preserve"> relationship between the world’s one superpower and a small regional power, one might ask, as Professor </w:t>
      </w:r>
      <w:proofErr w:type="spellStart"/>
      <w:r w:rsidRPr="00940E10">
        <w:rPr>
          <w:lang w:val="en-US"/>
        </w:rPr>
        <w:t>Shibley</w:t>
      </w:r>
      <w:proofErr w:type="spellEnd"/>
      <w:r w:rsidRPr="00940E10">
        <w:rPr>
          <w:lang w:val="en-US"/>
        </w:rPr>
        <w:t xml:space="preserve"> </w:t>
      </w:r>
      <w:proofErr w:type="spellStart"/>
      <w:r w:rsidRPr="00940E10">
        <w:rPr>
          <w:lang w:val="en-US"/>
        </w:rPr>
        <w:t>Telhani</w:t>
      </w:r>
      <w:proofErr w:type="spellEnd"/>
      <w:r w:rsidRPr="00940E10">
        <w:rPr>
          <w:lang w:val="en-US"/>
        </w:rPr>
        <w:t xml:space="preserve"> has: “If an American president cannot leverage this extraordinary and unprecedented support to advance core American values, what hope is there for succeeding anywhere else?”</w:t>
      </w:r>
      <w:r w:rsidRPr="00940E10">
        <w:rPr>
          <w:vertAlign w:val="superscript"/>
          <w:lang w:val="en-US"/>
        </w:rPr>
        <w:footnoteReference w:id="88"/>
      </w:r>
      <w:r w:rsidRPr="00940E10">
        <w:rPr>
          <w:lang w:val="en-US"/>
        </w:rPr>
        <w:t xml:space="preserve"> The United States has played a fundamental role in the shaping of modern international law and the rules-based international order, yet it has stained that achievement by consistently excluding it from the Israeli-Palestinian peace process. It regularly endorses the two state solution, but it also insists that there must be no consequences for Israeli practices that have made that objective impossible. It proclaims human rights as a cornerstone of its foreign policy, but does not apply this yardstick to Israeli conduct. The disturbing reality in the occupied Palestinian territory is </w:t>
      </w:r>
      <w:r w:rsidRPr="00940E10">
        <w:rPr>
          <w:lang w:val="en-US"/>
        </w:rPr>
        <w:lastRenderedPageBreak/>
        <w:t>contrary to everything that the United States proclaims it stands for, yet its close identification with the Israeli oc</w:t>
      </w:r>
      <w:r w:rsidR="00E757E3">
        <w:rPr>
          <w:lang w:val="en-US"/>
        </w:rPr>
        <w:t>cupation says otherwise.</w:t>
      </w:r>
    </w:p>
    <w:p w14:paraId="5AC34F7C" w14:textId="4483B542" w:rsidR="00940E10" w:rsidRDefault="002C1875" w:rsidP="00940E10">
      <w:pPr>
        <w:pStyle w:val="SingleTxtG"/>
        <w:kinsoku w:val="0"/>
        <w:overflowPunct w:val="0"/>
        <w:autoSpaceDE w:val="0"/>
        <w:autoSpaceDN w:val="0"/>
        <w:adjustRightInd w:val="0"/>
        <w:snapToGrid w:val="0"/>
        <w:rPr>
          <w:b/>
          <w:lang w:val="en-US"/>
        </w:rPr>
      </w:pPr>
      <w:r w:rsidRPr="00940E10">
        <w:rPr>
          <w:b/>
          <w:lang w:val="en-US"/>
        </w:rPr>
        <w:t>The European Union</w:t>
      </w:r>
    </w:p>
    <w:p w14:paraId="2B5B9BFA" w14:textId="77777777"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In 1980, the then nine member European Community issued its influential Venice Declaration, which endorsed the right of the Palestinian people to fully exercise their right to self-determination. In the early 1990s, the European Commission was an active participant in the Madrid-Oslo process, declaring that lasting peace between Israel and the Palestinians was of “vital importance for Europe.” Throughout the 1990s and the 2000s, the European Union provided substantial political and economy support for the peace process (including significant funding to the Palestinian Authority), issued sometimes sharp criticisms of Israeli conduct and, beginning in 1999, promoted the creation of a democratic, viable and peaceful Palestinian state. However, as the EU joined the Quartet and became part of its policies regarding the Roadmap and the 2006 Palestinian elections, its policies and statements regarding the occupation were more cautious, even as its substantial levels of funding continued.</w:t>
      </w:r>
      <w:r w:rsidRPr="00940E10">
        <w:rPr>
          <w:vertAlign w:val="superscript"/>
          <w:lang w:val="en-US"/>
        </w:rPr>
        <w:footnoteReference w:id="89"/>
      </w:r>
    </w:p>
    <w:p w14:paraId="79EE4C0B" w14:textId="6C73388D"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 xml:space="preserve"> Over the past decade, five features have dominated the EU’s approach towards the Israeli occupation. First, it remains a substantial funder of the Palestinian Authority, the United Nations Relief and Works Agency (UNRWA) and other major organizations providing capacity building and social services in the occupied territory. Second, the EU has maintained close political and economic relationships with Israel, even as tension points have occasionally arisen. Israel is a member of several significant scientific and economic cooperation agreements initiated by the EU, the EU is its largest trading partner, and several key EU members are major weapons suppliers to Israel. Third, the EU </w:t>
      </w:r>
      <w:proofErr w:type="gramStart"/>
      <w:r w:rsidRPr="00940E10">
        <w:rPr>
          <w:lang w:val="en-US"/>
        </w:rPr>
        <w:t>has  developed</w:t>
      </w:r>
      <w:proofErr w:type="gramEnd"/>
      <w:r w:rsidRPr="00940E10">
        <w:rPr>
          <w:lang w:val="en-US"/>
        </w:rPr>
        <w:t xml:space="preserve"> a ‘differentiation’ policy regarding the Israeli settlements in the occupied territory. This policy states that EU agreements with Israel are inapplicable beyond the 1967 Green Line, while it has been left to individual member states to decide how to apply the differentiation policy in their bilateral relations with Israel. Fourth, in recent years, the EU has spoken with an increasingly less united and softer voice on the Israeli occupation, as some </w:t>
      </w:r>
      <w:proofErr w:type="gramStart"/>
      <w:r w:rsidRPr="00940E10">
        <w:rPr>
          <w:lang w:val="en-US"/>
        </w:rPr>
        <w:t>members</w:t>
      </w:r>
      <w:proofErr w:type="gramEnd"/>
      <w:r w:rsidRPr="00940E10">
        <w:rPr>
          <w:lang w:val="en-US"/>
        </w:rPr>
        <w:t xml:space="preserve"> states from eastern Europe have developed close relationships with Israel and a common European position on the occupation has become more difficult.</w:t>
      </w:r>
      <w:r w:rsidRPr="00940E10">
        <w:rPr>
          <w:vertAlign w:val="superscript"/>
          <w:lang w:val="en-US"/>
        </w:rPr>
        <w:footnoteReference w:id="90"/>
      </w:r>
      <w:r w:rsidRPr="00940E10">
        <w:rPr>
          <w:lang w:val="en-US"/>
        </w:rPr>
        <w:t xml:space="preserve"> During the latest Israeli violence in Gaza in May 2021, the EU acted largely as a bystander, unable to issue a common EU Council statement </w:t>
      </w:r>
      <w:r w:rsidR="00E757E3">
        <w:rPr>
          <w:lang w:val="en-US"/>
        </w:rPr>
        <w:t>because of its unanimity rule.</w:t>
      </w:r>
    </w:p>
    <w:p w14:paraId="76118605" w14:textId="58AAA236"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The fifth and most significant feature of contemporary EU policy has been its aversion to employing its considerable economic and political clout to impose substantive costs on Israel for its failure to comply with its international obligations and fully end the occupation.</w:t>
      </w:r>
      <w:r w:rsidRPr="00940E10">
        <w:rPr>
          <w:vertAlign w:val="superscript"/>
          <w:lang w:val="en-US"/>
        </w:rPr>
        <w:footnoteReference w:id="91"/>
      </w:r>
      <w:r w:rsidRPr="00940E10">
        <w:rPr>
          <w:lang w:val="en-US"/>
        </w:rPr>
        <w:t xml:space="preserve"> To its credit, the EU’s diplomatic opposition to Israel’s </w:t>
      </w:r>
      <w:r w:rsidRPr="00940E10">
        <w:rPr>
          <w:i/>
          <w:iCs/>
          <w:lang w:val="en-US"/>
        </w:rPr>
        <w:t>de jure</w:t>
      </w:r>
      <w:r w:rsidRPr="00940E10">
        <w:rPr>
          <w:lang w:val="en-US"/>
        </w:rPr>
        <w:t xml:space="preserve"> annexation plans in 2020 contributed greatly to the shelving of the Trump plan proposals. This was an important defensive accomplishment, but it has done little to alter the thickening occupation and the reality of </w:t>
      </w:r>
      <w:r w:rsidRPr="00940E10">
        <w:rPr>
          <w:i/>
          <w:iCs/>
          <w:lang w:val="en-US"/>
        </w:rPr>
        <w:t>de facto</w:t>
      </w:r>
      <w:r w:rsidRPr="00940E10">
        <w:rPr>
          <w:lang w:val="en-US"/>
        </w:rPr>
        <w:t xml:space="preserve"> annexation. But beyond this, the EU has been largely risk-adverse. Among its major agreements involving Israel is the EU-Israel Association Agreement (1995), which includes human rights obligations and respect for ‘common values’, breaches of which would entitle the EU to suspend the agreement, but it has taken no steps to do so with Israel. The </w:t>
      </w:r>
      <w:r w:rsidRPr="00940E10">
        <w:rPr>
          <w:lang w:val="en-US"/>
        </w:rPr>
        <w:lastRenderedPageBreak/>
        <w:t>most glaring lacuna in the EU policy is its passive approach towards the Israeli settlements. Its differentiation policy is exacting a small cost that Israel is willing to bear, with no noticeable changes to the permanence of the occupation or to settlement growth. The settlements, which are a presumptive war crime under the Rome Statute, are the product of Israeli state policy, and there is no hope of dismantling them until European accountability measures meaningfully target Israel itself.</w:t>
      </w:r>
      <w:r w:rsidRPr="00940E10">
        <w:rPr>
          <w:vertAlign w:val="superscript"/>
          <w:lang w:val="en-US"/>
        </w:rPr>
        <w:footnoteReference w:id="92"/>
      </w:r>
    </w:p>
    <w:p w14:paraId="314DE41C" w14:textId="77777777"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European Union policy towards the occupation is ultimately hindered by two interrelated propensities: its commitment to the dead star that is the Madrid-Oslo process, and its unwillingness to separate itself from the United States, no matter how partial and ineffective American policy has been. Whatever its original promise, the Madrid-Oslo process has become a cover for occupation maintenance and the avoidance of hard decisions. With imagination and courage, European diplomacy could animate a qualitatively new approach to securing Middle East peace, based on rights and international law.</w:t>
      </w:r>
      <w:r w:rsidRPr="00940E10">
        <w:rPr>
          <w:vertAlign w:val="superscript"/>
          <w:lang w:val="en-US"/>
        </w:rPr>
        <w:footnoteReference w:id="93"/>
      </w:r>
      <w:r w:rsidRPr="00940E10">
        <w:rPr>
          <w:lang w:val="en-US"/>
        </w:rPr>
        <w:t xml:space="preserve"> To do this would require an honest reckoning with Israeli intransigence and American dominance. But to do anything less would continue to implicate Europe in one of the greatest diplomatic failures of the past half century.</w:t>
      </w:r>
    </w:p>
    <w:p w14:paraId="71EEEA86" w14:textId="470D781B" w:rsidR="002C1875" w:rsidRDefault="002C1875" w:rsidP="00940E10">
      <w:pPr>
        <w:pStyle w:val="H23G"/>
        <w:ind w:firstLine="0"/>
        <w:rPr>
          <w:lang w:val="en-US"/>
        </w:rPr>
      </w:pPr>
      <w:r w:rsidRPr="00A46F44">
        <w:rPr>
          <w:lang w:val="en-US"/>
        </w:rPr>
        <w:t>The World Bank</w:t>
      </w:r>
    </w:p>
    <w:p w14:paraId="1EF1E4F6" w14:textId="77777777"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 xml:space="preserve">The World Bank has been intimately involved in the development of economic policy in Palestine since the dawn of the Madrid-Oslo process. In 1993, it published a significant six volume study – </w:t>
      </w:r>
      <w:r w:rsidRPr="00940E10">
        <w:rPr>
          <w:i/>
          <w:iCs/>
          <w:lang w:val="en-US"/>
        </w:rPr>
        <w:t>Developing the Occupied Territories: An Investment in Peace</w:t>
      </w:r>
      <w:r w:rsidRPr="00940E10">
        <w:rPr>
          <w:lang w:val="en-US"/>
        </w:rPr>
        <w:t xml:space="preserve"> – which set out a strategy to reform, reorganize and advance the economic and social capacities of the Palestinian territory.</w:t>
      </w:r>
      <w:r w:rsidRPr="00940E10">
        <w:rPr>
          <w:vertAlign w:val="superscript"/>
          <w:lang w:val="en-US"/>
        </w:rPr>
        <w:footnoteReference w:id="94"/>
      </w:r>
      <w:r w:rsidRPr="00940E10">
        <w:rPr>
          <w:lang w:val="en-US"/>
        </w:rPr>
        <w:t xml:space="preserve"> Its stated emphasis was technical: to focus on Palestinian institution-building, private sector investment and optimal economic planning, while leaving the issues of security, international law and final status issues to the political arena. A disquieting feature of this report is that its description of the dilapidated Palestinian economy in 1993 – high unemployment, stagnant income, deep poverty, overstretched public institutions and services, a deep dependence on the Israeli economy, vulnerability to Israeli political retaliation, and enormous economic disparities between Israelis and Palestinians – remains entirely accurate today even after 28 years of substantive institution building and billions of dollars in aid.</w:t>
      </w:r>
    </w:p>
    <w:p w14:paraId="33F8DC51" w14:textId="407E327E"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 xml:space="preserve">In the years since 1993, the World Bank has issued dozens of reports on the Palestinian economy, many of them highly technical reviews of specific sectors, and some of them containing understated observations on the myriad ways that Israel stunts and throttles the Palestinian economy. In particular, the Bank presents comprehensive twice-yearly economic reports to the Ad Hoc Liaison Committee, a body of states and institutions (including the United States and the European Union) which coordinates international aid to the Palestinian Authority, and for which the </w:t>
      </w:r>
      <w:r w:rsidR="00E757E3">
        <w:rPr>
          <w:lang w:val="en-US"/>
        </w:rPr>
        <w:t>World Bank acts as Secretariat.</w:t>
      </w:r>
    </w:p>
    <w:p w14:paraId="5EDBC606" w14:textId="3D859D00"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 xml:space="preserve">At their best, the World Bank reports depict the </w:t>
      </w:r>
      <w:proofErr w:type="spellStart"/>
      <w:r w:rsidRPr="00940E10">
        <w:rPr>
          <w:lang w:val="en-US"/>
        </w:rPr>
        <w:t>incumbering</w:t>
      </w:r>
      <w:proofErr w:type="spellEnd"/>
      <w:r w:rsidRPr="00940E10">
        <w:rPr>
          <w:lang w:val="en-US"/>
        </w:rPr>
        <w:t xml:space="preserve"> patterns of economic and social control imposed by Israel on the West Bank and Gaza, including the tight enclosures, freedom of movement restrictions, the withholding of taxes and clearance revenues, the growth of the settlements, the blockade of Gaza, the restriction of dual-use products and the constraints on Palestinian telecommunications.</w:t>
      </w:r>
      <w:r w:rsidRPr="00940E10">
        <w:rPr>
          <w:vertAlign w:val="superscript"/>
          <w:lang w:val="en-US"/>
        </w:rPr>
        <w:footnoteReference w:id="95"/>
      </w:r>
      <w:r w:rsidRPr="00940E10">
        <w:rPr>
          <w:lang w:val="en-US"/>
        </w:rPr>
        <w:t xml:space="preserve"> As well, some of these reports – particularly in the 2000s – linked these many constraints to the wider patterns of distress in Palestinian </w:t>
      </w:r>
      <w:r w:rsidRPr="00940E10">
        <w:rPr>
          <w:lang w:val="en-US"/>
        </w:rPr>
        <w:lastRenderedPageBreak/>
        <w:t>society, including declines in school enrollment, food insecurity, depression among school children and fragmenting social cohesion.</w:t>
      </w:r>
      <w:r w:rsidRPr="00940E10">
        <w:rPr>
          <w:vertAlign w:val="superscript"/>
          <w:lang w:val="en-US"/>
        </w:rPr>
        <w:footnoteReference w:id="96"/>
      </w:r>
      <w:r w:rsidRPr="00940E10">
        <w:rPr>
          <w:lang w:val="en-US"/>
        </w:rPr>
        <w:t xml:space="preserve"> In 2013, the Bank released one of its more impactful reports, focusing on Area C (the 61% of the West Bank completely under Israeli security and civil control, where all of its settlements are located); this report persuasively detailed how the alienation of this critical land resource from the Palestinians was crippling its economy, obstructing freedom of personal and commercial movement and foreclosing the possibility of independent development.</w:t>
      </w:r>
      <w:r w:rsidRPr="00940E10">
        <w:rPr>
          <w:vertAlign w:val="superscript"/>
          <w:lang w:val="en-US"/>
        </w:rPr>
        <w:footnoteReference w:id="97"/>
      </w:r>
    </w:p>
    <w:p w14:paraId="6175F578" w14:textId="52B5B443" w:rsidR="00940E10" w:rsidRDefault="00940E10" w:rsidP="00940E10">
      <w:pPr>
        <w:pStyle w:val="SingleTxtG"/>
        <w:numPr>
          <w:ilvl w:val="0"/>
          <w:numId w:val="15"/>
        </w:numPr>
        <w:kinsoku w:val="0"/>
        <w:overflowPunct w:val="0"/>
        <w:autoSpaceDE w:val="0"/>
        <w:autoSpaceDN w:val="0"/>
        <w:adjustRightInd w:val="0"/>
        <w:snapToGrid w:val="0"/>
        <w:ind w:left="1134" w:firstLine="0"/>
        <w:rPr>
          <w:lang w:val="en-US"/>
        </w:rPr>
      </w:pPr>
      <w:r w:rsidRPr="00940E10">
        <w:rPr>
          <w:lang w:val="en-US"/>
        </w:rPr>
        <w:t>But even at its best, the technocratic approach of the World Bank misses the forest for the trees. The punishing features of the smothering Israeli control over the Palestinian economy are not the result of regrettable Israeli policy, which are susceptible to change with empirically richer data and more comprehensive recommendations by the Bank. Nor will enhanced institutional capacity for the Palestinians significantly alter the disfiguring reality on the ground. These reports focus on the troublesome symptoms of an economy and society encased in an ossified occupation, while ignoring the larger morbidity. This misdiagnosis is as fatal to a desperate political situation as it is in medicine. The term “occupation” never appears in any of the World Bank reports. Even more troubling, the Bank’s reports on the “Palestinian territories” only reference the West Bank and Gaza; although East Jerusalem has long been designated by the United Nations as occupied Palestinian territory that has been illegally annexed by Israel, it is never included in the Bank’s coverage, apparently because this would require the Bank to “pre-judge its status”, hardly a neutral position.</w:t>
      </w:r>
      <w:r w:rsidRPr="00940E10">
        <w:rPr>
          <w:vertAlign w:val="superscript"/>
          <w:lang w:val="en-US"/>
        </w:rPr>
        <w:footnoteReference w:id="98"/>
      </w:r>
      <w:r w:rsidRPr="00940E10">
        <w:rPr>
          <w:lang w:val="en-US"/>
        </w:rPr>
        <w:t xml:space="preserve"> And the Bank does not attribute Israel’s policies and practices towards the Palestinians to a strategy of </w:t>
      </w:r>
      <w:r w:rsidRPr="00940E10">
        <w:rPr>
          <w:i/>
          <w:iCs/>
          <w:lang w:val="en-US"/>
        </w:rPr>
        <w:t>de facto</w:t>
      </w:r>
      <w:r w:rsidRPr="00940E10">
        <w:rPr>
          <w:lang w:val="en-US"/>
        </w:rPr>
        <w:t xml:space="preserve"> annexation and permanent control over the Palestinian territory, notwithstanding the plentiful ec</w:t>
      </w:r>
      <w:r w:rsidR="00E757E3">
        <w:rPr>
          <w:lang w:val="en-US"/>
        </w:rPr>
        <w:t>onomic and political evidence.</w:t>
      </w:r>
    </w:p>
    <w:p w14:paraId="681268BB" w14:textId="157C43FC" w:rsidR="00940E10" w:rsidRPr="00940E10" w:rsidRDefault="00940E10" w:rsidP="00940E10">
      <w:pPr>
        <w:pStyle w:val="SingleTxtG"/>
        <w:numPr>
          <w:ilvl w:val="0"/>
          <w:numId w:val="15"/>
        </w:numPr>
        <w:kinsoku w:val="0"/>
        <w:overflowPunct w:val="0"/>
        <w:autoSpaceDE w:val="0"/>
        <w:autoSpaceDN w:val="0"/>
        <w:adjustRightInd w:val="0"/>
        <w:snapToGrid w:val="0"/>
        <w:ind w:left="1134" w:firstLine="0"/>
      </w:pPr>
      <w:r w:rsidRPr="00940E10">
        <w:rPr>
          <w:lang w:val="en-US"/>
        </w:rPr>
        <w:t xml:space="preserve">It does not have to be this way. In comparison to the World Bank’s </w:t>
      </w:r>
      <w:r w:rsidRPr="00940E10">
        <w:rPr>
          <w:i/>
          <w:iCs/>
          <w:lang w:val="en-US"/>
        </w:rPr>
        <w:t>sotto voce</w:t>
      </w:r>
      <w:r w:rsidRPr="00940E10">
        <w:rPr>
          <w:lang w:val="en-US"/>
        </w:rPr>
        <w:t xml:space="preserve"> approach, the biannual reports from the United Nations Conference on Trade and Development (UNCTAD) employ a much sharper analysis, attributing the ravaging of the Palestinian economy directly to the Israeli occupation. In recent years, UNCTAD has issued substantive reports on the cumulative economic costs of the Israeli occupation on the Palestinian people,</w:t>
      </w:r>
      <w:r w:rsidRPr="00940E10">
        <w:rPr>
          <w:vertAlign w:val="superscript"/>
          <w:lang w:val="en-US"/>
        </w:rPr>
        <w:footnoteReference w:id="99"/>
      </w:r>
      <w:r w:rsidRPr="00940E10">
        <w:rPr>
          <w:lang w:val="en-US"/>
        </w:rPr>
        <w:t xml:space="preserve"> the barriers posed by the occupation to the realization of Palestine’s oil and natural gas potential,</w:t>
      </w:r>
      <w:r w:rsidRPr="00940E10">
        <w:rPr>
          <w:vertAlign w:val="superscript"/>
          <w:lang w:val="en-US"/>
        </w:rPr>
        <w:footnoteReference w:id="100"/>
      </w:r>
      <w:r w:rsidRPr="00940E10">
        <w:rPr>
          <w:lang w:val="en-US"/>
        </w:rPr>
        <w:t xml:space="preserve"> the hydraulic relationship between the growth of the settlements and widening Palestinian poverty</w:t>
      </w:r>
      <w:r w:rsidRPr="00940E10">
        <w:rPr>
          <w:vertAlign w:val="superscript"/>
          <w:lang w:val="en-US"/>
        </w:rPr>
        <w:footnoteReference w:id="101"/>
      </w:r>
      <w:r w:rsidRPr="00940E10">
        <w:rPr>
          <w:lang w:val="en-US"/>
        </w:rPr>
        <w:t xml:space="preserve"> and the ec</w:t>
      </w:r>
      <w:r w:rsidR="00BA1717">
        <w:rPr>
          <w:lang w:val="en-US"/>
        </w:rPr>
        <w:t xml:space="preserve">onomic collapse of Gaza behind </w:t>
      </w:r>
      <w:r w:rsidRPr="00940E10">
        <w:rPr>
          <w:lang w:val="en-US"/>
        </w:rPr>
        <w:t>a</w:t>
      </w:r>
      <w:r w:rsidR="00BA1717">
        <w:rPr>
          <w:lang w:val="en-US"/>
        </w:rPr>
        <w:t>n</w:t>
      </w:r>
      <w:r w:rsidRPr="00940E10">
        <w:rPr>
          <w:lang w:val="en-US"/>
        </w:rPr>
        <w:t xml:space="preserve"> airtight blockade.</w:t>
      </w:r>
      <w:r w:rsidRPr="00940E10">
        <w:rPr>
          <w:vertAlign w:val="superscript"/>
          <w:lang w:val="en-US"/>
        </w:rPr>
        <w:footnoteReference w:id="102"/>
      </w:r>
      <w:r w:rsidRPr="00940E10">
        <w:rPr>
          <w:lang w:val="en-US"/>
        </w:rPr>
        <w:t xml:space="preserve"> By naming the actual phenomena, these UNCTAD reports deliver a more authentic understanding of the economic reality in Palestine, and provide us with a fuller understanding as to why the billions in international aid and the institutional capacity building for the Palestinians have perversely achieved close to the opposite of the stated goals of the international community: not a state-in-the-making, but a broken territory in formaldehyde</w:t>
      </w:r>
      <w:r>
        <w:rPr>
          <w:lang w:val="en-US"/>
        </w:rPr>
        <w:t>.</w:t>
      </w:r>
    </w:p>
    <w:p w14:paraId="78BA524E" w14:textId="6F8C7DD3" w:rsidR="001D741C" w:rsidRDefault="001D741C" w:rsidP="001D741C">
      <w:pPr>
        <w:pStyle w:val="H23G"/>
        <w:rPr>
          <w:lang w:val="en-US"/>
        </w:rPr>
      </w:pPr>
      <w:r>
        <w:rPr>
          <w:lang w:val="en-US"/>
        </w:rPr>
        <w:tab/>
      </w:r>
      <w:r>
        <w:rPr>
          <w:lang w:val="en-US"/>
        </w:rPr>
        <w:tab/>
      </w:r>
      <w:r w:rsidR="002C1875" w:rsidRPr="00A46F44">
        <w:rPr>
          <w:lang w:val="en-US"/>
        </w:rPr>
        <w:t>The Quartet</w:t>
      </w:r>
    </w:p>
    <w:p w14:paraId="30BE0F63" w14:textId="5E5CB67A" w:rsidR="00481C0F" w:rsidRDefault="00481C0F" w:rsidP="00481C0F">
      <w:pPr>
        <w:pStyle w:val="SingleTxtG"/>
        <w:numPr>
          <w:ilvl w:val="0"/>
          <w:numId w:val="15"/>
        </w:numPr>
        <w:kinsoku w:val="0"/>
        <w:overflowPunct w:val="0"/>
        <w:autoSpaceDE w:val="0"/>
        <w:autoSpaceDN w:val="0"/>
        <w:adjustRightInd w:val="0"/>
        <w:snapToGrid w:val="0"/>
        <w:ind w:left="1134" w:firstLine="0"/>
        <w:rPr>
          <w:lang w:val="en-US"/>
        </w:rPr>
      </w:pPr>
      <w:r w:rsidRPr="00481C0F">
        <w:rPr>
          <w:lang w:val="en-US"/>
        </w:rPr>
        <w:t>The Quartet – made up of the United States, the European Union, the United Nations and Russia – was created in 2002 to enable a more multinatio</w:t>
      </w:r>
      <w:r w:rsidR="008361F5">
        <w:rPr>
          <w:lang w:val="en-US"/>
        </w:rPr>
        <w:t>nal dimension in the search for</w:t>
      </w:r>
      <w:r w:rsidRPr="00481C0F">
        <w:rPr>
          <w:lang w:val="en-US"/>
        </w:rPr>
        <w:t xml:space="preserve"> </w:t>
      </w:r>
      <w:r w:rsidRPr="00481C0F">
        <w:rPr>
          <w:lang w:val="en-US"/>
        </w:rPr>
        <w:lastRenderedPageBreak/>
        <w:t>lasting peace between Israel and the Palestinians. It was formed in the aftermath of the second Palestinian intifada and the collapse of the 2000 Camp David peace process. At its inception, the benefits of such a unique organization were thought to be its small but influential membership, its adaptability and informality, its ability to make swift decisions, and the political buy-in from both Israel and the Palestinians.</w:t>
      </w:r>
      <w:r w:rsidRPr="00481C0F">
        <w:rPr>
          <w:vertAlign w:val="superscript"/>
          <w:lang w:val="en-US"/>
        </w:rPr>
        <w:footnoteReference w:id="103"/>
      </w:r>
    </w:p>
    <w:p w14:paraId="4DB6A145" w14:textId="5EC64EE1" w:rsidR="00481C0F" w:rsidRDefault="00481C0F" w:rsidP="00481C0F">
      <w:pPr>
        <w:pStyle w:val="SingleTxtG"/>
        <w:numPr>
          <w:ilvl w:val="0"/>
          <w:numId w:val="15"/>
        </w:numPr>
        <w:kinsoku w:val="0"/>
        <w:overflowPunct w:val="0"/>
        <w:autoSpaceDE w:val="0"/>
        <w:autoSpaceDN w:val="0"/>
        <w:adjustRightInd w:val="0"/>
        <w:snapToGrid w:val="0"/>
        <w:ind w:left="1134" w:firstLine="0"/>
        <w:rPr>
          <w:lang w:val="en-US"/>
        </w:rPr>
      </w:pPr>
      <w:r w:rsidRPr="00481C0F">
        <w:rPr>
          <w:lang w:val="en-US"/>
        </w:rPr>
        <w:t>Today, the Quartet is a shell of what it once was. It has been without a high profile political envoy since the resignation of former UK Prime Minister Tony Blair in 2015. It conducts low-level technical and economic improvement projects for the Palestinians, including water, energy, movement and trade, telecommunications and rule of law initiatives.</w:t>
      </w:r>
      <w:r w:rsidRPr="00481C0F">
        <w:rPr>
          <w:vertAlign w:val="superscript"/>
          <w:lang w:val="en-US"/>
        </w:rPr>
        <w:footnoteReference w:id="104"/>
      </w:r>
      <w:r w:rsidRPr="00481C0F">
        <w:rPr>
          <w:lang w:val="en-US"/>
        </w:rPr>
        <w:t xml:space="preserve"> Its most recent statement, issued in March 2021 by the envoys of the four members (after not meeting for more than four years), was brief and antiseptic, expressing concern about the unsustainable economic disparity between Israelis and Palestinians and urging the parties to refrain from unilateral actions.</w:t>
      </w:r>
      <w:r w:rsidRPr="00481C0F">
        <w:rPr>
          <w:vertAlign w:val="superscript"/>
          <w:lang w:val="en-US"/>
        </w:rPr>
        <w:footnoteReference w:id="105"/>
      </w:r>
      <w:r w:rsidRPr="00481C0F">
        <w:rPr>
          <w:lang w:val="en-US"/>
        </w:rPr>
        <w:t xml:space="preserve"> The Quartet’s published strategy for 2021-2023 does not once mention the term “occupation” or reference settlements and their destructive role, does not provide any critical analysis of Israel’s dynamic and harsh control over the Palestinians, and provides no explanation as to how the Quartet’s economic improvements projects can flourish in an economy suffocated by barriers, walls, tariffs and checkpoints and without geographic trading access to the outside world.</w:t>
      </w:r>
      <w:r w:rsidRPr="00481C0F">
        <w:rPr>
          <w:vertAlign w:val="superscript"/>
          <w:lang w:val="en-US"/>
        </w:rPr>
        <w:footnoteReference w:id="106"/>
      </w:r>
    </w:p>
    <w:p w14:paraId="4F5715B5" w14:textId="77777777" w:rsidR="00481C0F" w:rsidRDefault="00481C0F" w:rsidP="00481C0F">
      <w:pPr>
        <w:pStyle w:val="SingleTxtG"/>
        <w:numPr>
          <w:ilvl w:val="0"/>
          <w:numId w:val="15"/>
        </w:numPr>
        <w:kinsoku w:val="0"/>
        <w:overflowPunct w:val="0"/>
        <w:autoSpaceDE w:val="0"/>
        <w:autoSpaceDN w:val="0"/>
        <w:adjustRightInd w:val="0"/>
        <w:snapToGrid w:val="0"/>
        <w:ind w:left="1134" w:firstLine="0"/>
        <w:rPr>
          <w:lang w:val="en-US"/>
        </w:rPr>
      </w:pPr>
      <w:r w:rsidRPr="00481C0F">
        <w:rPr>
          <w:lang w:val="en-US"/>
        </w:rPr>
        <w:t>The source of the Quartet’s ineffectiveness can be traced to two important and fateful turning points early in its existence. In 2003, it issued its Roadmap for Middle East peace, with a declared goal of ending the occupation and enabling a two state solution by 2005, based on detailed performance measures. While the Roadmap placed demands on both parties, the greater demands were borne by the Palestinians (an end to the intifada, elections, new institutions, a reformed government, the acceptance of provisional borders). The final status issues were to be negotiated by the parties, but without reference to international law (particularly with respect to the settlements and the annexation of Jerusalem) and without accounting for the vast disparities in power. Israel ostensibly accepted the Roadmap, but was permitted by the Quartet members to issue 14 reservations, which effectively undercut its viability. Accordingly to the most comprehensive appraisal of the Quartet’s performance, the United States discarded the Roadmap in 2005 to support Israel’s unilateral withdrawal from Gaza, with the reluctant acquiescence of the other three members.</w:t>
      </w:r>
      <w:r w:rsidRPr="00481C0F">
        <w:rPr>
          <w:vertAlign w:val="superscript"/>
          <w:lang w:val="en-US"/>
        </w:rPr>
        <w:footnoteReference w:id="107"/>
      </w:r>
    </w:p>
    <w:p w14:paraId="74E87451" w14:textId="77777777" w:rsidR="00481C0F" w:rsidRDefault="00481C0F" w:rsidP="00481C0F">
      <w:pPr>
        <w:pStyle w:val="SingleTxtG"/>
        <w:numPr>
          <w:ilvl w:val="0"/>
          <w:numId w:val="15"/>
        </w:numPr>
        <w:kinsoku w:val="0"/>
        <w:overflowPunct w:val="0"/>
        <w:autoSpaceDE w:val="0"/>
        <w:autoSpaceDN w:val="0"/>
        <w:adjustRightInd w:val="0"/>
        <w:snapToGrid w:val="0"/>
        <w:ind w:left="1134" w:firstLine="0"/>
        <w:rPr>
          <w:lang w:val="en-US"/>
        </w:rPr>
      </w:pPr>
      <w:r w:rsidRPr="00481C0F">
        <w:rPr>
          <w:lang w:val="en-US"/>
        </w:rPr>
        <w:t xml:space="preserve">The Quartet’s second fateful turning point was the decision in 2006 to boycott the Palestinian government after the election of Hamas. One can regard Hamas as an organization that had and has committed odious acts, but still recognize that the 2006 Palestinian election was free and fair and that the Quartet’s imposition of demands on the new government, absent any corresponding demands on Israel to comply with its considerable international obligations, debilitated its authority and purpose. Some members of the Quartet supported economic sanctions on the new Palestinian government, something they have never considered imposing on Israel for its serious violations. This decision contributed to the Palestinian political split which persists today. The then Special Representative of the UN Secretary General subsequently noted that this post-election position: “…effectively transformed the Quartet from a negotiation-promoting foursome guided by a common document (the </w:t>
      </w:r>
      <w:proofErr w:type="spellStart"/>
      <w:r w:rsidRPr="00481C0F">
        <w:rPr>
          <w:lang w:val="en-US"/>
        </w:rPr>
        <w:t>RoadMap</w:t>
      </w:r>
      <w:proofErr w:type="spellEnd"/>
      <w:r w:rsidRPr="00481C0F">
        <w:rPr>
          <w:lang w:val="en-US"/>
        </w:rPr>
        <w:t xml:space="preserve">) into a body that was all-but-imposing sanctions on a freely-elected </w:t>
      </w:r>
      <w:r w:rsidRPr="00481C0F">
        <w:rPr>
          <w:lang w:val="en-US"/>
        </w:rPr>
        <w:lastRenderedPageBreak/>
        <w:t>government of a people under occupation as well as setting unattainable preconditions for dialogue.”</w:t>
      </w:r>
      <w:r w:rsidRPr="00481C0F">
        <w:rPr>
          <w:vertAlign w:val="superscript"/>
          <w:lang w:val="en-US"/>
        </w:rPr>
        <w:footnoteReference w:id="108"/>
      </w:r>
    </w:p>
    <w:p w14:paraId="252EEE2A" w14:textId="5F3331EC" w:rsidR="00940E10" w:rsidRPr="00481C0F" w:rsidRDefault="00481C0F" w:rsidP="00940E10">
      <w:pPr>
        <w:pStyle w:val="SingleTxtG"/>
        <w:numPr>
          <w:ilvl w:val="0"/>
          <w:numId w:val="15"/>
        </w:numPr>
        <w:kinsoku w:val="0"/>
        <w:overflowPunct w:val="0"/>
        <w:autoSpaceDE w:val="0"/>
        <w:autoSpaceDN w:val="0"/>
        <w:adjustRightInd w:val="0"/>
        <w:snapToGrid w:val="0"/>
        <w:ind w:left="1134" w:firstLine="0"/>
        <w:rPr>
          <w:lang w:val="en-US"/>
        </w:rPr>
      </w:pPr>
      <w:r w:rsidRPr="00481C0F">
        <w:rPr>
          <w:lang w:val="en-US"/>
        </w:rPr>
        <w:t xml:space="preserve">An overriding lesson arising from the Quartet’s predicament is that the acceptance by the other three members of American dominance meant that, in these circumstances, the Quartet’s positions frequently reflect the lowest common dominator: that of the United States. Hence, the quip: “the Quartet </w:t>
      </w:r>
      <w:r w:rsidRPr="00481C0F">
        <w:rPr>
          <w:i/>
          <w:iCs/>
          <w:lang w:val="en-US"/>
        </w:rPr>
        <w:t xml:space="preserve">sans </w:t>
      </w:r>
      <w:proofErr w:type="spellStart"/>
      <w:r w:rsidRPr="00481C0F">
        <w:rPr>
          <w:i/>
          <w:iCs/>
          <w:lang w:val="en-US"/>
        </w:rPr>
        <w:t>trois</w:t>
      </w:r>
      <w:proofErr w:type="spellEnd"/>
      <w:r w:rsidRPr="00481C0F">
        <w:rPr>
          <w:lang w:val="en-US"/>
        </w:rPr>
        <w:t>.”</w:t>
      </w:r>
      <w:r w:rsidRPr="00481C0F">
        <w:rPr>
          <w:vertAlign w:val="superscript"/>
          <w:lang w:val="en-US"/>
        </w:rPr>
        <w:footnoteReference w:id="109"/>
      </w:r>
      <w:r w:rsidRPr="00481C0F">
        <w:rPr>
          <w:lang w:val="en-US"/>
        </w:rPr>
        <w:t xml:space="preserve"> Given the extraordinary political, diplomatic and military relationship between America and Israel, the result was that international law had no place in the Quartet’s policies, the United States assumed the sole role of monitoring Israel’s compliance with the Roadmap, and the Quartet rarely took positions critical of Israel’s role as a covetous occupier which might have once salvaged the vanishing two state solution.</w:t>
      </w:r>
      <w:r w:rsidRPr="00481C0F">
        <w:rPr>
          <w:vertAlign w:val="superscript"/>
          <w:lang w:val="en-US"/>
        </w:rPr>
        <w:footnoteReference w:id="110"/>
      </w:r>
      <w:r w:rsidRPr="00481C0F">
        <w:rPr>
          <w:lang w:val="en-US"/>
        </w:rPr>
        <w:t xml:space="preserve"> This imbalance not only seriously diminished any potential effectiveness of the Quartet, but it has tarnished the image and role of the United Nations, whose foremost responsibility is to uphold intern</w:t>
      </w:r>
      <w:r w:rsidR="008361F5">
        <w:rPr>
          <w:lang w:val="en-US"/>
        </w:rPr>
        <w:t>ational law and UN resolutions.</w:t>
      </w:r>
    </w:p>
    <w:p w14:paraId="6C8A4466" w14:textId="7F2E9C19" w:rsidR="002C1875" w:rsidRPr="00A46F44" w:rsidRDefault="00A46F44" w:rsidP="00A46F44">
      <w:pPr>
        <w:pStyle w:val="HChG"/>
        <w:rPr>
          <w:color w:val="000000" w:themeColor="text1"/>
        </w:rPr>
      </w:pPr>
      <w:r>
        <w:rPr>
          <w:color w:val="000000" w:themeColor="text1"/>
        </w:rPr>
        <w:tab/>
        <w:t>IV.</w:t>
      </w:r>
      <w:r>
        <w:rPr>
          <w:color w:val="000000" w:themeColor="text1"/>
        </w:rPr>
        <w:tab/>
      </w:r>
      <w:r w:rsidR="002C1875" w:rsidRPr="00A46F44">
        <w:rPr>
          <w:color w:val="000000" w:themeColor="text1"/>
        </w:rPr>
        <w:t>Conclusion and Recommendations</w:t>
      </w:r>
    </w:p>
    <w:p w14:paraId="1F62DAAB" w14:textId="0FC09530" w:rsidR="00481C0F" w:rsidRDefault="00481C0F" w:rsidP="00481C0F">
      <w:pPr>
        <w:pStyle w:val="SingleTxtG"/>
        <w:numPr>
          <w:ilvl w:val="0"/>
          <w:numId w:val="15"/>
        </w:numPr>
        <w:kinsoku w:val="0"/>
        <w:overflowPunct w:val="0"/>
        <w:autoSpaceDE w:val="0"/>
        <w:autoSpaceDN w:val="0"/>
        <w:adjustRightInd w:val="0"/>
        <w:snapToGrid w:val="0"/>
        <w:ind w:left="1134" w:firstLine="0"/>
        <w:rPr>
          <w:b/>
          <w:lang w:val="en-US"/>
        </w:rPr>
      </w:pPr>
      <w:r w:rsidRPr="00481C0F">
        <w:rPr>
          <w:b/>
          <w:lang w:val="en-US"/>
        </w:rPr>
        <w:t>The international community bears a significant responsibility for the persistence of the Israeli occupation of Palestine and the failure to secure a just and lasting peace in the region. The occupation is more embedded than ever. The living conditions of the Palestinians, let alone their political future, have become even more precarious. Israel’s defiance has gone almost completely unchecked. The peace process is moribund, if not comatose, and there is no serious talk about reviving it. In this post-colonial era, in the third decade of the 21</w:t>
      </w:r>
      <w:r w:rsidRPr="00481C0F">
        <w:rPr>
          <w:b/>
          <w:vertAlign w:val="superscript"/>
          <w:lang w:val="en-US"/>
        </w:rPr>
        <w:t>st</w:t>
      </w:r>
      <w:r w:rsidRPr="00481C0F">
        <w:rPr>
          <w:b/>
          <w:lang w:val="en-US"/>
        </w:rPr>
        <w:t xml:space="preserve"> century, the world is tolerating the intolerable: the imposition of a colonial reality in Palestine. All of this </w:t>
      </w:r>
      <w:proofErr w:type="spellStart"/>
      <w:r w:rsidRPr="00481C0F">
        <w:rPr>
          <w:b/>
          <w:lang w:val="en-US"/>
        </w:rPr>
        <w:t>favours</w:t>
      </w:r>
      <w:proofErr w:type="spellEnd"/>
      <w:r w:rsidRPr="00481C0F">
        <w:rPr>
          <w:b/>
          <w:lang w:val="en-US"/>
        </w:rPr>
        <w:t xml:space="preserve"> the acquisitive occupier. All of this works against the rights of the subjugated, who ar</w:t>
      </w:r>
      <w:r w:rsidR="008361F5">
        <w:rPr>
          <w:b/>
          <w:lang w:val="en-US"/>
        </w:rPr>
        <w:t>e long overdue for restitution.</w:t>
      </w:r>
    </w:p>
    <w:p w14:paraId="74CE1A8B" w14:textId="3E0D9530" w:rsidR="00481C0F" w:rsidRDefault="00481C0F" w:rsidP="00481C0F">
      <w:pPr>
        <w:pStyle w:val="SingleTxtG"/>
        <w:numPr>
          <w:ilvl w:val="0"/>
          <w:numId w:val="15"/>
        </w:numPr>
        <w:kinsoku w:val="0"/>
        <w:overflowPunct w:val="0"/>
        <w:autoSpaceDE w:val="0"/>
        <w:autoSpaceDN w:val="0"/>
        <w:adjustRightInd w:val="0"/>
        <w:snapToGrid w:val="0"/>
        <w:ind w:left="1134" w:firstLine="0"/>
        <w:rPr>
          <w:b/>
          <w:lang w:val="en-US"/>
        </w:rPr>
      </w:pPr>
      <w:r w:rsidRPr="00481C0F">
        <w:rPr>
          <w:b/>
          <w:lang w:val="en-US"/>
        </w:rPr>
        <w:t>Measured against the five criteria proposed in this report, none of the four international actors, all of whom have influence on the Israeli occupation of Palestine, come close to incorporating what is necessary to create a viable new foundation for genuine Middle East peacemaking. Yet, the door remains open. The United States can make good on its promise to stand up for human rights everywhere.</w:t>
      </w:r>
      <w:r w:rsidRPr="00481C0F">
        <w:rPr>
          <w:b/>
          <w:vertAlign w:val="superscript"/>
          <w:lang w:val="en-US"/>
        </w:rPr>
        <w:footnoteReference w:id="111"/>
      </w:r>
      <w:r w:rsidRPr="00481C0F">
        <w:rPr>
          <w:b/>
          <w:lang w:val="en-US"/>
        </w:rPr>
        <w:t xml:space="preserve"> The European Union can display diplomatic courage in charting an independent course anchored on a rights-based approach.</w:t>
      </w:r>
      <w:r w:rsidRPr="00481C0F">
        <w:rPr>
          <w:b/>
          <w:vertAlign w:val="superscript"/>
          <w:lang w:val="en-US"/>
        </w:rPr>
        <w:footnoteReference w:id="112"/>
      </w:r>
      <w:r w:rsidRPr="00481C0F">
        <w:rPr>
          <w:b/>
          <w:lang w:val="en-US"/>
        </w:rPr>
        <w:t xml:space="preserve"> The World Bank can address the economic reality of the occupation through a human rights lens that will led to much better policy recommendations. And the Quartet can elevate its impact by insisting upon the established international framework for peace wit</w:t>
      </w:r>
      <w:r w:rsidR="008361F5">
        <w:rPr>
          <w:b/>
          <w:lang w:val="en-US"/>
        </w:rPr>
        <w:t>h justice in the Middle East.</w:t>
      </w:r>
    </w:p>
    <w:p w14:paraId="6A28FBB3" w14:textId="3557C8EF" w:rsidR="00481C0F" w:rsidRDefault="00481C0F" w:rsidP="00481C0F">
      <w:pPr>
        <w:pStyle w:val="SingleTxtG"/>
        <w:numPr>
          <w:ilvl w:val="0"/>
          <w:numId w:val="15"/>
        </w:numPr>
        <w:kinsoku w:val="0"/>
        <w:overflowPunct w:val="0"/>
        <w:autoSpaceDE w:val="0"/>
        <w:autoSpaceDN w:val="0"/>
        <w:adjustRightInd w:val="0"/>
        <w:snapToGrid w:val="0"/>
        <w:ind w:left="1134" w:firstLine="0"/>
        <w:rPr>
          <w:b/>
          <w:lang w:val="en-US"/>
        </w:rPr>
      </w:pPr>
      <w:r w:rsidRPr="00481C0F">
        <w:rPr>
          <w:b/>
          <w:lang w:val="en-US"/>
        </w:rPr>
        <w:t xml:space="preserve">It should be clear that the </w:t>
      </w:r>
      <w:r w:rsidRPr="00481C0F">
        <w:rPr>
          <w:b/>
          <w:i/>
          <w:iCs/>
          <w:lang w:val="en-US"/>
        </w:rPr>
        <w:t>realpolitik</w:t>
      </w:r>
      <w:r w:rsidRPr="00481C0F">
        <w:rPr>
          <w:b/>
          <w:lang w:val="en-US"/>
        </w:rPr>
        <w:t xml:space="preserve"> playbook for the Middle East peace process is well past its best-by date. More of the same is not working, and won’t work. The new diplomatic playbook must be endowed with rights and legality at its core. While this is a necessary pre-condition, it is, by itself, insufficient. Imaginative and brave diplomacy, willing to finally ask the honest questions as to why this five-decade-old occupation has become indistinguishable from annexation and apartheid, is also indispensable. All of </w:t>
      </w:r>
      <w:r w:rsidRPr="00481C0F">
        <w:rPr>
          <w:b/>
          <w:lang w:val="en-US"/>
        </w:rPr>
        <w:lastRenderedPageBreak/>
        <w:t xml:space="preserve">this, together with the international application of accountability, could finally enable Palestinians and Israelis to enjoy the prosperity of a shared future together </w:t>
      </w:r>
    </w:p>
    <w:p w14:paraId="41287484" w14:textId="77777777" w:rsidR="00481C0F" w:rsidRDefault="00481C0F" w:rsidP="00481C0F">
      <w:pPr>
        <w:pStyle w:val="SingleTxtG"/>
        <w:numPr>
          <w:ilvl w:val="0"/>
          <w:numId w:val="15"/>
        </w:numPr>
        <w:kinsoku w:val="0"/>
        <w:overflowPunct w:val="0"/>
        <w:autoSpaceDE w:val="0"/>
        <w:autoSpaceDN w:val="0"/>
        <w:adjustRightInd w:val="0"/>
        <w:snapToGrid w:val="0"/>
        <w:ind w:left="1134" w:firstLine="0"/>
        <w:rPr>
          <w:b/>
          <w:lang w:val="en-US"/>
        </w:rPr>
      </w:pPr>
      <w:r w:rsidRPr="00481C0F">
        <w:rPr>
          <w:b/>
          <w:bCs/>
          <w:lang w:val="en-US"/>
        </w:rPr>
        <w:t>The Special Rapporteur recommends that the Government of Israel fully comply with its obligations under international law and completely end the occupation of the Palestinian territory with all deliberate speed.</w:t>
      </w:r>
    </w:p>
    <w:p w14:paraId="71FCB467" w14:textId="480AB981" w:rsidR="00481C0F" w:rsidRPr="00481C0F" w:rsidRDefault="00481C0F" w:rsidP="00481C0F">
      <w:pPr>
        <w:pStyle w:val="SingleTxtG"/>
        <w:numPr>
          <w:ilvl w:val="0"/>
          <w:numId w:val="15"/>
        </w:numPr>
        <w:kinsoku w:val="0"/>
        <w:overflowPunct w:val="0"/>
        <w:autoSpaceDE w:val="0"/>
        <w:autoSpaceDN w:val="0"/>
        <w:adjustRightInd w:val="0"/>
        <w:snapToGrid w:val="0"/>
        <w:ind w:left="1134" w:firstLine="0"/>
        <w:rPr>
          <w:b/>
          <w:lang w:val="en-US"/>
        </w:rPr>
      </w:pPr>
      <w:r w:rsidRPr="00481C0F">
        <w:rPr>
          <w:b/>
          <w:bCs/>
          <w:lang w:val="en-US"/>
        </w:rPr>
        <w:t>The Special Rapporteur recommends to the international community, including international actors who are deeply involved in supervising the occupation, that it/they:</w:t>
      </w:r>
    </w:p>
    <w:p w14:paraId="06A1B6ED" w14:textId="3EA9E231" w:rsidR="00481C0F" w:rsidRPr="00481C0F" w:rsidRDefault="00481C0F" w:rsidP="00481C0F">
      <w:pPr>
        <w:pStyle w:val="SingleTxtG"/>
        <w:numPr>
          <w:ilvl w:val="0"/>
          <w:numId w:val="47"/>
        </w:numPr>
        <w:kinsoku w:val="0"/>
        <w:overflowPunct w:val="0"/>
        <w:autoSpaceDE w:val="0"/>
        <w:autoSpaceDN w:val="0"/>
        <w:adjustRightInd w:val="0"/>
        <w:snapToGrid w:val="0"/>
        <w:ind w:left="1418" w:hanging="284"/>
        <w:rPr>
          <w:b/>
          <w:bCs/>
          <w:lang w:val="en-US"/>
        </w:rPr>
      </w:pPr>
      <w:r w:rsidRPr="00481C0F">
        <w:rPr>
          <w:b/>
          <w:bCs/>
          <w:lang w:val="en-US"/>
        </w:rPr>
        <w:t xml:space="preserve">Develop a comprehensive list of accountability measures to be applied to Israel until it complies with all relevant United Nations resolutions and accepts the international direction respecting the administration and termination of the occupation; </w:t>
      </w:r>
    </w:p>
    <w:p w14:paraId="04F35DF8" w14:textId="77777777" w:rsidR="00481C0F" w:rsidRPr="00481C0F" w:rsidRDefault="00481C0F" w:rsidP="00481C0F">
      <w:pPr>
        <w:pStyle w:val="SingleTxtG"/>
        <w:numPr>
          <w:ilvl w:val="0"/>
          <w:numId w:val="47"/>
        </w:numPr>
        <w:kinsoku w:val="0"/>
        <w:overflowPunct w:val="0"/>
        <w:autoSpaceDE w:val="0"/>
        <w:autoSpaceDN w:val="0"/>
        <w:adjustRightInd w:val="0"/>
        <w:snapToGrid w:val="0"/>
        <w:ind w:left="1418" w:hanging="284"/>
        <w:rPr>
          <w:b/>
          <w:bCs/>
          <w:lang w:val="en-US"/>
        </w:rPr>
      </w:pPr>
      <w:r w:rsidRPr="00481C0F">
        <w:rPr>
          <w:b/>
          <w:bCs/>
          <w:lang w:val="en-US"/>
        </w:rPr>
        <w:t xml:space="preserve">Fully support the work of the Office of the Prosecutor of the International Criminal Court with respect to its investigation of the situation in Palestine; and </w:t>
      </w:r>
    </w:p>
    <w:p w14:paraId="7DB2B808" w14:textId="68EF0088" w:rsidR="00070A98" w:rsidRDefault="00481C0F" w:rsidP="008F6269">
      <w:pPr>
        <w:pStyle w:val="SingleTxtG"/>
        <w:numPr>
          <w:ilvl w:val="0"/>
          <w:numId w:val="47"/>
        </w:numPr>
        <w:kinsoku w:val="0"/>
        <w:overflowPunct w:val="0"/>
        <w:autoSpaceDE w:val="0"/>
        <w:autoSpaceDN w:val="0"/>
        <w:adjustRightInd w:val="0"/>
        <w:snapToGrid w:val="0"/>
        <w:ind w:left="1418" w:hanging="284"/>
        <w:rPr>
          <w:b/>
          <w:bCs/>
          <w:lang w:val="en-US"/>
        </w:rPr>
      </w:pPr>
      <w:r w:rsidRPr="00481C0F">
        <w:rPr>
          <w:b/>
          <w:bCs/>
          <w:lang w:val="en-US"/>
        </w:rPr>
        <w:t>Adopt the five criteria developed in this report to guide its future work in supervising the question of Palestine in all its aspects.</w:t>
      </w:r>
    </w:p>
    <w:p w14:paraId="21211E90" w14:textId="77777777" w:rsidR="00DF2495" w:rsidRDefault="00DF2495" w:rsidP="00DF2495">
      <w:pPr>
        <w:pStyle w:val="SingleTxtG"/>
        <w:spacing w:before="240" w:after="0"/>
        <w:ind w:left="1080"/>
        <w:rPr>
          <w:rFonts w:eastAsiaTheme="minorHAnsi"/>
          <w:spacing w:val="4"/>
          <w:w w:val="103"/>
          <w:kern w:val="14"/>
        </w:rPr>
      </w:pPr>
      <w:r>
        <w:rPr>
          <w:rFonts w:eastAsiaTheme="minorHAnsi"/>
          <w:spacing w:val="4"/>
          <w:w w:val="103"/>
          <w:kern w:val="14"/>
        </w:rPr>
        <w:t xml:space="preserve">                                          </w:t>
      </w:r>
    </w:p>
    <w:p w14:paraId="2B3C22AE" w14:textId="4909CD9D" w:rsidR="00DF2495" w:rsidRPr="004D2959" w:rsidRDefault="00DF2495" w:rsidP="00DF2495">
      <w:pPr>
        <w:pStyle w:val="SingleTxtG"/>
        <w:spacing w:before="240" w:after="0"/>
        <w:ind w:left="1080"/>
        <w:rPr>
          <w:b/>
          <w:u w:val="single"/>
        </w:rPr>
      </w:pPr>
      <w:r>
        <w:rPr>
          <w:rFonts w:eastAsiaTheme="minorHAnsi"/>
          <w:spacing w:val="4"/>
          <w:w w:val="103"/>
          <w:kern w:val="14"/>
        </w:rPr>
        <w:t xml:space="preserve">                                          </w:t>
      </w:r>
      <w:r w:rsidRPr="004D2959">
        <w:rPr>
          <w:rFonts w:eastAsiaTheme="minorHAnsi"/>
          <w:spacing w:val="4"/>
          <w:w w:val="103"/>
          <w:kern w:val="14"/>
        </w:rPr>
        <w:tab/>
      </w:r>
      <w:r w:rsidRPr="004D2959">
        <w:rPr>
          <w:rFonts w:eastAsiaTheme="minorHAnsi"/>
          <w:spacing w:val="4"/>
          <w:w w:val="103"/>
          <w:kern w:val="14"/>
          <w:u w:val="single"/>
        </w:rPr>
        <w:tab/>
      </w:r>
      <w:r w:rsidRPr="004D2959">
        <w:rPr>
          <w:rFonts w:eastAsiaTheme="minorHAnsi"/>
          <w:spacing w:val="4"/>
          <w:w w:val="103"/>
          <w:kern w:val="14"/>
          <w:u w:val="single"/>
        </w:rPr>
        <w:tab/>
      </w:r>
      <w:r w:rsidRPr="004D2959">
        <w:rPr>
          <w:rFonts w:eastAsiaTheme="minorHAnsi"/>
          <w:spacing w:val="4"/>
          <w:w w:val="103"/>
          <w:kern w:val="14"/>
          <w:u w:val="single"/>
        </w:rPr>
        <w:tab/>
      </w:r>
    </w:p>
    <w:p w14:paraId="3C82567F" w14:textId="6DE8DD73" w:rsidR="00DF2495" w:rsidRPr="004D2959" w:rsidRDefault="00DF2495" w:rsidP="00DF2495">
      <w:pPr>
        <w:pStyle w:val="SingleTxtG"/>
        <w:spacing w:before="240" w:after="0"/>
        <w:ind w:left="1080"/>
        <w:jc w:val="center"/>
        <w:rPr>
          <w:b/>
          <w:u w:val="single"/>
        </w:rPr>
      </w:pPr>
    </w:p>
    <w:p w14:paraId="33F44C2E" w14:textId="77777777" w:rsidR="00DF2495" w:rsidRPr="008F6269" w:rsidRDefault="00DF2495" w:rsidP="00DF2495">
      <w:pPr>
        <w:pStyle w:val="SingleTxtG"/>
        <w:kinsoku w:val="0"/>
        <w:overflowPunct w:val="0"/>
        <w:autoSpaceDE w:val="0"/>
        <w:autoSpaceDN w:val="0"/>
        <w:adjustRightInd w:val="0"/>
        <w:snapToGrid w:val="0"/>
        <w:ind w:left="1418"/>
        <w:rPr>
          <w:b/>
          <w:bCs/>
          <w:lang w:val="en-US"/>
        </w:rPr>
      </w:pPr>
    </w:p>
    <w:sectPr w:rsidR="00DF2495" w:rsidRPr="008F6269">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2976" w14:textId="77777777" w:rsidR="00940E10" w:rsidRDefault="00940E10"/>
  </w:endnote>
  <w:endnote w:type="continuationSeparator" w:id="0">
    <w:p w14:paraId="6E8E1F93" w14:textId="77777777" w:rsidR="00940E10" w:rsidRDefault="00940E10"/>
  </w:endnote>
  <w:endnote w:type="continuationNotice" w:id="1">
    <w:p w14:paraId="062D04F4" w14:textId="77777777" w:rsidR="00940E10" w:rsidRDefault="00940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7DA1" w14:textId="36E4BDC5" w:rsidR="00940E10" w:rsidRDefault="00940E10">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B76104">
      <w:rPr>
        <w:b/>
        <w:noProof/>
        <w:sz w:val="18"/>
      </w:rPr>
      <w:t>20</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7DA2" w14:textId="03E02C5A" w:rsidR="00940E10" w:rsidRDefault="00940E1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B76104">
      <w:rPr>
        <w:b/>
        <w:noProof/>
        <w:sz w:val="18"/>
      </w:rPr>
      <w:t>19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763B" w14:textId="77777777" w:rsidR="00940E10" w:rsidRDefault="00940E10">
      <w:pPr>
        <w:tabs>
          <w:tab w:val="right" w:pos="2155"/>
        </w:tabs>
        <w:spacing w:after="80"/>
        <w:ind w:left="680"/>
        <w:rPr>
          <w:u w:val="single"/>
        </w:rPr>
      </w:pPr>
      <w:r>
        <w:rPr>
          <w:u w:val="single"/>
        </w:rPr>
        <w:tab/>
      </w:r>
    </w:p>
  </w:footnote>
  <w:footnote w:type="continuationSeparator" w:id="0">
    <w:p w14:paraId="1DF3FA9A" w14:textId="77777777" w:rsidR="00940E10" w:rsidRDefault="00940E10">
      <w:pPr>
        <w:tabs>
          <w:tab w:val="left" w:pos="2155"/>
        </w:tabs>
        <w:spacing w:after="80"/>
        <w:ind w:left="680"/>
        <w:rPr>
          <w:u w:val="single"/>
        </w:rPr>
      </w:pPr>
      <w:r>
        <w:rPr>
          <w:u w:val="single"/>
        </w:rPr>
        <w:tab/>
      </w:r>
    </w:p>
  </w:footnote>
  <w:footnote w:type="continuationNotice" w:id="1">
    <w:p w14:paraId="7522E3BA" w14:textId="77777777" w:rsidR="00940E10" w:rsidRDefault="00940E10"/>
  </w:footnote>
  <w:footnote w:id="2">
    <w:p w14:paraId="14C6EE02" w14:textId="079181FB" w:rsidR="00697A81" w:rsidRPr="00697A81" w:rsidRDefault="00697A81" w:rsidP="00697A81">
      <w:pPr>
        <w:pStyle w:val="FootnoteText"/>
        <w:spacing w:line="240" w:lineRule="auto"/>
      </w:pPr>
      <w:r>
        <w:rPr>
          <w:rStyle w:val="FootnoteReference"/>
        </w:rPr>
        <w:tab/>
      </w:r>
      <w:r w:rsidRPr="00697A81">
        <w:rPr>
          <w:rStyle w:val="FootnoteReference"/>
          <w:sz w:val="20"/>
          <w:vertAlign w:val="baseline"/>
        </w:rPr>
        <w:t>*</w:t>
      </w:r>
      <w:r>
        <w:rPr>
          <w:rStyle w:val="FootnoteReference"/>
          <w:sz w:val="20"/>
          <w:vertAlign w:val="baseline"/>
        </w:rPr>
        <w:tab/>
      </w:r>
      <w:r>
        <w:rPr>
          <w:sz w:val="20"/>
        </w:rPr>
        <w:t>A/76/150.</w:t>
      </w:r>
    </w:p>
  </w:footnote>
  <w:footnote w:id="3">
    <w:p w14:paraId="09F399CA" w14:textId="41A18199" w:rsidR="00697A81" w:rsidRPr="00697A81" w:rsidRDefault="00697A81">
      <w:pPr>
        <w:pStyle w:val="FootnoteText"/>
      </w:pPr>
      <w:r>
        <w:rPr>
          <w:rStyle w:val="FootnoteReference"/>
        </w:rPr>
        <w:tab/>
      </w:r>
      <w:r w:rsidRPr="00697A81">
        <w:rPr>
          <w:rStyle w:val="FootnoteReference"/>
          <w:sz w:val="20"/>
          <w:vertAlign w:val="baseline"/>
        </w:rPr>
        <w:t>**</w:t>
      </w:r>
      <w:r>
        <w:rPr>
          <w:rStyle w:val="FootnoteReference"/>
          <w:sz w:val="20"/>
          <w:vertAlign w:val="baseline"/>
        </w:rPr>
        <w:tab/>
      </w:r>
      <w:r w:rsidRPr="00697A81">
        <w:rPr>
          <w:color w:val="000000" w:themeColor="text1"/>
          <w:szCs w:val="18"/>
        </w:rPr>
        <w:t>The present report was submitted after the deadline in order to reflect the most recent developments</w:t>
      </w:r>
      <w:r>
        <w:rPr>
          <w:color w:val="000000" w:themeColor="text1"/>
          <w:szCs w:val="18"/>
        </w:rPr>
        <w:t>.</w:t>
      </w:r>
    </w:p>
  </w:footnote>
  <w:footnote w:id="4">
    <w:p w14:paraId="6F327EF7" w14:textId="179266EB" w:rsidR="00940E10" w:rsidRPr="00F3589A" w:rsidRDefault="00940E10" w:rsidP="0060457D">
      <w:pPr>
        <w:pStyle w:val="FootnoteText"/>
      </w:pPr>
      <w:r>
        <w:tab/>
      </w:r>
      <w:r w:rsidRPr="008361F5">
        <w:rPr>
          <w:rStyle w:val="FootnoteReference"/>
        </w:rPr>
        <w:footnoteRef/>
      </w:r>
      <w:r w:rsidR="008361F5">
        <w:tab/>
      </w:r>
      <w:r>
        <w:t xml:space="preserve">As of 27 August. </w:t>
      </w:r>
      <w:r w:rsidRPr="00F3589A">
        <w:t>https://www.ochaopt.org/poc/10-23-august-2021</w:t>
      </w:r>
    </w:p>
  </w:footnote>
  <w:footnote w:id="5">
    <w:p w14:paraId="29727B1F" w14:textId="5BAF8B68" w:rsidR="00940E10" w:rsidRPr="004870BA" w:rsidRDefault="00940E10" w:rsidP="0060457D">
      <w:pPr>
        <w:pStyle w:val="FootnoteText"/>
      </w:pPr>
      <w:r w:rsidRPr="004870BA">
        <w:tab/>
      </w:r>
      <w:r w:rsidRPr="008361F5">
        <w:rPr>
          <w:rStyle w:val="FootnoteReference"/>
        </w:rPr>
        <w:footnoteRef/>
      </w:r>
      <w:r w:rsidR="008361F5" w:rsidRPr="004870BA">
        <w:tab/>
      </w:r>
      <w:r w:rsidRPr="004870BA">
        <w:t>Ibid.</w:t>
      </w:r>
    </w:p>
  </w:footnote>
  <w:footnote w:id="6">
    <w:p w14:paraId="7F9958C0" w14:textId="2993AF19" w:rsidR="00940E10" w:rsidRPr="004870BA" w:rsidRDefault="00940E10" w:rsidP="0060457D">
      <w:pPr>
        <w:pStyle w:val="FootnoteText"/>
      </w:pPr>
      <w:r w:rsidRPr="004870BA">
        <w:tab/>
      </w:r>
      <w:r w:rsidRPr="008361F5">
        <w:rPr>
          <w:rStyle w:val="FootnoteReference"/>
        </w:rPr>
        <w:footnoteRef/>
      </w:r>
      <w:r w:rsidRPr="004870BA">
        <w:tab/>
        <w:t>https://www.ochaopt.org/poc/27-july-9-august-2021</w:t>
      </w:r>
    </w:p>
  </w:footnote>
  <w:footnote w:id="7">
    <w:p w14:paraId="6F5D78BE" w14:textId="3176BB3A" w:rsidR="00940E10" w:rsidRPr="004870BA" w:rsidRDefault="00940E10" w:rsidP="0060457D">
      <w:pPr>
        <w:pStyle w:val="FootnoteText"/>
      </w:pPr>
      <w:r w:rsidRPr="004870BA">
        <w:tab/>
      </w:r>
      <w:r w:rsidRPr="008361F5">
        <w:rPr>
          <w:rStyle w:val="FootnoteReference"/>
        </w:rPr>
        <w:footnoteRef/>
      </w:r>
      <w:r w:rsidRPr="004870BA">
        <w:tab/>
        <w:t>https://www.ochaopt.org/poc/27-july-9-august-2021</w:t>
      </w:r>
    </w:p>
  </w:footnote>
  <w:footnote w:id="8">
    <w:p w14:paraId="12EB2F5E" w14:textId="46EBB34C" w:rsidR="00940E10" w:rsidRPr="006B0BD1" w:rsidRDefault="00940E10" w:rsidP="0060457D">
      <w:pPr>
        <w:pStyle w:val="FootnoteText"/>
      </w:pPr>
      <w:r>
        <w:tab/>
      </w:r>
      <w:r w:rsidRPr="008361F5">
        <w:rPr>
          <w:rStyle w:val="FootnoteReference"/>
        </w:rPr>
        <w:footnoteRef/>
      </w:r>
      <w:r>
        <w:tab/>
        <w:t>Human Rights Defenders Fund update, 30 August, 2021</w:t>
      </w:r>
    </w:p>
  </w:footnote>
  <w:footnote w:id="9">
    <w:p w14:paraId="36FA2990" w14:textId="41D724C5" w:rsidR="00940E10" w:rsidRPr="003C36A6" w:rsidRDefault="00940E10" w:rsidP="0060457D">
      <w:pPr>
        <w:pStyle w:val="FootnoteText"/>
      </w:pPr>
      <w:r>
        <w:tab/>
      </w:r>
      <w:r w:rsidRPr="008361F5">
        <w:rPr>
          <w:rStyle w:val="FootnoteReference"/>
        </w:rPr>
        <w:footnoteRef/>
      </w:r>
      <w:r>
        <w:tab/>
      </w:r>
      <w:r w:rsidRPr="003C36A6">
        <w:t>https://www.ochaopt.org/content/response-escalation-opt-situation-report-no-8-8-28-july-2021</w:t>
      </w:r>
    </w:p>
  </w:footnote>
  <w:footnote w:id="10">
    <w:p w14:paraId="7CB1E243" w14:textId="52D98D32" w:rsidR="00940E10" w:rsidRPr="004870BA" w:rsidRDefault="00940E10" w:rsidP="0060457D">
      <w:pPr>
        <w:pStyle w:val="FootnoteText"/>
      </w:pPr>
      <w:r w:rsidRPr="004870BA">
        <w:tab/>
      </w:r>
      <w:r w:rsidRPr="008361F5">
        <w:rPr>
          <w:rStyle w:val="FootnoteReference"/>
        </w:rPr>
        <w:footnoteRef/>
      </w:r>
      <w:r w:rsidRPr="004870BA">
        <w:tab/>
        <w:t>Ibid.</w:t>
      </w:r>
    </w:p>
  </w:footnote>
  <w:footnote w:id="11">
    <w:p w14:paraId="03FF662E" w14:textId="3FAF5121" w:rsidR="00940E10" w:rsidRPr="004870BA" w:rsidRDefault="00940E10" w:rsidP="0060457D">
      <w:pPr>
        <w:pStyle w:val="FootnoteText"/>
      </w:pPr>
      <w:r w:rsidRPr="004870BA">
        <w:tab/>
      </w:r>
      <w:r w:rsidRPr="008361F5">
        <w:rPr>
          <w:rStyle w:val="FootnoteReference"/>
        </w:rPr>
        <w:footnoteRef/>
      </w:r>
      <w:r w:rsidRPr="004870BA">
        <w:tab/>
      </w:r>
      <w:hyperlink r:id="rId1" w:history="1">
        <w:r w:rsidRPr="004870BA">
          <w:rPr>
            <w:rStyle w:val="Hyperlink"/>
          </w:rPr>
          <w:t>https://reliefweb.int/sites/reliefweb.int/files/resources/Gaza%20WASH%20sector%20damage%20ass</w:t>
        </w:r>
      </w:hyperlink>
    </w:p>
    <w:p w14:paraId="23A3C6CF" w14:textId="255C70EC" w:rsidR="00940E10" w:rsidRPr="004870BA" w:rsidRDefault="00940E10">
      <w:pPr>
        <w:pStyle w:val="FootnoteText"/>
      </w:pPr>
      <w:r w:rsidRPr="004870BA">
        <w:tab/>
      </w:r>
      <w:r w:rsidRPr="004870BA">
        <w:tab/>
        <w:t>essment.pdf</w:t>
      </w:r>
    </w:p>
  </w:footnote>
  <w:footnote w:id="12">
    <w:p w14:paraId="566D20EE" w14:textId="5E1B3A1B" w:rsidR="00940E10" w:rsidRPr="004870BA" w:rsidRDefault="00940E10" w:rsidP="0060457D">
      <w:pPr>
        <w:pStyle w:val="FootnoteText"/>
      </w:pPr>
      <w:r w:rsidRPr="004870BA">
        <w:tab/>
      </w:r>
      <w:r w:rsidRPr="008361F5">
        <w:rPr>
          <w:rStyle w:val="FootnoteReference"/>
        </w:rPr>
        <w:footnoteRef/>
      </w:r>
      <w:r w:rsidRPr="004870BA">
        <w:tab/>
        <w:t>https://www.ochaopt.org/content/response-escalation-opt-situation-report-no-8-8-28-july-2021</w:t>
      </w:r>
    </w:p>
  </w:footnote>
  <w:footnote w:id="13">
    <w:p w14:paraId="24DCA11C" w14:textId="21E6B6D6" w:rsidR="00940E10" w:rsidRPr="004870BA" w:rsidRDefault="00940E10" w:rsidP="0060457D">
      <w:pPr>
        <w:pStyle w:val="FootnoteText"/>
      </w:pPr>
      <w:r w:rsidRPr="004870BA">
        <w:tab/>
      </w:r>
      <w:r w:rsidRPr="008361F5">
        <w:rPr>
          <w:rStyle w:val="FootnoteReference"/>
        </w:rPr>
        <w:footnoteRef/>
      </w:r>
      <w:r w:rsidRPr="004870BA">
        <w:tab/>
        <w:t>https://www.ochaopt.org/content/response-escalation-opt-situation-report-no-9-august-2021</w:t>
      </w:r>
    </w:p>
  </w:footnote>
  <w:footnote w:id="14">
    <w:p w14:paraId="21E738A0" w14:textId="36FCFF82" w:rsidR="00940E10" w:rsidRPr="006A21D0" w:rsidRDefault="00940E10" w:rsidP="0060457D">
      <w:pPr>
        <w:pStyle w:val="FootnoteText"/>
      </w:pPr>
      <w:r w:rsidRPr="004870BA">
        <w:tab/>
      </w:r>
      <w:r w:rsidRPr="008361F5">
        <w:rPr>
          <w:rStyle w:val="FootnoteReference"/>
        </w:rPr>
        <w:footnoteRef/>
      </w:r>
      <w:r w:rsidRPr="004870BA">
        <w:tab/>
        <w:t xml:space="preserve">A/HRC/47/57 para.17. See also : </w:t>
      </w:r>
      <w:hyperlink r:id="rId2" w:history="1">
        <w:r>
          <w:rPr>
            <w:rStyle w:val="Hyperlink"/>
          </w:rPr>
          <w:t>https://www.ohchr.org/EN/NewsEvents/Pages/DisplayNews.aspx?NewsID=26496&amp;LangID=E</w:t>
        </w:r>
      </w:hyperlink>
      <w:r>
        <w:t xml:space="preserve"> </w:t>
      </w:r>
    </w:p>
  </w:footnote>
  <w:footnote w:id="15">
    <w:p w14:paraId="23397B23" w14:textId="7D8C9126" w:rsidR="00940E10" w:rsidRPr="004870BA" w:rsidRDefault="00940E10" w:rsidP="0060457D">
      <w:pPr>
        <w:pStyle w:val="FootnoteText"/>
      </w:pPr>
      <w:r w:rsidRPr="004870BA">
        <w:tab/>
      </w:r>
      <w:r w:rsidRPr="008361F5">
        <w:rPr>
          <w:rStyle w:val="FootnoteReference"/>
        </w:rPr>
        <w:footnoteRef/>
      </w:r>
      <w:r w:rsidRPr="004870BA">
        <w:tab/>
        <w:t>https://www.amnesty.org/en/location/middle-east-and-north-africa/israel-and-occupied-palestinian-territories/report-israel-and-occupied-palestinian-territories/</w:t>
      </w:r>
    </w:p>
  </w:footnote>
  <w:footnote w:id="16">
    <w:p w14:paraId="46777211" w14:textId="200BC2FA" w:rsidR="00940E10" w:rsidRPr="004870BA" w:rsidRDefault="00940E10" w:rsidP="0060457D">
      <w:pPr>
        <w:pStyle w:val="FootnoteText"/>
      </w:pPr>
      <w:r w:rsidRPr="004870BA">
        <w:tab/>
      </w:r>
      <w:r w:rsidRPr="008361F5">
        <w:rPr>
          <w:rStyle w:val="FootnoteReference"/>
        </w:rPr>
        <w:footnoteRef/>
      </w:r>
      <w:r w:rsidRPr="004870BA">
        <w:tab/>
      </w:r>
      <w:hyperlink r:id="rId3" w:history="1">
        <w:r w:rsidRPr="004870BA">
          <w:rPr>
            <w:rStyle w:val="Hyperlink"/>
          </w:rPr>
          <w:t>https://www.btselem.org/hebron/20210808_bp_and_settlers_attack_family_at_160_checkpoint_</w:t>
        </w:r>
      </w:hyperlink>
    </w:p>
    <w:p w14:paraId="705DDA06" w14:textId="31DB18C7" w:rsidR="00940E10" w:rsidRPr="004870BA" w:rsidRDefault="00940E10" w:rsidP="00300C51">
      <w:pPr>
        <w:pStyle w:val="FootnoteText"/>
      </w:pPr>
      <w:r w:rsidRPr="004870BA">
        <w:tab/>
      </w:r>
      <w:r w:rsidRPr="004870BA">
        <w:tab/>
        <w:t>in_hebron</w:t>
      </w:r>
    </w:p>
  </w:footnote>
  <w:footnote w:id="17">
    <w:p w14:paraId="3824E83B" w14:textId="704CBB12" w:rsidR="00940E10" w:rsidRPr="004870BA" w:rsidRDefault="00940E10" w:rsidP="0060457D">
      <w:pPr>
        <w:pStyle w:val="FootnoteText"/>
      </w:pPr>
      <w:r w:rsidRPr="004870BA">
        <w:tab/>
      </w:r>
      <w:r w:rsidRPr="008361F5">
        <w:rPr>
          <w:rStyle w:val="FootnoteReference"/>
        </w:rPr>
        <w:footnoteRef/>
      </w:r>
      <w:r w:rsidRPr="004870BA">
        <w:tab/>
        <w:t>https://www.btselem.org/firearms/20210427_killling_of_ousamah_mansur_in_bir_nabala</w:t>
      </w:r>
    </w:p>
  </w:footnote>
  <w:footnote w:id="18">
    <w:p w14:paraId="40C9739F" w14:textId="7939E1A9" w:rsidR="00940E10" w:rsidRPr="004870BA" w:rsidRDefault="00940E10" w:rsidP="0060457D">
      <w:pPr>
        <w:pStyle w:val="FootnoteText"/>
      </w:pPr>
      <w:r w:rsidRPr="004870BA">
        <w:tab/>
      </w:r>
      <w:r w:rsidRPr="008361F5">
        <w:rPr>
          <w:rStyle w:val="FootnoteReference"/>
        </w:rPr>
        <w:footnoteRef/>
      </w:r>
      <w:r w:rsidRPr="004870BA">
        <w:tab/>
        <w:t>https://www.btselem.org/firearms/20210427_killling_of_ousamah_mansur_in_bir_nabala</w:t>
      </w:r>
    </w:p>
  </w:footnote>
  <w:footnote w:id="19">
    <w:p w14:paraId="682C4DFE" w14:textId="3E0B59B3" w:rsidR="00940E10" w:rsidRPr="006A21D0" w:rsidRDefault="00940E10" w:rsidP="0060457D">
      <w:pPr>
        <w:pStyle w:val="FootnoteText"/>
      </w:pPr>
      <w:r w:rsidRPr="004870BA">
        <w:tab/>
      </w:r>
      <w:r w:rsidRPr="008361F5">
        <w:rPr>
          <w:rStyle w:val="FootnoteReference"/>
        </w:rPr>
        <w:footnoteRef/>
      </w:r>
      <w:r w:rsidRPr="004870BA">
        <w:tab/>
        <w:t>https://gisha.org/en/pr-2-months-english/</w:t>
      </w:r>
    </w:p>
  </w:footnote>
  <w:footnote w:id="20">
    <w:p w14:paraId="5C16FCFE" w14:textId="6D59A69A" w:rsidR="00940E10" w:rsidRPr="004870BA" w:rsidRDefault="00940E10" w:rsidP="0060457D">
      <w:pPr>
        <w:pStyle w:val="FootnoteText"/>
      </w:pPr>
      <w:r w:rsidRPr="004870BA">
        <w:tab/>
      </w:r>
      <w:r w:rsidRPr="008361F5">
        <w:rPr>
          <w:rStyle w:val="FootnoteReference"/>
        </w:rPr>
        <w:footnoteRef/>
      </w:r>
      <w:r w:rsidRPr="004870BA">
        <w:tab/>
      </w:r>
      <w:hyperlink r:id="rId4" w:history="1">
        <w:r w:rsidRPr="004870BA">
          <w:rPr>
            <w:rStyle w:val="Hyperlink"/>
          </w:rPr>
          <w:t>https://www.btselem.org/gaza_strip/20210503_gaza_patients_denied_treatment_since_covid_19_</w:t>
        </w:r>
      </w:hyperlink>
    </w:p>
    <w:p w14:paraId="114CC562" w14:textId="14403F36" w:rsidR="00940E10" w:rsidRPr="006A21D0" w:rsidRDefault="00940E10" w:rsidP="00300C51">
      <w:pPr>
        <w:pStyle w:val="FootnoteText"/>
      </w:pPr>
      <w:r w:rsidRPr="004870BA">
        <w:tab/>
      </w:r>
      <w:r w:rsidRPr="004870BA">
        <w:tab/>
        <w:t>outbreak</w:t>
      </w:r>
    </w:p>
  </w:footnote>
  <w:footnote w:id="21">
    <w:p w14:paraId="7E4D9E90" w14:textId="07E0FBAA" w:rsidR="00940E10" w:rsidRPr="004870BA" w:rsidRDefault="00940E10" w:rsidP="0060457D">
      <w:pPr>
        <w:pStyle w:val="FootnoteText"/>
      </w:pPr>
      <w:r w:rsidRPr="004870BA">
        <w:tab/>
      </w:r>
      <w:r w:rsidRPr="008361F5">
        <w:rPr>
          <w:rStyle w:val="FootnoteReference"/>
        </w:rPr>
        <w:footnoteRef/>
      </w:r>
      <w:r w:rsidRPr="004870BA">
        <w:tab/>
      </w:r>
      <w:hyperlink r:id="rId5" w:history="1">
        <w:r w:rsidRPr="004870BA">
          <w:rPr>
            <w:rStyle w:val="Hyperlink"/>
          </w:rPr>
          <w:t>https://www.btselem.org/gaza_strip/20210503_gaza_patients_denied_treatment_since_covid_19_</w:t>
        </w:r>
      </w:hyperlink>
    </w:p>
    <w:p w14:paraId="07505B86" w14:textId="3C0BB500" w:rsidR="00940E10" w:rsidRPr="004870BA" w:rsidRDefault="00940E10" w:rsidP="00300C51">
      <w:pPr>
        <w:pStyle w:val="FootnoteText"/>
      </w:pPr>
      <w:r w:rsidRPr="004870BA">
        <w:tab/>
      </w:r>
      <w:r w:rsidRPr="004870BA">
        <w:tab/>
        <w:t>outbreak</w:t>
      </w:r>
    </w:p>
  </w:footnote>
  <w:footnote w:id="22">
    <w:p w14:paraId="2A04D1BB" w14:textId="10AE02AF" w:rsidR="00940E10" w:rsidRPr="004870BA" w:rsidRDefault="00940E10" w:rsidP="0060457D">
      <w:pPr>
        <w:pStyle w:val="FootnoteText"/>
      </w:pPr>
      <w:r w:rsidRPr="004870BA">
        <w:tab/>
      </w:r>
      <w:r w:rsidRPr="008361F5">
        <w:rPr>
          <w:rStyle w:val="FootnoteReference"/>
        </w:rPr>
        <w:footnoteRef/>
      </w:r>
      <w:r w:rsidRPr="004870BA">
        <w:tab/>
        <w:t>https://www.ochaopt.org/data/crossings</w:t>
      </w:r>
    </w:p>
  </w:footnote>
  <w:footnote w:id="23">
    <w:p w14:paraId="69500373" w14:textId="0C8D4BB8" w:rsidR="00940E10" w:rsidRPr="004870BA" w:rsidRDefault="00940E10" w:rsidP="0060457D">
      <w:pPr>
        <w:pStyle w:val="FootnoteText"/>
      </w:pPr>
      <w:r w:rsidRPr="004870BA">
        <w:tab/>
      </w:r>
      <w:r w:rsidRPr="008361F5">
        <w:rPr>
          <w:rStyle w:val="FootnoteReference"/>
        </w:rPr>
        <w:footnoteRef/>
      </w:r>
      <w:r w:rsidRPr="004870BA">
        <w:tab/>
        <w:t>https://www.ochaopt.org/content/response-escalation-opt-situation-report-no-8-8-28-july-2021</w:t>
      </w:r>
    </w:p>
  </w:footnote>
  <w:footnote w:id="24">
    <w:p w14:paraId="7EBCE167" w14:textId="550EFBD0" w:rsidR="00940E10" w:rsidRPr="004870BA" w:rsidRDefault="00940E10" w:rsidP="0060457D">
      <w:pPr>
        <w:pStyle w:val="FootnoteText"/>
      </w:pPr>
      <w:r w:rsidRPr="004870BA">
        <w:tab/>
      </w:r>
      <w:r w:rsidRPr="008361F5">
        <w:rPr>
          <w:rStyle w:val="FootnoteReference"/>
        </w:rPr>
        <w:footnoteRef/>
      </w:r>
      <w:r w:rsidRPr="004870BA">
        <w:tab/>
        <w:t xml:space="preserve">For example </w:t>
      </w:r>
      <w:hyperlink r:id="rId6" w:history="1">
        <w:r w:rsidRPr="004870BA">
          <w:t>https://news.walla.co.il/item/2599418</w:t>
        </w:r>
      </w:hyperlink>
    </w:p>
  </w:footnote>
  <w:footnote w:id="25">
    <w:p w14:paraId="5E12E581" w14:textId="07399A6D" w:rsidR="00940E10" w:rsidRPr="004870BA" w:rsidRDefault="00940E10" w:rsidP="0060457D">
      <w:pPr>
        <w:pStyle w:val="FootnoteText"/>
      </w:pPr>
      <w:r w:rsidRPr="004870BA">
        <w:tab/>
      </w:r>
      <w:r w:rsidRPr="008361F5">
        <w:rPr>
          <w:rStyle w:val="FootnoteReference"/>
        </w:rPr>
        <w:footnoteRef/>
      </w:r>
      <w:r w:rsidRPr="004870BA">
        <w:tab/>
        <w:t>https://www.ochaopt.org/poc/7-20-september-2021</w:t>
      </w:r>
    </w:p>
  </w:footnote>
  <w:footnote w:id="26">
    <w:p w14:paraId="6DF51340" w14:textId="34133454" w:rsidR="00940E10" w:rsidRPr="004870BA" w:rsidRDefault="00940E10" w:rsidP="0060457D">
      <w:pPr>
        <w:pStyle w:val="FootnoteText"/>
      </w:pPr>
      <w:r w:rsidRPr="004870BA">
        <w:tab/>
      </w:r>
      <w:r w:rsidRPr="008361F5">
        <w:rPr>
          <w:rStyle w:val="FootnoteReference"/>
        </w:rPr>
        <w:footnoteRef/>
      </w:r>
      <w:r w:rsidRPr="004870BA">
        <w:tab/>
        <w:t>https://www.ohchr.org/EN/NewsEvents/Pages/DisplayNews.aspx?NewsID=26991&amp;LangID=E</w:t>
      </w:r>
    </w:p>
  </w:footnote>
  <w:footnote w:id="27">
    <w:p w14:paraId="120BAD12" w14:textId="474BBD98" w:rsidR="00940E10" w:rsidRPr="004870BA" w:rsidRDefault="00940E10" w:rsidP="0060457D">
      <w:pPr>
        <w:pStyle w:val="FootnoteText"/>
      </w:pPr>
      <w:r w:rsidRPr="004870BA">
        <w:tab/>
      </w:r>
      <w:r w:rsidRPr="008361F5">
        <w:rPr>
          <w:rStyle w:val="FootnoteReference"/>
        </w:rPr>
        <w:footnoteRef/>
      </w:r>
      <w:r w:rsidRPr="004870BA">
        <w:tab/>
        <w:t>https://www.haaretz.com/israel-news/twilight-zone/.premium.HIGHLIGHT.MAGAZINE-shackled-beaten-strung-up-palestinian-teen-brutally-attacked-by-settlers-1.10155438</w:t>
      </w:r>
    </w:p>
  </w:footnote>
  <w:footnote w:id="28">
    <w:p w14:paraId="2EFF40E4" w14:textId="3CD46502" w:rsidR="00940E10" w:rsidRPr="004870BA" w:rsidRDefault="00940E10" w:rsidP="0060457D">
      <w:pPr>
        <w:pStyle w:val="FootnoteText"/>
      </w:pPr>
      <w:r w:rsidRPr="004870BA">
        <w:tab/>
      </w:r>
      <w:r w:rsidRPr="008361F5">
        <w:rPr>
          <w:rStyle w:val="FootnoteReference"/>
        </w:rPr>
        <w:footnoteRef/>
      </w:r>
      <w:r w:rsidRPr="004870BA">
        <w:tab/>
      </w:r>
      <w:hyperlink r:id="rId7" w:history="1">
        <w:r w:rsidRPr="004870BA">
          <w:rPr>
            <w:rStyle w:val="Hyperlink"/>
          </w:rPr>
          <w:t>https://www.btselem.org/video/20210824_two_palestinians_fatally_shot_in_two_joint_attack</w:t>
        </w:r>
      </w:hyperlink>
    </w:p>
    <w:p w14:paraId="78C416D3" w14:textId="4F12E8F2" w:rsidR="00940E10" w:rsidRPr="004065C7" w:rsidRDefault="00940E10" w:rsidP="00300C51">
      <w:pPr>
        <w:pStyle w:val="FootnoteText"/>
      </w:pPr>
      <w:r w:rsidRPr="004870BA">
        <w:tab/>
      </w:r>
      <w:r w:rsidRPr="004870BA">
        <w:tab/>
        <w:t>s_by_settlers_and_soldiers_in_may_2021#full</w:t>
      </w:r>
    </w:p>
  </w:footnote>
  <w:footnote w:id="29">
    <w:p w14:paraId="001CFFAD" w14:textId="7F8088BE" w:rsidR="00940E10" w:rsidRPr="004870BA" w:rsidRDefault="00940E10" w:rsidP="0060457D">
      <w:pPr>
        <w:pStyle w:val="FootnoteText"/>
      </w:pPr>
      <w:r w:rsidRPr="004870BA">
        <w:tab/>
      </w:r>
      <w:r w:rsidRPr="008361F5">
        <w:rPr>
          <w:rStyle w:val="FootnoteReference"/>
        </w:rPr>
        <w:footnoteRef/>
      </w:r>
      <w:r w:rsidRPr="004870BA">
        <w:tab/>
        <w:t>https://www.yesh-din.org/en/position-paper-settler-crime-and-violence-inside-palestinian-communities-2017-2020/</w:t>
      </w:r>
    </w:p>
  </w:footnote>
  <w:footnote w:id="30">
    <w:p w14:paraId="5B687FD8" w14:textId="55A36D4E" w:rsidR="00940E10" w:rsidRPr="004870BA" w:rsidRDefault="00940E10" w:rsidP="0060457D">
      <w:pPr>
        <w:pStyle w:val="FootnoteText"/>
      </w:pPr>
      <w:r w:rsidRPr="004870BA">
        <w:tab/>
      </w:r>
      <w:r w:rsidRPr="008361F5">
        <w:rPr>
          <w:rStyle w:val="FootnoteReference"/>
        </w:rPr>
        <w:footnoteRef/>
      </w:r>
      <w:r w:rsidRPr="004870BA">
        <w:tab/>
        <w:t>https://www.ohchr.org/EN/NewsEvents/Pages/DisplayNews.aspx?NewsID=27267&amp;LangID=E</w:t>
      </w:r>
    </w:p>
  </w:footnote>
  <w:footnote w:id="31">
    <w:p w14:paraId="62E95B45" w14:textId="3888DE2E" w:rsidR="00940E10" w:rsidRPr="004870BA" w:rsidRDefault="00940E10" w:rsidP="0060457D">
      <w:pPr>
        <w:pStyle w:val="FootnoteText"/>
      </w:pPr>
      <w:r w:rsidRPr="004870BA">
        <w:tab/>
      </w:r>
      <w:r w:rsidRPr="008361F5">
        <w:rPr>
          <w:rStyle w:val="FootnoteReference"/>
        </w:rPr>
        <w:footnoteRef/>
      </w:r>
      <w:r w:rsidRPr="004870BA">
        <w:tab/>
        <w:t>https://www.haaretz.com/middle-east-news/palestinians/.premium-the-palestinian-authority-is-quashing-legal-protests-again-1.10140623</w:t>
      </w:r>
    </w:p>
  </w:footnote>
  <w:footnote w:id="32">
    <w:p w14:paraId="6EA5B98B" w14:textId="0F46B516" w:rsidR="00940E10" w:rsidRPr="004870BA" w:rsidRDefault="00940E10" w:rsidP="0060457D">
      <w:pPr>
        <w:pStyle w:val="FootnoteText"/>
      </w:pPr>
      <w:r w:rsidRPr="004870BA">
        <w:tab/>
      </w:r>
      <w:r w:rsidRPr="008361F5">
        <w:rPr>
          <w:rStyle w:val="FootnoteReference"/>
        </w:rPr>
        <w:footnoteRef/>
      </w:r>
      <w:r w:rsidRPr="004870BA">
        <w:tab/>
        <w:t>https://www.aljazeera.com/news/2021/8/24/un-eu-condemn-palestinian-authority-over-activist-arrests</w:t>
      </w:r>
    </w:p>
  </w:footnote>
  <w:footnote w:id="33">
    <w:p w14:paraId="03F5BFB4" w14:textId="697BF692" w:rsidR="00940E10" w:rsidRPr="006B3B34" w:rsidRDefault="00940E10" w:rsidP="0060457D">
      <w:pPr>
        <w:pStyle w:val="FootnoteText"/>
        <w:rPr>
          <w:lang w:val="en-US"/>
        </w:rPr>
      </w:pPr>
      <w:r w:rsidRPr="004870BA">
        <w:tab/>
      </w:r>
      <w:r w:rsidRPr="008361F5">
        <w:rPr>
          <w:rStyle w:val="FootnoteReference"/>
        </w:rPr>
        <w:footnoteRef/>
      </w:r>
      <w:r w:rsidRPr="004870BA">
        <w:tab/>
        <w:t>https://www.ohchr.org/EN/NewsEvents/Pages/DisplayNews.aspx?NewsID=27338&amp;LangID=E</w:t>
      </w:r>
    </w:p>
  </w:footnote>
  <w:footnote w:id="34">
    <w:p w14:paraId="0372C860" w14:textId="2097A8CE" w:rsidR="00940E10" w:rsidRDefault="00940E10" w:rsidP="0060457D">
      <w:pPr>
        <w:pStyle w:val="FootnoteText"/>
      </w:pPr>
      <w:r w:rsidRPr="004870BA">
        <w:tab/>
      </w:r>
      <w:r w:rsidRPr="008361F5">
        <w:rPr>
          <w:rStyle w:val="FootnoteReference"/>
        </w:rPr>
        <w:footnoteRef/>
      </w:r>
      <w:r w:rsidRPr="004870BA">
        <w:tab/>
        <w:t>https://reliefweb.int/report/occupied-palestinian-territory/al-mezan-calls-investigation-house-explosion-gaza-killed-one</w:t>
      </w:r>
    </w:p>
  </w:footnote>
  <w:footnote w:id="35">
    <w:p w14:paraId="173FE89D" w14:textId="24DB464F" w:rsidR="00940E10" w:rsidRPr="004870BA" w:rsidRDefault="002C2DA7" w:rsidP="008F6269">
      <w:pPr>
        <w:pStyle w:val="FootnoteText"/>
      </w:pPr>
      <w:r>
        <w:tab/>
      </w:r>
      <w:r w:rsidR="00940E10" w:rsidRPr="008361F5">
        <w:rPr>
          <w:rStyle w:val="FootnoteReference"/>
          <w:lang w:val="es-ES"/>
        </w:rPr>
        <w:footnoteRef/>
      </w:r>
      <w:r w:rsidRPr="004870BA">
        <w:tab/>
      </w:r>
      <w:r w:rsidR="00940E10" w:rsidRPr="004870BA">
        <w:t>UNGA Res. 75/23 (2 December 2020): “Reaffirming that the United Nations has a permanent responsibility towards the question of Palestine…”</w:t>
      </w:r>
    </w:p>
  </w:footnote>
  <w:footnote w:id="36">
    <w:p w14:paraId="09CB93E6" w14:textId="0619B880"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K. Annan, Interventions: A Life in War and Peace (Penguin Books, 2012), 254.</w:t>
      </w:r>
    </w:p>
  </w:footnote>
  <w:footnote w:id="37">
    <w:p w14:paraId="61F58F42" w14:textId="7135AC62"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United Nations GA Res. 181 (II) (29 November 1947). See generally A. Shlaim, The Iron Wall: Israel and the Arab World (2nd e</w:t>
      </w:r>
      <w:r w:rsidRPr="004870BA">
        <w:t>d.) (Norton, 2014).</w:t>
      </w:r>
    </w:p>
  </w:footnote>
  <w:footnote w:id="38">
    <w:p w14:paraId="2485B35D" w14:textId="422DB5F1" w:rsidR="00940E10" w:rsidRPr="008F6269" w:rsidRDefault="00E757E3" w:rsidP="00940E10">
      <w:pPr>
        <w:pStyle w:val="FootnoteText"/>
        <w:rPr>
          <w:lang w:val="es-ES"/>
        </w:rPr>
      </w:pPr>
      <w:r w:rsidRPr="004870BA">
        <w:tab/>
      </w:r>
      <w:r w:rsidR="00940E10" w:rsidRPr="008361F5">
        <w:rPr>
          <w:rStyle w:val="FootnoteReference"/>
          <w:lang w:val="es-ES"/>
        </w:rPr>
        <w:footnoteRef/>
      </w:r>
      <w:r w:rsidRPr="004870BA">
        <w:tab/>
      </w:r>
      <w:r w:rsidR="00940E10" w:rsidRPr="004870BA">
        <w:t xml:space="preserve">F. Albanese and L. Takkenberg, Palestinian Refugees in International Law (2nd ed.) </w:t>
      </w:r>
      <w:r w:rsidR="00940E10" w:rsidRPr="008F6269">
        <w:rPr>
          <w:lang w:val="es-ES"/>
        </w:rPr>
        <w:t>(Oxford University Press, 2020).</w:t>
      </w:r>
    </w:p>
  </w:footnote>
  <w:footnote w:id="39">
    <w:p w14:paraId="383ECF34" w14:textId="4AEB2D89" w:rsidR="00940E10" w:rsidRPr="004870BA" w:rsidRDefault="00E757E3" w:rsidP="00940E10">
      <w:pPr>
        <w:pStyle w:val="FootnoteText"/>
      </w:pPr>
      <w:r>
        <w:rPr>
          <w:lang w:val="es-ES"/>
        </w:rPr>
        <w:tab/>
      </w:r>
      <w:r w:rsidR="00940E10" w:rsidRPr="008361F5">
        <w:rPr>
          <w:rStyle w:val="FootnoteReference"/>
          <w:lang w:val="es-ES"/>
        </w:rPr>
        <w:footnoteRef/>
      </w:r>
      <w:r w:rsidRPr="004870BA">
        <w:tab/>
      </w:r>
      <w:r w:rsidR="00940E10" w:rsidRPr="004870BA">
        <w:t xml:space="preserve">K. Makdisi and V. Prashad, eds., Land of Blue Helmets: The United Nations and the Arab </w:t>
      </w:r>
      <w:proofErr w:type="gramStart"/>
      <w:r w:rsidR="00940E10" w:rsidRPr="004870BA">
        <w:t>World  (</w:t>
      </w:r>
      <w:proofErr w:type="gramEnd"/>
      <w:r w:rsidR="00940E10" w:rsidRPr="004870BA">
        <w:t>University of California Press, 2017).</w:t>
      </w:r>
    </w:p>
  </w:footnote>
  <w:footnote w:id="40">
    <w:p w14:paraId="5C9FBE41" w14:textId="3EB2CDD8" w:rsidR="00940E10" w:rsidRDefault="00E757E3" w:rsidP="00940E10">
      <w:pPr>
        <w:pStyle w:val="FootnoteText"/>
        <w:rPr>
          <w:lang w:val="en-US"/>
        </w:rPr>
      </w:pPr>
      <w:r w:rsidRPr="004870BA">
        <w:tab/>
      </w:r>
      <w:r w:rsidR="00940E10" w:rsidRPr="008361F5">
        <w:rPr>
          <w:rStyle w:val="FootnoteReference"/>
          <w:lang w:val="es-ES"/>
        </w:rPr>
        <w:footnoteRef/>
      </w:r>
      <w:r w:rsidRPr="004870BA">
        <w:tab/>
      </w:r>
      <w:r w:rsidR="00940E10" w:rsidRPr="004870BA">
        <w:t>A. Imseis, </w:t>
      </w:r>
      <w:proofErr w:type="gramStart"/>
      <w:r w:rsidR="00940E10" w:rsidRPr="004870BA">
        <w:t>The</w:t>
      </w:r>
      <w:proofErr w:type="gramEnd"/>
      <w:r w:rsidR="00940E10" w:rsidRPr="004870BA">
        <w:t xml:space="preserve"> United Nations and the Question of Palestine (Cambridge University Press, forthcoming)</w:t>
      </w:r>
      <w:hyperlink w:history="1"/>
      <w:r w:rsidR="00940E10" w:rsidRPr="004870BA">
        <w:t>.</w:t>
      </w:r>
    </w:p>
  </w:footnote>
  <w:footnote w:id="41">
    <w:p w14:paraId="77529E93" w14:textId="110E8955"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A/74/507</w:t>
      </w:r>
    </w:p>
  </w:footnote>
  <w:footnote w:id="42">
    <w:p w14:paraId="379A5AE0" w14:textId="4CFB7080"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A/75/732</w:t>
      </w:r>
    </w:p>
  </w:footnote>
  <w:footnote w:id="43">
    <w:p w14:paraId="44B6666F" w14:textId="6EB51BCB" w:rsidR="00940E10" w:rsidRPr="004870BA" w:rsidRDefault="00E757E3" w:rsidP="00940E10">
      <w:pPr>
        <w:pStyle w:val="FootnoteText"/>
      </w:pPr>
      <w:r w:rsidRPr="004870BA">
        <w:tab/>
      </w:r>
      <w:r w:rsidR="00940E10" w:rsidRPr="008361F5">
        <w:rPr>
          <w:rStyle w:val="FootnoteReference"/>
          <w:lang w:val="es-ES"/>
        </w:rPr>
        <w:footnoteRef/>
      </w:r>
      <w:r w:rsidR="00940E10" w:rsidRPr="004870BA">
        <w:t xml:space="preserve"> </w:t>
      </w:r>
      <w:r w:rsidRPr="004870BA">
        <w:tab/>
      </w:r>
      <w:r w:rsidR="00940E10" w:rsidRPr="004870BA">
        <w:t>See the recent reports of Al-Haq, B’Tselem, Human Rights Watch, Amnesty International and the W</w:t>
      </w:r>
      <w:r w:rsidR="008F6269" w:rsidRPr="004870BA">
        <w:t>est Bank Protection Consortium.</w:t>
      </w:r>
    </w:p>
  </w:footnote>
  <w:footnote w:id="44">
    <w:p w14:paraId="248491F5" w14:textId="47BDC388"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O. Ben-Naftali, M. Sfard, and H. Viterbo, The ABC of the OPT (Cambridge University Press, 2018); A. Gross, The Writing on the Wall (Cambridge University Press, 2017).</w:t>
      </w:r>
    </w:p>
  </w:footnote>
  <w:footnote w:id="45">
    <w:p w14:paraId="0CE0317C" w14:textId="3ED79912" w:rsidR="00940E10" w:rsidRPr="009E3DCA" w:rsidRDefault="00E757E3" w:rsidP="00940E10">
      <w:pPr>
        <w:pStyle w:val="FootnoteText"/>
      </w:pPr>
      <w:r w:rsidRPr="004870BA">
        <w:tab/>
      </w:r>
      <w:r w:rsidR="00940E10" w:rsidRPr="008361F5">
        <w:rPr>
          <w:rStyle w:val="FootnoteReference"/>
          <w:lang w:val="es-ES"/>
        </w:rPr>
        <w:footnoteRef/>
      </w:r>
      <w:r w:rsidRPr="004870BA">
        <w:tab/>
      </w:r>
      <w:r w:rsidR="00940E10" w:rsidRPr="004870BA">
        <w:t>A/72/556; A. Imseis, “Negotiating the Illegal: On the United Nations and the Illegal Occupation of Palestine, 1967-2020” (2020) 31:3 EJIL 1055.</w:t>
      </w:r>
    </w:p>
  </w:footnote>
  <w:footnote w:id="46">
    <w:p w14:paraId="0FD70E7C" w14:textId="6CC08C13"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 xml:space="preserve">Kofi Annan stated in 2002: “There is no conflict in the world today whose solution is so clear, so widely agreed upon, and so necessary to world peace as the Israeli-Palestinian conflict." </w:t>
      </w:r>
      <w:hyperlink r:id="rId8" w:history="1">
        <w:r w:rsidR="00940E10" w:rsidRPr="004870BA">
          <w:t>https://news.un.org/en/story/2002/03</w:t>
        </w:r>
      </w:hyperlink>
      <w:r w:rsidR="00940E10" w:rsidRPr="004870BA">
        <w:t xml:space="preserve"> /30872-arab-summit-annan-urges-sharon-arafat-lead-their-peoples-back-brink</w:t>
      </w:r>
    </w:p>
  </w:footnote>
  <w:footnote w:id="47">
    <w:p w14:paraId="48535382" w14:textId="5C233A0C"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UNSC Res. 476 (June 30, 1980) (“Reaffirms the overriding necessity to end the prolonged occupation of Arab territories occupied by Israel sin</w:t>
      </w:r>
      <w:r w:rsidR="008F6269" w:rsidRPr="004870BA">
        <w:t>ce 1967, including Jerusalem”).</w:t>
      </w:r>
    </w:p>
  </w:footnote>
  <w:footnote w:id="48">
    <w:p w14:paraId="3FB77F5D" w14:textId="51DAB635"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UNSC Res. 1850 (December 16, 2008); UNGA Res. A/73/159 (December 17, 2018).</w:t>
      </w:r>
    </w:p>
  </w:footnote>
  <w:footnote w:id="49">
    <w:p w14:paraId="7D9DE427" w14:textId="703F3A71"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UNS</w:t>
      </w:r>
      <w:r w:rsidR="008F6269" w:rsidRPr="004870BA">
        <w:t>C Res. 2334 (23 December 2016).</w:t>
      </w:r>
    </w:p>
  </w:footnote>
  <w:footnote w:id="50">
    <w:p w14:paraId="2D46B66A" w14:textId="2D88DC6A"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Ibid</w:t>
      </w:r>
      <w:r w:rsidR="008F6269" w:rsidRPr="004870BA">
        <w:t>.</w:t>
      </w:r>
    </w:p>
  </w:footnote>
  <w:footnote w:id="51">
    <w:p w14:paraId="0CD0B8EF" w14:textId="42E6F607"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Ibid</w:t>
      </w:r>
      <w:r w:rsidR="008F6269" w:rsidRPr="004870BA">
        <w:t>.</w:t>
      </w:r>
    </w:p>
  </w:footnote>
  <w:footnote w:id="52">
    <w:p w14:paraId="3E5353AF" w14:textId="6D54E142"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UNGA Res. A/73/92 (December 7, 2018); UNGA Res. A/73/93 (December 7, 2018).</w:t>
      </w:r>
    </w:p>
  </w:footnote>
  <w:footnote w:id="53">
    <w:p w14:paraId="1DBE3685" w14:textId="614CE8A2" w:rsidR="00940E10" w:rsidRPr="004870BA" w:rsidRDefault="00E757E3" w:rsidP="008F6269">
      <w:pPr>
        <w:pStyle w:val="FootnoteText"/>
      </w:pPr>
      <w:r w:rsidRPr="004870BA">
        <w:tab/>
      </w:r>
      <w:r w:rsidR="00940E10" w:rsidRPr="008361F5">
        <w:rPr>
          <w:rStyle w:val="FootnoteReference"/>
          <w:lang w:val="es-ES"/>
        </w:rPr>
        <w:footnoteRef/>
      </w:r>
      <w:r w:rsidRPr="004870BA">
        <w:tab/>
      </w:r>
      <w:r w:rsidR="00940E10" w:rsidRPr="004870BA">
        <w:t>UNSC Res. 1860 (January 8, 2009). And see the remarks by UN Secretary-General Ban Ki-Moon, June 28, 2016: https://www.un.org/sg/en/content/sg/press-encounter/2016-06-28/secretary-generals-remarks-press-encounter.</w:t>
      </w:r>
    </w:p>
  </w:footnote>
  <w:footnote w:id="54">
    <w:p w14:paraId="253E4CE8" w14:textId="59E1571F" w:rsidR="00940E10" w:rsidRPr="004870BA" w:rsidRDefault="00E757E3" w:rsidP="00940E10">
      <w:pPr>
        <w:pStyle w:val="FootnoteText"/>
      </w:pPr>
      <w:r w:rsidRPr="004870BA">
        <w:tab/>
      </w:r>
      <w:r w:rsidR="00940E10" w:rsidRPr="008361F5">
        <w:rPr>
          <w:rStyle w:val="FootnoteReference"/>
          <w:lang w:val="es-ES"/>
        </w:rPr>
        <w:footnoteRef/>
      </w:r>
      <w:r w:rsidR="00940E10" w:rsidRPr="004870BA">
        <w:t xml:space="preserve"> </w:t>
      </w:r>
      <w:r w:rsidRPr="004870BA">
        <w:tab/>
      </w:r>
      <w:r w:rsidR="00940E10" w:rsidRPr="004870BA">
        <w:t xml:space="preserve">Articles on Responsibility of States for Internationally Wrongful Acts (2001), Articles 40 &amp; 41 </w:t>
      </w:r>
      <w:hyperlink r:id="rId9" w:history="1">
        <w:r w:rsidR="00940E10" w:rsidRPr="004870BA">
          <w:t>https://www.refworld.org/pdfid/3ddb8f804.pdf</w:t>
        </w:r>
      </w:hyperlink>
      <w:r w:rsidR="00940E10" w:rsidRPr="004870BA">
        <w:t>. Also see J Crawford, State Responsibility (Cambridge University Press, 2013)</w:t>
      </w:r>
    </w:p>
  </w:footnote>
  <w:footnote w:id="55">
    <w:p w14:paraId="621929C9" w14:textId="53D2221C"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 xml:space="preserve">J. Farrall, United Nations Sanctions and the Rule of Law (Cambridge University Press, 2009); International Committee of the Red Cross: </w:t>
      </w:r>
      <w:hyperlink r:id="rId10" w:history="1">
        <w:r w:rsidR="00940E10" w:rsidRPr="004870BA">
          <w:t xml:space="preserve">https://ihl-databases.icrc.org/applic/ihl/ihl.nsf/Comment.xsp?action=open </w:t>
        </w:r>
        <w:proofErr w:type="spellStart"/>
        <w:r w:rsidR="00940E10" w:rsidRPr="004870BA">
          <w:t>Document&amp;documentId</w:t>
        </w:r>
        <w:proofErr w:type="spellEnd"/>
        <w:r w:rsidR="00940E10" w:rsidRPr="004870BA">
          <w:t>=</w:t>
        </w:r>
      </w:hyperlink>
      <w:r w:rsidR="00940E10" w:rsidRPr="004870BA">
        <w:t>72239588 AFA66200C1257F7D00367DBD</w:t>
      </w:r>
      <w:r w:rsidR="008F6269" w:rsidRPr="004870BA">
        <w:t>.</w:t>
      </w:r>
    </w:p>
  </w:footnote>
  <w:footnote w:id="56">
    <w:p w14:paraId="7A64E520" w14:textId="1016C9B7" w:rsidR="00940E10" w:rsidRPr="00AE3A5F" w:rsidRDefault="00E757E3" w:rsidP="00940E10">
      <w:pPr>
        <w:pStyle w:val="FootnoteText"/>
      </w:pPr>
      <w:r w:rsidRPr="004870BA">
        <w:tab/>
      </w:r>
      <w:r w:rsidR="00940E10" w:rsidRPr="008361F5">
        <w:rPr>
          <w:rStyle w:val="FootnoteReference"/>
          <w:lang w:val="es-ES"/>
        </w:rPr>
        <w:footnoteRef/>
      </w:r>
      <w:r w:rsidRPr="004870BA">
        <w:tab/>
      </w:r>
      <w:r w:rsidR="00940E10" w:rsidRPr="004870BA">
        <w:t>Z. Hassan et al, Breaking the Israel-Palestine Status Quo (Carnegie Endowment for International Peace, 2021).</w:t>
      </w:r>
    </w:p>
  </w:footnote>
  <w:footnote w:id="57">
    <w:p w14:paraId="0BB6E60D" w14:textId="220CDBB7" w:rsidR="00940E10" w:rsidRPr="004870BA" w:rsidRDefault="00E757E3" w:rsidP="00940E10">
      <w:pPr>
        <w:pStyle w:val="FootnoteText"/>
      </w:pPr>
      <w:r w:rsidRPr="004870BA">
        <w:tab/>
      </w:r>
      <w:r w:rsidR="00940E10" w:rsidRPr="008361F5">
        <w:rPr>
          <w:rStyle w:val="FootnoteReference"/>
          <w:lang w:val="es-ES"/>
        </w:rPr>
        <w:footnoteRef/>
      </w:r>
      <w:r w:rsidR="00940E10" w:rsidRPr="004870BA">
        <w:t xml:space="preserve"> </w:t>
      </w:r>
      <w:r w:rsidRPr="004870BA">
        <w:tab/>
      </w:r>
      <w:r w:rsidR="00940E10" w:rsidRPr="004870BA">
        <w:t>H. Koh, “Why Do Nations Obey International Law?” (1997), 106 Yale Law Journal</w:t>
      </w:r>
      <w:r w:rsidRPr="004870BA">
        <w:t xml:space="preserve"> 2599.</w:t>
      </w:r>
    </w:p>
  </w:footnote>
  <w:footnote w:id="58">
    <w:p w14:paraId="02A44A15" w14:textId="404DD2D3"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S. Akram et al (eds.), International Law and the Israeli-Palestinian Conflict</w:t>
      </w:r>
      <w:r w:rsidRPr="004870BA">
        <w:t xml:space="preserve"> (Routledge, 2011).</w:t>
      </w:r>
    </w:p>
  </w:footnote>
  <w:footnote w:id="59">
    <w:p w14:paraId="73BAB46F" w14:textId="6A012B57" w:rsidR="00940E10" w:rsidRPr="004870BA" w:rsidRDefault="00E757E3" w:rsidP="00940E10">
      <w:pPr>
        <w:pStyle w:val="FootnoteText"/>
      </w:pPr>
      <w:r w:rsidRPr="004870BA">
        <w:tab/>
      </w:r>
      <w:r w:rsidR="00940E10" w:rsidRPr="008361F5">
        <w:rPr>
          <w:rStyle w:val="FootnoteReference"/>
          <w:lang w:val="es-ES"/>
        </w:rPr>
        <w:footnoteRef/>
      </w:r>
      <w:r w:rsidR="00940E10" w:rsidRPr="004870BA">
        <w:t xml:space="preserve"> </w:t>
      </w:r>
      <w:r w:rsidRPr="004870BA">
        <w:tab/>
      </w:r>
      <w:r w:rsidR="00940E10" w:rsidRPr="004870BA">
        <w:t xml:space="preserve">Rights </w:t>
      </w:r>
      <w:r w:rsidRPr="004870BA">
        <w:t>cannot arise from illegal acts.</w:t>
      </w:r>
    </w:p>
  </w:footnote>
  <w:footnote w:id="60">
    <w:p w14:paraId="5CA8F7FE" w14:textId="2E76635E"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 xml:space="preserve">K. </w:t>
      </w:r>
      <w:proofErr w:type="spellStart"/>
      <w:r w:rsidR="00940E10" w:rsidRPr="004870BA">
        <w:t>Elgindy</w:t>
      </w:r>
      <w:proofErr w:type="spellEnd"/>
      <w:r w:rsidR="00940E10" w:rsidRPr="004870BA">
        <w:t xml:space="preserve">, Blind Spot </w:t>
      </w:r>
      <w:proofErr w:type="gramStart"/>
      <w:r w:rsidR="00940E10" w:rsidRPr="004870BA">
        <w:t>( Brookings</w:t>
      </w:r>
      <w:proofErr w:type="gramEnd"/>
      <w:r w:rsidR="00940E10" w:rsidRPr="004870BA">
        <w:t xml:space="preserve"> Institution, 2019).</w:t>
      </w:r>
    </w:p>
  </w:footnote>
  <w:footnote w:id="61">
    <w:p w14:paraId="593EAACE" w14:textId="3FE831E4"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S. Anziska, Preventing Palestine (Princeton University Press, 2018); J. Sharon, “Netanyahu calls for Palestinian ‘state-minus’, The Jerusalem Post</w:t>
      </w:r>
      <w:r w:rsidRPr="004870BA">
        <w:t>, 24 October 2018.</w:t>
      </w:r>
    </w:p>
  </w:footnote>
  <w:footnote w:id="62">
    <w:p w14:paraId="542B9161" w14:textId="17BC3D49" w:rsidR="00940E10" w:rsidRPr="00A650C3" w:rsidRDefault="00E757E3" w:rsidP="00940E10">
      <w:pPr>
        <w:pStyle w:val="FootnoteText"/>
      </w:pPr>
      <w:r w:rsidRPr="004870BA">
        <w:tab/>
      </w:r>
      <w:r w:rsidR="00940E10" w:rsidRPr="008361F5">
        <w:rPr>
          <w:rStyle w:val="FootnoteReference"/>
          <w:lang w:val="es-ES"/>
        </w:rPr>
        <w:footnoteRef/>
      </w:r>
      <w:r w:rsidRPr="004870BA">
        <w:tab/>
      </w:r>
      <w:r w:rsidR="00940E10" w:rsidRPr="004870BA">
        <w:t>Ha’aretz “Israel’s land-grab law entrenches One state Reality of Unequal Rights” (7 February 2017).</w:t>
      </w:r>
    </w:p>
  </w:footnote>
  <w:footnote w:id="63">
    <w:p w14:paraId="26750956" w14:textId="213EE921"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Human Rights Watch, A Threshold Crossed (April 2021); Al Haq, The Legal Architecture of Apartheid (April 2021); B’Tselem, This is Apartheid</w:t>
      </w:r>
      <w:r w:rsidRPr="004870BA">
        <w:t xml:space="preserve"> (January 2021).</w:t>
      </w:r>
    </w:p>
  </w:footnote>
  <w:footnote w:id="64">
    <w:p w14:paraId="72F3EC93" w14:textId="178671C2"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UNSC Resolution 2334 (23 December 2016).</w:t>
      </w:r>
    </w:p>
  </w:footnote>
  <w:footnote w:id="65">
    <w:p w14:paraId="12C7B66C" w14:textId="41FB610B"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Financial Times (29 June 2021)</w:t>
      </w:r>
      <w:r w:rsidRPr="004870BA">
        <w:t>.</w:t>
      </w:r>
    </w:p>
  </w:footnote>
  <w:footnote w:id="66">
    <w:p w14:paraId="12ADF9D2" w14:textId="238BC339"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 xml:space="preserve">“I oppose a Palestinian state. I think it would be a terrible mistake that would take the terrible situation in Gaza and recreate it in Judea and Samaria.” Jerusalem Post “Palestinian Statehood would be a terrible mistake </w:t>
      </w:r>
      <w:r w:rsidRPr="004870BA">
        <w:t>– Bennett” (15 September 2021).</w:t>
      </w:r>
    </w:p>
  </w:footnote>
  <w:footnote w:id="67">
    <w:p w14:paraId="3755A3B0" w14:textId="4D30D6A3"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Foreign Policy, “Israel Can Live with a new Iran Nuclear Deal, Defense Mini</w:t>
      </w:r>
      <w:r w:rsidRPr="004870BA">
        <w:t>ster Says” (14 September 2021).</w:t>
      </w:r>
    </w:p>
  </w:footnote>
  <w:footnote w:id="68">
    <w:p w14:paraId="6B756BD4" w14:textId="00518CB3"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Ha’aretz “Israel’s Lapid to EU’s Top Diplomats: Two-state Solution</w:t>
      </w:r>
      <w:r w:rsidRPr="004870BA">
        <w:t xml:space="preserve"> is Unfeasible” (12 July 2021).</w:t>
      </w:r>
    </w:p>
  </w:footnote>
  <w:footnote w:id="69">
    <w:p w14:paraId="12B69C81" w14:textId="7855FF24"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Ha’aretz, “Israel’s prime minister now pretends the Palestinians don’t exist. It’s a brilliant move” (30 September 2021): “In the past three and a half months since he became prime minister, Bennett has noticed how seldom the Palestinian issue came up in his conversations with foreign leaders and how half-hearted they sounded when they did bring it up.”</w:t>
      </w:r>
    </w:p>
  </w:footnote>
  <w:footnote w:id="70">
    <w:p w14:paraId="029EB757" w14:textId="44A12D62"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 xml:space="preserve">President Joe Biden of the United States told the United Nations General Assembly on 21 September 2021 that he continues to believe in a two state solution, but “we’re a long way from that goal at the moment”.  </w:t>
      </w:r>
      <w:hyperlink r:id="rId11" w:history="1">
        <w:r w:rsidR="00940E10" w:rsidRPr="004870BA">
          <w:t>Remarks by President Biden Before the 76th Session of the United Nations General Assembly | The White House</w:t>
        </w:r>
      </w:hyperlink>
    </w:p>
  </w:footnote>
  <w:footnote w:id="71">
    <w:p w14:paraId="1DEC3A1B" w14:textId="21A323EC" w:rsidR="00940E10" w:rsidRPr="004870BA" w:rsidRDefault="00E757E3" w:rsidP="00940E10">
      <w:pPr>
        <w:pStyle w:val="FootnoteText"/>
      </w:pPr>
      <w:r w:rsidRPr="004870BA">
        <w:tab/>
      </w:r>
      <w:r w:rsidR="00940E10" w:rsidRPr="008361F5">
        <w:rPr>
          <w:rStyle w:val="FootnoteReference"/>
          <w:lang w:val="es-ES"/>
        </w:rPr>
        <w:footnoteRef/>
      </w:r>
      <w:r w:rsidR="00940E10" w:rsidRPr="004870BA">
        <w:t xml:space="preserve"> </w:t>
      </w:r>
      <w:r w:rsidRPr="004870BA">
        <w:tab/>
      </w:r>
      <w:r w:rsidR="00940E10" w:rsidRPr="004870BA">
        <w:t>New York Times, “Shrinking the Conflict: What Does Israel’s New Mantra Really Mean?” (30 September 2021).</w:t>
      </w:r>
    </w:p>
  </w:footnote>
  <w:footnote w:id="72">
    <w:p w14:paraId="0A7DEBD1" w14:textId="21169B06" w:rsidR="00940E10" w:rsidRPr="00F04489" w:rsidRDefault="00E757E3" w:rsidP="00940E10">
      <w:pPr>
        <w:pStyle w:val="FootnoteText"/>
        <w:rPr>
          <w:lang w:val="en-US"/>
        </w:rPr>
      </w:pPr>
      <w:r w:rsidRPr="004870BA">
        <w:tab/>
      </w:r>
      <w:r w:rsidR="00940E10" w:rsidRPr="008361F5">
        <w:rPr>
          <w:rStyle w:val="FootnoteReference"/>
          <w:lang w:val="es-ES"/>
        </w:rPr>
        <w:footnoteRef/>
      </w:r>
      <w:r w:rsidRPr="004870BA">
        <w:tab/>
      </w:r>
      <w:r w:rsidR="00940E10" w:rsidRPr="004870BA">
        <w:t>New York Times, “In Reversal, Israel’s New Government Engages with Palestinian Authority” (25 September 2021).</w:t>
      </w:r>
    </w:p>
  </w:footnote>
  <w:footnote w:id="73">
    <w:p w14:paraId="1BCC586A" w14:textId="606629DB"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After expressing his opposition to a Palestinian state, Prime Minister Bennett added that: “My outlook is a very business-like one. If we create more business, strengthen the economy and improve living conditions for everyone in Judea and Samaria, that would be better.” Jerusalem Post</w:t>
      </w:r>
      <w:r w:rsidRPr="004870BA">
        <w:t xml:space="preserve"> (15 September 2021).</w:t>
      </w:r>
    </w:p>
  </w:footnote>
  <w:footnote w:id="74">
    <w:p w14:paraId="0968A9C9" w14:textId="2E5036EC"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In reporting on this new approach by the Israeli government, the New York Times noted that: “Even as the Israeli government takes steps to improve the Palestinian economy and security, it has pledged to continue expanding settlements in the West Bank. It has also continued to demolish Palestinian homes built without permits in areas where permits are rarely issued, and to use a heavy hand against Palestinians at protests and clashes.” New York Times (30 September 2021).</w:t>
      </w:r>
    </w:p>
  </w:footnote>
  <w:footnote w:id="75">
    <w:p w14:paraId="0F463E3E" w14:textId="1160BCAC"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New York Times (25 September 2021)</w:t>
      </w:r>
      <w:r w:rsidRPr="004870BA">
        <w:t>.</w:t>
      </w:r>
    </w:p>
  </w:footnote>
  <w:footnote w:id="76">
    <w:p w14:paraId="14CE892C" w14:textId="28EF186B"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Ha’aretz editorial (22 December 2019): “Even harder to understand is the claim that the issue of the Israeli-Palestinian conflict must be left for dialogue and negotiations and the legal process will only harm it, while it is clear to all that there is no such process on the table because the Israeli government is not interested in it.”</w:t>
      </w:r>
    </w:p>
  </w:footnote>
  <w:footnote w:id="77">
    <w:p w14:paraId="52711CBF" w14:textId="7CADA451" w:rsidR="00940E10" w:rsidRPr="00D2715E" w:rsidRDefault="00E757E3" w:rsidP="00940E10">
      <w:pPr>
        <w:pStyle w:val="FootnoteText"/>
      </w:pPr>
      <w:r w:rsidRPr="004870BA">
        <w:tab/>
      </w:r>
      <w:r w:rsidR="00940E10" w:rsidRPr="008361F5">
        <w:rPr>
          <w:rStyle w:val="FootnoteReference"/>
          <w:lang w:val="es-ES"/>
        </w:rPr>
        <w:footnoteRef/>
      </w:r>
      <w:r w:rsidR="00940E10" w:rsidRPr="004870BA">
        <w:t xml:space="preserve"> </w:t>
      </w:r>
      <w:r w:rsidRPr="004870BA">
        <w:tab/>
      </w:r>
      <w:r w:rsidR="00940E10" w:rsidRPr="004870BA">
        <w:t>D. Bouris &amp; N. Brown, “The Middle East Quartet’s Quest for Relevance” (Carnegie Europe, 2016).</w:t>
      </w:r>
    </w:p>
  </w:footnote>
  <w:footnote w:id="78">
    <w:p w14:paraId="5868BB54" w14:textId="25FB17E0"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UNGA Res. 75/172 (16 December 2020)</w:t>
      </w:r>
      <w:r w:rsidRPr="004870BA">
        <w:t>.</w:t>
      </w:r>
    </w:p>
  </w:footnote>
  <w:footnote w:id="79">
    <w:p w14:paraId="44E76D97" w14:textId="60755C15" w:rsidR="00940E10" w:rsidRPr="00AD7443" w:rsidRDefault="00E757E3" w:rsidP="00940E10">
      <w:pPr>
        <w:pStyle w:val="FootnoteText"/>
      </w:pPr>
      <w:r w:rsidRPr="004870BA">
        <w:tab/>
      </w:r>
      <w:r w:rsidR="00940E10" w:rsidRPr="008361F5">
        <w:rPr>
          <w:rStyle w:val="FootnoteReference"/>
          <w:lang w:val="es-ES"/>
        </w:rPr>
        <w:footnoteRef/>
      </w:r>
      <w:r w:rsidRPr="004870BA">
        <w:tab/>
      </w:r>
      <w:r w:rsidR="00940E10" w:rsidRPr="004870BA">
        <w:t>UNSC Res. 1483 (22 May 2003), which welcomed the commitment of the powers occupying Iraq to restore sovereignty to the people of Iraq “as soon as possible”, and which “must come quickly”. Also see UNGA Res. 75/172 (16 December 2020): “Stressing the urgency of achieving without delay an end to the Israeli occupation…”</w:t>
      </w:r>
    </w:p>
  </w:footnote>
  <w:footnote w:id="80">
    <w:p w14:paraId="58131013" w14:textId="628127DC" w:rsidR="00940E10" w:rsidRPr="004870BA" w:rsidRDefault="00E757E3" w:rsidP="00940E10">
      <w:pPr>
        <w:pStyle w:val="FootnoteText"/>
      </w:pPr>
      <w:r w:rsidRPr="004870BA">
        <w:tab/>
      </w:r>
      <w:r w:rsidR="00940E10" w:rsidRPr="008361F5">
        <w:rPr>
          <w:rStyle w:val="FootnoteReference"/>
          <w:lang w:val="es-ES"/>
        </w:rPr>
        <w:footnoteRef/>
      </w:r>
      <w:r w:rsidRPr="004870BA">
        <w:tab/>
        <w:t>Annan, p. 290.</w:t>
      </w:r>
    </w:p>
  </w:footnote>
  <w:footnote w:id="81">
    <w:p w14:paraId="6E5C8F67" w14:textId="20A53B07"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Financial Times (29 June 2021).</w:t>
      </w:r>
    </w:p>
  </w:footnote>
  <w:footnote w:id="82">
    <w:p w14:paraId="6FF64ED6" w14:textId="62F8AF98"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B. Obama, A Promised Land</w:t>
      </w:r>
      <w:r w:rsidRPr="004870BA">
        <w:t xml:space="preserve"> (Crown, 2020), p. 627.</w:t>
      </w:r>
    </w:p>
  </w:footnote>
  <w:footnote w:id="83">
    <w:p w14:paraId="573B61A6" w14:textId="5F31202F"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International Crisis Group, Beyond Business as Usual in Israel-Palestine</w:t>
      </w:r>
      <w:r w:rsidRPr="004870BA">
        <w:t xml:space="preserve"> (August 2021).</w:t>
      </w:r>
    </w:p>
  </w:footnote>
  <w:footnote w:id="84">
    <w:p w14:paraId="1C1E0B87" w14:textId="7F3CA953" w:rsidR="00940E10" w:rsidRPr="004870BA" w:rsidRDefault="00E757E3" w:rsidP="00940E10">
      <w:pPr>
        <w:pStyle w:val="FootnoteText"/>
      </w:pPr>
      <w:r w:rsidRPr="004870BA">
        <w:tab/>
      </w:r>
      <w:r w:rsidR="00940E10" w:rsidRPr="008361F5">
        <w:rPr>
          <w:rStyle w:val="FootnoteReference"/>
          <w:lang w:val="es-ES"/>
        </w:rPr>
        <w:footnoteRef/>
      </w:r>
      <w:r w:rsidR="00940E10" w:rsidRPr="004870BA">
        <w:t xml:space="preserve"> </w:t>
      </w:r>
      <w:r w:rsidRPr="004870BA">
        <w:tab/>
      </w:r>
      <w:r w:rsidR="00940E10" w:rsidRPr="004870BA">
        <w:t>Congressional Research Service, US Foreign Aid to Israel</w:t>
      </w:r>
      <w:r w:rsidRPr="004870BA">
        <w:t xml:space="preserve"> (November 2020).</w:t>
      </w:r>
    </w:p>
  </w:footnote>
  <w:footnote w:id="85">
    <w:p w14:paraId="47ACF4F0" w14:textId="55916369"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M. Kennard, “The Cruel Experiments of Israel’s Arms Industry” (Puli</w:t>
      </w:r>
      <w:r w:rsidRPr="004870BA">
        <w:t>tzer Center, 28 December 2016).</w:t>
      </w:r>
    </w:p>
  </w:footnote>
  <w:footnote w:id="86">
    <w:p w14:paraId="513D6C2F" w14:textId="09864739"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J. Ruebner et al, “Bringing Assistance to Israel in Line with Rights and US Laws” (Carnegie Endowment, May 2021).</w:t>
      </w:r>
    </w:p>
  </w:footnote>
  <w:footnote w:id="87">
    <w:p w14:paraId="3C6C2E7A" w14:textId="3E365C57"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Chicago Council on Global Affairs, ”Americans Split on Militar</w:t>
      </w:r>
      <w:r w:rsidRPr="004870BA">
        <w:t>y Aid to Israel” (August 2021).</w:t>
      </w:r>
    </w:p>
  </w:footnote>
  <w:footnote w:id="88">
    <w:p w14:paraId="1D3FCB46" w14:textId="2049D00F" w:rsidR="00940E10" w:rsidRPr="007357D1" w:rsidRDefault="00E757E3" w:rsidP="00940E10">
      <w:pPr>
        <w:pStyle w:val="FootnoteText"/>
      </w:pPr>
      <w:r w:rsidRPr="004870BA">
        <w:tab/>
      </w:r>
      <w:r w:rsidR="00940E10" w:rsidRPr="008361F5">
        <w:rPr>
          <w:rStyle w:val="FootnoteReference"/>
          <w:lang w:val="es-ES"/>
        </w:rPr>
        <w:footnoteRef/>
      </w:r>
      <w:r w:rsidRPr="004870BA">
        <w:tab/>
      </w:r>
      <w:r w:rsidR="00940E10" w:rsidRPr="004870BA">
        <w:t>Boston Globe (19 May 2021).</w:t>
      </w:r>
    </w:p>
  </w:footnote>
  <w:footnote w:id="89">
    <w:p w14:paraId="4B6DEB97" w14:textId="659B516D"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A. Persson, EU Diplomacy and the Israeli-Arab Conflict, 1967-2019 (Edi</w:t>
      </w:r>
      <w:r w:rsidRPr="004870BA">
        <w:t>nburgh University Press, 2020).</w:t>
      </w:r>
    </w:p>
  </w:footnote>
  <w:footnote w:id="90">
    <w:p w14:paraId="52F3D20D" w14:textId="02E65FAD"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O. Dajani &amp; H. Lovett, Rethinking Oslo: How Europe can promote peace in Israel-Palestine (European Council on Foreign Relations, 2017); H. Lovatt and M. Toaldo, EU Differentiation and Israeli Settlements</w:t>
      </w:r>
      <w:r w:rsidRPr="004870BA">
        <w:t xml:space="preserve"> (ECFR, 2015).</w:t>
      </w:r>
    </w:p>
  </w:footnote>
  <w:footnote w:id="91">
    <w:p w14:paraId="6ECE2086" w14:textId="34CE8C63" w:rsidR="00940E10" w:rsidRPr="00C603CA" w:rsidRDefault="00E757E3" w:rsidP="00940E10">
      <w:pPr>
        <w:pStyle w:val="FootnoteText"/>
        <w:rPr>
          <w:lang w:val="en-US"/>
        </w:rPr>
      </w:pPr>
      <w:r w:rsidRPr="004870BA">
        <w:tab/>
      </w:r>
      <w:r w:rsidR="00940E10" w:rsidRPr="008361F5">
        <w:rPr>
          <w:rStyle w:val="FootnoteReference"/>
          <w:lang w:val="es-ES"/>
        </w:rPr>
        <w:footnoteRef/>
      </w:r>
      <w:r w:rsidRPr="004870BA">
        <w:tab/>
      </w:r>
      <w:r w:rsidR="00940E10" w:rsidRPr="004870BA">
        <w:t xml:space="preserve">B. Oppenheim, Can Europe overcome its paralysis on Israel and Palestine? </w:t>
      </w:r>
      <w:r w:rsidR="00940E10" w:rsidRPr="008F6269">
        <w:rPr>
          <w:lang w:val="es-ES"/>
        </w:rPr>
        <w:t xml:space="preserve">(Centre </w:t>
      </w:r>
      <w:proofErr w:type="spellStart"/>
      <w:r w:rsidR="00940E10" w:rsidRPr="008F6269">
        <w:rPr>
          <w:lang w:val="es-ES"/>
        </w:rPr>
        <w:t>for</w:t>
      </w:r>
      <w:proofErr w:type="spellEnd"/>
      <w:r w:rsidR="00940E10" w:rsidRPr="008F6269">
        <w:rPr>
          <w:lang w:val="es-ES"/>
        </w:rPr>
        <w:t xml:space="preserve"> </w:t>
      </w:r>
      <w:proofErr w:type="spellStart"/>
      <w:r w:rsidR="00940E10" w:rsidRPr="008F6269">
        <w:rPr>
          <w:lang w:val="es-ES"/>
        </w:rPr>
        <w:t>European</w:t>
      </w:r>
      <w:proofErr w:type="spellEnd"/>
      <w:r w:rsidR="00940E10" w:rsidRPr="008F6269">
        <w:rPr>
          <w:lang w:val="es-ES"/>
        </w:rPr>
        <w:t xml:space="preserve"> </w:t>
      </w:r>
      <w:proofErr w:type="spellStart"/>
      <w:r w:rsidR="00940E10" w:rsidRPr="008F6269">
        <w:rPr>
          <w:lang w:val="es-ES"/>
        </w:rPr>
        <w:t>Reform</w:t>
      </w:r>
      <w:proofErr w:type="spellEnd"/>
      <w:r w:rsidR="00940E10" w:rsidRPr="008F6269">
        <w:rPr>
          <w:lang w:val="es-ES"/>
        </w:rPr>
        <w:t>, 2020).</w:t>
      </w:r>
    </w:p>
  </w:footnote>
  <w:footnote w:id="92">
    <w:p w14:paraId="74C2B2C8" w14:textId="02743764" w:rsidR="00940E10" w:rsidRPr="008F6269" w:rsidRDefault="00E757E3" w:rsidP="00940E10">
      <w:pPr>
        <w:pStyle w:val="FootnoteText"/>
        <w:rPr>
          <w:lang w:val="es-ES"/>
        </w:rPr>
      </w:pPr>
      <w:r>
        <w:rPr>
          <w:lang w:val="es-ES"/>
        </w:rPr>
        <w:tab/>
      </w:r>
      <w:r w:rsidR="00940E10" w:rsidRPr="008361F5">
        <w:rPr>
          <w:rStyle w:val="FootnoteReference"/>
          <w:lang w:val="es-ES"/>
        </w:rPr>
        <w:footnoteRef/>
      </w:r>
      <w:r>
        <w:rPr>
          <w:lang w:val="es-ES"/>
        </w:rPr>
        <w:tab/>
      </w:r>
      <w:r w:rsidR="00940E10" w:rsidRPr="008F6269">
        <w:rPr>
          <w:lang w:val="es-ES"/>
        </w:rPr>
        <w:t>A/HRC/47/57</w:t>
      </w:r>
    </w:p>
  </w:footnote>
  <w:footnote w:id="93">
    <w:p w14:paraId="6C519778" w14:textId="14FD64BF" w:rsidR="00940E10" w:rsidRPr="004870BA" w:rsidRDefault="00E757E3" w:rsidP="00940E10">
      <w:pPr>
        <w:pStyle w:val="FootnoteText"/>
      </w:pPr>
      <w:r>
        <w:rPr>
          <w:lang w:val="es-ES"/>
        </w:rPr>
        <w:tab/>
      </w:r>
      <w:r w:rsidR="00940E10" w:rsidRPr="008361F5">
        <w:rPr>
          <w:rStyle w:val="FootnoteReference"/>
          <w:lang w:val="es-ES"/>
        </w:rPr>
        <w:footnoteRef/>
      </w:r>
      <w:r w:rsidRPr="004870BA">
        <w:tab/>
      </w:r>
      <w:r w:rsidR="00940E10" w:rsidRPr="004870BA">
        <w:t>H. Lovatt, The End of Oslo: A New European Strategy on Israel-</w:t>
      </w:r>
      <w:proofErr w:type="gramStart"/>
      <w:r w:rsidR="00940E10" w:rsidRPr="004870BA">
        <w:t>Palestine</w:t>
      </w:r>
      <w:r w:rsidRPr="004870BA">
        <w:t xml:space="preserve">  (</w:t>
      </w:r>
      <w:proofErr w:type="gramEnd"/>
      <w:r w:rsidRPr="004870BA">
        <w:t>ECFR, 2020).</w:t>
      </w:r>
    </w:p>
  </w:footnote>
  <w:footnote w:id="94">
    <w:p w14:paraId="759C8440" w14:textId="77B40E62" w:rsidR="00940E10" w:rsidRPr="00766D15" w:rsidRDefault="00E757E3" w:rsidP="00940E10">
      <w:pPr>
        <w:pStyle w:val="FootnoteText"/>
      </w:pPr>
      <w:r w:rsidRPr="004870BA">
        <w:tab/>
      </w:r>
      <w:r w:rsidR="00940E10" w:rsidRPr="008361F5">
        <w:rPr>
          <w:rStyle w:val="FootnoteReference"/>
          <w:lang w:val="es-ES"/>
        </w:rPr>
        <w:footnoteRef/>
      </w:r>
      <w:r w:rsidRPr="004870BA">
        <w:tab/>
      </w:r>
      <w:r w:rsidR="008361F5" w:rsidRPr="004870BA">
        <w:t>W</w:t>
      </w:r>
      <w:r w:rsidR="00940E10" w:rsidRPr="004870BA">
        <w:t>orld Bank, 1993.</w:t>
      </w:r>
    </w:p>
  </w:footnote>
  <w:footnote w:id="95">
    <w:p w14:paraId="108A86A9" w14:textId="42FEC8E3"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As examples, see the West Bank and Gaza Update for June 2008, and the Economic Monitoring Reports for 27 S</w:t>
      </w:r>
      <w:r w:rsidR="008361F5" w:rsidRPr="004870BA">
        <w:t>eptember 2018 and 2 June 2020.</w:t>
      </w:r>
    </w:p>
  </w:footnote>
  <w:footnote w:id="96">
    <w:p w14:paraId="2D5CBB2A" w14:textId="1F769719"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See, for example, the West Bank and Gaza Updates for November 2004, Novembe</w:t>
      </w:r>
      <w:r w:rsidRPr="004870BA">
        <w:t>r 2007 and March 2008.</w:t>
      </w:r>
    </w:p>
  </w:footnote>
  <w:footnote w:id="97">
    <w:p w14:paraId="598515D2" w14:textId="63F025C9"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World Bank, Area C and the Future of the Palestinian Economy</w:t>
      </w:r>
      <w:r w:rsidRPr="004870BA">
        <w:t xml:space="preserve"> (Washington, 2013).</w:t>
      </w:r>
    </w:p>
  </w:footnote>
  <w:footnote w:id="98">
    <w:p w14:paraId="61A2F1C7" w14:textId="246E4976"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World Bank, 1993, note 45, Volume 1, Table 1.1. In this 1993 report, the World Bank acknowledged the central economic importance of East Jerusa</w:t>
      </w:r>
      <w:r w:rsidRPr="004870BA">
        <w:t>lem to the Palestinian economy.</w:t>
      </w:r>
    </w:p>
  </w:footnote>
  <w:footnote w:id="99">
    <w:p w14:paraId="43224CFD" w14:textId="58A8C0B8"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UNCTAD, The Economic Costs of the Israeli Occupation for the Palestinian People</w:t>
      </w:r>
      <w:r w:rsidRPr="004870BA">
        <w:t xml:space="preserve"> (Geneva, 2019).</w:t>
      </w:r>
    </w:p>
  </w:footnote>
  <w:footnote w:id="100">
    <w:p w14:paraId="15F05CC1" w14:textId="1EA24AF3"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UNCTAD, The Economic Costs of the Israeli Occupation: Unrealized Oil and Natural Gas Potential</w:t>
      </w:r>
      <w:r w:rsidRPr="004870BA">
        <w:t xml:space="preserve"> (Geneva, 2019).</w:t>
      </w:r>
    </w:p>
  </w:footnote>
  <w:footnote w:id="101">
    <w:p w14:paraId="41231F98" w14:textId="2090BD67" w:rsidR="00940E10" w:rsidRPr="004870BA" w:rsidRDefault="00E757E3" w:rsidP="00940E10">
      <w:pPr>
        <w:pStyle w:val="FootnoteText"/>
      </w:pPr>
      <w:r w:rsidRPr="004870BA">
        <w:tab/>
      </w:r>
      <w:r w:rsidR="00940E10" w:rsidRPr="008361F5">
        <w:rPr>
          <w:rStyle w:val="FootnoteReference"/>
          <w:lang w:val="es-ES"/>
        </w:rPr>
        <w:footnoteRef/>
      </w:r>
      <w:r w:rsidRPr="004870BA">
        <w:tab/>
      </w:r>
      <w:r w:rsidR="00940E10" w:rsidRPr="004870BA">
        <w:t xml:space="preserve">UNCTAD Biannual </w:t>
      </w:r>
      <w:r w:rsidRPr="004870BA">
        <w:t>Report (5 August 2020).</w:t>
      </w:r>
    </w:p>
  </w:footnote>
  <w:footnote w:id="102">
    <w:p w14:paraId="7B7FEEFE" w14:textId="539E8427" w:rsidR="00940E10" w:rsidRPr="0080326F" w:rsidRDefault="00E757E3" w:rsidP="00940E10">
      <w:pPr>
        <w:pStyle w:val="FootnoteText"/>
      </w:pPr>
      <w:r w:rsidRPr="004870BA">
        <w:tab/>
      </w:r>
      <w:r w:rsidR="00940E10" w:rsidRPr="008361F5">
        <w:rPr>
          <w:rStyle w:val="FootnoteReference"/>
          <w:lang w:val="es-ES"/>
        </w:rPr>
        <w:footnoteRef/>
      </w:r>
      <w:r w:rsidR="00940E10" w:rsidRPr="004870BA">
        <w:t xml:space="preserve"> </w:t>
      </w:r>
      <w:r w:rsidRPr="004870BA">
        <w:tab/>
      </w:r>
      <w:r w:rsidR="00940E10" w:rsidRPr="004870BA">
        <w:t>UNCTAD Biannual Report (22 July 2019).</w:t>
      </w:r>
    </w:p>
  </w:footnote>
  <w:footnote w:id="103">
    <w:p w14:paraId="28962744" w14:textId="77B8FCCF" w:rsidR="00481C0F" w:rsidRPr="004870BA" w:rsidRDefault="008361F5" w:rsidP="00481C0F">
      <w:pPr>
        <w:pStyle w:val="FootnoteText"/>
      </w:pPr>
      <w:r w:rsidRPr="004870BA">
        <w:tab/>
      </w:r>
      <w:r w:rsidR="00481C0F" w:rsidRPr="008361F5">
        <w:rPr>
          <w:rStyle w:val="FootnoteReference"/>
          <w:lang w:val="es-ES"/>
        </w:rPr>
        <w:footnoteRef/>
      </w:r>
      <w:r w:rsidRPr="004870BA">
        <w:tab/>
      </w:r>
      <w:r w:rsidR="00481C0F" w:rsidRPr="004870BA">
        <w:t>K. Elgindy, The Middle East Quartet: A Post-Mortem</w:t>
      </w:r>
      <w:r w:rsidRPr="004870BA">
        <w:t xml:space="preserve"> (Brookings Institute, 2012).</w:t>
      </w:r>
    </w:p>
  </w:footnote>
  <w:footnote w:id="104">
    <w:p w14:paraId="236D2EBA" w14:textId="60FF079F" w:rsidR="00481C0F" w:rsidRPr="004870BA" w:rsidRDefault="008361F5" w:rsidP="00481C0F">
      <w:pPr>
        <w:pStyle w:val="FootnoteText"/>
      </w:pPr>
      <w:r w:rsidRPr="004870BA">
        <w:tab/>
      </w:r>
      <w:r w:rsidR="00481C0F" w:rsidRPr="008361F5">
        <w:rPr>
          <w:rStyle w:val="FootnoteReference"/>
          <w:lang w:val="es-ES"/>
        </w:rPr>
        <w:footnoteRef/>
      </w:r>
      <w:r w:rsidRPr="004870BA">
        <w:tab/>
      </w:r>
      <w:r w:rsidR="00481C0F" w:rsidRPr="004870BA">
        <w:t>Office of the Quartet, Annual Report 2020</w:t>
      </w:r>
      <w:r w:rsidRPr="004870BA">
        <w:t xml:space="preserve"> (Jerusalem, 2020).</w:t>
      </w:r>
    </w:p>
  </w:footnote>
  <w:footnote w:id="105">
    <w:p w14:paraId="2EA652F0" w14:textId="02C30011" w:rsidR="00481C0F" w:rsidRPr="004870BA" w:rsidRDefault="008361F5" w:rsidP="00481C0F">
      <w:pPr>
        <w:pStyle w:val="FootnoteText"/>
      </w:pPr>
      <w:r w:rsidRPr="004870BA">
        <w:tab/>
      </w:r>
      <w:r w:rsidR="00481C0F" w:rsidRPr="008361F5">
        <w:rPr>
          <w:rStyle w:val="FootnoteReference"/>
          <w:lang w:val="es-ES"/>
        </w:rPr>
        <w:footnoteRef/>
      </w:r>
      <w:r w:rsidRPr="004870BA">
        <w:tab/>
      </w:r>
      <w:hyperlink r:id="rId12" w:history="1">
        <w:r w:rsidR="00481C0F" w:rsidRPr="004870BA">
          <w:t>statement_by_the_envoys_of_the_middle_east_quartet_-_23_march_2021.pdf (unmissions.org)</w:t>
        </w:r>
      </w:hyperlink>
    </w:p>
  </w:footnote>
  <w:footnote w:id="106">
    <w:p w14:paraId="3DC891F6" w14:textId="6019B3E5" w:rsidR="00481C0F" w:rsidRPr="004870BA" w:rsidRDefault="008361F5" w:rsidP="00481C0F">
      <w:pPr>
        <w:pStyle w:val="FootnoteText"/>
      </w:pPr>
      <w:r w:rsidRPr="004870BA">
        <w:tab/>
      </w:r>
      <w:r w:rsidR="00481C0F" w:rsidRPr="008361F5">
        <w:rPr>
          <w:rStyle w:val="FootnoteReference"/>
          <w:lang w:val="es-ES"/>
        </w:rPr>
        <w:footnoteRef/>
      </w:r>
      <w:r w:rsidRPr="004870BA">
        <w:tab/>
      </w:r>
      <w:r w:rsidR="00481C0F" w:rsidRPr="004870BA">
        <w:t>Office of the Quartet, Strategy 2021-2023 (Jerusalem, 2020).</w:t>
      </w:r>
    </w:p>
  </w:footnote>
  <w:footnote w:id="107">
    <w:p w14:paraId="52945CDD" w14:textId="5968C994" w:rsidR="00481C0F" w:rsidRPr="00C46C42" w:rsidRDefault="008361F5" w:rsidP="00481C0F">
      <w:pPr>
        <w:pStyle w:val="FootnoteText"/>
      </w:pPr>
      <w:r w:rsidRPr="004870BA">
        <w:tab/>
      </w:r>
      <w:r w:rsidR="00481C0F" w:rsidRPr="008361F5">
        <w:rPr>
          <w:rStyle w:val="FootnoteReference"/>
          <w:lang w:val="es-ES"/>
        </w:rPr>
        <w:footnoteRef/>
      </w:r>
      <w:r w:rsidRPr="004870BA">
        <w:tab/>
      </w:r>
      <w:r w:rsidR="00481C0F" w:rsidRPr="004870BA">
        <w:t>Elgindy</w:t>
      </w:r>
    </w:p>
  </w:footnote>
  <w:footnote w:id="108">
    <w:p w14:paraId="20BB639A" w14:textId="5BC1C7EC" w:rsidR="00481C0F" w:rsidRPr="004870BA" w:rsidRDefault="008361F5" w:rsidP="00481C0F">
      <w:pPr>
        <w:pStyle w:val="FootnoteText"/>
      </w:pPr>
      <w:r w:rsidRPr="004870BA">
        <w:tab/>
      </w:r>
      <w:r w:rsidR="00481C0F" w:rsidRPr="008361F5">
        <w:rPr>
          <w:rStyle w:val="FootnoteReference"/>
          <w:lang w:val="es-ES"/>
        </w:rPr>
        <w:footnoteRef/>
      </w:r>
      <w:r w:rsidRPr="004870BA">
        <w:tab/>
      </w:r>
      <w:r w:rsidR="00481C0F" w:rsidRPr="004870BA">
        <w:t>A. de Soto, End of Mission Report, May 2007.</w:t>
      </w:r>
    </w:p>
  </w:footnote>
  <w:footnote w:id="109">
    <w:p w14:paraId="4FE8D234" w14:textId="38D686E5" w:rsidR="00481C0F" w:rsidRPr="004870BA" w:rsidRDefault="008361F5" w:rsidP="00481C0F">
      <w:pPr>
        <w:pStyle w:val="FootnoteText"/>
      </w:pPr>
      <w:r w:rsidRPr="004870BA">
        <w:tab/>
      </w:r>
      <w:r w:rsidR="00481C0F" w:rsidRPr="008361F5">
        <w:rPr>
          <w:rStyle w:val="FootnoteReference"/>
          <w:lang w:val="es-ES"/>
        </w:rPr>
        <w:footnoteRef/>
      </w:r>
      <w:r w:rsidRPr="004870BA">
        <w:tab/>
      </w:r>
      <w:r w:rsidR="00481C0F" w:rsidRPr="004870BA">
        <w:t>P. Muller, “Informal Security Governance and the Middle East Quartet” (2014) 21:4 International Peacekeeping</w:t>
      </w:r>
      <w:r w:rsidRPr="004870BA">
        <w:t xml:space="preserve"> 464.</w:t>
      </w:r>
    </w:p>
  </w:footnote>
  <w:footnote w:id="110">
    <w:p w14:paraId="31D4E4C4" w14:textId="436352AE" w:rsidR="00481C0F" w:rsidRPr="004870BA" w:rsidRDefault="008361F5" w:rsidP="00481C0F">
      <w:pPr>
        <w:pStyle w:val="FootnoteText"/>
      </w:pPr>
      <w:r w:rsidRPr="004870BA">
        <w:tab/>
      </w:r>
      <w:r w:rsidR="00481C0F" w:rsidRPr="008361F5">
        <w:rPr>
          <w:rStyle w:val="FootnoteReference"/>
          <w:lang w:val="es-ES"/>
        </w:rPr>
        <w:footnoteRef/>
      </w:r>
      <w:r w:rsidRPr="004870BA">
        <w:tab/>
      </w:r>
      <w:r w:rsidR="00481C0F" w:rsidRPr="004870BA">
        <w:t>de Soto.</w:t>
      </w:r>
    </w:p>
  </w:footnote>
  <w:footnote w:id="111">
    <w:p w14:paraId="428AA9C3" w14:textId="011D3F83" w:rsidR="00481C0F" w:rsidRPr="004870BA" w:rsidRDefault="008361F5" w:rsidP="00481C0F">
      <w:pPr>
        <w:pStyle w:val="FootnoteText"/>
      </w:pPr>
      <w:r w:rsidRPr="004870BA">
        <w:tab/>
      </w:r>
      <w:r w:rsidR="00481C0F" w:rsidRPr="008361F5">
        <w:rPr>
          <w:rStyle w:val="FootnoteReference"/>
          <w:lang w:val="es-ES"/>
        </w:rPr>
        <w:footnoteRef/>
      </w:r>
      <w:r w:rsidRPr="004870BA">
        <w:tab/>
      </w:r>
      <w:r w:rsidR="00481C0F" w:rsidRPr="004870BA">
        <w:t>The Guardian, “Antony Blinken says the US will ‘stand up for human righ</w:t>
      </w:r>
      <w:r w:rsidRPr="004870BA">
        <w:t>ts everywhere” (30 March 2021).</w:t>
      </w:r>
    </w:p>
  </w:footnote>
  <w:footnote w:id="112">
    <w:p w14:paraId="5C9F82B1" w14:textId="3E7E7186" w:rsidR="00481C0F" w:rsidRPr="00E57152" w:rsidRDefault="008361F5" w:rsidP="00481C0F">
      <w:pPr>
        <w:pStyle w:val="FootnoteText"/>
        <w:rPr>
          <w:lang w:val="en-US"/>
        </w:rPr>
      </w:pPr>
      <w:r w:rsidRPr="004870BA">
        <w:tab/>
      </w:r>
      <w:r w:rsidR="00481C0F" w:rsidRPr="008361F5">
        <w:rPr>
          <w:rStyle w:val="FootnoteReference"/>
          <w:lang w:val="es-ES"/>
        </w:rPr>
        <w:footnoteRef/>
      </w:r>
      <w:r w:rsidRPr="004870BA">
        <w:tab/>
      </w:r>
      <w:r w:rsidR="00481C0F" w:rsidRPr="004870BA">
        <w:t>Lovatt, The End of Oslo.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7D9F" w14:textId="24772C44" w:rsidR="00940E10" w:rsidRPr="00697A81" w:rsidRDefault="00B76104" w:rsidP="00F82D15">
    <w:pPr>
      <w:pStyle w:val="Header"/>
      <w:rPr>
        <w:color w:val="0000FF"/>
        <w:lang w:val="en-US"/>
      </w:rPr>
    </w:pPr>
    <w:r>
      <w:rPr>
        <w:color w:val="000000" w:themeColor="text1"/>
        <w:sz w:val="20"/>
        <w:lang w:val="en-US"/>
      </w:rPr>
      <w:t>A/76/433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7DA0" w14:textId="5CEA9D33" w:rsidR="00940E10" w:rsidRPr="006F7B41" w:rsidRDefault="00B76104" w:rsidP="00F82D15">
    <w:pPr>
      <w:pStyle w:val="Header"/>
      <w:jc w:val="right"/>
      <w:rPr>
        <w:lang w:val="en-US"/>
      </w:rPr>
    </w:pPr>
    <w:r>
      <w:rPr>
        <w:color w:val="000000" w:themeColor="text1"/>
        <w:lang w:val="en-US"/>
      </w:rPr>
      <w:t>A/76/433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7CE"/>
    <w:multiLevelType w:val="hybridMultilevel"/>
    <w:tmpl w:val="B50047DC"/>
    <w:lvl w:ilvl="0" w:tplc="6F406964">
      <w:start w:val="1"/>
      <w:numFmt w:val="decimal"/>
      <w:lvlText w:val="%1."/>
      <w:lvlJc w:val="left"/>
      <w:pPr>
        <w:ind w:left="1211" w:hanging="360"/>
      </w:pPr>
      <w:rPr>
        <w:rFonts w:hint="default"/>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C3537"/>
    <w:multiLevelType w:val="hybridMultilevel"/>
    <w:tmpl w:val="B5EA456A"/>
    <w:lvl w:ilvl="0" w:tplc="F85EC254">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3" w15:restartNumberingAfterBreak="0">
    <w:nsid w:val="0A9A6C7A"/>
    <w:multiLevelType w:val="hybridMultilevel"/>
    <w:tmpl w:val="3A22AE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A57EAC"/>
    <w:multiLevelType w:val="hybridMultilevel"/>
    <w:tmpl w:val="0E8444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BB6348"/>
    <w:multiLevelType w:val="hybridMultilevel"/>
    <w:tmpl w:val="799AA61A"/>
    <w:lvl w:ilvl="0" w:tplc="2646B8A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F4930"/>
    <w:multiLevelType w:val="hybridMultilevel"/>
    <w:tmpl w:val="D01425CE"/>
    <w:lvl w:ilvl="0" w:tplc="A994360C">
      <w:start w:val="1"/>
      <w:numFmt w:val="lowerLetter"/>
      <w:lvlText w:val="(%1)"/>
      <w:lvlJc w:val="left"/>
      <w:pPr>
        <w:ind w:left="1484" w:hanging="360"/>
      </w:pPr>
      <w:rPr>
        <w:rFonts w:hint="default"/>
      </w:rPr>
    </w:lvl>
    <w:lvl w:ilvl="1" w:tplc="08090019" w:tentative="1">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7" w15:restartNumberingAfterBreak="0">
    <w:nsid w:val="17293CD9"/>
    <w:multiLevelType w:val="hybridMultilevel"/>
    <w:tmpl w:val="0E8444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BC637B"/>
    <w:multiLevelType w:val="hybridMultilevel"/>
    <w:tmpl w:val="2CAE5D14"/>
    <w:lvl w:ilvl="0" w:tplc="241A4580">
      <w:start w:val="1"/>
      <w:numFmt w:val="lowerLetter"/>
      <w:lvlText w:val="(%1)"/>
      <w:lvlJc w:val="left"/>
      <w:pPr>
        <w:ind w:left="1080" w:hanging="72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E412EB"/>
    <w:multiLevelType w:val="hybridMultilevel"/>
    <w:tmpl w:val="93386122"/>
    <w:lvl w:ilvl="0" w:tplc="A49C9F6C">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2191642F"/>
    <w:multiLevelType w:val="hybridMultilevel"/>
    <w:tmpl w:val="281E4FB0"/>
    <w:lvl w:ilvl="0" w:tplc="744055D8">
      <w:start w:val="1"/>
      <w:numFmt w:val="upp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1F86832"/>
    <w:multiLevelType w:val="hybridMultilevel"/>
    <w:tmpl w:val="BEC4F5CE"/>
    <w:lvl w:ilvl="0" w:tplc="695EDA42">
      <w:start w:val="1"/>
      <w:numFmt w:val="upperRoman"/>
      <w:lvlText w:val="%1."/>
      <w:lvlJc w:val="left"/>
      <w:pPr>
        <w:ind w:left="2394" w:hanging="720"/>
      </w:pPr>
      <w:rPr>
        <w:rFonts w:hint="default"/>
      </w:rPr>
    </w:lvl>
    <w:lvl w:ilvl="1" w:tplc="08090019" w:tentative="1">
      <w:start w:val="1"/>
      <w:numFmt w:val="lowerLetter"/>
      <w:lvlText w:val="%2."/>
      <w:lvlJc w:val="left"/>
      <w:pPr>
        <w:ind w:left="2754" w:hanging="360"/>
      </w:pPr>
    </w:lvl>
    <w:lvl w:ilvl="2" w:tplc="0809001B" w:tentative="1">
      <w:start w:val="1"/>
      <w:numFmt w:val="lowerRoman"/>
      <w:lvlText w:val="%3."/>
      <w:lvlJc w:val="right"/>
      <w:pPr>
        <w:ind w:left="3474" w:hanging="180"/>
      </w:pPr>
    </w:lvl>
    <w:lvl w:ilvl="3" w:tplc="0809000F" w:tentative="1">
      <w:start w:val="1"/>
      <w:numFmt w:val="decimal"/>
      <w:lvlText w:val="%4."/>
      <w:lvlJc w:val="left"/>
      <w:pPr>
        <w:ind w:left="4194" w:hanging="360"/>
      </w:pPr>
    </w:lvl>
    <w:lvl w:ilvl="4" w:tplc="08090019" w:tentative="1">
      <w:start w:val="1"/>
      <w:numFmt w:val="lowerLetter"/>
      <w:lvlText w:val="%5."/>
      <w:lvlJc w:val="left"/>
      <w:pPr>
        <w:ind w:left="4914" w:hanging="360"/>
      </w:pPr>
    </w:lvl>
    <w:lvl w:ilvl="5" w:tplc="0809001B" w:tentative="1">
      <w:start w:val="1"/>
      <w:numFmt w:val="lowerRoman"/>
      <w:lvlText w:val="%6."/>
      <w:lvlJc w:val="right"/>
      <w:pPr>
        <w:ind w:left="5634" w:hanging="180"/>
      </w:pPr>
    </w:lvl>
    <w:lvl w:ilvl="6" w:tplc="0809000F" w:tentative="1">
      <w:start w:val="1"/>
      <w:numFmt w:val="decimal"/>
      <w:lvlText w:val="%7."/>
      <w:lvlJc w:val="left"/>
      <w:pPr>
        <w:ind w:left="6354" w:hanging="360"/>
      </w:pPr>
    </w:lvl>
    <w:lvl w:ilvl="7" w:tplc="08090019" w:tentative="1">
      <w:start w:val="1"/>
      <w:numFmt w:val="lowerLetter"/>
      <w:lvlText w:val="%8."/>
      <w:lvlJc w:val="left"/>
      <w:pPr>
        <w:ind w:left="7074" w:hanging="360"/>
      </w:pPr>
    </w:lvl>
    <w:lvl w:ilvl="8" w:tplc="0809001B" w:tentative="1">
      <w:start w:val="1"/>
      <w:numFmt w:val="lowerRoman"/>
      <w:lvlText w:val="%9."/>
      <w:lvlJc w:val="right"/>
      <w:pPr>
        <w:ind w:left="7794" w:hanging="180"/>
      </w:pPr>
    </w:lvl>
  </w:abstractNum>
  <w:abstractNum w:abstractNumId="12" w15:restartNumberingAfterBreak="0">
    <w:nsid w:val="28BB41FB"/>
    <w:multiLevelType w:val="hybridMultilevel"/>
    <w:tmpl w:val="7B169DD6"/>
    <w:lvl w:ilvl="0" w:tplc="E3D8639A">
      <w:start w:val="1"/>
      <w:numFmt w:val="lowerLetter"/>
      <w:lvlText w:val="(%1)"/>
      <w:lvlJc w:val="left"/>
      <w:pPr>
        <w:ind w:left="1495"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29E26F25"/>
    <w:multiLevelType w:val="hybridMultilevel"/>
    <w:tmpl w:val="021AE168"/>
    <w:lvl w:ilvl="0" w:tplc="FBBA988E">
      <w:start w:val="1"/>
      <w:numFmt w:val="decimal"/>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D7821F4"/>
    <w:multiLevelType w:val="hybridMultilevel"/>
    <w:tmpl w:val="23CEDA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12551"/>
    <w:multiLevelType w:val="hybridMultilevel"/>
    <w:tmpl w:val="51A48D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B32297"/>
    <w:multiLevelType w:val="hybridMultilevel"/>
    <w:tmpl w:val="F1D644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5F200F"/>
    <w:multiLevelType w:val="hybridMultilevel"/>
    <w:tmpl w:val="0E8444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0A52EF"/>
    <w:multiLevelType w:val="hybridMultilevel"/>
    <w:tmpl w:val="4D2C2224"/>
    <w:lvl w:ilvl="0" w:tplc="A91E5D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D574B"/>
    <w:multiLevelType w:val="hybridMultilevel"/>
    <w:tmpl w:val="101A2EC6"/>
    <w:lvl w:ilvl="0" w:tplc="C3B201F2">
      <w:start w:val="1"/>
      <w:numFmt w:val="lowerLetter"/>
      <w:lvlText w:val="(%1)"/>
      <w:lvlJc w:val="left"/>
      <w:pPr>
        <w:ind w:left="2160" w:hanging="720"/>
      </w:pPr>
      <w:rPr>
        <w:rFonts w:ascii="Times New Roman" w:eastAsia="Arial Unicode MS" w:hAnsi="Times New Roman" w:cs="Times New Roman"/>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42F4472B"/>
    <w:multiLevelType w:val="hybridMultilevel"/>
    <w:tmpl w:val="9F2E27BC"/>
    <w:lvl w:ilvl="0" w:tplc="75F23988">
      <w:start w:val="1"/>
      <w:numFmt w:val="upperRoman"/>
      <w:lvlText w:val="%1."/>
      <w:lvlJc w:val="left"/>
      <w:pPr>
        <w:ind w:left="1395" w:hanging="720"/>
      </w:pPr>
      <w:rPr>
        <w:rFonts w:hint="default"/>
        <w:sz w:val="28"/>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1" w15:restartNumberingAfterBreak="0">
    <w:nsid w:val="4ACE7C22"/>
    <w:multiLevelType w:val="hybridMultilevel"/>
    <w:tmpl w:val="E012A53A"/>
    <w:lvl w:ilvl="0" w:tplc="E12CFB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342F36"/>
    <w:multiLevelType w:val="hybridMultilevel"/>
    <w:tmpl w:val="25847E3C"/>
    <w:lvl w:ilvl="0" w:tplc="A1E2E0E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DE47B1A"/>
    <w:multiLevelType w:val="hybridMultilevel"/>
    <w:tmpl w:val="0E844474"/>
    <w:lvl w:ilvl="0" w:tplc="1009000F">
      <w:start w:val="1"/>
      <w:numFmt w:val="decimal"/>
      <w:lvlText w:val="%1."/>
      <w:lvlJc w:val="left"/>
      <w:pPr>
        <w:ind w:left="785" w:hanging="360"/>
      </w:pPr>
      <w:rPr>
        <w:rFonts w:hint="default"/>
      </w:rPr>
    </w:lvl>
    <w:lvl w:ilvl="1" w:tplc="10090019">
      <w:start w:val="1"/>
      <w:numFmt w:val="lowerLetter"/>
      <w:lvlText w:val="%2."/>
      <w:lvlJc w:val="left"/>
      <w:pPr>
        <w:ind w:left="1505" w:hanging="360"/>
      </w:pPr>
    </w:lvl>
    <w:lvl w:ilvl="2" w:tplc="1009001B">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4" w15:restartNumberingAfterBreak="0">
    <w:nsid w:val="55E74CC0"/>
    <w:multiLevelType w:val="hybridMultilevel"/>
    <w:tmpl w:val="60B22118"/>
    <w:lvl w:ilvl="0" w:tplc="C2C44E42">
      <w:start w:val="13"/>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02065F"/>
    <w:multiLevelType w:val="hybridMultilevel"/>
    <w:tmpl w:val="8F24EAC8"/>
    <w:lvl w:ilvl="0" w:tplc="843EBC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A2E58FA"/>
    <w:multiLevelType w:val="hybridMultilevel"/>
    <w:tmpl w:val="ADF2CE6E"/>
    <w:lvl w:ilvl="0" w:tplc="2222D78C">
      <w:start w:val="1"/>
      <w:numFmt w:val="upperLetter"/>
      <w:lvlText w:val="%1."/>
      <w:lvlJc w:val="left"/>
      <w:pPr>
        <w:ind w:left="1140" w:hanging="520"/>
      </w:pPr>
      <w:rPr>
        <w:rFonts w:hint="default"/>
      </w:rPr>
    </w:lvl>
    <w:lvl w:ilvl="1" w:tplc="040C0019" w:tentative="1">
      <w:start w:val="1"/>
      <w:numFmt w:val="lowerLetter"/>
      <w:lvlText w:val="%2."/>
      <w:lvlJc w:val="left"/>
      <w:pPr>
        <w:ind w:left="1700" w:hanging="360"/>
      </w:pPr>
    </w:lvl>
    <w:lvl w:ilvl="2" w:tplc="040C001B" w:tentative="1">
      <w:start w:val="1"/>
      <w:numFmt w:val="lowerRoman"/>
      <w:lvlText w:val="%3."/>
      <w:lvlJc w:val="right"/>
      <w:pPr>
        <w:ind w:left="2420" w:hanging="180"/>
      </w:pPr>
    </w:lvl>
    <w:lvl w:ilvl="3" w:tplc="040C000F" w:tentative="1">
      <w:start w:val="1"/>
      <w:numFmt w:val="decimal"/>
      <w:lvlText w:val="%4."/>
      <w:lvlJc w:val="left"/>
      <w:pPr>
        <w:ind w:left="3140" w:hanging="360"/>
      </w:pPr>
    </w:lvl>
    <w:lvl w:ilvl="4" w:tplc="040C0019" w:tentative="1">
      <w:start w:val="1"/>
      <w:numFmt w:val="lowerLetter"/>
      <w:lvlText w:val="%5."/>
      <w:lvlJc w:val="left"/>
      <w:pPr>
        <w:ind w:left="3860" w:hanging="360"/>
      </w:pPr>
    </w:lvl>
    <w:lvl w:ilvl="5" w:tplc="040C001B" w:tentative="1">
      <w:start w:val="1"/>
      <w:numFmt w:val="lowerRoman"/>
      <w:lvlText w:val="%6."/>
      <w:lvlJc w:val="right"/>
      <w:pPr>
        <w:ind w:left="4580" w:hanging="180"/>
      </w:pPr>
    </w:lvl>
    <w:lvl w:ilvl="6" w:tplc="040C000F" w:tentative="1">
      <w:start w:val="1"/>
      <w:numFmt w:val="decimal"/>
      <w:lvlText w:val="%7."/>
      <w:lvlJc w:val="left"/>
      <w:pPr>
        <w:ind w:left="5300" w:hanging="360"/>
      </w:pPr>
    </w:lvl>
    <w:lvl w:ilvl="7" w:tplc="040C0019" w:tentative="1">
      <w:start w:val="1"/>
      <w:numFmt w:val="lowerLetter"/>
      <w:lvlText w:val="%8."/>
      <w:lvlJc w:val="left"/>
      <w:pPr>
        <w:ind w:left="6020" w:hanging="360"/>
      </w:pPr>
    </w:lvl>
    <w:lvl w:ilvl="8" w:tplc="040C001B" w:tentative="1">
      <w:start w:val="1"/>
      <w:numFmt w:val="lowerRoman"/>
      <w:lvlText w:val="%9."/>
      <w:lvlJc w:val="right"/>
      <w:pPr>
        <w:ind w:left="6740" w:hanging="180"/>
      </w:pPr>
    </w:lvl>
  </w:abstractNum>
  <w:abstractNum w:abstractNumId="27" w15:restartNumberingAfterBreak="0">
    <w:nsid w:val="5D223806"/>
    <w:multiLevelType w:val="hybridMultilevel"/>
    <w:tmpl w:val="09D0D15E"/>
    <w:lvl w:ilvl="0" w:tplc="1BFE3C2E">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5F0A400F"/>
    <w:multiLevelType w:val="hybridMultilevel"/>
    <w:tmpl w:val="021AE168"/>
    <w:lvl w:ilvl="0" w:tplc="FBBA988E">
      <w:start w:val="1"/>
      <w:numFmt w:val="decimal"/>
      <w:lvlText w:val="%1."/>
      <w:lvlJc w:val="left"/>
      <w:pPr>
        <w:ind w:left="2204"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0950B7B"/>
    <w:multiLevelType w:val="hybridMultilevel"/>
    <w:tmpl w:val="3C12FFCE"/>
    <w:lvl w:ilvl="0" w:tplc="BBCAB2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12076C"/>
    <w:multiLevelType w:val="hybridMultilevel"/>
    <w:tmpl w:val="757A61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9D6672"/>
    <w:multiLevelType w:val="hybridMultilevel"/>
    <w:tmpl w:val="E0500000"/>
    <w:lvl w:ilvl="0" w:tplc="B93470B8">
      <w:start w:val="7"/>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3E5607"/>
    <w:multiLevelType w:val="hybridMultilevel"/>
    <w:tmpl w:val="20748740"/>
    <w:lvl w:ilvl="0" w:tplc="D1DED714">
      <w:start w:val="15"/>
      <w:numFmt w:val="decimal"/>
      <w:lvlText w:val="%1."/>
      <w:lvlJc w:val="left"/>
      <w:pPr>
        <w:ind w:left="1211"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843890"/>
    <w:multiLevelType w:val="hybridMultilevel"/>
    <w:tmpl w:val="DFD0E704"/>
    <w:lvl w:ilvl="0" w:tplc="E356D9B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5" w15:restartNumberingAfterBreak="0">
    <w:nsid w:val="70BF22A1"/>
    <w:multiLevelType w:val="hybridMultilevel"/>
    <w:tmpl w:val="28D611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15D3F62"/>
    <w:multiLevelType w:val="hybridMultilevel"/>
    <w:tmpl w:val="C144EAD0"/>
    <w:lvl w:ilvl="0" w:tplc="19C4FE8C">
      <w:start w:val="23"/>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7D4DB0"/>
    <w:multiLevelType w:val="hybridMultilevel"/>
    <w:tmpl w:val="EB500D14"/>
    <w:lvl w:ilvl="0" w:tplc="35EAA08E">
      <w:start w:val="1"/>
      <w:numFmt w:val="lowerLetter"/>
      <w:lvlText w:val="(%1)"/>
      <w:lvlJc w:val="left"/>
      <w:pPr>
        <w:ind w:left="1495"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74330C11"/>
    <w:multiLevelType w:val="hybridMultilevel"/>
    <w:tmpl w:val="518009DE"/>
    <w:lvl w:ilvl="0" w:tplc="276E2326">
      <w:start w:val="9"/>
      <w:numFmt w:val="decimal"/>
      <w:lvlText w:val="%1."/>
      <w:lvlJc w:val="left"/>
      <w:pPr>
        <w:ind w:left="1211"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FE5809"/>
    <w:multiLevelType w:val="hybridMultilevel"/>
    <w:tmpl w:val="6EFC50E0"/>
    <w:lvl w:ilvl="0" w:tplc="1D4A169C">
      <w:start w:val="1"/>
      <w:numFmt w:val="decimal"/>
      <w:lvlText w:val="%1."/>
      <w:lvlJc w:val="left"/>
      <w:pPr>
        <w:ind w:left="1353" w:hanging="360"/>
      </w:pPr>
      <w:rPr>
        <w:b w:val="0"/>
        <w:i w:val="0"/>
        <w:sz w:val="20"/>
        <w:szCs w:val="20"/>
      </w:rPr>
    </w:lvl>
    <w:lvl w:ilvl="1" w:tplc="04090001">
      <w:start w:val="1"/>
      <w:numFmt w:val="bullet"/>
      <w:lvlText w:val=""/>
      <w:lvlJc w:val="left"/>
      <w:pPr>
        <w:ind w:left="2754" w:hanging="540"/>
      </w:pPr>
      <w:rPr>
        <w:rFonts w:ascii="Symbol" w:hAnsi="Symbol" w:hint="default"/>
      </w:rPr>
    </w:lvl>
    <w:lvl w:ilvl="2" w:tplc="7D36EB34">
      <w:start w:val="1"/>
      <w:numFmt w:val="lowerLetter"/>
      <w:lvlText w:val="(%3)"/>
      <w:lvlJc w:val="left"/>
      <w:pPr>
        <w:ind w:left="3549" w:hanging="435"/>
      </w:pPr>
      <w:rPr>
        <w:rFonts w:hint="default"/>
        <w:b w:val="0"/>
      </w:rPr>
    </w:lvl>
    <w:lvl w:ilvl="3" w:tplc="0C8CCB78">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7BB357FF"/>
    <w:multiLevelType w:val="hybridMultilevel"/>
    <w:tmpl w:val="C4AEE456"/>
    <w:lvl w:ilvl="0" w:tplc="21E6D01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E236B35"/>
    <w:multiLevelType w:val="hybridMultilevel"/>
    <w:tmpl w:val="45ECCE32"/>
    <w:lvl w:ilvl="0" w:tplc="12DE4390">
      <w:numFmt w:val="bullet"/>
      <w:lvlText w:val=""/>
      <w:lvlJc w:val="left"/>
      <w:pPr>
        <w:ind w:left="2520" w:hanging="360"/>
      </w:pPr>
      <w:rPr>
        <w:rFonts w:ascii="Symbol" w:eastAsiaTheme="minorHAns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1"/>
  </w:num>
  <w:num w:numId="2">
    <w:abstractNumId w:val="31"/>
  </w:num>
  <w:num w:numId="3">
    <w:abstractNumId w:val="39"/>
  </w:num>
  <w:num w:numId="4">
    <w:abstractNumId w:val="10"/>
  </w:num>
  <w:num w:numId="5">
    <w:abstractNumId w:val="0"/>
  </w:num>
  <w:num w:numId="6">
    <w:abstractNumId w:val="22"/>
  </w:num>
  <w:num w:numId="7">
    <w:abstractNumId w:val="29"/>
  </w:num>
  <w:num w:numId="8">
    <w:abstractNumId w:val="21"/>
  </w:num>
  <w:num w:numId="9">
    <w:abstractNumId w:val="32"/>
  </w:num>
  <w:num w:numId="10">
    <w:abstractNumId w:val="38"/>
  </w:num>
  <w:num w:numId="11">
    <w:abstractNumId w:val="5"/>
  </w:num>
  <w:num w:numId="12">
    <w:abstractNumId w:val="24"/>
  </w:num>
  <w:num w:numId="13">
    <w:abstractNumId w:val="33"/>
  </w:num>
  <w:num w:numId="14">
    <w:abstractNumId w:val="20"/>
  </w:num>
  <w:num w:numId="15">
    <w:abstractNumId w:val="28"/>
  </w:num>
  <w:num w:numId="16">
    <w:abstractNumId w:val="23"/>
  </w:num>
  <w:num w:numId="17">
    <w:abstractNumId w:val="35"/>
  </w:num>
  <w:num w:numId="18">
    <w:abstractNumId w:val="30"/>
  </w:num>
  <w:num w:numId="19">
    <w:abstractNumId w:val="16"/>
  </w:num>
  <w:num w:numId="20">
    <w:abstractNumId w:val="9"/>
  </w:num>
  <w:num w:numId="21">
    <w:abstractNumId w:val="7"/>
  </w:num>
  <w:num w:numId="22">
    <w:abstractNumId w:val="4"/>
  </w:num>
  <w:num w:numId="23">
    <w:abstractNumId w:val="40"/>
  </w:num>
  <w:num w:numId="24">
    <w:abstractNumId w:val="19"/>
  </w:num>
  <w:num w:numId="25">
    <w:abstractNumId w:val="17"/>
  </w:num>
  <w:num w:numId="26">
    <w:abstractNumId w:val="3"/>
  </w:num>
  <w:num w:numId="27">
    <w:abstractNumId w:val="27"/>
  </w:num>
  <w:num w:numId="28">
    <w:abstractNumId w:val="41"/>
  </w:num>
  <w:num w:numId="29">
    <w:abstractNumId w:val="36"/>
  </w:num>
  <w:num w:numId="30">
    <w:abstractNumId w:val="11"/>
  </w:num>
  <w:num w:numId="31">
    <w:abstractNumId w:val="34"/>
  </w:num>
  <w:num w:numId="32">
    <w:abstractNumId w:val="2"/>
  </w:num>
  <w:num w:numId="33">
    <w:abstractNumId w:val="31"/>
  </w:num>
  <w:num w:numId="34">
    <w:abstractNumId w:val="31"/>
  </w:num>
  <w:num w:numId="35">
    <w:abstractNumId w:val="31"/>
  </w:num>
  <w:num w:numId="36">
    <w:abstractNumId w:val="31"/>
  </w:num>
  <w:num w:numId="37">
    <w:abstractNumId w:val="18"/>
  </w:num>
  <w:num w:numId="38">
    <w:abstractNumId w:val="18"/>
  </w:num>
  <w:num w:numId="39">
    <w:abstractNumId w:val="13"/>
  </w:num>
  <w:num w:numId="40">
    <w:abstractNumId w:val="14"/>
  </w:num>
  <w:num w:numId="41">
    <w:abstractNumId w:val="37"/>
  </w:num>
  <w:num w:numId="42">
    <w:abstractNumId w:val="6"/>
  </w:num>
  <w:num w:numId="43">
    <w:abstractNumId w:val="15"/>
  </w:num>
  <w:num w:numId="44">
    <w:abstractNumId w:val="26"/>
  </w:num>
  <w:num w:numId="45">
    <w:abstractNumId w:val="25"/>
  </w:num>
  <w:num w:numId="46">
    <w:abstractNumId w:val="12"/>
  </w:num>
  <w:num w:numId="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fr-CA" w:vendorID="64" w:dllVersion="6" w:nlCheck="1" w:checkStyle="0"/>
  <w:activeWritingStyle w:appName="MSWord" w:lang="en-CA" w:vendorID="64" w:dllVersion="0" w:nlCheck="1" w:checkStyle="0"/>
  <w:activeWritingStyle w:appName="MSWord" w:lang="fr-CA"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CA" w:vendorID="64" w:dllVersion="131078" w:nlCheck="1" w:checkStyle="0"/>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25"/>
    <w:rsid w:val="000024F8"/>
    <w:rsid w:val="00007280"/>
    <w:rsid w:val="000079D6"/>
    <w:rsid w:val="000112C4"/>
    <w:rsid w:val="000148F4"/>
    <w:rsid w:val="0001576B"/>
    <w:rsid w:val="00015C66"/>
    <w:rsid w:val="0001639D"/>
    <w:rsid w:val="00017412"/>
    <w:rsid w:val="00017438"/>
    <w:rsid w:val="00017599"/>
    <w:rsid w:val="0001792D"/>
    <w:rsid w:val="00040CE6"/>
    <w:rsid w:val="00042B94"/>
    <w:rsid w:val="0005416C"/>
    <w:rsid w:val="00054C0C"/>
    <w:rsid w:val="00057F83"/>
    <w:rsid w:val="0006270A"/>
    <w:rsid w:val="00070A98"/>
    <w:rsid w:val="00072170"/>
    <w:rsid w:val="00073B52"/>
    <w:rsid w:val="00075643"/>
    <w:rsid w:val="00080F7C"/>
    <w:rsid w:val="00081186"/>
    <w:rsid w:val="000825A2"/>
    <w:rsid w:val="0008605C"/>
    <w:rsid w:val="00086A64"/>
    <w:rsid w:val="000907EC"/>
    <w:rsid w:val="00091B8B"/>
    <w:rsid w:val="00092084"/>
    <w:rsid w:val="00093E44"/>
    <w:rsid w:val="000946D5"/>
    <w:rsid w:val="000A1F72"/>
    <w:rsid w:val="000A464E"/>
    <w:rsid w:val="000A504A"/>
    <w:rsid w:val="000A646F"/>
    <w:rsid w:val="000A75BC"/>
    <w:rsid w:val="000B142E"/>
    <w:rsid w:val="000B33E2"/>
    <w:rsid w:val="000B401D"/>
    <w:rsid w:val="000B4472"/>
    <w:rsid w:val="000D200D"/>
    <w:rsid w:val="000D2CA7"/>
    <w:rsid w:val="000D3A78"/>
    <w:rsid w:val="000D516E"/>
    <w:rsid w:val="000D600A"/>
    <w:rsid w:val="000D6342"/>
    <w:rsid w:val="000E25EA"/>
    <w:rsid w:val="000E61B9"/>
    <w:rsid w:val="000E65B6"/>
    <w:rsid w:val="000F33F9"/>
    <w:rsid w:val="000F4B6B"/>
    <w:rsid w:val="000F6635"/>
    <w:rsid w:val="00100356"/>
    <w:rsid w:val="001022F0"/>
    <w:rsid w:val="0010605E"/>
    <w:rsid w:val="0010628B"/>
    <w:rsid w:val="001138F4"/>
    <w:rsid w:val="00114D09"/>
    <w:rsid w:val="001203D9"/>
    <w:rsid w:val="00130911"/>
    <w:rsid w:val="0013290D"/>
    <w:rsid w:val="00134650"/>
    <w:rsid w:val="00136045"/>
    <w:rsid w:val="00137BEC"/>
    <w:rsid w:val="00143B46"/>
    <w:rsid w:val="00144E3D"/>
    <w:rsid w:val="00145523"/>
    <w:rsid w:val="00145D37"/>
    <w:rsid w:val="00146702"/>
    <w:rsid w:val="001473F1"/>
    <w:rsid w:val="00151594"/>
    <w:rsid w:val="001524AA"/>
    <w:rsid w:val="00152F12"/>
    <w:rsid w:val="001537DB"/>
    <w:rsid w:val="001552DE"/>
    <w:rsid w:val="00155F1D"/>
    <w:rsid w:val="00156A99"/>
    <w:rsid w:val="00157036"/>
    <w:rsid w:val="00160072"/>
    <w:rsid w:val="00161AAD"/>
    <w:rsid w:val="00163841"/>
    <w:rsid w:val="0016712B"/>
    <w:rsid w:val="00174229"/>
    <w:rsid w:val="00174DC3"/>
    <w:rsid w:val="00175413"/>
    <w:rsid w:val="001758EE"/>
    <w:rsid w:val="00175A52"/>
    <w:rsid w:val="00176F9F"/>
    <w:rsid w:val="00177209"/>
    <w:rsid w:val="00182088"/>
    <w:rsid w:val="001832FB"/>
    <w:rsid w:val="001836A3"/>
    <w:rsid w:val="00185911"/>
    <w:rsid w:val="00190933"/>
    <w:rsid w:val="001942EF"/>
    <w:rsid w:val="00194801"/>
    <w:rsid w:val="00197C19"/>
    <w:rsid w:val="001A49A5"/>
    <w:rsid w:val="001A5122"/>
    <w:rsid w:val="001A532C"/>
    <w:rsid w:val="001A5533"/>
    <w:rsid w:val="001A5FD4"/>
    <w:rsid w:val="001A7C2C"/>
    <w:rsid w:val="001B06C9"/>
    <w:rsid w:val="001B1E7B"/>
    <w:rsid w:val="001B228C"/>
    <w:rsid w:val="001B373D"/>
    <w:rsid w:val="001B697C"/>
    <w:rsid w:val="001B7661"/>
    <w:rsid w:val="001C0F05"/>
    <w:rsid w:val="001C1008"/>
    <w:rsid w:val="001C20B2"/>
    <w:rsid w:val="001C7201"/>
    <w:rsid w:val="001D10EB"/>
    <w:rsid w:val="001D3301"/>
    <w:rsid w:val="001D741C"/>
    <w:rsid w:val="001D7536"/>
    <w:rsid w:val="001D775B"/>
    <w:rsid w:val="001E2371"/>
    <w:rsid w:val="001E43C2"/>
    <w:rsid w:val="001E60A0"/>
    <w:rsid w:val="001F052E"/>
    <w:rsid w:val="001F1B7E"/>
    <w:rsid w:val="001F1C65"/>
    <w:rsid w:val="001F26A4"/>
    <w:rsid w:val="001F291A"/>
    <w:rsid w:val="001F2FE0"/>
    <w:rsid w:val="001F43EC"/>
    <w:rsid w:val="001F4732"/>
    <w:rsid w:val="00200319"/>
    <w:rsid w:val="00200B40"/>
    <w:rsid w:val="0020230F"/>
    <w:rsid w:val="00205C02"/>
    <w:rsid w:val="00207248"/>
    <w:rsid w:val="002079B9"/>
    <w:rsid w:val="0021396A"/>
    <w:rsid w:val="0021576B"/>
    <w:rsid w:val="002169EA"/>
    <w:rsid w:val="00216ACA"/>
    <w:rsid w:val="00216DC2"/>
    <w:rsid w:val="00223911"/>
    <w:rsid w:val="00225150"/>
    <w:rsid w:val="002255A0"/>
    <w:rsid w:val="00225A81"/>
    <w:rsid w:val="00226789"/>
    <w:rsid w:val="00226840"/>
    <w:rsid w:val="0022762A"/>
    <w:rsid w:val="00227A22"/>
    <w:rsid w:val="002324CB"/>
    <w:rsid w:val="002329E2"/>
    <w:rsid w:val="00232DA8"/>
    <w:rsid w:val="00236384"/>
    <w:rsid w:val="002378F1"/>
    <w:rsid w:val="002379D6"/>
    <w:rsid w:val="0024056B"/>
    <w:rsid w:val="002413DB"/>
    <w:rsid w:val="0024324E"/>
    <w:rsid w:val="0024338E"/>
    <w:rsid w:val="00244F9A"/>
    <w:rsid w:val="00250BC1"/>
    <w:rsid w:val="00251031"/>
    <w:rsid w:val="00257175"/>
    <w:rsid w:val="00261442"/>
    <w:rsid w:val="00261C96"/>
    <w:rsid w:val="00273731"/>
    <w:rsid w:val="002740A9"/>
    <w:rsid w:val="00280A25"/>
    <w:rsid w:val="0028644F"/>
    <w:rsid w:val="00291183"/>
    <w:rsid w:val="00293A0E"/>
    <w:rsid w:val="0029451C"/>
    <w:rsid w:val="002A2BF1"/>
    <w:rsid w:val="002A448C"/>
    <w:rsid w:val="002B092B"/>
    <w:rsid w:val="002B14ED"/>
    <w:rsid w:val="002B300A"/>
    <w:rsid w:val="002B390F"/>
    <w:rsid w:val="002B4105"/>
    <w:rsid w:val="002B497C"/>
    <w:rsid w:val="002C0028"/>
    <w:rsid w:val="002C1875"/>
    <w:rsid w:val="002C2DA7"/>
    <w:rsid w:val="002D3E3A"/>
    <w:rsid w:val="002D4232"/>
    <w:rsid w:val="002D4766"/>
    <w:rsid w:val="002D5ED2"/>
    <w:rsid w:val="002D6436"/>
    <w:rsid w:val="002E20CB"/>
    <w:rsid w:val="002E413A"/>
    <w:rsid w:val="002E703B"/>
    <w:rsid w:val="002F06A9"/>
    <w:rsid w:val="002F2C26"/>
    <w:rsid w:val="002F312D"/>
    <w:rsid w:val="002F4327"/>
    <w:rsid w:val="002F4DEF"/>
    <w:rsid w:val="003003B7"/>
    <w:rsid w:val="00300C51"/>
    <w:rsid w:val="003051D2"/>
    <w:rsid w:val="0030695A"/>
    <w:rsid w:val="0031395F"/>
    <w:rsid w:val="00314581"/>
    <w:rsid w:val="00315D39"/>
    <w:rsid w:val="00316947"/>
    <w:rsid w:val="0031753E"/>
    <w:rsid w:val="00322425"/>
    <w:rsid w:val="003229E7"/>
    <w:rsid w:val="00323851"/>
    <w:rsid w:val="00327242"/>
    <w:rsid w:val="00332B01"/>
    <w:rsid w:val="00332E36"/>
    <w:rsid w:val="00335597"/>
    <w:rsid w:val="00340409"/>
    <w:rsid w:val="0034448E"/>
    <w:rsid w:val="00346009"/>
    <w:rsid w:val="00346EA1"/>
    <w:rsid w:val="00352129"/>
    <w:rsid w:val="003551FA"/>
    <w:rsid w:val="00357BCC"/>
    <w:rsid w:val="00362898"/>
    <w:rsid w:val="00365DC5"/>
    <w:rsid w:val="003747FC"/>
    <w:rsid w:val="00374D53"/>
    <w:rsid w:val="00375D6F"/>
    <w:rsid w:val="00377013"/>
    <w:rsid w:val="00377753"/>
    <w:rsid w:val="00381E0A"/>
    <w:rsid w:val="003849B3"/>
    <w:rsid w:val="00387E9D"/>
    <w:rsid w:val="00390BA3"/>
    <w:rsid w:val="003932B6"/>
    <w:rsid w:val="0039437D"/>
    <w:rsid w:val="003978B4"/>
    <w:rsid w:val="003A029F"/>
    <w:rsid w:val="003A1F46"/>
    <w:rsid w:val="003B1A7B"/>
    <w:rsid w:val="003B21BE"/>
    <w:rsid w:val="003B2994"/>
    <w:rsid w:val="003B33B4"/>
    <w:rsid w:val="003B5A98"/>
    <w:rsid w:val="003B744D"/>
    <w:rsid w:val="003C126D"/>
    <w:rsid w:val="003C146D"/>
    <w:rsid w:val="003C1F12"/>
    <w:rsid w:val="003C36A6"/>
    <w:rsid w:val="003C44B3"/>
    <w:rsid w:val="003D5B8B"/>
    <w:rsid w:val="003D5F15"/>
    <w:rsid w:val="003E394A"/>
    <w:rsid w:val="003F1E04"/>
    <w:rsid w:val="003F55EF"/>
    <w:rsid w:val="003F5A1F"/>
    <w:rsid w:val="003F5DBA"/>
    <w:rsid w:val="0040492C"/>
    <w:rsid w:val="004065C7"/>
    <w:rsid w:val="00406F34"/>
    <w:rsid w:val="0040788F"/>
    <w:rsid w:val="00411B00"/>
    <w:rsid w:val="00412DE2"/>
    <w:rsid w:val="004138D4"/>
    <w:rsid w:val="004162F5"/>
    <w:rsid w:val="0042052C"/>
    <w:rsid w:val="00426067"/>
    <w:rsid w:val="00426314"/>
    <w:rsid w:val="00435786"/>
    <w:rsid w:val="0043622A"/>
    <w:rsid w:val="0044199E"/>
    <w:rsid w:val="00441E8D"/>
    <w:rsid w:val="00442A6A"/>
    <w:rsid w:val="00445D9B"/>
    <w:rsid w:val="00446C27"/>
    <w:rsid w:val="00446E65"/>
    <w:rsid w:val="00450633"/>
    <w:rsid w:val="0045071C"/>
    <w:rsid w:val="00451BA0"/>
    <w:rsid w:val="004522CE"/>
    <w:rsid w:val="004539F1"/>
    <w:rsid w:val="00453AB0"/>
    <w:rsid w:val="00454036"/>
    <w:rsid w:val="004543A1"/>
    <w:rsid w:val="00463192"/>
    <w:rsid w:val="00464B8D"/>
    <w:rsid w:val="00470992"/>
    <w:rsid w:val="00471138"/>
    <w:rsid w:val="00472638"/>
    <w:rsid w:val="00481C0F"/>
    <w:rsid w:val="00483D25"/>
    <w:rsid w:val="0048567C"/>
    <w:rsid w:val="004870BA"/>
    <w:rsid w:val="00487E60"/>
    <w:rsid w:val="00490537"/>
    <w:rsid w:val="00497016"/>
    <w:rsid w:val="00497854"/>
    <w:rsid w:val="004A6A97"/>
    <w:rsid w:val="004A7293"/>
    <w:rsid w:val="004B12B6"/>
    <w:rsid w:val="004B2CBA"/>
    <w:rsid w:val="004B61D6"/>
    <w:rsid w:val="004B73AB"/>
    <w:rsid w:val="004C0421"/>
    <w:rsid w:val="004C29B6"/>
    <w:rsid w:val="004C666E"/>
    <w:rsid w:val="004D143E"/>
    <w:rsid w:val="004D1F21"/>
    <w:rsid w:val="004D2D65"/>
    <w:rsid w:val="004D31EF"/>
    <w:rsid w:val="004D5F0D"/>
    <w:rsid w:val="004D77AC"/>
    <w:rsid w:val="004D7FA7"/>
    <w:rsid w:val="004E2A9D"/>
    <w:rsid w:val="004E5CF9"/>
    <w:rsid w:val="004E6481"/>
    <w:rsid w:val="004F09BB"/>
    <w:rsid w:val="004F0E3C"/>
    <w:rsid w:val="004F2250"/>
    <w:rsid w:val="004F2AEA"/>
    <w:rsid w:val="004F4D5A"/>
    <w:rsid w:val="005026EF"/>
    <w:rsid w:val="005032C7"/>
    <w:rsid w:val="0050346C"/>
    <w:rsid w:val="00503EEC"/>
    <w:rsid w:val="00504276"/>
    <w:rsid w:val="00507C68"/>
    <w:rsid w:val="00510491"/>
    <w:rsid w:val="00514296"/>
    <w:rsid w:val="00517C53"/>
    <w:rsid w:val="00521402"/>
    <w:rsid w:val="00535B39"/>
    <w:rsid w:val="005377FE"/>
    <w:rsid w:val="00540EA9"/>
    <w:rsid w:val="005429C5"/>
    <w:rsid w:val="00545D9C"/>
    <w:rsid w:val="005502FF"/>
    <w:rsid w:val="005521D9"/>
    <w:rsid w:val="00552F98"/>
    <w:rsid w:val="0055317E"/>
    <w:rsid w:val="005545B6"/>
    <w:rsid w:val="00555861"/>
    <w:rsid w:val="00557C95"/>
    <w:rsid w:val="00560D3B"/>
    <w:rsid w:val="00561257"/>
    <w:rsid w:val="00564818"/>
    <w:rsid w:val="00564A44"/>
    <w:rsid w:val="00564B55"/>
    <w:rsid w:val="00565982"/>
    <w:rsid w:val="00567576"/>
    <w:rsid w:val="00573522"/>
    <w:rsid w:val="00575523"/>
    <w:rsid w:val="0058005A"/>
    <w:rsid w:val="00582BFD"/>
    <w:rsid w:val="00583AED"/>
    <w:rsid w:val="005844C7"/>
    <w:rsid w:val="00584E50"/>
    <w:rsid w:val="00593B02"/>
    <w:rsid w:val="005A0F9A"/>
    <w:rsid w:val="005A0FD2"/>
    <w:rsid w:val="005A43AC"/>
    <w:rsid w:val="005B03C2"/>
    <w:rsid w:val="005B162D"/>
    <w:rsid w:val="005B61C1"/>
    <w:rsid w:val="005B7909"/>
    <w:rsid w:val="005C5281"/>
    <w:rsid w:val="005D037C"/>
    <w:rsid w:val="005D1D21"/>
    <w:rsid w:val="005D3C53"/>
    <w:rsid w:val="005D4500"/>
    <w:rsid w:val="005D4956"/>
    <w:rsid w:val="005E22A5"/>
    <w:rsid w:val="005F152F"/>
    <w:rsid w:val="005F54F8"/>
    <w:rsid w:val="005F7FB5"/>
    <w:rsid w:val="0060457D"/>
    <w:rsid w:val="00604939"/>
    <w:rsid w:val="006115B3"/>
    <w:rsid w:val="006125B7"/>
    <w:rsid w:val="0061363F"/>
    <w:rsid w:val="00614A02"/>
    <w:rsid w:val="00614CD8"/>
    <w:rsid w:val="00620A38"/>
    <w:rsid w:val="00637C8C"/>
    <w:rsid w:val="00643401"/>
    <w:rsid w:val="006515A3"/>
    <w:rsid w:val="006559FF"/>
    <w:rsid w:val="006564DE"/>
    <w:rsid w:val="0067131C"/>
    <w:rsid w:val="0067250B"/>
    <w:rsid w:val="0067471A"/>
    <w:rsid w:val="00675E63"/>
    <w:rsid w:val="00681DB4"/>
    <w:rsid w:val="006841EA"/>
    <w:rsid w:val="00685A78"/>
    <w:rsid w:val="006876A3"/>
    <w:rsid w:val="006936F5"/>
    <w:rsid w:val="00697A81"/>
    <w:rsid w:val="006A1FE4"/>
    <w:rsid w:val="006A21D0"/>
    <w:rsid w:val="006A2831"/>
    <w:rsid w:val="006A357D"/>
    <w:rsid w:val="006A377B"/>
    <w:rsid w:val="006A42CB"/>
    <w:rsid w:val="006A75BE"/>
    <w:rsid w:val="006B0BD1"/>
    <w:rsid w:val="006B0E93"/>
    <w:rsid w:val="006B3B34"/>
    <w:rsid w:val="006B3FFF"/>
    <w:rsid w:val="006B462B"/>
    <w:rsid w:val="006B4E86"/>
    <w:rsid w:val="006B5D76"/>
    <w:rsid w:val="006B74B6"/>
    <w:rsid w:val="006C2B3A"/>
    <w:rsid w:val="006C518A"/>
    <w:rsid w:val="006C74C5"/>
    <w:rsid w:val="006D18FC"/>
    <w:rsid w:val="006D26BC"/>
    <w:rsid w:val="006D3E11"/>
    <w:rsid w:val="006D667D"/>
    <w:rsid w:val="006E3A83"/>
    <w:rsid w:val="006E5E55"/>
    <w:rsid w:val="006E6825"/>
    <w:rsid w:val="006E6C0D"/>
    <w:rsid w:val="006F40C7"/>
    <w:rsid w:val="006F5ECC"/>
    <w:rsid w:val="006F6FC0"/>
    <w:rsid w:val="006F781D"/>
    <w:rsid w:val="006F7B41"/>
    <w:rsid w:val="007069D6"/>
    <w:rsid w:val="00717AC0"/>
    <w:rsid w:val="00720935"/>
    <w:rsid w:val="00721478"/>
    <w:rsid w:val="0072493C"/>
    <w:rsid w:val="007256A2"/>
    <w:rsid w:val="00732477"/>
    <w:rsid w:val="0074003A"/>
    <w:rsid w:val="00740E77"/>
    <w:rsid w:val="00741476"/>
    <w:rsid w:val="007429A4"/>
    <w:rsid w:val="00744084"/>
    <w:rsid w:val="007446A0"/>
    <w:rsid w:val="00745CD6"/>
    <w:rsid w:val="007521A6"/>
    <w:rsid w:val="00754B59"/>
    <w:rsid w:val="007563AE"/>
    <w:rsid w:val="007579DA"/>
    <w:rsid w:val="00760EC7"/>
    <w:rsid w:val="0076166E"/>
    <w:rsid w:val="00763EC5"/>
    <w:rsid w:val="00773CC3"/>
    <w:rsid w:val="00774A57"/>
    <w:rsid w:val="0077528D"/>
    <w:rsid w:val="00776952"/>
    <w:rsid w:val="0078007D"/>
    <w:rsid w:val="00781BAB"/>
    <w:rsid w:val="00783D1C"/>
    <w:rsid w:val="0078568C"/>
    <w:rsid w:val="00785A75"/>
    <w:rsid w:val="00786422"/>
    <w:rsid w:val="00787BA0"/>
    <w:rsid w:val="00790483"/>
    <w:rsid w:val="00790C61"/>
    <w:rsid w:val="00791F5B"/>
    <w:rsid w:val="0079251C"/>
    <w:rsid w:val="007929E8"/>
    <w:rsid w:val="00792C1C"/>
    <w:rsid w:val="007930F6"/>
    <w:rsid w:val="007948E3"/>
    <w:rsid w:val="007A7E4D"/>
    <w:rsid w:val="007B0753"/>
    <w:rsid w:val="007B2BED"/>
    <w:rsid w:val="007B2F7B"/>
    <w:rsid w:val="007B4ADD"/>
    <w:rsid w:val="007B6977"/>
    <w:rsid w:val="007C0A35"/>
    <w:rsid w:val="007C10FD"/>
    <w:rsid w:val="007C20B5"/>
    <w:rsid w:val="007C3410"/>
    <w:rsid w:val="007C491C"/>
    <w:rsid w:val="007C7F97"/>
    <w:rsid w:val="007D0831"/>
    <w:rsid w:val="007D299C"/>
    <w:rsid w:val="007D39CD"/>
    <w:rsid w:val="007E38A9"/>
    <w:rsid w:val="007E6236"/>
    <w:rsid w:val="007E6685"/>
    <w:rsid w:val="007E7251"/>
    <w:rsid w:val="007F0383"/>
    <w:rsid w:val="007F0B79"/>
    <w:rsid w:val="00800D6F"/>
    <w:rsid w:val="00801DEE"/>
    <w:rsid w:val="00806831"/>
    <w:rsid w:val="00812ED1"/>
    <w:rsid w:val="00814ACF"/>
    <w:rsid w:val="00817EA9"/>
    <w:rsid w:val="00822CB1"/>
    <w:rsid w:val="00822DB3"/>
    <w:rsid w:val="00831B8E"/>
    <w:rsid w:val="008361F5"/>
    <w:rsid w:val="0083660D"/>
    <w:rsid w:val="00837EFA"/>
    <w:rsid w:val="0084249D"/>
    <w:rsid w:val="00843F37"/>
    <w:rsid w:val="00844179"/>
    <w:rsid w:val="008457B6"/>
    <w:rsid w:val="00845DF9"/>
    <w:rsid w:val="00847CD9"/>
    <w:rsid w:val="00847D3D"/>
    <w:rsid w:val="0085021C"/>
    <w:rsid w:val="0085729C"/>
    <w:rsid w:val="00860DCA"/>
    <w:rsid w:val="008639C0"/>
    <w:rsid w:val="00865330"/>
    <w:rsid w:val="00871126"/>
    <w:rsid w:val="008734DB"/>
    <w:rsid w:val="008737A0"/>
    <w:rsid w:val="008774E2"/>
    <w:rsid w:val="008808DD"/>
    <w:rsid w:val="00881F07"/>
    <w:rsid w:val="008851B9"/>
    <w:rsid w:val="008862AA"/>
    <w:rsid w:val="00892B5E"/>
    <w:rsid w:val="00896288"/>
    <w:rsid w:val="008A13E9"/>
    <w:rsid w:val="008A427F"/>
    <w:rsid w:val="008B7461"/>
    <w:rsid w:val="008C0163"/>
    <w:rsid w:val="008C10F6"/>
    <w:rsid w:val="008C683E"/>
    <w:rsid w:val="008D2147"/>
    <w:rsid w:val="008E0677"/>
    <w:rsid w:val="008E1CDB"/>
    <w:rsid w:val="008E1D55"/>
    <w:rsid w:val="008E361E"/>
    <w:rsid w:val="008E3E29"/>
    <w:rsid w:val="008F471B"/>
    <w:rsid w:val="008F57B4"/>
    <w:rsid w:val="008F6269"/>
    <w:rsid w:val="008F6BE0"/>
    <w:rsid w:val="00903694"/>
    <w:rsid w:val="00907EAA"/>
    <w:rsid w:val="00911F5A"/>
    <w:rsid w:val="009128A5"/>
    <w:rsid w:val="00914041"/>
    <w:rsid w:val="009223E4"/>
    <w:rsid w:val="009253B2"/>
    <w:rsid w:val="00927286"/>
    <w:rsid w:val="0093333E"/>
    <w:rsid w:val="009338DF"/>
    <w:rsid w:val="00934362"/>
    <w:rsid w:val="0093566D"/>
    <w:rsid w:val="0093635C"/>
    <w:rsid w:val="0094092E"/>
    <w:rsid w:val="00940E10"/>
    <w:rsid w:val="00941186"/>
    <w:rsid w:val="00941F49"/>
    <w:rsid w:val="0094512E"/>
    <w:rsid w:val="00952078"/>
    <w:rsid w:val="00953301"/>
    <w:rsid w:val="009569B4"/>
    <w:rsid w:val="009644DB"/>
    <w:rsid w:val="009653BA"/>
    <w:rsid w:val="00966C54"/>
    <w:rsid w:val="00970BC3"/>
    <w:rsid w:val="0097231F"/>
    <w:rsid w:val="00972621"/>
    <w:rsid w:val="0097295D"/>
    <w:rsid w:val="00972BC9"/>
    <w:rsid w:val="00973931"/>
    <w:rsid w:val="0097438B"/>
    <w:rsid w:val="00974648"/>
    <w:rsid w:val="00974979"/>
    <w:rsid w:val="00975E02"/>
    <w:rsid w:val="009857FB"/>
    <w:rsid w:val="00985AD7"/>
    <w:rsid w:val="00986BF7"/>
    <w:rsid w:val="00986E87"/>
    <w:rsid w:val="00987A3D"/>
    <w:rsid w:val="00990789"/>
    <w:rsid w:val="00990F8D"/>
    <w:rsid w:val="00992E8D"/>
    <w:rsid w:val="00993B34"/>
    <w:rsid w:val="009968E3"/>
    <w:rsid w:val="00997FCE"/>
    <w:rsid w:val="009A6853"/>
    <w:rsid w:val="009A7509"/>
    <w:rsid w:val="009A7D8A"/>
    <w:rsid w:val="009B6439"/>
    <w:rsid w:val="009B6CFC"/>
    <w:rsid w:val="009B7EB7"/>
    <w:rsid w:val="009C0964"/>
    <w:rsid w:val="009C1645"/>
    <w:rsid w:val="009D24BF"/>
    <w:rsid w:val="009D7993"/>
    <w:rsid w:val="009E24FD"/>
    <w:rsid w:val="009E55A5"/>
    <w:rsid w:val="009E5AF9"/>
    <w:rsid w:val="009F048B"/>
    <w:rsid w:val="009F06C1"/>
    <w:rsid w:val="009F0F22"/>
    <w:rsid w:val="009F2E6F"/>
    <w:rsid w:val="009F3304"/>
    <w:rsid w:val="009F3D32"/>
    <w:rsid w:val="009F7E72"/>
    <w:rsid w:val="00A01E60"/>
    <w:rsid w:val="00A0300C"/>
    <w:rsid w:val="00A05EFE"/>
    <w:rsid w:val="00A07449"/>
    <w:rsid w:val="00A10202"/>
    <w:rsid w:val="00A11B16"/>
    <w:rsid w:val="00A12745"/>
    <w:rsid w:val="00A12C18"/>
    <w:rsid w:val="00A1650B"/>
    <w:rsid w:val="00A209BE"/>
    <w:rsid w:val="00A20EDA"/>
    <w:rsid w:val="00A22742"/>
    <w:rsid w:val="00A245D7"/>
    <w:rsid w:val="00A255EC"/>
    <w:rsid w:val="00A2658D"/>
    <w:rsid w:val="00A27A4D"/>
    <w:rsid w:val="00A3013D"/>
    <w:rsid w:val="00A308CC"/>
    <w:rsid w:val="00A31355"/>
    <w:rsid w:val="00A33A36"/>
    <w:rsid w:val="00A34D44"/>
    <w:rsid w:val="00A36204"/>
    <w:rsid w:val="00A36CDF"/>
    <w:rsid w:val="00A459E8"/>
    <w:rsid w:val="00A46F44"/>
    <w:rsid w:val="00A47B51"/>
    <w:rsid w:val="00A50AB2"/>
    <w:rsid w:val="00A50BC2"/>
    <w:rsid w:val="00A511C1"/>
    <w:rsid w:val="00A52A13"/>
    <w:rsid w:val="00A53801"/>
    <w:rsid w:val="00A54D00"/>
    <w:rsid w:val="00A57148"/>
    <w:rsid w:val="00A63680"/>
    <w:rsid w:val="00A648AB"/>
    <w:rsid w:val="00A65E7C"/>
    <w:rsid w:val="00A67A7C"/>
    <w:rsid w:val="00A715C1"/>
    <w:rsid w:val="00A71610"/>
    <w:rsid w:val="00A7246F"/>
    <w:rsid w:val="00A732DF"/>
    <w:rsid w:val="00A7351D"/>
    <w:rsid w:val="00A74CD2"/>
    <w:rsid w:val="00A74CFD"/>
    <w:rsid w:val="00A76796"/>
    <w:rsid w:val="00A76C36"/>
    <w:rsid w:val="00A80699"/>
    <w:rsid w:val="00A819C5"/>
    <w:rsid w:val="00A8376B"/>
    <w:rsid w:val="00A847DF"/>
    <w:rsid w:val="00A86E73"/>
    <w:rsid w:val="00A87141"/>
    <w:rsid w:val="00A90B24"/>
    <w:rsid w:val="00A95F14"/>
    <w:rsid w:val="00AA11AD"/>
    <w:rsid w:val="00AA15C1"/>
    <w:rsid w:val="00AA33C9"/>
    <w:rsid w:val="00AA34D7"/>
    <w:rsid w:val="00AA3A25"/>
    <w:rsid w:val="00AA4DA4"/>
    <w:rsid w:val="00AA4F7F"/>
    <w:rsid w:val="00AA57CD"/>
    <w:rsid w:val="00AB0D1B"/>
    <w:rsid w:val="00AB7437"/>
    <w:rsid w:val="00AB743D"/>
    <w:rsid w:val="00AC5853"/>
    <w:rsid w:val="00AD1882"/>
    <w:rsid w:val="00AD2BE4"/>
    <w:rsid w:val="00AD4002"/>
    <w:rsid w:val="00AD50F9"/>
    <w:rsid w:val="00AD5892"/>
    <w:rsid w:val="00AE4F18"/>
    <w:rsid w:val="00AE5F6A"/>
    <w:rsid w:val="00AE7405"/>
    <w:rsid w:val="00AF086B"/>
    <w:rsid w:val="00AF3E15"/>
    <w:rsid w:val="00AF47C8"/>
    <w:rsid w:val="00AF49A7"/>
    <w:rsid w:val="00AF795F"/>
    <w:rsid w:val="00B01B51"/>
    <w:rsid w:val="00B13A94"/>
    <w:rsid w:val="00B146B0"/>
    <w:rsid w:val="00B1504B"/>
    <w:rsid w:val="00B1683A"/>
    <w:rsid w:val="00B16E90"/>
    <w:rsid w:val="00B22322"/>
    <w:rsid w:val="00B2530D"/>
    <w:rsid w:val="00B33D33"/>
    <w:rsid w:val="00B35B8D"/>
    <w:rsid w:val="00B40A2C"/>
    <w:rsid w:val="00B44E20"/>
    <w:rsid w:val="00B45542"/>
    <w:rsid w:val="00B45DE4"/>
    <w:rsid w:val="00B46810"/>
    <w:rsid w:val="00B4698C"/>
    <w:rsid w:val="00B47302"/>
    <w:rsid w:val="00B52669"/>
    <w:rsid w:val="00B52FA9"/>
    <w:rsid w:val="00B559F1"/>
    <w:rsid w:val="00B5731D"/>
    <w:rsid w:val="00B57A0B"/>
    <w:rsid w:val="00B6613E"/>
    <w:rsid w:val="00B661C8"/>
    <w:rsid w:val="00B7187B"/>
    <w:rsid w:val="00B76104"/>
    <w:rsid w:val="00B7673F"/>
    <w:rsid w:val="00B80C75"/>
    <w:rsid w:val="00B815E8"/>
    <w:rsid w:val="00B818E1"/>
    <w:rsid w:val="00B82632"/>
    <w:rsid w:val="00B82E2A"/>
    <w:rsid w:val="00B83279"/>
    <w:rsid w:val="00B83873"/>
    <w:rsid w:val="00B84C81"/>
    <w:rsid w:val="00B868A0"/>
    <w:rsid w:val="00B86A06"/>
    <w:rsid w:val="00B90682"/>
    <w:rsid w:val="00B90CA2"/>
    <w:rsid w:val="00B95242"/>
    <w:rsid w:val="00B964C5"/>
    <w:rsid w:val="00BA1717"/>
    <w:rsid w:val="00BA3805"/>
    <w:rsid w:val="00BA65AE"/>
    <w:rsid w:val="00BA76D5"/>
    <w:rsid w:val="00BA7D9E"/>
    <w:rsid w:val="00BB3973"/>
    <w:rsid w:val="00BB3E4C"/>
    <w:rsid w:val="00BB451B"/>
    <w:rsid w:val="00BB4F36"/>
    <w:rsid w:val="00BB565E"/>
    <w:rsid w:val="00BB5DB7"/>
    <w:rsid w:val="00BB68A1"/>
    <w:rsid w:val="00BB7FC9"/>
    <w:rsid w:val="00BC2344"/>
    <w:rsid w:val="00BC31A2"/>
    <w:rsid w:val="00BC5EE9"/>
    <w:rsid w:val="00BC6CEA"/>
    <w:rsid w:val="00BD0806"/>
    <w:rsid w:val="00BD0AA4"/>
    <w:rsid w:val="00BD2053"/>
    <w:rsid w:val="00BD34F2"/>
    <w:rsid w:val="00BD5945"/>
    <w:rsid w:val="00BE31AF"/>
    <w:rsid w:val="00BE54C5"/>
    <w:rsid w:val="00BF16A8"/>
    <w:rsid w:val="00BF210F"/>
    <w:rsid w:val="00BF5474"/>
    <w:rsid w:val="00C05174"/>
    <w:rsid w:val="00C12C0F"/>
    <w:rsid w:val="00C15AD3"/>
    <w:rsid w:val="00C16F50"/>
    <w:rsid w:val="00C218F3"/>
    <w:rsid w:val="00C2237E"/>
    <w:rsid w:val="00C23C22"/>
    <w:rsid w:val="00C25B08"/>
    <w:rsid w:val="00C30FEA"/>
    <w:rsid w:val="00C3135F"/>
    <w:rsid w:val="00C31D2B"/>
    <w:rsid w:val="00C33222"/>
    <w:rsid w:val="00C34841"/>
    <w:rsid w:val="00C36972"/>
    <w:rsid w:val="00C36AB2"/>
    <w:rsid w:val="00C37AC6"/>
    <w:rsid w:val="00C40F90"/>
    <w:rsid w:val="00C4307D"/>
    <w:rsid w:val="00C436DD"/>
    <w:rsid w:val="00C43A7F"/>
    <w:rsid w:val="00C46FD4"/>
    <w:rsid w:val="00C4739B"/>
    <w:rsid w:val="00C51AEC"/>
    <w:rsid w:val="00C526FD"/>
    <w:rsid w:val="00C557CC"/>
    <w:rsid w:val="00C635B6"/>
    <w:rsid w:val="00C66CC9"/>
    <w:rsid w:val="00C67EF7"/>
    <w:rsid w:val="00C701F0"/>
    <w:rsid w:val="00C70D96"/>
    <w:rsid w:val="00C71402"/>
    <w:rsid w:val="00C726C3"/>
    <w:rsid w:val="00C74A4A"/>
    <w:rsid w:val="00C762CB"/>
    <w:rsid w:val="00C823C5"/>
    <w:rsid w:val="00C83A61"/>
    <w:rsid w:val="00C850D0"/>
    <w:rsid w:val="00C8555D"/>
    <w:rsid w:val="00C94B07"/>
    <w:rsid w:val="00C9504A"/>
    <w:rsid w:val="00CA2FAB"/>
    <w:rsid w:val="00CA56AE"/>
    <w:rsid w:val="00CA6891"/>
    <w:rsid w:val="00CB4056"/>
    <w:rsid w:val="00CB4093"/>
    <w:rsid w:val="00CB6BD6"/>
    <w:rsid w:val="00CB79AD"/>
    <w:rsid w:val="00CC10E3"/>
    <w:rsid w:val="00CC2942"/>
    <w:rsid w:val="00CC4441"/>
    <w:rsid w:val="00CC4848"/>
    <w:rsid w:val="00CC48F1"/>
    <w:rsid w:val="00CC6CB1"/>
    <w:rsid w:val="00CD1532"/>
    <w:rsid w:val="00CD2660"/>
    <w:rsid w:val="00CD3515"/>
    <w:rsid w:val="00CD694C"/>
    <w:rsid w:val="00CD6DAB"/>
    <w:rsid w:val="00CD7266"/>
    <w:rsid w:val="00CE050C"/>
    <w:rsid w:val="00CE35BD"/>
    <w:rsid w:val="00CE5265"/>
    <w:rsid w:val="00CE61D9"/>
    <w:rsid w:val="00CE7E51"/>
    <w:rsid w:val="00CF5CB1"/>
    <w:rsid w:val="00CF61EA"/>
    <w:rsid w:val="00CF71B7"/>
    <w:rsid w:val="00D00A96"/>
    <w:rsid w:val="00D02D5C"/>
    <w:rsid w:val="00D05042"/>
    <w:rsid w:val="00D0600A"/>
    <w:rsid w:val="00D079DA"/>
    <w:rsid w:val="00D122E0"/>
    <w:rsid w:val="00D129AE"/>
    <w:rsid w:val="00D13AEF"/>
    <w:rsid w:val="00D14368"/>
    <w:rsid w:val="00D144B1"/>
    <w:rsid w:val="00D1500F"/>
    <w:rsid w:val="00D20F45"/>
    <w:rsid w:val="00D23EF6"/>
    <w:rsid w:val="00D26529"/>
    <w:rsid w:val="00D302B5"/>
    <w:rsid w:val="00D32303"/>
    <w:rsid w:val="00D36443"/>
    <w:rsid w:val="00D36DD5"/>
    <w:rsid w:val="00D4436E"/>
    <w:rsid w:val="00D44CC0"/>
    <w:rsid w:val="00D5014F"/>
    <w:rsid w:val="00D50A04"/>
    <w:rsid w:val="00D51422"/>
    <w:rsid w:val="00D52B79"/>
    <w:rsid w:val="00D6196E"/>
    <w:rsid w:val="00D63404"/>
    <w:rsid w:val="00D70DD1"/>
    <w:rsid w:val="00D7203F"/>
    <w:rsid w:val="00D734D3"/>
    <w:rsid w:val="00D767D4"/>
    <w:rsid w:val="00D85283"/>
    <w:rsid w:val="00D86094"/>
    <w:rsid w:val="00D90700"/>
    <w:rsid w:val="00D90EC7"/>
    <w:rsid w:val="00D952FC"/>
    <w:rsid w:val="00D96377"/>
    <w:rsid w:val="00D96CF9"/>
    <w:rsid w:val="00D9774F"/>
    <w:rsid w:val="00DA6069"/>
    <w:rsid w:val="00DB0514"/>
    <w:rsid w:val="00DB14B1"/>
    <w:rsid w:val="00DB1645"/>
    <w:rsid w:val="00DB1EB7"/>
    <w:rsid w:val="00DB1F5D"/>
    <w:rsid w:val="00DB201D"/>
    <w:rsid w:val="00DB20A8"/>
    <w:rsid w:val="00DB5DA2"/>
    <w:rsid w:val="00DC588A"/>
    <w:rsid w:val="00DC769C"/>
    <w:rsid w:val="00DC7B3E"/>
    <w:rsid w:val="00DD1C29"/>
    <w:rsid w:val="00DD22A8"/>
    <w:rsid w:val="00DD2C1C"/>
    <w:rsid w:val="00DE06FF"/>
    <w:rsid w:val="00DE0E42"/>
    <w:rsid w:val="00DE43EA"/>
    <w:rsid w:val="00DE4F83"/>
    <w:rsid w:val="00DE6F75"/>
    <w:rsid w:val="00DE7DEC"/>
    <w:rsid w:val="00DF1E29"/>
    <w:rsid w:val="00DF2495"/>
    <w:rsid w:val="00E0038A"/>
    <w:rsid w:val="00E02EDF"/>
    <w:rsid w:val="00E03DEB"/>
    <w:rsid w:val="00E07E5F"/>
    <w:rsid w:val="00E07F72"/>
    <w:rsid w:val="00E14D6B"/>
    <w:rsid w:val="00E152A7"/>
    <w:rsid w:val="00E157F1"/>
    <w:rsid w:val="00E2071E"/>
    <w:rsid w:val="00E262F8"/>
    <w:rsid w:val="00E266FB"/>
    <w:rsid w:val="00E2690E"/>
    <w:rsid w:val="00E32681"/>
    <w:rsid w:val="00E34EC9"/>
    <w:rsid w:val="00E37BC0"/>
    <w:rsid w:val="00E47BBD"/>
    <w:rsid w:val="00E52458"/>
    <w:rsid w:val="00E539F5"/>
    <w:rsid w:val="00E577B6"/>
    <w:rsid w:val="00E61EEB"/>
    <w:rsid w:val="00E64957"/>
    <w:rsid w:val="00E65566"/>
    <w:rsid w:val="00E676C8"/>
    <w:rsid w:val="00E757E3"/>
    <w:rsid w:val="00E76C22"/>
    <w:rsid w:val="00E80907"/>
    <w:rsid w:val="00E81E18"/>
    <w:rsid w:val="00E86755"/>
    <w:rsid w:val="00E87037"/>
    <w:rsid w:val="00E90985"/>
    <w:rsid w:val="00E90CA3"/>
    <w:rsid w:val="00E91DFE"/>
    <w:rsid w:val="00E945A8"/>
    <w:rsid w:val="00E945EC"/>
    <w:rsid w:val="00E958B5"/>
    <w:rsid w:val="00E962D5"/>
    <w:rsid w:val="00EA1307"/>
    <w:rsid w:val="00EB4D0B"/>
    <w:rsid w:val="00EB7BB7"/>
    <w:rsid w:val="00EC0A2A"/>
    <w:rsid w:val="00EC1DBE"/>
    <w:rsid w:val="00EC34A6"/>
    <w:rsid w:val="00EC3656"/>
    <w:rsid w:val="00EC373A"/>
    <w:rsid w:val="00EC3847"/>
    <w:rsid w:val="00EC4040"/>
    <w:rsid w:val="00EC5BD5"/>
    <w:rsid w:val="00EC6733"/>
    <w:rsid w:val="00ED2593"/>
    <w:rsid w:val="00EE0E84"/>
    <w:rsid w:val="00EE663B"/>
    <w:rsid w:val="00EE7B85"/>
    <w:rsid w:val="00EF329E"/>
    <w:rsid w:val="00EF3541"/>
    <w:rsid w:val="00EF39DE"/>
    <w:rsid w:val="00EF4BF1"/>
    <w:rsid w:val="00EF5DD5"/>
    <w:rsid w:val="00EF6290"/>
    <w:rsid w:val="00EF7C13"/>
    <w:rsid w:val="00F00A46"/>
    <w:rsid w:val="00F05198"/>
    <w:rsid w:val="00F11544"/>
    <w:rsid w:val="00F12586"/>
    <w:rsid w:val="00F13D6E"/>
    <w:rsid w:val="00F141ED"/>
    <w:rsid w:val="00F15D62"/>
    <w:rsid w:val="00F20104"/>
    <w:rsid w:val="00F20C42"/>
    <w:rsid w:val="00F229F5"/>
    <w:rsid w:val="00F246F4"/>
    <w:rsid w:val="00F25F9B"/>
    <w:rsid w:val="00F30621"/>
    <w:rsid w:val="00F307D3"/>
    <w:rsid w:val="00F335DE"/>
    <w:rsid w:val="00F349C4"/>
    <w:rsid w:val="00F3589A"/>
    <w:rsid w:val="00F36848"/>
    <w:rsid w:val="00F37362"/>
    <w:rsid w:val="00F37778"/>
    <w:rsid w:val="00F401C0"/>
    <w:rsid w:val="00F4057F"/>
    <w:rsid w:val="00F405C8"/>
    <w:rsid w:val="00F47794"/>
    <w:rsid w:val="00F5095B"/>
    <w:rsid w:val="00F51987"/>
    <w:rsid w:val="00F51E7C"/>
    <w:rsid w:val="00F5396C"/>
    <w:rsid w:val="00F5581A"/>
    <w:rsid w:val="00F559F1"/>
    <w:rsid w:val="00F601CF"/>
    <w:rsid w:val="00F65512"/>
    <w:rsid w:val="00F659BE"/>
    <w:rsid w:val="00F65C91"/>
    <w:rsid w:val="00F70C1C"/>
    <w:rsid w:val="00F717CF"/>
    <w:rsid w:val="00F7343C"/>
    <w:rsid w:val="00F7496A"/>
    <w:rsid w:val="00F76B8C"/>
    <w:rsid w:val="00F779CD"/>
    <w:rsid w:val="00F81244"/>
    <w:rsid w:val="00F82481"/>
    <w:rsid w:val="00F82D15"/>
    <w:rsid w:val="00F9166A"/>
    <w:rsid w:val="00F91B7D"/>
    <w:rsid w:val="00F9469C"/>
    <w:rsid w:val="00F96B8C"/>
    <w:rsid w:val="00F96CE8"/>
    <w:rsid w:val="00FA162F"/>
    <w:rsid w:val="00FA2A69"/>
    <w:rsid w:val="00FB2D35"/>
    <w:rsid w:val="00FB3E81"/>
    <w:rsid w:val="00FB75D4"/>
    <w:rsid w:val="00FC2405"/>
    <w:rsid w:val="00FC5A48"/>
    <w:rsid w:val="00FD591D"/>
    <w:rsid w:val="00FE2978"/>
    <w:rsid w:val="00FF2399"/>
    <w:rsid w:val="00FF7FA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C9B7D6F"/>
  <w15:docId w15:val="{2885CFBD-7CF1-4780-A508-4C2A2EF2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Z,Appel note de bas de page,Footnotes refss,Footnote number,BVI fnr (文字) (文字) Char (文字) Char Char1 Char Char Char Char Char Char Char1 Char Char Char1 Char Char,Ref FNs Char,Footnote Ref,16 Point,["/>
    <w:link w:val="CharChar1CharCharCharChar1CharCharCharCharCharCharCharCharCharCharCharCharCharCharCharChar"/>
    <w:uiPriority w:val="99"/>
    <w:qFormat/>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Char"/>
    <w:basedOn w:val="Normal"/>
    <w:link w:val="FootnoteTextChar"/>
    <w:qFormat/>
    <w:pPr>
      <w:tabs>
        <w:tab w:val="right" w:pos="1021"/>
      </w:tabs>
      <w:spacing w:line="220" w:lineRule="exact"/>
      <w:ind w:left="1134" w:right="1134" w:hanging="1134"/>
    </w:pPr>
    <w:rPr>
      <w:sz w:val="18"/>
    </w:rPr>
  </w:style>
  <w:style w:type="paragraph" w:styleId="EndnoteText">
    <w:name w:val="endnote text"/>
    <w:aliases w:val="2_G"/>
    <w:basedOn w:val="FootnoteText"/>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23">
    <w:name w:val="_ H_2/3"/>
    <w:basedOn w:val="Normal"/>
    <w:next w:val="Normal"/>
    <w:rsid w:val="007A7E4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b/>
      <w:spacing w:val="2"/>
      <w:w w:val="103"/>
      <w:kern w:val="1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7A7E4D"/>
    <w:pPr>
      <w:suppressAutoHyphens w:val="0"/>
      <w:spacing w:after="160" w:line="240" w:lineRule="exact"/>
    </w:pPr>
    <w:rPr>
      <w:sz w:val="18"/>
      <w:vertAlign w:val="superscript"/>
      <w:lang w:eastAsia="en-GB"/>
    </w:rPr>
  </w:style>
  <w:style w:type="paragraph" w:styleId="ListParagraph">
    <w:name w:val="List Paragraph"/>
    <w:basedOn w:val="Normal"/>
    <w:uiPriority w:val="34"/>
    <w:qFormat/>
    <w:rsid w:val="007A7E4D"/>
    <w:pPr>
      <w:spacing w:line="240" w:lineRule="exact"/>
      <w:ind w:left="720"/>
      <w:contextualSpacing/>
    </w:pPr>
    <w:rPr>
      <w:rFonts w:eastAsiaTheme="minorHAnsi"/>
      <w:spacing w:val="4"/>
      <w:w w:val="103"/>
      <w:kern w:val="14"/>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qFormat/>
    <w:rsid w:val="007A7E4D"/>
    <w:rPr>
      <w:sz w:val="18"/>
      <w:lang w:eastAsia="en-US"/>
    </w:rPr>
  </w:style>
  <w:style w:type="character" w:styleId="CommentReference">
    <w:name w:val="annotation reference"/>
    <w:basedOn w:val="DefaultParagraphFont"/>
    <w:uiPriority w:val="99"/>
    <w:semiHidden/>
    <w:unhideWhenUsed/>
    <w:rsid w:val="00EB7BB7"/>
    <w:rPr>
      <w:sz w:val="18"/>
      <w:szCs w:val="18"/>
    </w:rPr>
  </w:style>
  <w:style w:type="paragraph" w:styleId="CommentText">
    <w:name w:val="annotation text"/>
    <w:basedOn w:val="Normal"/>
    <w:link w:val="CommentTextChar"/>
    <w:uiPriority w:val="99"/>
    <w:unhideWhenUsed/>
    <w:rsid w:val="00EB7BB7"/>
    <w:pPr>
      <w:spacing w:line="240" w:lineRule="auto"/>
    </w:pPr>
    <w:rPr>
      <w:sz w:val="24"/>
      <w:szCs w:val="24"/>
    </w:rPr>
  </w:style>
  <w:style w:type="character" w:customStyle="1" w:styleId="CommentTextChar">
    <w:name w:val="Comment Text Char"/>
    <w:basedOn w:val="DefaultParagraphFont"/>
    <w:link w:val="CommentText"/>
    <w:uiPriority w:val="99"/>
    <w:rsid w:val="00EB7BB7"/>
    <w:rPr>
      <w:sz w:val="24"/>
      <w:szCs w:val="24"/>
      <w:lang w:eastAsia="en-US"/>
    </w:rPr>
  </w:style>
  <w:style w:type="paragraph" w:styleId="CommentSubject">
    <w:name w:val="annotation subject"/>
    <w:basedOn w:val="CommentText"/>
    <w:next w:val="CommentText"/>
    <w:link w:val="CommentSubjectChar"/>
    <w:uiPriority w:val="99"/>
    <w:semiHidden/>
    <w:unhideWhenUsed/>
    <w:rsid w:val="00EB7BB7"/>
    <w:rPr>
      <w:b/>
      <w:bCs/>
      <w:sz w:val="20"/>
      <w:szCs w:val="20"/>
    </w:rPr>
  </w:style>
  <w:style w:type="character" w:customStyle="1" w:styleId="CommentSubjectChar">
    <w:name w:val="Comment Subject Char"/>
    <w:basedOn w:val="CommentTextChar"/>
    <w:link w:val="CommentSubject"/>
    <w:uiPriority w:val="99"/>
    <w:semiHidden/>
    <w:rsid w:val="00EB7BB7"/>
    <w:rPr>
      <w:b/>
      <w:bCs/>
      <w:sz w:val="24"/>
      <w:szCs w:val="24"/>
      <w:lang w:eastAsia="en-US"/>
    </w:rPr>
  </w:style>
  <w:style w:type="paragraph" w:styleId="Revision">
    <w:name w:val="Revision"/>
    <w:hidden/>
    <w:uiPriority w:val="99"/>
    <w:semiHidden/>
    <w:rsid w:val="00D122E0"/>
    <w:rPr>
      <w:lang w:eastAsia="en-US"/>
    </w:rPr>
  </w:style>
  <w:style w:type="character" w:customStyle="1" w:styleId="HeaderChar">
    <w:name w:val="Header Char"/>
    <w:aliases w:val="6_G Char"/>
    <w:basedOn w:val="DefaultParagraphFont"/>
    <w:link w:val="Header"/>
    <w:uiPriority w:val="99"/>
    <w:rsid w:val="00D44CC0"/>
    <w:rPr>
      <w:b/>
      <w:sz w:val="18"/>
      <w:lang w:eastAsia="en-US"/>
    </w:rPr>
  </w:style>
  <w:style w:type="character" w:customStyle="1" w:styleId="FooterChar">
    <w:name w:val="Footer Char"/>
    <w:aliases w:val="3_G Char"/>
    <w:basedOn w:val="DefaultParagraphFont"/>
    <w:link w:val="Footer"/>
    <w:uiPriority w:val="99"/>
    <w:rsid w:val="00D44CC0"/>
    <w:rPr>
      <w:sz w:val="16"/>
      <w:lang w:eastAsia="en-US"/>
    </w:rPr>
  </w:style>
  <w:style w:type="paragraph" w:styleId="PlainText">
    <w:name w:val="Plain Text"/>
    <w:basedOn w:val="Normal"/>
    <w:link w:val="PlainTextChar"/>
    <w:uiPriority w:val="99"/>
    <w:unhideWhenUsed/>
    <w:rsid w:val="007429A4"/>
    <w:pPr>
      <w:suppressAutoHyphens w:val="0"/>
      <w:spacing w:line="240" w:lineRule="auto"/>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7429A4"/>
    <w:rPr>
      <w:rFonts w:ascii="Calibri" w:eastAsiaTheme="minorHAnsi" w:hAnsi="Calibri" w:cstheme="minorBidi"/>
      <w:sz w:val="22"/>
      <w:szCs w:val="21"/>
      <w:lang w:val="en-CA" w:eastAsia="en-US"/>
    </w:rPr>
  </w:style>
  <w:style w:type="character" w:customStyle="1" w:styleId="UnresolvedMention1">
    <w:name w:val="Unresolved Mention1"/>
    <w:basedOn w:val="DefaultParagraphFont"/>
    <w:uiPriority w:val="99"/>
    <w:semiHidden/>
    <w:unhideWhenUsed/>
    <w:rsid w:val="0077528D"/>
    <w:rPr>
      <w:color w:val="605E5C"/>
      <w:shd w:val="clear" w:color="auto" w:fill="E1DFDD"/>
    </w:rPr>
  </w:style>
  <w:style w:type="character" w:customStyle="1" w:styleId="SingleTxtGChar">
    <w:name w:val="_ Single Txt_G Char"/>
    <w:link w:val="SingleTxtG"/>
    <w:rsid w:val="0043622A"/>
    <w:rPr>
      <w:lang w:eastAsia="en-US"/>
    </w:rPr>
  </w:style>
  <w:style w:type="character" w:customStyle="1" w:styleId="BalloonTextChar">
    <w:name w:val="Balloon Text Char"/>
    <w:basedOn w:val="DefaultParagraphFont"/>
    <w:link w:val="BalloonText"/>
    <w:uiPriority w:val="99"/>
    <w:semiHidden/>
    <w:rsid w:val="00DB1F5D"/>
    <w:rPr>
      <w:rFonts w:ascii="Tahoma" w:hAnsi="Tahoma" w:cs="Tahoma"/>
      <w:sz w:val="16"/>
      <w:szCs w:val="16"/>
      <w:lang w:eastAsia="en-US"/>
    </w:rPr>
  </w:style>
  <w:style w:type="character" w:customStyle="1" w:styleId="UnresolvedMention2">
    <w:name w:val="Unresolved Mention2"/>
    <w:basedOn w:val="DefaultParagraphFont"/>
    <w:uiPriority w:val="99"/>
    <w:semiHidden/>
    <w:unhideWhenUsed/>
    <w:rsid w:val="00DB1F5D"/>
    <w:rPr>
      <w:color w:val="605E5C"/>
      <w:shd w:val="clear" w:color="auto" w:fill="E1DFDD"/>
    </w:rPr>
  </w:style>
  <w:style w:type="character" w:customStyle="1" w:styleId="lblnewsfulltext">
    <w:name w:val="lblnewsfulltext"/>
    <w:basedOn w:val="DefaultParagraphFont"/>
    <w:rsid w:val="003A029F"/>
  </w:style>
  <w:style w:type="paragraph" w:customStyle="1" w:styleId="Default">
    <w:name w:val="Default"/>
    <w:rsid w:val="00D96377"/>
    <w:pPr>
      <w:autoSpaceDE w:val="0"/>
      <w:autoSpaceDN w:val="0"/>
      <w:adjustRightInd w:val="0"/>
    </w:pPr>
    <w:rPr>
      <w:color w:val="000000"/>
      <w:sz w:val="24"/>
      <w:szCs w:val="24"/>
    </w:rPr>
  </w:style>
  <w:style w:type="character" w:styleId="Emphasis">
    <w:name w:val="Emphasis"/>
    <w:basedOn w:val="DefaultParagraphFont"/>
    <w:uiPriority w:val="20"/>
    <w:qFormat/>
    <w:rsid w:val="00B868A0"/>
    <w:rPr>
      <w:i/>
      <w:iCs/>
    </w:rPr>
  </w:style>
  <w:style w:type="character" w:customStyle="1" w:styleId="UnresolvedMention3">
    <w:name w:val="Unresolved Mention3"/>
    <w:basedOn w:val="DefaultParagraphFont"/>
    <w:uiPriority w:val="99"/>
    <w:semiHidden/>
    <w:unhideWhenUsed/>
    <w:rsid w:val="00B868A0"/>
    <w:rPr>
      <w:color w:val="605E5C"/>
      <w:shd w:val="clear" w:color="auto" w:fill="E1DFDD"/>
    </w:rPr>
  </w:style>
  <w:style w:type="paragraph" w:styleId="NormalWeb">
    <w:name w:val="Normal (Web)"/>
    <w:basedOn w:val="Normal"/>
    <w:uiPriority w:val="99"/>
    <w:semiHidden/>
    <w:unhideWhenUsed/>
    <w:rsid w:val="00B868A0"/>
    <w:pPr>
      <w:suppressAutoHyphens w:val="0"/>
      <w:spacing w:before="100" w:beforeAutospacing="1" w:after="100" w:afterAutospacing="1" w:line="240" w:lineRule="auto"/>
    </w:pPr>
    <w:rPr>
      <w:sz w:val="24"/>
      <w:szCs w:val="24"/>
      <w:lang w:val="en-CA" w:eastAsia="en-CA"/>
    </w:rPr>
  </w:style>
  <w:style w:type="character" w:styleId="Strong">
    <w:name w:val="Strong"/>
    <w:basedOn w:val="DefaultParagraphFont"/>
    <w:uiPriority w:val="22"/>
    <w:qFormat/>
    <w:rsid w:val="00B868A0"/>
    <w:rPr>
      <w:b/>
      <w:bCs/>
    </w:rPr>
  </w:style>
  <w:style w:type="character" w:customStyle="1" w:styleId="w8qarf">
    <w:name w:val="w8qarf"/>
    <w:basedOn w:val="DefaultParagraphFont"/>
    <w:rsid w:val="00B868A0"/>
  </w:style>
  <w:style w:type="character" w:customStyle="1" w:styleId="lrzxr">
    <w:name w:val="lrzxr"/>
    <w:basedOn w:val="DefaultParagraphFont"/>
    <w:rsid w:val="00B868A0"/>
  </w:style>
  <w:style w:type="character" w:customStyle="1" w:styleId="SingleTxtGCar">
    <w:name w:val="_ Single Txt_G Car"/>
    <w:rsid w:val="00BC6CEA"/>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7969">
      <w:bodyDiv w:val="1"/>
      <w:marLeft w:val="0"/>
      <w:marRight w:val="0"/>
      <w:marTop w:val="0"/>
      <w:marBottom w:val="0"/>
      <w:divBdr>
        <w:top w:val="none" w:sz="0" w:space="0" w:color="auto"/>
        <w:left w:val="none" w:sz="0" w:space="0" w:color="auto"/>
        <w:bottom w:val="none" w:sz="0" w:space="0" w:color="auto"/>
        <w:right w:val="none" w:sz="0" w:space="0" w:color="auto"/>
      </w:divBdr>
    </w:div>
    <w:div w:id="130826751">
      <w:bodyDiv w:val="1"/>
      <w:marLeft w:val="0"/>
      <w:marRight w:val="0"/>
      <w:marTop w:val="0"/>
      <w:marBottom w:val="0"/>
      <w:divBdr>
        <w:top w:val="none" w:sz="0" w:space="0" w:color="auto"/>
        <w:left w:val="none" w:sz="0" w:space="0" w:color="auto"/>
        <w:bottom w:val="none" w:sz="0" w:space="0" w:color="auto"/>
        <w:right w:val="none" w:sz="0" w:space="0" w:color="auto"/>
      </w:divBdr>
    </w:div>
    <w:div w:id="172501680">
      <w:bodyDiv w:val="1"/>
      <w:marLeft w:val="0"/>
      <w:marRight w:val="0"/>
      <w:marTop w:val="0"/>
      <w:marBottom w:val="0"/>
      <w:divBdr>
        <w:top w:val="none" w:sz="0" w:space="0" w:color="auto"/>
        <w:left w:val="none" w:sz="0" w:space="0" w:color="auto"/>
        <w:bottom w:val="none" w:sz="0" w:space="0" w:color="auto"/>
        <w:right w:val="none" w:sz="0" w:space="0" w:color="auto"/>
      </w:divBdr>
    </w:div>
    <w:div w:id="217670014">
      <w:bodyDiv w:val="1"/>
      <w:marLeft w:val="0"/>
      <w:marRight w:val="0"/>
      <w:marTop w:val="0"/>
      <w:marBottom w:val="0"/>
      <w:divBdr>
        <w:top w:val="none" w:sz="0" w:space="0" w:color="auto"/>
        <w:left w:val="none" w:sz="0" w:space="0" w:color="auto"/>
        <w:bottom w:val="none" w:sz="0" w:space="0" w:color="auto"/>
        <w:right w:val="none" w:sz="0" w:space="0" w:color="auto"/>
      </w:divBdr>
    </w:div>
    <w:div w:id="218175189">
      <w:bodyDiv w:val="1"/>
      <w:marLeft w:val="0"/>
      <w:marRight w:val="0"/>
      <w:marTop w:val="0"/>
      <w:marBottom w:val="0"/>
      <w:divBdr>
        <w:top w:val="none" w:sz="0" w:space="0" w:color="auto"/>
        <w:left w:val="none" w:sz="0" w:space="0" w:color="auto"/>
        <w:bottom w:val="none" w:sz="0" w:space="0" w:color="auto"/>
        <w:right w:val="none" w:sz="0" w:space="0" w:color="auto"/>
      </w:divBdr>
    </w:div>
    <w:div w:id="306596501">
      <w:bodyDiv w:val="1"/>
      <w:marLeft w:val="0"/>
      <w:marRight w:val="0"/>
      <w:marTop w:val="0"/>
      <w:marBottom w:val="0"/>
      <w:divBdr>
        <w:top w:val="none" w:sz="0" w:space="0" w:color="auto"/>
        <w:left w:val="none" w:sz="0" w:space="0" w:color="auto"/>
        <w:bottom w:val="none" w:sz="0" w:space="0" w:color="auto"/>
        <w:right w:val="none" w:sz="0" w:space="0" w:color="auto"/>
      </w:divBdr>
    </w:div>
    <w:div w:id="313922451">
      <w:bodyDiv w:val="1"/>
      <w:marLeft w:val="0"/>
      <w:marRight w:val="0"/>
      <w:marTop w:val="0"/>
      <w:marBottom w:val="0"/>
      <w:divBdr>
        <w:top w:val="none" w:sz="0" w:space="0" w:color="auto"/>
        <w:left w:val="none" w:sz="0" w:space="0" w:color="auto"/>
        <w:bottom w:val="none" w:sz="0" w:space="0" w:color="auto"/>
        <w:right w:val="none" w:sz="0" w:space="0" w:color="auto"/>
      </w:divBdr>
    </w:div>
    <w:div w:id="353309999">
      <w:bodyDiv w:val="1"/>
      <w:marLeft w:val="0"/>
      <w:marRight w:val="0"/>
      <w:marTop w:val="0"/>
      <w:marBottom w:val="0"/>
      <w:divBdr>
        <w:top w:val="none" w:sz="0" w:space="0" w:color="auto"/>
        <w:left w:val="none" w:sz="0" w:space="0" w:color="auto"/>
        <w:bottom w:val="none" w:sz="0" w:space="0" w:color="auto"/>
        <w:right w:val="none" w:sz="0" w:space="0" w:color="auto"/>
      </w:divBdr>
    </w:div>
    <w:div w:id="425349727">
      <w:bodyDiv w:val="1"/>
      <w:marLeft w:val="0"/>
      <w:marRight w:val="0"/>
      <w:marTop w:val="0"/>
      <w:marBottom w:val="0"/>
      <w:divBdr>
        <w:top w:val="none" w:sz="0" w:space="0" w:color="auto"/>
        <w:left w:val="none" w:sz="0" w:space="0" w:color="auto"/>
        <w:bottom w:val="none" w:sz="0" w:space="0" w:color="auto"/>
        <w:right w:val="none" w:sz="0" w:space="0" w:color="auto"/>
      </w:divBdr>
    </w:div>
    <w:div w:id="435175889">
      <w:bodyDiv w:val="1"/>
      <w:marLeft w:val="0"/>
      <w:marRight w:val="0"/>
      <w:marTop w:val="0"/>
      <w:marBottom w:val="0"/>
      <w:divBdr>
        <w:top w:val="none" w:sz="0" w:space="0" w:color="auto"/>
        <w:left w:val="none" w:sz="0" w:space="0" w:color="auto"/>
        <w:bottom w:val="none" w:sz="0" w:space="0" w:color="auto"/>
        <w:right w:val="none" w:sz="0" w:space="0" w:color="auto"/>
      </w:divBdr>
    </w:div>
    <w:div w:id="467743321">
      <w:bodyDiv w:val="1"/>
      <w:marLeft w:val="0"/>
      <w:marRight w:val="0"/>
      <w:marTop w:val="0"/>
      <w:marBottom w:val="0"/>
      <w:divBdr>
        <w:top w:val="none" w:sz="0" w:space="0" w:color="auto"/>
        <w:left w:val="none" w:sz="0" w:space="0" w:color="auto"/>
        <w:bottom w:val="none" w:sz="0" w:space="0" w:color="auto"/>
        <w:right w:val="none" w:sz="0" w:space="0" w:color="auto"/>
      </w:divBdr>
    </w:div>
    <w:div w:id="473764373">
      <w:bodyDiv w:val="1"/>
      <w:marLeft w:val="0"/>
      <w:marRight w:val="0"/>
      <w:marTop w:val="0"/>
      <w:marBottom w:val="0"/>
      <w:divBdr>
        <w:top w:val="none" w:sz="0" w:space="0" w:color="auto"/>
        <w:left w:val="none" w:sz="0" w:space="0" w:color="auto"/>
        <w:bottom w:val="none" w:sz="0" w:space="0" w:color="auto"/>
        <w:right w:val="none" w:sz="0" w:space="0" w:color="auto"/>
      </w:divBdr>
    </w:div>
    <w:div w:id="523981160">
      <w:bodyDiv w:val="1"/>
      <w:marLeft w:val="0"/>
      <w:marRight w:val="0"/>
      <w:marTop w:val="0"/>
      <w:marBottom w:val="0"/>
      <w:divBdr>
        <w:top w:val="none" w:sz="0" w:space="0" w:color="auto"/>
        <w:left w:val="none" w:sz="0" w:space="0" w:color="auto"/>
        <w:bottom w:val="none" w:sz="0" w:space="0" w:color="auto"/>
        <w:right w:val="none" w:sz="0" w:space="0" w:color="auto"/>
      </w:divBdr>
    </w:div>
    <w:div w:id="539169254">
      <w:bodyDiv w:val="1"/>
      <w:marLeft w:val="0"/>
      <w:marRight w:val="0"/>
      <w:marTop w:val="0"/>
      <w:marBottom w:val="0"/>
      <w:divBdr>
        <w:top w:val="none" w:sz="0" w:space="0" w:color="auto"/>
        <w:left w:val="none" w:sz="0" w:space="0" w:color="auto"/>
        <w:bottom w:val="none" w:sz="0" w:space="0" w:color="auto"/>
        <w:right w:val="none" w:sz="0" w:space="0" w:color="auto"/>
      </w:divBdr>
    </w:div>
    <w:div w:id="544488751">
      <w:bodyDiv w:val="1"/>
      <w:marLeft w:val="0"/>
      <w:marRight w:val="0"/>
      <w:marTop w:val="0"/>
      <w:marBottom w:val="0"/>
      <w:divBdr>
        <w:top w:val="none" w:sz="0" w:space="0" w:color="auto"/>
        <w:left w:val="none" w:sz="0" w:space="0" w:color="auto"/>
        <w:bottom w:val="none" w:sz="0" w:space="0" w:color="auto"/>
        <w:right w:val="none" w:sz="0" w:space="0" w:color="auto"/>
      </w:divBdr>
    </w:div>
    <w:div w:id="625083594">
      <w:bodyDiv w:val="1"/>
      <w:marLeft w:val="0"/>
      <w:marRight w:val="0"/>
      <w:marTop w:val="0"/>
      <w:marBottom w:val="0"/>
      <w:divBdr>
        <w:top w:val="none" w:sz="0" w:space="0" w:color="auto"/>
        <w:left w:val="none" w:sz="0" w:space="0" w:color="auto"/>
        <w:bottom w:val="none" w:sz="0" w:space="0" w:color="auto"/>
        <w:right w:val="none" w:sz="0" w:space="0" w:color="auto"/>
      </w:divBdr>
    </w:div>
    <w:div w:id="650525767">
      <w:bodyDiv w:val="1"/>
      <w:marLeft w:val="0"/>
      <w:marRight w:val="0"/>
      <w:marTop w:val="0"/>
      <w:marBottom w:val="0"/>
      <w:divBdr>
        <w:top w:val="none" w:sz="0" w:space="0" w:color="auto"/>
        <w:left w:val="none" w:sz="0" w:space="0" w:color="auto"/>
        <w:bottom w:val="none" w:sz="0" w:space="0" w:color="auto"/>
        <w:right w:val="none" w:sz="0" w:space="0" w:color="auto"/>
      </w:divBdr>
    </w:div>
    <w:div w:id="674109802">
      <w:bodyDiv w:val="1"/>
      <w:marLeft w:val="0"/>
      <w:marRight w:val="0"/>
      <w:marTop w:val="0"/>
      <w:marBottom w:val="0"/>
      <w:divBdr>
        <w:top w:val="none" w:sz="0" w:space="0" w:color="auto"/>
        <w:left w:val="none" w:sz="0" w:space="0" w:color="auto"/>
        <w:bottom w:val="none" w:sz="0" w:space="0" w:color="auto"/>
        <w:right w:val="none" w:sz="0" w:space="0" w:color="auto"/>
      </w:divBdr>
    </w:div>
    <w:div w:id="685519417">
      <w:bodyDiv w:val="1"/>
      <w:marLeft w:val="0"/>
      <w:marRight w:val="0"/>
      <w:marTop w:val="0"/>
      <w:marBottom w:val="0"/>
      <w:divBdr>
        <w:top w:val="none" w:sz="0" w:space="0" w:color="auto"/>
        <w:left w:val="none" w:sz="0" w:space="0" w:color="auto"/>
        <w:bottom w:val="none" w:sz="0" w:space="0" w:color="auto"/>
        <w:right w:val="none" w:sz="0" w:space="0" w:color="auto"/>
      </w:divBdr>
    </w:div>
    <w:div w:id="701587093">
      <w:bodyDiv w:val="1"/>
      <w:marLeft w:val="0"/>
      <w:marRight w:val="0"/>
      <w:marTop w:val="0"/>
      <w:marBottom w:val="0"/>
      <w:divBdr>
        <w:top w:val="none" w:sz="0" w:space="0" w:color="auto"/>
        <w:left w:val="none" w:sz="0" w:space="0" w:color="auto"/>
        <w:bottom w:val="none" w:sz="0" w:space="0" w:color="auto"/>
        <w:right w:val="none" w:sz="0" w:space="0" w:color="auto"/>
      </w:divBdr>
    </w:div>
    <w:div w:id="710346679">
      <w:bodyDiv w:val="1"/>
      <w:marLeft w:val="0"/>
      <w:marRight w:val="0"/>
      <w:marTop w:val="0"/>
      <w:marBottom w:val="0"/>
      <w:divBdr>
        <w:top w:val="none" w:sz="0" w:space="0" w:color="auto"/>
        <w:left w:val="none" w:sz="0" w:space="0" w:color="auto"/>
        <w:bottom w:val="none" w:sz="0" w:space="0" w:color="auto"/>
        <w:right w:val="none" w:sz="0" w:space="0" w:color="auto"/>
      </w:divBdr>
    </w:div>
    <w:div w:id="715475290">
      <w:bodyDiv w:val="1"/>
      <w:marLeft w:val="0"/>
      <w:marRight w:val="0"/>
      <w:marTop w:val="0"/>
      <w:marBottom w:val="0"/>
      <w:divBdr>
        <w:top w:val="none" w:sz="0" w:space="0" w:color="auto"/>
        <w:left w:val="none" w:sz="0" w:space="0" w:color="auto"/>
        <w:bottom w:val="none" w:sz="0" w:space="0" w:color="auto"/>
        <w:right w:val="none" w:sz="0" w:space="0" w:color="auto"/>
      </w:divBdr>
    </w:div>
    <w:div w:id="749159695">
      <w:bodyDiv w:val="1"/>
      <w:marLeft w:val="0"/>
      <w:marRight w:val="0"/>
      <w:marTop w:val="0"/>
      <w:marBottom w:val="0"/>
      <w:divBdr>
        <w:top w:val="none" w:sz="0" w:space="0" w:color="auto"/>
        <w:left w:val="none" w:sz="0" w:space="0" w:color="auto"/>
        <w:bottom w:val="none" w:sz="0" w:space="0" w:color="auto"/>
        <w:right w:val="none" w:sz="0" w:space="0" w:color="auto"/>
      </w:divBdr>
    </w:div>
    <w:div w:id="763040357">
      <w:bodyDiv w:val="1"/>
      <w:marLeft w:val="0"/>
      <w:marRight w:val="0"/>
      <w:marTop w:val="0"/>
      <w:marBottom w:val="0"/>
      <w:divBdr>
        <w:top w:val="none" w:sz="0" w:space="0" w:color="auto"/>
        <w:left w:val="none" w:sz="0" w:space="0" w:color="auto"/>
        <w:bottom w:val="none" w:sz="0" w:space="0" w:color="auto"/>
        <w:right w:val="none" w:sz="0" w:space="0" w:color="auto"/>
      </w:divBdr>
    </w:div>
    <w:div w:id="775753788">
      <w:bodyDiv w:val="1"/>
      <w:marLeft w:val="0"/>
      <w:marRight w:val="0"/>
      <w:marTop w:val="0"/>
      <w:marBottom w:val="0"/>
      <w:divBdr>
        <w:top w:val="none" w:sz="0" w:space="0" w:color="auto"/>
        <w:left w:val="none" w:sz="0" w:space="0" w:color="auto"/>
        <w:bottom w:val="none" w:sz="0" w:space="0" w:color="auto"/>
        <w:right w:val="none" w:sz="0" w:space="0" w:color="auto"/>
      </w:divBdr>
    </w:div>
    <w:div w:id="822967258">
      <w:bodyDiv w:val="1"/>
      <w:marLeft w:val="0"/>
      <w:marRight w:val="0"/>
      <w:marTop w:val="0"/>
      <w:marBottom w:val="0"/>
      <w:divBdr>
        <w:top w:val="none" w:sz="0" w:space="0" w:color="auto"/>
        <w:left w:val="none" w:sz="0" w:space="0" w:color="auto"/>
        <w:bottom w:val="none" w:sz="0" w:space="0" w:color="auto"/>
        <w:right w:val="none" w:sz="0" w:space="0" w:color="auto"/>
      </w:divBdr>
    </w:div>
    <w:div w:id="847603412">
      <w:bodyDiv w:val="1"/>
      <w:marLeft w:val="0"/>
      <w:marRight w:val="0"/>
      <w:marTop w:val="0"/>
      <w:marBottom w:val="0"/>
      <w:divBdr>
        <w:top w:val="none" w:sz="0" w:space="0" w:color="auto"/>
        <w:left w:val="none" w:sz="0" w:space="0" w:color="auto"/>
        <w:bottom w:val="none" w:sz="0" w:space="0" w:color="auto"/>
        <w:right w:val="none" w:sz="0" w:space="0" w:color="auto"/>
      </w:divBdr>
    </w:div>
    <w:div w:id="867984300">
      <w:bodyDiv w:val="1"/>
      <w:marLeft w:val="0"/>
      <w:marRight w:val="0"/>
      <w:marTop w:val="0"/>
      <w:marBottom w:val="0"/>
      <w:divBdr>
        <w:top w:val="none" w:sz="0" w:space="0" w:color="auto"/>
        <w:left w:val="none" w:sz="0" w:space="0" w:color="auto"/>
        <w:bottom w:val="none" w:sz="0" w:space="0" w:color="auto"/>
        <w:right w:val="none" w:sz="0" w:space="0" w:color="auto"/>
      </w:divBdr>
    </w:div>
    <w:div w:id="932395896">
      <w:bodyDiv w:val="1"/>
      <w:marLeft w:val="0"/>
      <w:marRight w:val="0"/>
      <w:marTop w:val="0"/>
      <w:marBottom w:val="0"/>
      <w:divBdr>
        <w:top w:val="none" w:sz="0" w:space="0" w:color="auto"/>
        <w:left w:val="none" w:sz="0" w:space="0" w:color="auto"/>
        <w:bottom w:val="none" w:sz="0" w:space="0" w:color="auto"/>
        <w:right w:val="none" w:sz="0" w:space="0" w:color="auto"/>
      </w:divBdr>
    </w:div>
    <w:div w:id="953943415">
      <w:bodyDiv w:val="1"/>
      <w:marLeft w:val="0"/>
      <w:marRight w:val="0"/>
      <w:marTop w:val="0"/>
      <w:marBottom w:val="0"/>
      <w:divBdr>
        <w:top w:val="none" w:sz="0" w:space="0" w:color="auto"/>
        <w:left w:val="none" w:sz="0" w:space="0" w:color="auto"/>
        <w:bottom w:val="none" w:sz="0" w:space="0" w:color="auto"/>
        <w:right w:val="none" w:sz="0" w:space="0" w:color="auto"/>
      </w:divBdr>
    </w:div>
    <w:div w:id="962805494">
      <w:bodyDiv w:val="1"/>
      <w:marLeft w:val="0"/>
      <w:marRight w:val="0"/>
      <w:marTop w:val="0"/>
      <w:marBottom w:val="0"/>
      <w:divBdr>
        <w:top w:val="none" w:sz="0" w:space="0" w:color="auto"/>
        <w:left w:val="none" w:sz="0" w:space="0" w:color="auto"/>
        <w:bottom w:val="none" w:sz="0" w:space="0" w:color="auto"/>
        <w:right w:val="none" w:sz="0" w:space="0" w:color="auto"/>
      </w:divBdr>
    </w:div>
    <w:div w:id="997533567">
      <w:bodyDiv w:val="1"/>
      <w:marLeft w:val="0"/>
      <w:marRight w:val="0"/>
      <w:marTop w:val="0"/>
      <w:marBottom w:val="0"/>
      <w:divBdr>
        <w:top w:val="none" w:sz="0" w:space="0" w:color="auto"/>
        <w:left w:val="none" w:sz="0" w:space="0" w:color="auto"/>
        <w:bottom w:val="none" w:sz="0" w:space="0" w:color="auto"/>
        <w:right w:val="none" w:sz="0" w:space="0" w:color="auto"/>
      </w:divBdr>
    </w:div>
    <w:div w:id="999117671">
      <w:bodyDiv w:val="1"/>
      <w:marLeft w:val="0"/>
      <w:marRight w:val="0"/>
      <w:marTop w:val="0"/>
      <w:marBottom w:val="0"/>
      <w:divBdr>
        <w:top w:val="none" w:sz="0" w:space="0" w:color="auto"/>
        <w:left w:val="none" w:sz="0" w:space="0" w:color="auto"/>
        <w:bottom w:val="none" w:sz="0" w:space="0" w:color="auto"/>
        <w:right w:val="none" w:sz="0" w:space="0" w:color="auto"/>
      </w:divBdr>
    </w:div>
    <w:div w:id="1063723883">
      <w:bodyDiv w:val="1"/>
      <w:marLeft w:val="0"/>
      <w:marRight w:val="0"/>
      <w:marTop w:val="0"/>
      <w:marBottom w:val="0"/>
      <w:divBdr>
        <w:top w:val="none" w:sz="0" w:space="0" w:color="auto"/>
        <w:left w:val="none" w:sz="0" w:space="0" w:color="auto"/>
        <w:bottom w:val="none" w:sz="0" w:space="0" w:color="auto"/>
        <w:right w:val="none" w:sz="0" w:space="0" w:color="auto"/>
      </w:divBdr>
    </w:div>
    <w:div w:id="1091513792">
      <w:bodyDiv w:val="1"/>
      <w:marLeft w:val="0"/>
      <w:marRight w:val="0"/>
      <w:marTop w:val="0"/>
      <w:marBottom w:val="0"/>
      <w:divBdr>
        <w:top w:val="none" w:sz="0" w:space="0" w:color="auto"/>
        <w:left w:val="none" w:sz="0" w:space="0" w:color="auto"/>
        <w:bottom w:val="none" w:sz="0" w:space="0" w:color="auto"/>
        <w:right w:val="none" w:sz="0" w:space="0" w:color="auto"/>
      </w:divBdr>
    </w:div>
    <w:div w:id="1091858342">
      <w:bodyDiv w:val="1"/>
      <w:marLeft w:val="0"/>
      <w:marRight w:val="0"/>
      <w:marTop w:val="0"/>
      <w:marBottom w:val="0"/>
      <w:divBdr>
        <w:top w:val="none" w:sz="0" w:space="0" w:color="auto"/>
        <w:left w:val="none" w:sz="0" w:space="0" w:color="auto"/>
        <w:bottom w:val="none" w:sz="0" w:space="0" w:color="auto"/>
        <w:right w:val="none" w:sz="0" w:space="0" w:color="auto"/>
      </w:divBdr>
    </w:div>
    <w:div w:id="1132942690">
      <w:bodyDiv w:val="1"/>
      <w:marLeft w:val="0"/>
      <w:marRight w:val="0"/>
      <w:marTop w:val="0"/>
      <w:marBottom w:val="0"/>
      <w:divBdr>
        <w:top w:val="none" w:sz="0" w:space="0" w:color="auto"/>
        <w:left w:val="none" w:sz="0" w:space="0" w:color="auto"/>
        <w:bottom w:val="none" w:sz="0" w:space="0" w:color="auto"/>
        <w:right w:val="none" w:sz="0" w:space="0" w:color="auto"/>
      </w:divBdr>
    </w:div>
    <w:div w:id="1197356472">
      <w:bodyDiv w:val="1"/>
      <w:marLeft w:val="0"/>
      <w:marRight w:val="0"/>
      <w:marTop w:val="0"/>
      <w:marBottom w:val="0"/>
      <w:divBdr>
        <w:top w:val="none" w:sz="0" w:space="0" w:color="auto"/>
        <w:left w:val="none" w:sz="0" w:space="0" w:color="auto"/>
        <w:bottom w:val="none" w:sz="0" w:space="0" w:color="auto"/>
        <w:right w:val="none" w:sz="0" w:space="0" w:color="auto"/>
      </w:divBdr>
    </w:div>
    <w:div w:id="1199316026">
      <w:bodyDiv w:val="1"/>
      <w:marLeft w:val="0"/>
      <w:marRight w:val="0"/>
      <w:marTop w:val="0"/>
      <w:marBottom w:val="0"/>
      <w:divBdr>
        <w:top w:val="none" w:sz="0" w:space="0" w:color="auto"/>
        <w:left w:val="none" w:sz="0" w:space="0" w:color="auto"/>
        <w:bottom w:val="none" w:sz="0" w:space="0" w:color="auto"/>
        <w:right w:val="none" w:sz="0" w:space="0" w:color="auto"/>
      </w:divBdr>
    </w:div>
    <w:div w:id="1242057047">
      <w:bodyDiv w:val="1"/>
      <w:marLeft w:val="0"/>
      <w:marRight w:val="0"/>
      <w:marTop w:val="0"/>
      <w:marBottom w:val="0"/>
      <w:divBdr>
        <w:top w:val="none" w:sz="0" w:space="0" w:color="auto"/>
        <w:left w:val="none" w:sz="0" w:space="0" w:color="auto"/>
        <w:bottom w:val="none" w:sz="0" w:space="0" w:color="auto"/>
        <w:right w:val="none" w:sz="0" w:space="0" w:color="auto"/>
      </w:divBdr>
    </w:div>
    <w:div w:id="1305744000">
      <w:bodyDiv w:val="1"/>
      <w:marLeft w:val="0"/>
      <w:marRight w:val="0"/>
      <w:marTop w:val="0"/>
      <w:marBottom w:val="0"/>
      <w:divBdr>
        <w:top w:val="none" w:sz="0" w:space="0" w:color="auto"/>
        <w:left w:val="none" w:sz="0" w:space="0" w:color="auto"/>
        <w:bottom w:val="none" w:sz="0" w:space="0" w:color="auto"/>
        <w:right w:val="none" w:sz="0" w:space="0" w:color="auto"/>
      </w:divBdr>
    </w:div>
    <w:div w:id="1369991354">
      <w:bodyDiv w:val="1"/>
      <w:marLeft w:val="0"/>
      <w:marRight w:val="0"/>
      <w:marTop w:val="0"/>
      <w:marBottom w:val="0"/>
      <w:divBdr>
        <w:top w:val="none" w:sz="0" w:space="0" w:color="auto"/>
        <w:left w:val="none" w:sz="0" w:space="0" w:color="auto"/>
        <w:bottom w:val="none" w:sz="0" w:space="0" w:color="auto"/>
        <w:right w:val="none" w:sz="0" w:space="0" w:color="auto"/>
      </w:divBdr>
    </w:div>
    <w:div w:id="1375814093">
      <w:bodyDiv w:val="1"/>
      <w:marLeft w:val="0"/>
      <w:marRight w:val="0"/>
      <w:marTop w:val="0"/>
      <w:marBottom w:val="0"/>
      <w:divBdr>
        <w:top w:val="none" w:sz="0" w:space="0" w:color="auto"/>
        <w:left w:val="none" w:sz="0" w:space="0" w:color="auto"/>
        <w:bottom w:val="none" w:sz="0" w:space="0" w:color="auto"/>
        <w:right w:val="none" w:sz="0" w:space="0" w:color="auto"/>
      </w:divBdr>
    </w:div>
    <w:div w:id="1380325648">
      <w:bodyDiv w:val="1"/>
      <w:marLeft w:val="0"/>
      <w:marRight w:val="0"/>
      <w:marTop w:val="0"/>
      <w:marBottom w:val="0"/>
      <w:divBdr>
        <w:top w:val="none" w:sz="0" w:space="0" w:color="auto"/>
        <w:left w:val="none" w:sz="0" w:space="0" w:color="auto"/>
        <w:bottom w:val="none" w:sz="0" w:space="0" w:color="auto"/>
        <w:right w:val="none" w:sz="0" w:space="0" w:color="auto"/>
      </w:divBdr>
    </w:div>
    <w:div w:id="1433866101">
      <w:bodyDiv w:val="1"/>
      <w:marLeft w:val="0"/>
      <w:marRight w:val="0"/>
      <w:marTop w:val="0"/>
      <w:marBottom w:val="0"/>
      <w:divBdr>
        <w:top w:val="none" w:sz="0" w:space="0" w:color="auto"/>
        <w:left w:val="none" w:sz="0" w:space="0" w:color="auto"/>
        <w:bottom w:val="none" w:sz="0" w:space="0" w:color="auto"/>
        <w:right w:val="none" w:sz="0" w:space="0" w:color="auto"/>
      </w:divBdr>
    </w:div>
    <w:div w:id="1441531366">
      <w:bodyDiv w:val="1"/>
      <w:marLeft w:val="0"/>
      <w:marRight w:val="0"/>
      <w:marTop w:val="0"/>
      <w:marBottom w:val="0"/>
      <w:divBdr>
        <w:top w:val="none" w:sz="0" w:space="0" w:color="auto"/>
        <w:left w:val="none" w:sz="0" w:space="0" w:color="auto"/>
        <w:bottom w:val="none" w:sz="0" w:space="0" w:color="auto"/>
        <w:right w:val="none" w:sz="0" w:space="0" w:color="auto"/>
      </w:divBdr>
    </w:div>
    <w:div w:id="1485464890">
      <w:bodyDiv w:val="1"/>
      <w:marLeft w:val="0"/>
      <w:marRight w:val="0"/>
      <w:marTop w:val="0"/>
      <w:marBottom w:val="0"/>
      <w:divBdr>
        <w:top w:val="none" w:sz="0" w:space="0" w:color="auto"/>
        <w:left w:val="none" w:sz="0" w:space="0" w:color="auto"/>
        <w:bottom w:val="none" w:sz="0" w:space="0" w:color="auto"/>
        <w:right w:val="none" w:sz="0" w:space="0" w:color="auto"/>
      </w:divBdr>
    </w:div>
    <w:div w:id="1573469718">
      <w:bodyDiv w:val="1"/>
      <w:marLeft w:val="0"/>
      <w:marRight w:val="0"/>
      <w:marTop w:val="0"/>
      <w:marBottom w:val="0"/>
      <w:divBdr>
        <w:top w:val="none" w:sz="0" w:space="0" w:color="auto"/>
        <w:left w:val="none" w:sz="0" w:space="0" w:color="auto"/>
        <w:bottom w:val="none" w:sz="0" w:space="0" w:color="auto"/>
        <w:right w:val="none" w:sz="0" w:space="0" w:color="auto"/>
      </w:divBdr>
    </w:div>
    <w:div w:id="1617449449">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5204343">
      <w:bodyDiv w:val="1"/>
      <w:marLeft w:val="0"/>
      <w:marRight w:val="0"/>
      <w:marTop w:val="0"/>
      <w:marBottom w:val="0"/>
      <w:divBdr>
        <w:top w:val="none" w:sz="0" w:space="0" w:color="auto"/>
        <w:left w:val="none" w:sz="0" w:space="0" w:color="auto"/>
        <w:bottom w:val="none" w:sz="0" w:space="0" w:color="auto"/>
        <w:right w:val="none" w:sz="0" w:space="0" w:color="auto"/>
      </w:divBdr>
    </w:div>
    <w:div w:id="1717120877">
      <w:bodyDiv w:val="1"/>
      <w:marLeft w:val="0"/>
      <w:marRight w:val="0"/>
      <w:marTop w:val="0"/>
      <w:marBottom w:val="0"/>
      <w:divBdr>
        <w:top w:val="none" w:sz="0" w:space="0" w:color="auto"/>
        <w:left w:val="none" w:sz="0" w:space="0" w:color="auto"/>
        <w:bottom w:val="none" w:sz="0" w:space="0" w:color="auto"/>
        <w:right w:val="none" w:sz="0" w:space="0" w:color="auto"/>
      </w:divBdr>
    </w:div>
    <w:div w:id="1734810714">
      <w:bodyDiv w:val="1"/>
      <w:marLeft w:val="0"/>
      <w:marRight w:val="0"/>
      <w:marTop w:val="0"/>
      <w:marBottom w:val="0"/>
      <w:divBdr>
        <w:top w:val="none" w:sz="0" w:space="0" w:color="auto"/>
        <w:left w:val="none" w:sz="0" w:space="0" w:color="auto"/>
        <w:bottom w:val="none" w:sz="0" w:space="0" w:color="auto"/>
        <w:right w:val="none" w:sz="0" w:space="0" w:color="auto"/>
      </w:divBdr>
    </w:div>
    <w:div w:id="1753971822">
      <w:bodyDiv w:val="1"/>
      <w:marLeft w:val="0"/>
      <w:marRight w:val="0"/>
      <w:marTop w:val="0"/>
      <w:marBottom w:val="0"/>
      <w:divBdr>
        <w:top w:val="none" w:sz="0" w:space="0" w:color="auto"/>
        <w:left w:val="none" w:sz="0" w:space="0" w:color="auto"/>
        <w:bottom w:val="none" w:sz="0" w:space="0" w:color="auto"/>
        <w:right w:val="none" w:sz="0" w:space="0" w:color="auto"/>
      </w:divBdr>
    </w:div>
    <w:div w:id="1783722327">
      <w:bodyDiv w:val="1"/>
      <w:marLeft w:val="0"/>
      <w:marRight w:val="0"/>
      <w:marTop w:val="0"/>
      <w:marBottom w:val="0"/>
      <w:divBdr>
        <w:top w:val="none" w:sz="0" w:space="0" w:color="auto"/>
        <w:left w:val="none" w:sz="0" w:space="0" w:color="auto"/>
        <w:bottom w:val="none" w:sz="0" w:space="0" w:color="auto"/>
        <w:right w:val="none" w:sz="0" w:space="0" w:color="auto"/>
      </w:divBdr>
    </w:div>
    <w:div w:id="1815414229">
      <w:bodyDiv w:val="1"/>
      <w:marLeft w:val="0"/>
      <w:marRight w:val="0"/>
      <w:marTop w:val="0"/>
      <w:marBottom w:val="0"/>
      <w:divBdr>
        <w:top w:val="none" w:sz="0" w:space="0" w:color="auto"/>
        <w:left w:val="none" w:sz="0" w:space="0" w:color="auto"/>
        <w:bottom w:val="none" w:sz="0" w:space="0" w:color="auto"/>
        <w:right w:val="none" w:sz="0" w:space="0" w:color="auto"/>
      </w:divBdr>
    </w:div>
    <w:div w:id="1816025734">
      <w:bodyDiv w:val="1"/>
      <w:marLeft w:val="0"/>
      <w:marRight w:val="0"/>
      <w:marTop w:val="0"/>
      <w:marBottom w:val="0"/>
      <w:divBdr>
        <w:top w:val="none" w:sz="0" w:space="0" w:color="auto"/>
        <w:left w:val="none" w:sz="0" w:space="0" w:color="auto"/>
        <w:bottom w:val="none" w:sz="0" w:space="0" w:color="auto"/>
        <w:right w:val="none" w:sz="0" w:space="0" w:color="auto"/>
      </w:divBdr>
    </w:div>
    <w:div w:id="1873105289">
      <w:bodyDiv w:val="1"/>
      <w:marLeft w:val="0"/>
      <w:marRight w:val="0"/>
      <w:marTop w:val="0"/>
      <w:marBottom w:val="0"/>
      <w:divBdr>
        <w:top w:val="none" w:sz="0" w:space="0" w:color="auto"/>
        <w:left w:val="none" w:sz="0" w:space="0" w:color="auto"/>
        <w:bottom w:val="none" w:sz="0" w:space="0" w:color="auto"/>
        <w:right w:val="none" w:sz="0" w:space="0" w:color="auto"/>
      </w:divBdr>
    </w:div>
    <w:div w:id="1934702405">
      <w:bodyDiv w:val="1"/>
      <w:marLeft w:val="0"/>
      <w:marRight w:val="0"/>
      <w:marTop w:val="0"/>
      <w:marBottom w:val="0"/>
      <w:divBdr>
        <w:top w:val="none" w:sz="0" w:space="0" w:color="auto"/>
        <w:left w:val="none" w:sz="0" w:space="0" w:color="auto"/>
        <w:bottom w:val="none" w:sz="0" w:space="0" w:color="auto"/>
        <w:right w:val="none" w:sz="0" w:space="0" w:color="auto"/>
      </w:divBdr>
    </w:div>
    <w:div w:id="2013215866">
      <w:bodyDiv w:val="1"/>
      <w:marLeft w:val="0"/>
      <w:marRight w:val="0"/>
      <w:marTop w:val="0"/>
      <w:marBottom w:val="0"/>
      <w:divBdr>
        <w:top w:val="none" w:sz="0" w:space="0" w:color="auto"/>
        <w:left w:val="none" w:sz="0" w:space="0" w:color="auto"/>
        <w:bottom w:val="none" w:sz="0" w:space="0" w:color="auto"/>
        <w:right w:val="none" w:sz="0" w:space="0" w:color="auto"/>
      </w:divBdr>
    </w:div>
    <w:div w:id="2015105227">
      <w:bodyDiv w:val="1"/>
      <w:marLeft w:val="0"/>
      <w:marRight w:val="0"/>
      <w:marTop w:val="0"/>
      <w:marBottom w:val="0"/>
      <w:divBdr>
        <w:top w:val="none" w:sz="0" w:space="0" w:color="auto"/>
        <w:left w:val="none" w:sz="0" w:space="0" w:color="auto"/>
        <w:bottom w:val="none" w:sz="0" w:space="0" w:color="auto"/>
        <w:right w:val="none" w:sz="0" w:space="0" w:color="auto"/>
      </w:divBdr>
    </w:div>
    <w:div w:id="2039116434">
      <w:bodyDiv w:val="1"/>
      <w:marLeft w:val="0"/>
      <w:marRight w:val="0"/>
      <w:marTop w:val="0"/>
      <w:marBottom w:val="0"/>
      <w:divBdr>
        <w:top w:val="none" w:sz="0" w:space="0" w:color="auto"/>
        <w:left w:val="none" w:sz="0" w:space="0" w:color="auto"/>
        <w:bottom w:val="none" w:sz="0" w:space="0" w:color="auto"/>
        <w:right w:val="none" w:sz="0" w:space="0" w:color="auto"/>
      </w:divBdr>
    </w:div>
    <w:div w:id="2044941042">
      <w:bodyDiv w:val="1"/>
      <w:marLeft w:val="0"/>
      <w:marRight w:val="0"/>
      <w:marTop w:val="0"/>
      <w:marBottom w:val="0"/>
      <w:divBdr>
        <w:top w:val="none" w:sz="0" w:space="0" w:color="auto"/>
        <w:left w:val="none" w:sz="0" w:space="0" w:color="auto"/>
        <w:bottom w:val="none" w:sz="0" w:space="0" w:color="auto"/>
        <w:right w:val="none" w:sz="0" w:space="0" w:color="auto"/>
      </w:divBdr>
    </w:div>
    <w:div w:id="2060545238">
      <w:bodyDiv w:val="1"/>
      <w:marLeft w:val="0"/>
      <w:marRight w:val="0"/>
      <w:marTop w:val="0"/>
      <w:marBottom w:val="0"/>
      <w:divBdr>
        <w:top w:val="none" w:sz="0" w:space="0" w:color="auto"/>
        <w:left w:val="none" w:sz="0" w:space="0" w:color="auto"/>
        <w:bottom w:val="none" w:sz="0" w:space="0" w:color="auto"/>
        <w:right w:val="none" w:sz="0" w:space="0" w:color="auto"/>
      </w:divBdr>
    </w:div>
    <w:div w:id="2079089235">
      <w:bodyDiv w:val="1"/>
      <w:marLeft w:val="0"/>
      <w:marRight w:val="0"/>
      <w:marTop w:val="0"/>
      <w:marBottom w:val="0"/>
      <w:divBdr>
        <w:top w:val="none" w:sz="0" w:space="0" w:color="auto"/>
        <w:left w:val="none" w:sz="0" w:space="0" w:color="auto"/>
        <w:bottom w:val="none" w:sz="0" w:space="0" w:color="auto"/>
        <w:right w:val="none" w:sz="0" w:space="0" w:color="auto"/>
      </w:divBdr>
    </w:div>
    <w:div w:id="21414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news.un.org/en/story/2002/03" TargetMode="External"/><Relationship Id="rId3" Type="http://schemas.openxmlformats.org/officeDocument/2006/relationships/hyperlink" Target="https://www.btselem.org/hebron/20210808_bp_and_settlers_attack_family_at_160_checkpoint_" TargetMode="External"/><Relationship Id="rId7" Type="http://schemas.openxmlformats.org/officeDocument/2006/relationships/hyperlink" Target="https://www.btselem.org/video/20210824_two_palestinians_fatally_shot_in_two_joint_attack" TargetMode="External"/><Relationship Id="rId12" Type="http://schemas.openxmlformats.org/officeDocument/2006/relationships/hyperlink" Target="https://unsco.unmissions.org/sites/default/files/statement_by_the_envoys_of_the_middle_east_quartet_-_23_march_2021.pdf" TargetMode="External"/><Relationship Id="rId2" Type="http://schemas.openxmlformats.org/officeDocument/2006/relationships/hyperlink" Target="https://www.ohchr.org/EN/NewsEvents/Pages/DisplayNews.aspx?NewsID=26496&amp;LangID=E" TargetMode="External"/><Relationship Id="rId1" Type="http://schemas.openxmlformats.org/officeDocument/2006/relationships/hyperlink" Target="https://reliefweb.int/sites/reliefweb.int/files/resources/Gaza%20WASH%20sector%20damage%20ass" TargetMode="External"/><Relationship Id="rId6" Type="http://schemas.openxmlformats.org/officeDocument/2006/relationships/hyperlink" Target="https://news.walla.co.il/item/2599418" TargetMode="External"/><Relationship Id="rId11" Type="http://schemas.openxmlformats.org/officeDocument/2006/relationships/hyperlink" Target="https://www.whitehouse.gov/briefing-room/speeches-remarks/2021/09/21/remarks-by-president-biden-before-the-76th-session-of-the-united-nations-general-assembly/" TargetMode="External"/><Relationship Id="rId5" Type="http://schemas.openxmlformats.org/officeDocument/2006/relationships/hyperlink" Target="https://www.btselem.org/gaza_strip/20210503_gaza_patients_denied_treatment_since_covid_19_" TargetMode="External"/><Relationship Id="rId10" Type="http://schemas.openxmlformats.org/officeDocument/2006/relationships/hyperlink" Target="https://ihl-databases.icrc.org/applic/ihl/ihl.nsf/Comment.xsp?action=open%20Document&amp;documentId=" TargetMode="External"/><Relationship Id="rId4" Type="http://schemas.openxmlformats.org/officeDocument/2006/relationships/hyperlink" Target="https://www.btselem.org/gaza_strip/20210503_gaza_patients_denied_treatment_since_covid_19_" TargetMode="External"/><Relationship Id="rId9" Type="http://schemas.openxmlformats.org/officeDocument/2006/relationships/hyperlink" Target="https://www.refworld.org/pdfid/3ddb8f8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3AE6-8358-4A5F-A4F6-3CE8EF80BCFD}"/>
</file>

<file path=customXml/itemProps2.xml><?xml version="1.0" encoding="utf-8"?>
<ds:datastoreItem xmlns:ds="http://schemas.openxmlformats.org/officeDocument/2006/customXml" ds:itemID="{25F7F73A-2A9A-46C7-A7AF-EA477383258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2A59E05-6775-474A-9657-3445D3E0014F}">
  <ds:schemaRefs>
    <ds:schemaRef ds:uri="http://schemas.microsoft.com/sharepoint/v3/contenttype/forms"/>
  </ds:schemaRefs>
</ds:datastoreItem>
</file>

<file path=customXml/itemProps4.xml><?xml version="1.0" encoding="utf-8"?>
<ds:datastoreItem xmlns:ds="http://schemas.openxmlformats.org/officeDocument/2006/customXml" ds:itemID="{D72D483E-1D9C-450C-8518-C240BDEC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9042</Words>
  <Characters>51545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OHCHR</dc:creator>
  <cp:lastModifiedBy>BILANE Ilze</cp:lastModifiedBy>
  <cp:revision>3</cp:revision>
  <cp:lastPrinted>2019-10-14T07:00:00Z</cp:lastPrinted>
  <dcterms:created xsi:type="dcterms:W3CDTF">2021-10-22T13:17:00Z</dcterms:created>
  <dcterms:modified xsi:type="dcterms:W3CDTF">2021-10-22T13:17:00Z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