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7D" w:rsidRDefault="00B01A7D" w:rsidP="00B01A7D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bg-BG"/>
        </w:rPr>
        <w:t>Предотвратяване на изтезанията в България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експерти на ООН са загрижени относно </w:t>
      </w:r>
      <w:r>
        <w:rPr>
          <w:b/>
          <w:bCs/>
          <w:sz w:val="28"/>
          <w:szCs w:val="28"/>
          <w:shd w:val="clear" w:color="auto" w:fill="FFFFFF"/>
          <w:lang w:val="bg-BG"/>
        </w:rPr>
        <w:t>децата мигранти, които са в условия на задържане</w:t>
      </w:r>
    </w:p>
    <w:p w:rsidR="00B01A7D" w:rsidRDefault="00B01A7D" w:rsidP="00B01A7D">
      <w:pPr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>ЖЕНЕВА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(5 </w:t>
      </w:r>
      <w:r>
        <w:rPr>
          <w:color w:val="000000"/>
          <w:sz w:val="26"/>
          <w:szCs w:val="26"/>
          <w:shd w:val="clear" w:color="auto" w:fill="FFFFFF"/>
          <w:lang w:val="bg-BG"/>
        </w:rPr>
        <w:t>ноември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2021</w:t>
      </w:r>
      <w:r>
        <w:rPr>
          <w:color w:val="000000"/>
          <w:sz w:val="26"/>
          <w:szCs w:val="26"/>
          <w:shd w:val="clear" w:color="auto" w:fill="FFFFFF"/>
          <w:lang w:val="bg-BG"/>
        </w:rPr>
        <w:t xml:space="preserve"> г.</w:t>
      </w:r>
      <w:r>
        <w:rPr>
          <w:color w:val="000000"/>
          <w:sz w:val="26"/>
          <w:szCs w:val="26"/>
          <w:shd w:val="clear" w:color="auto" w:fill="FFFFFF"/>
          <w:lang w:val="en-US"/>
        </w:rPr>
        <w:t>)</w:t>
      </w:r>
      <w:r>
        <w:rPr>
          <w:color w:val="000000"/>
          <w:shd w:val="clear" w:color="auto" w:fill="FFFFFF"/>
          <w:lang w:val="en-US"/>
        </w:rPr>
        <w:t xml:space="preserve"> —</w:t>
      </w:r>
      <w:r>
        <w:rPr>
          <w:color w:val="000000"/>
          <w:sz w:val="26"/>
          <w:szCs w:val="26"/>
          <w:shd w:val="clear" w:color="auto" w:fill="FFFFFF"/>
          <w:lang w:val="bg-BG"/>
        </w:rPr>
        <w:t xml:space="preserve">България трябва да осигури хуманни условия за задържаните мигранти, по-специално деца, както и да прилага задържането като мярка само когато е строго наложително, посочиха експерти по правата на човека към ООН в края на първото си официално посещение в страната. </w:t>
      </w:r>
    </w:p>
    <w:p w:rsidR="00B01A7D" w:rsidRDefault="00B01A7D" w:rsidP="00B01A7D">
      <w:pPr>
        <w:spacing w:after="0" w:line="240" w:lineRule="auto"/>
        <w:rPr>
          <w:sz w:val="26"/>
          <w:szCs w:val="26"/>
          <w:lang w:val="en-US"/>
        </w:rPr>
      </w:pP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„Ние сме особено загрижени по отношение на задържането на деца мигранти. Някои от тях не са придружени от родителите си – това са най-уязвимите – и живеят при много тежки условия“, каза Нора Свеос, ръководител на делегацията на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"https://www.ohchr.org/EN/HRBodies/OPCAT/Pages/OPCATIndex.aspx" </w:instrText>
      </w:r>
      <w:r>
        <w:rPr>
          <w:lang w:val="en-US"/>
        </w:rPr>
        <w:fldChar w:fldCharType="separate"/>
      </w:r>
      <w:r>
        <w:rPr>
          <w:rStyle w:val="Hyperlink"/>
          <w:sz w:val="26"/>
          <w:szCs w:val="26"/>
          <w:shd w:val="clear" w:color="auto" w:fill="FFFFFF"/>
          <w:lang w:val="bg-BG"/>
        </w:rPr>
        <w:t xml:space="preserve">Подкомитета по предотвратяване не изтезанията </w:t>
      </w:r>
      <w:r>
        <w:rPr>
          <w:lang w:val="en-US"/>
        </w:rPr>
        <w:fldChar w:fldCharType="end"/>
      </w:r>
      <w:r>
        <w:rPr>
          <w:color w:val="000000"/>
          <w:sz w:val="26"/>
          <w:szCs w:val="26"/>
          <w:shd w:val="clear" w:color="auto" w:fill="FFFFFF"/>
          <w:lang w:val="bg-BG"/>
        </w:rPr>
        <w:t> (ППИ) към ООН.</w:t>
      </w: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Делегацията на ППИ проведе посещението си в България през периода 24 – 30 октомври. Целта на това посещение бе да се дадат съвети за функционирането на независимия орган за наблюдение на България, чието официално название е Национален превантивен механизъм (НПМ), както и да се проверят условията, при които са настанени лишените от свобода лица в страната. </w:t>
      </w: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Делегацията, заедно с членовете на българския НПМ, посети Специалния дом за временно настаняване на чужденци, където се задържат лица с цел установяване на самоличността или изпълнение на заповед за извеждането им от страната. </w:t>
      </w: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„Голям брой мигранти и лица, търсещи международна закрила, в България са задържани в специални центрове. Следва да подчертаем колко е важно на задържаните мигранти и лица, търсещи закрила, да се осигуряват хуманни условия и да се предоставят необходимите здравни услуги и </w:t>
      </w:r>
      <w:r>
        <w:rPr>
          <w:sz w:val="26"/>
          <w:szCs w:val="26"/>
          <w:shd w:val="clear" w:color="auto" w:fill="FFFFFF"/>
          <w:lang w:val="bg-BG"/>
        </w:rPr>
        <w:t>адекватна</w:t>
      </w:r>
      <w:r>
        <w:rPr>
          <w:color w:val="FF0000"/>
          <w:sz w:val="26"/>
          <w:szCs w:val="26"/>
          <w:shd w:val="clear" w:color="auto" w:fill="FFFFFF"/>
          <w:lang w:val="bg-BG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bg-BG"/>
        </w:rPr>
        <w:t xml:space="preserve">правна помощ. На задържаните мигранти и лица, търсещи международна закрила, следва своевременно да се предоставя пълна информация относно това, което се случва с тях – действие, което изисква и осигуряването на преводачи“, подчерта Свеос. </w:t>
      </w: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Делегацията посети също така районни полицейски управления и затвори и проведе поверителни интервюта с отделни задържани лица и служители. Бяха осъществени и срещи с българските власти, членовете на НПМ, органи на Обединените нации, както и с представители на гражданското общество.  </w:t>
      </w: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„Много се радваме, че имахме възможност да посетим България и да проведем конструктивни разговори с властите, които ни осигуриха достъп до места за лишаване от свобода при съблюдаване на наложените ограничения във връзка </w:t>
      </w:r>
      <w:r>
        <w:rPr>
          <w:color w:val="000000"/>
          <w:sz w:val="26"/>
          <w:szCs w:val="26"/>
          <w:shd w:val="clear" w:color="auto" w:fill="FFFFFF"/>
          <w:lang w:val="bg-BG"/>
        </w:rPr>
        <w:lastRenderedPageBreak/>
        <w:t xml:space="preserve">с КОВИД-19. Същевременно работихме с Националния превантивен механизъм, с който имахме съвместни посещения“, каза Свеос. </w:t>
      </w: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</w:p>
    <w:p w:rsidR="00B01A7D" w:rsidRDefault="00B01A7D" w:rsidP="00B01A7D">
      <w:pPr>
        <w:spacing w:after="0" w:line="240" w:lineRule="auto"/>
        <w:rPr>
          <w:sz w:val="26"/>
          <w:szCs w:val="26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„Предотвратяването на изтезанията и малтретирането е ефективно, когато международни структури за наблюдение като ППИ работят ръка за ръка с националните превантивни органи. В България НПМ е свършил съществена работа с </w:t>
      </w:r>
      <w:r>
        <w:rPr>
          <w:sz w:val="26"/>
          <w:szCs w:val="26"/>
          <w:shd w:val="clear" w:color="auto" w:fill="FFFFFF"/>
          <w:lang w:val="bg-BG"/>
        </w:rPr>
        <w:t>добри резултати</w:t>
      </w:r>
      <w:r>
        <w:rPr>
          <w:color w:val="000000"/>
          <w:sz w:val="26"/>
          <w:szCs w:val="26"/>
          <w:shd w:val="clear" w:color="auto" w:fill="FFFFFF"/>
          <w:lang w:val="bg-BG"/>
        </w:rPr>
        <w:t>“, добави тя.</w:t>
      </w:r>
      <w:r>
        <w:rPr>
          <w:sz w:val="26"/>
          <w:szCs w:val="26"/>
          <w:lang w:val="bg-BG"/>
        </w:rPr>
        <w:t xml:space="preserve"> </w:t>
      </w:r>
    </w:p>
    <w:p w:rsidR="00B01A7D" w:rsidRDefault="00B01A7D" w:rsidP="00B01A7D">
      <w:pPr>
        <w:spacing w:after="0" w:line="240" w:lineRule="auto"/>
        <w:rPr>
          <w:sz w:val="26"/>
          <w:szCs w:val="26"/>
          <w:lang w:val="bg-BG"/>
        </w:rPr>
      </w:pP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Подкомитетът по предотвратяване на изтезанията ще представи на правителството на България своя поверителен доклад, в който ще има наблюдения и препоръки в резултат от посещението. Докладът ще остане поверителен, освен ако държвата страна по Конвенцията не реши да го оповести публично – действие, за което Подкомитетът насърчава властите. </w:t>
      </w: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</w:p>
    <w:p w:rsidR="00B01A7D" w:rsidRDefault="00B01A7D" w:rsidP="00B01A7D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bg-BG"/>
        </w:rPr>
      </w:pPr>
      <w:r>
        <w:rPr>
          <w:color w:val="000000"/>
          <w:sz w:val="26"/>
          <w:szCs w:val="26"/>
          <w:shd w:val="clear" w:color="auto" w:fill="FFFFFF"/>
          <w:lang w:val="bg-BG"/>
        </w:rPr>
        <w:t xml:space="preserve">Делегацията в България бе в състав Нора Свеос, ръководител на делагацията (Норвегия), Василики Артинопулу (Гърция), Мари Брасхолт (Дания), Якуб Чепек (Полша), Мария Луиза Ромеро (Панама) и Зденка Перович (Черна гора). </w:t>
      </w:r>
    </w:p>
    <w:p w:rsidR="00B01A7D" w:rsidRDefault="00B01A7D" w:rsidP="00B01A7D">
      <w:pPr>
        <w:spacing w:after="0" w:line="240" w:lineRule="auto"/>
        <w:rPr>
          <w:sz w:val="26"/>
          <w:szCs w:val="26"/>
          <w:lang w:val="bg-BG"/>
        </w:rPr>
      </w:pP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  <w:lang w:val="bg-BG"/>
        </w:rPr>
      </w:pPr>
      <w:r>
        <w:rPr>
          <w:rFonts w:ascii="Calibri" w:hAnsi="Calibri" w:cs="Calibri"/>
          <w:color w:val="000000"/>
          <w:sz w:val="26"/>
          <w:szCs w:val="26"/>
          <w:lang w:val="bg-BG"/>
        </w:rPr>
        <w:t>КРАЙ</w:t>
      </w: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  <w:lang w:val="bg-BG"/>
        </w:rPr>
      </w:pP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i/>
          <w:iCs/>
          <w:sz w:val="22"/>
          <w:szCs w:val="22"/>
          <w:lang w:val="en-US"/>
        </w:rPr>
      </w:pPr>
      <w:r>
        <w:rPr>
          <w:rStyle w:val="Emphasis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За повече информация и </w:t>
      </w:r>
      <w:r>
        <w:rPr>
          <w:rStyle w:val="Emphasis"/>
          <w:rFonts w:ascii="Calibri" w:hAnsi="Calibri" w:cs="Calibri"/>
          <w:b/>
          <w:bCs/>
          <w:sz w:val="22"/>
          <w:szCs w:val="22"/>
          <w:lang w:val="bg-BG"/>
        </w:rPr>
        <w:t xml:space="preserve">запитвания към медиите </w:t>
      </w:r>
      <w:r>
        <w:rPr>
          <w:rStyle w:val="Emphasis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в Женева, моля да се обърнете към: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bg-BG"/>
        </w:rPr>
        <w:br/>
      </w:r>
      <w:r>
        <w:rPr>
          <w:rStyle w:val="Emphasis"/>
          <w:rFonts w:ascii="Calibri" w:hAnsi="Calibri" w:cs="Calibri"/>
          <w:color w:val="000000"/>
          <w:sz w:val="22"/>
          <w:szCs w:val="22"/>
          <w:lang w:val="en-US"/>
        </w:rPr>
        <w:t>Geneva</w:t>
      </w:r>
      <w:r>
        <w:rPr>
          <w:rStyle w:val="Emphasis"/>
          <w:rFonts w:ascii="Calibri" w:hAnsi="Calibri" w:cs="Calibri"/>
          <w:color w:val="000000"/>
          <w:sz w:val="22"/>
          <w:szCs w:val="22"/>
          <w:lang w:val="bg-BG"/>
        </w:rPr>
        <w:t xml:space="preserve">: </w:t>
      </w:r>
      <w:r>
        <w:rPr>
          <w:rStyle w:val="Emphasis"/>
          <w:rFonts w:ascii="Calibri" w:hAnsi="Calibri" w:cs="Calibri"/>
          <w:color w:val="000000"/>
          <w:sz w:val="22"/>
          <w:szCs w:val="22"/>
          <w:lang w:val="en-US"/>
        </w:rPr>
        <w:t>Vivian Kwok at</w:t>
      </w:r>
      <w:r>
        <w:rPr>
          <w:rStyle w:val="Emphasis"/>
          <w:rFonts w:ascii="Calibri" w:hAnsi="Calibri" w:cs="Calibri"/>
          <w:color w:val="000000"/>
          <w:sz w:val="22"/>
          <w:szCs w:val="22"/>
          <w:lang w:val="bg-BG"/>
        </w:rPr>
        <w:t xml:space="preserve"> +41 (0) 22 917 9362 /</w:t>
      </w:r>
      <w:r>
        <w:rPr>
          <w:rStyle w:val="Emphasis"/>
          <w:rFonts w:ascii="Calibri" w:hAnsi="Calibri" w:cs="Calibri"/>
          <w:color w:val="000000"/>
          <w:sz w:val="22"/>
          <w:szCs w:val="22"/>
          <w:lang w:val="en-US"/>
        </w:rPr>
        <w:t> </w:t>
      </w:r>
      <w:hyperlink r:id="rId4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vivian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bg-BG"/>
          </w:rPr>
          <w:t>.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kwok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bg-BG"/>
          </w:rPr>
          <w:t>@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un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bg-BG"/>
          </w:rPr>
          <w:t>.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org</w:t>
        </w:r>
      </w:hyperlink>
      <w:r>
        <w:rPr>
          <w:rStyle w:val="Emphasis"/>
          <w:rFonts w:ascii="Calibri" w:hAnsi="Calibri" w:cs="Calibri"/>
          <w:color w:val="000000"/>
          <w:sz w:val="22"/>
          <w:szCs w:val="22"/>
          <w:lang w:val="en-US"/>
        </w:rPr>
        <w:t xml:space="preserve">  or </w:t>
      </w:r>
      <w:r>
        <w:rPr>
          <w:rFonts w:ascii="Calibri" w:hAnsi="Calibri" w:cs="Calibri"/>
          <w:i/>
          <w:iCs/>
          <w:color w:val="000000"/>
          <w:sz w:val="22"/>
          <w:szCs w:val="22"/>
          <w:lang w:val="bg-BG"/>
        </w:rPr>
        <w:br/>
      </w:r>
      <w:r>
        <w:rPr>
          <w:rStyle w:val="Emphasis"/>
          <w:rFonts w:ascii="Calibri" w:hAnsi="Calibri" w:cs="Calibri"/>
          <w:color w:val="000000"/>
          <w:sz w:val="22"/>
          <w:szCs w:val="22"/>
          <w:lang w:val="en-US"/>
        </w:rPr>
        <w:t>UN Human Rights Office Media Section at</w:t>
      </w:r>
      <w:r>
        <w:rPr>
          <w:rStyle w:val="Emphasis"/>
          <w:rFonts w:ascii="Calibri" w:hAnsi="Calibri" w:cs="Calibri"/>
          <w:color w:val="000000"/>
          <w:sz w:val="22"/>
          <w:szCs w:val="22"/>
          <w:lang w:val="bg-BG"/>
        </w:rPr>
        <w:t xml:space="preserve"> +41 (0) 22 928 9855 /</w:t>
      </w:r>
      <w:r>
        <w:rPr>
          <w:rStyle w:val="Emphasis"/>
          <w:rFonts w:ascii="Calibri" w:hAnsi="Calibri" w:cs="Calibri"/>
          <w:color w:val="000000"/>
          <w:sz w:val="22"/>
          <w:szCs w:val="22"/>
          <w:lang w:val="en-US"/>
        </w:rPr>
        <w:t> </w:t>
      </w:r>
      <w:hyperlink r:id="rId5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ohchr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bg-BG"/>
          </w:rPr>
          <w:t>-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media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bg-BG"/>
          </w:rPr>
          <w:t>@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un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bg-BG"/>
          </w:rPr>
          <w:t>.</w:t>
        </w:r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org</w:t>
        </w:r>
      </w:hyperlink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bg-BG"/>
        </w:rPr>
      </w:pP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bg-BG"/>
        </w:rPr>
      </w:pPr>
      <w:r>
        <w:rPr>
          <w:rStyle w:val="Emphasis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Предистория </w:t>
      </w: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rStyle w:val="Emphasis"/>
          <w:lang w:val="en-US"/>
        </w:rPr>
      </w:pPr>
      <w:r>
        <w:rPr>
          <w:rStyle w:val="Emphasis"/>
          <w:rFonts w:ascii="Calibri" w:hAnsi="Calibri" w:cs="Calibri"/>
          <w:color w:val="000000"/>
          <w:sz w:val="22"/>
          <w:szCs w:val="22"/>
          <w:lang w:val="bg-BG"/>
        </w:rPr>
        <w:t xml:space="preserve">Към настоящия момент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"https://www.ohchr.org/EN/HRBodies/OPCAT/Pages/OPCATIntro.aspx" </w:instrText>
      </w:r>
      <w:r>
        <w:rPr>
          <w:lang w:val="en-US"/>
        </w:rPr>
        <w:fldChar w:fldCharType="separate"/>
      </w:r>
      <w:r>
        <w:rPr>
          <w:rStyle w:val="Hyperlink"/>
          <w:rFonts w:ascii="Calibri" w:hAnsi="Calibri" w:cs="Calibri"/>
          <w:i/>
          <w:iCs/>
          <w:sz w:val="22"/>
          <w:szCs w:val="22"/>
          <w:lang w:val="bg-BG"/>
        </w:rPr>
        <w:t>Факултативният протокол към Конвенцията против изтезанията</w:t>
      </w:r>
      <w:r>
        <w:rPr>
          <w:rStyle w:val="Hyperlink"/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Style w:val="Hyperlink"/>
          <w:rFonts w:ascii="Calibri" w:hAnsi="Calibri" w:cs="Calibri"/>
          <w:i/>
          <w:iCs/>
          <w:sz w:val="22"/>
          <w:szCs w:val="22"/>
          <w:lang w:val="bg-BG"/>
        </w:rPr>
        <w:t>е ратифициран от 90 държави. Държавите са задължени да разрешават внезапни</w:t>
      </w:r>
      <w:r>
        <w:rPr>
          <w:rStyle w:val="Hyperlink"/>
          <w:rFonts w:ascii="Calibri" w:hAnsi="Calibri" w:cs="Calibri"/>
          <w:i/>
          <w:iCs/>
          <w:color w:val="C00000"/>
          <w:sz w:val="22"/>
          <w:szCs w:val="22"/>
          <w:lang w:val="bg-BG"/>
        </w:rPr>
        <w:t xml:space="preserve"> </w:t>
      </w:r>
      <w:r>
        <w:rPr>
          <w:rStyle w:val="Hyperlink"/>
          <w:rFonts w:ascii="Calibri" w:hAnsi="Calibri" w:cs="Calibri"/>
          <w:i/>
          <w:iCs/>
          <w:sz w:val="22"/>
          <w:szCs w:val="22"/>
          <w:lang w:val="bg-BG"/>
        </w:rPr>
        <w:t xml:space="preserve">и безпрепятствени посещения на ППИ във всички места, където има лица, лишени от свобода. </w:t>
      </w:r>
      <w:r>
        <w:rPr>
          <w:rStyle w:val="Emphasis"/>
          <w:rFonts w:ascii="Calibri" w:hAnsi="Calibri" w:cs="Calibri"/>
          <w:color w:val="000000"/>
          <w:sz w:val="22"/>
          <w:szCs w:val="22"/>
          <w:lang w:val="bg-BG"/>
        </w:rPr>
        <w:t xml:space="preserve">Държавите страни следва също така да създадат национален превантивен механизъм, който редовно да посещава на територията на цялата страна места, където са настанени лица, лишени от свобода. </w:t>
      </w:r>
      <w:r>
        <w:rPr>
          <w:lang w:val="en-US"/>
        </w:rPr>
        <w:fldChar w:fldCharType="end"/>
      </w:r>
      <w:r>
        <w:rPr>
          <w:rStyle w:val="Emphasis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lang w:val="bg-BG"/>
        </w:rPr>
      </w:pP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rStyle w:val="Emphasis"/>
          <w:lang w:val="en-US"/>
        </w:rPr>
      </w:pPr>
      <w:r>
        <w:rPr>
          <w:rStyle w:val="Emphasis"/>
          <w:rFonts w:ascii="Calibri" w:hAnsi="Calibri" w:cs="Calibri"/>
          <w:color w:val="000000"/>
          <w:sz w:val="22"/>
          <w:szCs w:val="22"/>
          <w:lang w:val="bg-BG"/>
        </w:rPr>
        <w:t xml:space="preserve">Мандатът на Подкомитета по предотвратяване на изтезанията е да предотвратява изтезанията и друго жестоко, нечовешко или унизително отнасяне към лица, лишени от свобода, посредством посещения в Държавите страни по Факултативния протокол и препоръки към тях. ППИ представя на държавите своите препоръки и наблюдения чрез поверителен доклад и когато е необходимо – на националните превантивни механизми. Подкомитетът обаче насърчава Държавите страни да изискват ППИ да публикува докладите. </w:t>
      </w: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</w:pP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rPr>
          <w:rStyle w:val="Emphasis"/>
        </w:rPr>
      </w:pPr>
      <w:r>
        <w:rPr>
          <w:rStyle w:val="Emphasis"/>
          <w:rFonts w:ascii="Calibri" w:hAnsi="Calibri" w:cs="Calibri"/>
          <w:color w:val="000000"/>
          <w:sz w:val="22"/>
          <w:szCs w:val="22"/>
          <w:lang w:val="bg-BG"/>
        </w:rPr>
        <w:t xml:space="preserve">ППИ се състои от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"https://www.ohchr.org/EN/HRBodies/OPCAT/Pages/Membership.aspx" </w:instrText>
      </w:r>
      <w:r>
        <w:rPr>
          <w:lang w:val="en-US"/>
        </w:rPr>
        <w:fldChar w:fldCharType="separate"/>
      </w:r>
      <w:r>
        <w:rPr>
          <w:rStyle w:val="Hyperlink"/>
          <w:rFonts w:ascii="Calibri" w:hAnsi="Calibri" w:cs="Calibri"/>
          <w:i/>
          <w:iCs/>
          <w:sz w:val="22"/>
          <w:szCs w:val="22"/>
          <w:lang w:val="bg-BG"/>
        </w:rPr>
        <w:t>25 независими и безпристрастни членове</w:t>
      </w:r>
      <w:r>
        <w:rPr>
          <w:rStyle w:val="Hyperlink"/>
          <w:rFonts w:ascii="Calibri" w:hAnsi="Calibri" w:cs="Calibri"/>
          <w:sz w:val="22"/>
          <w:szCs w:val="22"/>
          <w:lang w:val="bg-BG"/>
        </w:rPr>
        <w:t xml:space="preserve">, които са независими експерти по правата на човека от различни страни по света и изпълняват задълженията си в лично качество, а не като представители на държавите страни.  </w:t>
      </w:r>
      <w:r>
        <w:rPr>
          <w:lang w:val="en-US"/>
        </w:rPr>
        <w:fldChar w:fldCharType="end"/>
      </w:r>
      <w:r>
        <w:rPr>
          <w:rStyle w:val="Emphasis"/>
          <w:rFonts w:ascii="Calibri" w:hAnsi="Calibri" w:cs="Calibri"/>
          <w:color w:val="000000"/>
          <w:sz w:val="22"/>
          <w:szCs w:val="22"/>
          <w:lang w:val="en-US"/>
        </w:rPr>
        <w:t xml:space="preserve">  </w:t>
      </w: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</w:pP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b/>
          <w:bCs/>
          <w:i/>
          <w:iCs/>
        </w:rPr>
      </w:pPr>
      <w:r>
        <w:rPr>
          <w:rStyle w:val="Emphasis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Научете повече от нашите видеа за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"https://youtu.be/2zpjb6ht0EA" </w:instrText>
      </w:r>
      <w:r>
        <w:rPr>
          <w:lang w:val="en-US"/>
        </w:rPr>
        <w:fldChar w:fldCharType="separate"/>
      </w:r>
      <w:r>
        <w:rPr>
          <w:rStyle w:val="Strong"/>
          <w:rFonts w:ascii="Calibri" w:hAnsi="Calibri" w:cs="Calibri"/>
          <w:i/>
          <w:iCs/>
          <w:color w:val="0000FF"/>
          <w:sz w:val="22"/>
          <w:szCs w:val="22"/>
          <w:lang w:val="bg-BG"/>
        </w:rPr>
        <w:t>Системата от органи по договори</w:t>
      </w:r>
      <w:r>
        <w:rPr>
          <w:lang w:val="en-US"/>
        </w:rPr>
        <w:fldChar w:fldCharType="end"/>
      </w:r>
      <w:r>
        <w:rPr>
          <w:rStyle w:val="Strong"/>
          <w:rFonts w:ascii="Calibri" w:hAnsi="Calibri" w:cs="Calibri"/>
          <w:i/>
          <w:iCs/>
          <w:color w:val="0000FF"/>
          <w:sz w:val="22"/>
          <w:szCs w:val="22"/>
          <w:lang w:val="bg-BG"/>
        </w:rPr>
        <w:t>те</w:t>
      </w:r>
      <w:r>
        <w:rPr>
          <w:rStyle w:val="Strong"/>
          <w:rFonts w:ascii="Calibri" w:hAnsi="Calibri" w:cs="Calibri"/>
          <w:i/>
          <w:iCs/>
          <w:color w:val="000000"/>
          <w:sz w:val="22"/>
          <w:szCs w:val="22"/>
          <w:lang w:val="en-US"/>
        </w:rPr>
        <w:t> </w:t>
      </w:r>
      <w:r>
        <w:rPr>
          <w:rStyle w:val="Strong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и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"https://www.youtube.com/watch?v=iBjkqIYGoe0" </w:instrText>
      </w:r>
      <w:r>
        <w:rPr>
          <w:lang w:val="en-US"/>
        </w:rPr>
        <w:fldChar w:fldCharType="separate"/>
      </w:r>
      <w:r>
        <w:rPr>
          <w:rStyle w:val="Hyperlink"/>
          <w:rFonts w:ascii="Calibri" w:hAnsi="Calibri" w:cs="Calibri"/>
          <w:b/>
          <w:bCs/>
          <w:i/>
          <w:iCs/>
          <w:sz w:val="22"/>
          <w:szCs w:val="22"/>
          <w:lang w:val="bg-BG"/>
        </w:rPr>
        <w:t>Подкомитета по предотвратяване на изтезанията</w:t>
      </w:r>
      <w:r>
        <w:rPr>
          <w:lang w:val="en-US"/>
        </w:rPr>
        <w:fldChar w:fldCharType="end"/>
      </w: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1A7D" w:rsidRDefault="00B01A7D" w:rsidP="00B01A7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bg-BG"/>
        </w:rPr>
      </w:pPr>
      <w:r>
        <w:rPr>
          <w:rStyle w:val="Emphasis"/>
          <w:rFonts w:ascii="Calibri" w:hAnsi="Calibri" w:cs="Calibri"/>
          <w:b/>
          <w:bCs/>
          <w:color w:val="000000"/>
          <w:sz w:val="22"/>
          <w:szCs w:val="22"/>
          <w:lang w:val="bg-BG"/>
        </w:rPr>
        <w:t>Следете работата на Органите на ООН по договорите в социалните медии!</w:t>
      </w:r>
      <w:r>
        <w:rPr>
          <w:rFonts w:ascii="Calibri" w:hAnsi="Calibri" w:cs="Calibri"/>
          <w:i/>
          <w:iCs/>
          <w:color w:val="000000"/>
          <w:sz w:val="22"/>
          <w:szCs w:val="22"/>
          <w:lang w:val="bg-BG"/>
        </w:rPr>
        <w:br/>
      </w:r>
      <w:r>
        <w:rPr>
          <w:rStyle w:val="Strong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Ние сме в </w:t>
      </w:r>
      <w:r>
        <w:rPr>
          <w:rStyle w:val="Strong"/>
          <w:rFonts w:ascii="Calibri" w:hAnsi="Calibri" w:cs="Calibri"/>
          <w:i/>
          <w:iCs/>
          <w:color w:val="000000"/>
          <w:sz w:val="22"/>
          <w:szCs w:val="22"/>
          <w:lang w:val="en-US"/>
        </w:rPr>
        <w:t>Twitter</w:t>
      </w:r>
      <w:r>
        <w:rPr>
          <w:rStyle w:val="Strong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@</w:t>
      </w:r>
      <w:proofErr w:type="spellStart"/>
      <w:r>
        <w:rPr>
          <w:rStyle w:val="Strong"/>
          <w:rFonts w:ascii="Calibri" w:hAnsi="Calibri" w:cs="Calibri"/>
          <w:i/>
          <w:iCs/>
          <w:color w:val="000000"/>
          <w:sz w:val="22"/>
          <w:szCs w:val="22"/>
          <w:lang w:val="en-US"/>
        </w:rPr>
        <w:t>UNTreatyBodies</w:t>
      </w:r>
      <w:proofErr w:type="spellEnd"/>
    </w:p>
    <w:p w:rsidR="00DC5B27" w:rsidRDefault="00DC5B27">
      <w:bookmarkStart w:id="0" w:name="_GoBack"/>
      <w:bookmarkEnd w:id="0"/>
    </w:p>
    <w:sectPr w:rsidR="00DC5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7D"/>
    <w:rsid w:val="00B01A7D"/>
    <w:rsid w:val="00D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01849-47BD-4CB1-8E9E-0CE65C66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A7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A7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1A7D"/>
    <w:rPr>
      <w:i/>
      <w:iCs/>
    </w:rPr>
  </w:style>
  <w:style w:type="character" w:styleId="Strong">
    <w:name w:val="Strong"/>
    <w:basedOn w:val="DefaultParagraphFont"/>
    <w:uiPriority w:val="22"/>
    <w:qFormat/>
    <w:rsid w:val="00B01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chr-media@un.or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vivian.kwok@un.or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F3C0A-D7A7-4D33-9238-F9688EAE0BB3}"/>
</file>

<file path=customXml/itemProps2.xml><?xml version="1.0" encoding="utf-8"?>
<ds:datastoreItem xmlns:ds="http://schemas.openxmlformats.org/officeDocument/2006/customXml" ds:itemID="{E0A90BBD-A1FC-479A-B88E-4F4EF58CD7E4}"/>
</file>

<file path=customXml/itemProps3.xml><?xml version="1.0" encoding="utf-8"?>
<ds:datastoreItem xmlns:ds="http://schemas.openxmlformats.org/officeDocument/2006/customXml" ds:itemID="{F23EBB5B-1F9F-4E91-AB0A-15EA99BFA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MYTNIK Valerie</dc:creator>
  <cp:keywords/>
  <dc:description/>
  <cp:lastModifiedBy>MYTNIK Valerie</cp:lastModifiedBy>
  <cp:revision>1</cp:revision>
  <dcterms:created xsi:type="dcterms:W3CDTF">2021-11-05T08:40:00Z</dcterms:created>
  <dcterms:modified xsi:type="dcterms:W3CDTF">2021-11-05T08:42:00Z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