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FC568" w14:textId="77777777" w:rsidR="007B0015" w:rsidRDefault="007B0015" w:rsidP="007B0015">
      <w:pPr>
        <w:spacing w:after="0" w:line="360" w:lineRule="auto"/>
        <w:jc w:val="center"/>
        <w:rPr>
          <w:rFonts w:ascii="Times New Roman" w:hAnsi="Times New Roman"/>
          <w:b/>
          <w:bCs/>
          <w:sz w:val="32"/>
          <w:szCs w:val="32"/>
          <w:lang w:val="en-US"/>
        </w:rPr>
      </w:pPr>
      <w:bookmarkStart w:id="0" w:name="_GoBack"/>
      <w:bookmarkEnd w:id="0"/>
      <w:r w:rsidRPr="007B0015">
        <w:rPr>
          <w:rFonts w:ascii="Times New Roman" w:hAnsi="Times New Roman"/>
          <w:b/>
          <w:bCs/>
          <w:sz w:val="32"/>
          <w:szCs w:val="32"/>
          <w:lang w:val="en-US"/>
        </w:rPr>
        <w:t>Asia-Pacific Regional Review Meeting on the Implementation of the Istanbul Programme of Action</w:t>
      </w:r>
      <w:r>
        <w:rPr>
          <w:rFonts w:ascii="Times New Roman" w:hAnsi="Times New Roman"/>
          <w:b/>
          <w:bCs/>
          <w:sz w:val="32"/>
          <w:szCs w:val="32"/>
          <w:lang w:val="en-US"/>
        </w:rPr>
        <w:br/>
      </w:r>
      <w:r w:rsidRPr="007B0015">
        <w:rPr>
          <w:rFonts w:ascii="Times New Roman" w:hAnsi="Times New Roman"/>
          <w:b/>
          <w:bCs/>
          <w:sz w:val="32"/>
          <w:szCs w:val="32"/>
          <w:lang w:val="en-US"/>
        </w:rPr>
        <w:t>in Preparation for the Fifth United Nations Conference on the Least Developed Countries (UNLDC-5)</w:t>
      </w:r>
    </w:p>
    <w:p w14:paraId="6365021E" w14:textId="77777777" w:rsidR="007B0015" w:rsidRDefault="007B0015" w:rsidP="007B0015">
      <w:pPr>
        <w:spacing w:after="0" w:line="360" w:lineRule="auto"/>
        <w:jc w:val="both"/>
        <w:rPr>
          <w:rFonts w:ascii="Times New Roman" w:hAnsi="Times New Roman"/>
          <w:b/>
          <w:bCs/>
          <w:sz w:val="36"/>
          <w:szCs w:val="36"/>
        </w:rPr>
      </w:pPr>
      <w:r>
        <w:rPr>
          <w:noProof/>
          <w:lang w:eastAsia="en-GB"/>
        </w:rPr>
        <w:drawing>
          <wp:anchor distT="0" distB="0" distL="114300" distR="114300" simplePos="0" relativeHeight="251658240" behindDoc="1" locked="1" layoutInCell="1" allowOverlap="1">
            <wp:simplePos x="0" y="0"/>
            <wp:positionH relativeFrom="page">
              <wp:align>right</wp:align>
            </wp:positionH>
            <wp:positionV relativeFrom="page">
              <wp:align>top</wp:align>
            </wp:positionV>
            <wp:extent cx="3621405" cy="305943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1405" cy="3059430"/>
                    </a:xfrm>
                    <a:prstGeom prst="rect">
                      <a:avLst/>
                    </a:prstGeom>
                    <a:noFill/>
                  </pic:spPr>
                </pic:pic>
              </a:graphicData>
            </a:graphic>
            <wp14:sizeRelH relativeFrom="page">
              <wp14:pctWidth>0</wp14:pctWidth>
            </wp14:sizeRelH>
            <wp14:sizeRelV relativeFrom="page">
              <wp14:pctHeight>0</wp14:pctHeight>
            </wp14:sizeRelV>
          </wp:anchor>
        </w:drawing>
      </w:r>
    </w:p>
    <w:p w14:paraId="350F22D9" w14:textId="77777777" w:rsidR="007B0015" w:rsidRDefault="007B0015" w:rsidP="007B0015">
      <w:pPr>
        <w:spacing w:after="0" w:line="360" w:lineRule="auto"/>
        <w:jc w:val="center"/>
        <w:rPr>
          <w:rFonts w:ascii="Times New Roman" w:hAnsi="Times New Roman"/>
          <w:b/>
          <w:bCs/>
          <w:sz w:val="36"/>
          <w:szCs w:val="36"/>
        </w:rPr>
      </w:pPr>
      <w:r w:rsidRPr="007B0015">
        <w:rPr>
          <w:rFonts w:ascii="Times New Roman" w:hAnsi="Times New Roman"/>
          <w:b/>
          <w:bCs/>
          <w:sz w:val="36"/>
          <w:szCs w:val="36"/>
        </w:rPr>
        <w:t xml:space="preserve">Session 2: Supporting our climate, </w:t>
      </w:r>
      <w:r w:rsidR="00752DC7">
        <w:rPr>
          <w:rFonts w:ascii="Times New Roman" w:hAnsi="Times New Roman"/>
          <w:b/>
          <w:bCs/>
          <w:sz w:val="36"/>
          <w:szCs w:val="36"/>
        </w:rPr>
        <w:br/>
      </w:r>
      <w:r w:rsidRPr="007B0015">
        <w:rPr>
          <w:rFonts w:ascii="Times New Roman" w:hAnsi="Times New Roman"/>
          <w:b/>
          <w:bCs/>
          <w:sz w:val="36"/>
          <w:szCs w:val="36"/>
        </w:rPr>
        <w:t>recovery from the</w:t>
      </w:r>
      <w:r w:rsidR="00752DC7">
        <w:rPr>
          <w:rFonts w:ascii="Times New Roman" w:hAnsi="Times New Roman"/>
          <w:b/>
          <w:bCs/>
          <w:sz w:val="36"/>
          <w:szCs w:val="36"/>
        </w:rPr>
        <w:t xml:space="preserve"> </w:t>
      </w:r>
      <w:r w:rsidRPr="007B0015">
        <w:rPr>
          <w:rFonts w:ascii="Times New Roman" w:hAnsi="Times New Roman"/>
          <w:b/>
          <w:bCs/>
          <w:sz w:val="36"/>
          <w:szCs w:val="36"/>
        </w:rPr>
        <w:t>covid-19 pandemic, and</w:t>
      </w:r>
      <w:r>
        <w:rPr>
          <w:rFonts w:ascii="Times New Roman" w:hAnsi="Times New Roman"/>
          <w:b/>
          <w:bCs/>
          <w:sz w:val="36"/>
          <w:szCs w:val="36"/>
        </w:rPr>
        <w:br/>
      </w:r>
      <w:r w:rsidRPr="007B0015">
        <w:rPr>
          <w:rFonts w:ascii="Times New Roman" w:hAnsi="Times New Roman"/>
          <w:b/>
          <w:bCs/>
          <w:sz w:val="36"/>
          <w:szCs w:val="36"/>
        </w:rPr>
        <w:t>building a resilient society against future shocks</w:t>
      </w:r>
    </w:p>
    <w:p w14:paraId="20B8B287" w14:textId="77777777" w:rsidR="007B0015" w:rsidRDefault="007B0015" w:rsidP="007B0015">
      <w:pPr>
        <w:spacing w:after="0" w:line="360" w:lineRule="auto"/>
        <w:jc w:val="both"/>
        <w:rPr>
          <w:rFonts w:ascii="Times New Roman" w:hAnsi="Times New Roman"/>
          <w:b/>
          <w:bCs/>
          <w:sz w:val="36"/>
          <w:szCs w:val="36"/>
        </w:rPr>
      </w:pPr>
    </w:p>
    <w:p w14:paraId="68A5BAC2" w14:textId="77777777" w:rsidR="007B0015" w:rsidRDefault="007B0015" w:rsidP="007B0015">
      <w:pPr>
        <w:spacing w:after="0" w:line="360" w:lineRule="auto"/>
        <w:jc w:val="both"/>
        <w:rPr>
          <w:rFonts w:ascii="Times New Roman" w:hAnsi="Times New Roman"/>
          <w:b/>
          <w:bCs/>
          <w:sz w:val="36"/>
          <w:szCs w:val="36"/>
        </w:rPr>
      </w:pPr>
    </w:p>
    <w:p w14:paraId="38FA9CE3" w14:textId="77777777" w:rsidR="007B0015" w:rsidRDefault="007B0015" w:rsidP="002B15F4">
      <w:pPr>
        <w:spacing w:after="0" w:line="360" w:lineRule="auto"/>
        <w:jc w:val="center"/>
        <w:rPr>
          <w:rFonts w:ascii="Times New Roman" w:hAnsi="Times New Roman"/>
          <w:b/>
          <w:bCs/>
          <w:sz w:val="36"/>
          <w:szCs w:val="36"/>
        </w:rPr>
      </w:pPr>
      <w:r>
        <w:rPr>
          <w:rFonts w:ascii="Times New Roman" w:hAnsi="Times New Roman"/>
          <w:noProof/>
          <w:sz w:val="36"/>
          <w:szCs w:val="36"/>
          <w:lang w:eastAsia="en-GB"/>
        </w:rPr>
        <w:drawing>
          <wp:inline distT="0" distB="0" distL="0" distR="0">
            <wp:extent cx="2374900" cy="1087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4900" cy="1087755"/>
                    </a:xfrm>
                    <a:prstGeom prst="rect">
                      <a:avLst/>
                    </a:prstGeom>
                    <a:noFill/>
                    <a:ln>
                      <a:noFill/>
                    </a:ln>
                  </pic:spPr>
                </pic:pic>
              </a:graphicData>
            </a:graphic>
          </wp:inline>
        </w:drawing>
      </w:r>
    </w:p>
    <w:p w14:paraId="01618656" w14:textId="77777777" w:rsidR="007B0015" w:rsidRDefault="007B0015" w:rsidP="002B15F4">
      <w:pPr>
        <w:spacing w:after="0" w:line="360" w:lineRule="auto"/>
        <w:jc w:val="center"/>
        <w:rPr>
          <w:rFonts w:ascii="Times New Roman" w:hAnsi="Times New Roman"/>
          <w:b/>
          <w:bCs/>
          <w:sz w:val="32"/>
          <w:szCs w:val="32"/>
        </w:rPr>
      </w:pPr>
    </w:p>
    <w:p w14:paraId="156B4ADD" w14:textId="77777777" w:rsidR="007B0015" w:rsidRDefault="007B0015" w:rsidP="002B15F4">
      <w:pPr>
        <w:spacing w:after="0" w:line="360" w:lineRule="auto"/>
        <w:jc w:val="center"/>
        <w:rPr>
          <w:rFonts w:ascii="Times New Roman" w:hAnsi="Times New Roman"/>
          <w:b/>
          <w:bCs/>
          <w:sz w:val="32"/>
          <w:szCs w:val="32"/>
        </w:rPr>
      </w:pPr>
    </w:p>
    <w:p w14:paraId="5023CDE9" w14:textId="77777777" w:rsidR="007B0015" w:rsidRDefault="007B0015" w:rsidP="002B15F4">
      <w:pPr>
        <w:spacing w:after="0"/>
        <w:jc w:val="center"/>
        <w:rPr>
          <w:rFonts w:ascii="Times New Roman" w:hAnsi="Times New Roman"/>
          <w:b/>
          <w:bCs/>
          <w:sz w:val="32"/>
          <w:szCs w:val="32"/>
        </w:rPr>
      </w:pPr>
      <w:r>
        <w:rPr>
          <w:rFonts w:ascii="Times New Roman" w:hAnsi="Times New Roman"/>
          <w:b/>
          <w:bCs/>
          <w:sz w:val="32"/>
          <w:szCs w:val="32"/>
        </w:rPr>
        <w:t>Statement delivered by</w:t>
      </w:r>
    </w:p>
    <w:p w14:paraId="089F4FE2" w14:textId="77777777" w:rsidR="007B0015" w:rsidRDefault="007B0015" w:rsidP="002B15F4">
      <w:pPr>
        <w:spacing w:after="0"/>
        <w:jc w:val="center"/>
        <w:rPr>
          <w:rFonts w:ascii="Times New Roman" w:hAnsi="Times New Roman"/>
          <w:b/>
          <w:bCs/>
          <w:sz w:val="32"/>
          <w:szCs w:val="32"/>
        </w:rPr>
      </w:pPr>
      <w:r>
        <w:rPr>
          <w:rFonts w:ascii="Times New Roman" w:hAnsi="Times New Roman"/>
          <w:b/>
          <w:bCs/>
          <w:sz w:val="32"/>
          <w:szCs w:val="32"/>
        </w:rPr>
        <w:t>Diego Valadares Vasconcelos Neto</w:t>
      </w:r>
    </w:p>
    <w:p w14:paraId="62C84001" w14:textId="77777777" w:rsidR="007B0015" w:rsidRDefault="007B0015" w:rsidP="002B15F4">
      <w:pPr>
        <w:spacing w:after="0"/>
        <w:jc w:val="center"/>
        <w:rPr>
          <w:rFonts w:ascii="Times New Roman" w:hAnsi="Times New Roman"/>
          <w:b/>
          <w:bCs/>
          <w:sz w:val="32"/>
          <w:szCs w:val="32"/>
        </w:rPr>
      </w:pPr>
      <w:r>
        <w:rPr>
          <w:rFonts w:ascii="Times New Roman" w:hAnsi="Times New Roman"/>
          <w:b/>
          <w:bCs/>
          <w:sz w:val="32"/>
          <w:szCs w:val="32"/>
        </w:rPr>
        <w:t>Human Rights Officer,</w:t>
      </w:r>
    </w:p>
    <w:p w14:paraId="374C5B54" w14:textId="77777777" w:rsidR="007B0015" w:rsidRDefault="007B0015" w:rsidP="002B15F4">
      <w:pPr>
        <w:spacing w:after="0"/>
        <w:jc w:val="center"/>
        <w:rPr>
          <w:rFonts w:ascii="Times New Roman" w:hAnsi="Times New Roman"/>
          <w:b/>
          <w:bCs/>
          <w:sz w:val="32"/>
          <w:szCs w:val="32"/>
        </w:rPr>
      </w:pPr>
      <w:r>
        <w:rPr>
          <w:rFonts w:ascii="Times New Roman" w:hAnsi="Times New Roman"/>
          <w:b/>
          <w:bCs/>
          <w:sz w:val="32"/>
          <w:szCs w:val="32"/>
        </w:rPr>
        <w:t>Right to Development Section</w:t>
      </w:r>
    </w:p>
    <w:p w14:paraId="07586DC0" w14:textId="77777777" w:rsidR="007B0015" w:rsidRDefault="007B0015" w:rsidP="002B15F4">
      <w:pPr>
        <w:spacing w:after="0"/>
        <w:jc w:val="center"/>
        <w:rPr>
          <w:rFonts w:ascii="Times New Roman" w:hAnsi="Times New Roman"/>
          <w:b/>
          <w:sz w:val="32"/>
          <w:szCs w:val="32"/>
        </w:rPr>
      </w:pPr>
      <w:r>
        <w:rPr>
          <w:rFonts w:ascii="Times New Roman" w:hAnsi="Times New Roman"/>
          <w:b/>
          <w:bCs/>
          <w:sz w:val="32"/>
          <w:szCs w:val="32"/>
        </w:rPr>
        <w:t>OHCHR Focal point for LDCs, LLDCs and SIDS</w:t>
      </w:r>
    </w:p>
    <w:p w14:paraId="6677161F" w14:textId="77777777" w:rsidR="007B0015" w:rsidRDefault="007B0015" w:rsidP="002B15F4">
      <w:pPr>
        <w:spacing w:after="0"/>
        <w:jc w:val="center"/>
        <w:rPr>
          <w:rFonts w:ascii="Times New Roman" w:hAnsi="Times New Roman"/>
          <w:b/>
          <w:bCs/>
          <w:sz w:val="32"/>
          <w:szCs w:val="32"/>
        </w:rPr>
      </w:pPr>
    </w:p>
    <w:p w14:paraId="01988605" w14:textId="77777777" w:rsidR="007B0015" w:rsidRDefault="007B0015" w:rsidP="002B15F4">
      <w:pPr>
        <w:spacing w:after="0"/>
        <w:jc w:val="center"/>
        <w:rPr>
          <w:rFonts w:ascii="Times New Roman" w:hAnsi="Times New Roman"/>
          <w:b/>
          <w:bCs/>
          <w:sz w:val="32"/>
          <w:szCs w:val="32"/>
        </w:rPr>
      </w:pPr>
    </w:p>
    <w:p w14:paraId="535A30BA" w14:textId="77777777" w:rsidR="007B0015" w:rsidRDefault="007B0015" w:rsidP="002B15F4">
      <w:pPr>
        <w:spacing w:after="0"/>
        <w:jc w:val="center"/>
        <w:rPr>
          <w:rFonts w:ascii="Times New Roman" w:hAnsi="Times New Roman"/>
          <w:b/>
          <w:bCs/>
          <w:sz w:val="32"/>
          <w:szCs w:val="32"/>
        </w:rPr>
      </w:pPr>
    </w:p>
    <w:p w14:paraId="460C3147" w14:textId="77777777" w:rsidR="007B0015" w:rsidRDefault="007B0015" w:rsidP="002B15F4">
      <w:pPr>
        <w:jc w:val="center"/>
        <w:rPr>
          <w:rFonts w:ascii="Times New Roman" w:hAnsi="Times New Roman"/>
          <w:b/>
          <w:bCs/>
          <w:sz w:val="32"/>
          <w:szCs w:val="32"/>
        </w:rPr>
      </w:pPr>
      <w:r w:rsidRPr="007B0015">
        <w:rPr>
          <w:rFonts w:ascii="Times New Roman" w:hAnsi="Times New Roman"/>
          <w:b/>
          <w:bCs/>
          <w:sz w:val="32"/>
          <w:szCs w:val="32"/>
        </w:rPr>
        <w:t>30 August - 2 September 2021 </w:t>
      </w:r>
      <w:r>
        <w:rPr>
          <w:rFonts w:ascii="Times New Roman" w:hAnsi="Times New Roman"/>
          <w:b/>
          <w:bCs/>
          <w:sz w:val="32"/>
          <w:szCs w:val="32"/>
        </w:rPr>
        <w:br/>
      </w:r>
      <w:r w:rsidRPr="007B0015">
        <w:rPr>
          <w:rFonts w:ascii="Times New Roman" w:hAnsi="Times New Roman"/>
          <w:b/>
          <w:bCs/>
          <w:sz w:val="32"/>
          <w:szCs w:val="32"/>
        </w:rPr>
        <w:t>UNHQ, Geneva, Switzerland, and virtual via Webex</w:t>
      </w:r>
    </w:p>
    <w:p w14:paraId="5CCB50B3" w14:textId="77777777" w:rsidR="007B0015" w:rsidRDefault="007B0015">
      <w:pPr>
        <w:rPr>
          <w:rFonts w:ascii="Times New Roman" w:hAnsi="Times New Roman"/>
          <w:b/>
          <w:bCs/>
          <w:sz w:val="32"/>
          <w:szCs w:val="32"/>
        </w:rPr>
      </w:pPr>
      <w:r>
        <w:rPr>
          <w:rFonts w:ascii="Times New Roman" w:hAnsi="Times New Roman"/>
          <w:b/>
          <w:bCs/>
          <w:sz w:val="32"/>
          <w:szCs w:val="32"/>
        </w:rPr>
        <w:br w:type="page"/>
      </w:r>
    </w:p>
    <w:p w14:paraId="7EE3D00B" w14:textId="77777777" w:rsidR="007B0015" w:rsidRPr="00CC2A5F" w:rsidRDefault="007B0015" w:rsidP="007B0015">
      <w:pPr>
        <w:rPr>
          <w:sz w:val="28"/>
          <w:szCs w:val="28"/>
        </w:rPr>
      </w:pPr>
      <w:r w:rsidRPr="00CC2A5F">
        <w:rPr>
          <w:sz w:val="28"/>
          <w:szCs w:val="28"/>
        </w:rPr>
        <w:lastRenderedPageBreak/>
        <w:t>Excellencies,</w:t>
      </w:r>
    </w:p>
    <w:p w14:paraId="04B14138" w14:textId="77777777" w:rsidR="007B0015" w:rsidRPr="00CC2A5F" w:rsidRDefault="007B0015" w:rsidP="007B0015">
      <w:pPr>
        <w:rPr>
          <w:sz w:val="28"/>
          <w:szCs w:val="28"/>
        </w:rPr>
      </w:pPr>
      <w:r w:rsidRPr="00CC2A5F">
        <w:rPr>
          <w:sz w:val="28"/>
          <w:szCs w:val="28"/>
        </w:rPr>
        <w:t>Distinguished delegates,</w:t>
      </w:r>
    </w:p>
    <w:p w14:paraId="1F1FA157" w14:textId="77777777" w:rsidR="007B0015" w:rsidRPr="00CC2A5F" w:rsidRDefault="007B0015" w:rsidP="007B0015">
      <w:pPr>
        <w:rPr>
          <w:sz w:val="28"/>
          <w:szCs w:val="28"/>
        </w:rPr>
      </w:pPr>
      <w:r w:rsidRPr="00CC2A5F">
        <w:rPr>
          <w:sz w:val="28"/>
          <w:szCs w:val="28"/>
        </w:rPr>
        <w:t>Ladies and gentlemen,</w:t>
      </w:r>
    </w:p>
    <w:p w14:paraId="1B7D4F97" w14:textId="77777777" w:rsidR="007B0015" w:rsidRPr="00CC2A5F" w:rsidRDefault="007B0015">
      <w:pPr>
        <w:rPr>
          <w:sz w:val="28"/>
          <w:szCs w:val="28"/>
        </w:rPr>
      </w:pPr>
    </w:p>
    <w:p w14:paraId="3163042F" w14:textId="77777777" w:rsidR="009A6753" w:rsidRPr="00CC2A5F" w:rsidRDefault="007B0015" w:rsidP="00752DC7">
      <w:pPr>
        <w:jc w:val="both"/>
        <w:rPr>
          <w:sz w:val="28"/>
          <w:szCs w:val="28"/>
        </w:rPr>
      </w:pPr>
      <w:r w:rsidRPr="00CC2A5F">
        <w:rPr>
          <w:sz w:val="28"/>
          <w:szCs w:val="28"/>
        </w:rPr>
        <w:t>The United Nations High Commissioner for Human Rights and her Office welcomes this Asia-Pacific Review meeting</w:t>
      </w:r>
      <w:r w:rsidR="009A6753" w:rsidRPr="00CC2A5F">
        <w:rPr>
          <w:sz w:val="28"/>
          <w:szCs w:val="28"/>
        </w:rPr>
        <w:t>. Through its presence in Asian LDC’s, including in Afghanistan, Bangladesh, Cambodia, Timor-Leste, Nepal, Yemen and through its regional offices in Bangkok</w:t>
      </w:r>
      <w:r w:rsidR="00CC2A5F">
        <w:rPr>
          <w:sz w:val="28"/>
          <w:szCs w:val="28"/>
        </w:rPr>
        <w:t xml:space="preserve"> for South-East Asia</w:t>
      </w:r>
      <w:r w:rsidR="009A6753" w:rsidRPr="00CC2A5F">
        <w:rPr>
          <w:sz w:val="28"/>
          <w:szCs w:val="28"/>
        </w:rPr>
        <w:t xml:space="preserve"> and </w:t>
      </w:r>
      <w:r w:rsidR="00CC2A5F">
        <w:rPr>
          <w:sz w:val="28"/>
          <w:szCs w:val="28"/>
        </w:rPr>
        <w:t xml:space="preserve">in </w:t>
      </w:r>
      <w:r w:rsidR="009A6753" w:rsidRPr="00CC2A5F">
        <w:rPr>
          <w:sz w:val="28"/>
          <w:szCs w:val="28"/>
        </w:rPr>
        <w:t>Suva</w:t>
      </w:r>
      <w:r w:rsidR="00CC2A5F">
        <w:rPr>
          <w:sz w:val="28"/>
          <w:szCs w:val="28"/>
        </w:rPr>
        <w:t xml:space="preserve"> for the Pacific region</w:t>
      </w:r>
      <w:r w:rsidR="009A6753" w:rsidRPr="00CC2A5F">
        <w:rPr>
          <w:sz w:val="28"/>
          <w:szCs w:val="28"/>
        </w:rPr>
        <w:t>, the OHCHR contributes to advance sustainable development through human rights and undertakes various others activities relevant for the successful implementation of t</w:t>
      </w:r>
      <w:r w:rsidR="00EB1C56" w:rsidRPr="00CC2A5F">
        <w:rPr>
          <w:sz w:val="28"/>
          <w:szCs w:val="28"/>
        </w:rPr>
        <w:t>he Istanbul Programme of Action. For example, it provides guidance for the realization of the right</w:t>
      </w:r>
      <w:r w:rsidR="00163974">
        <w:rPr>
          <w:sz w:val="28"/>
          <w:szCs w:val="28"/>
        </w:rPr>
        <w:t xml:space="preserve">s to </w:t>
      </w:r>
      <w:r w:rsidR="00EB1C56" w:rsidRPr="00CC2A5F">
        <w:rPr>
          <w:sz w:val="28"/>
          <w:szCs w:val="28"/>
        </w:rPr>
        <w:t>health and to education, both important to the improvement of the human assets index LDC criteria.</w:t>
      </w:r>
    </w:p>
    <w:p w14:paraId="3EA45EFC" w14:textId="77777777" w:rsidR="00752DC7" w:rsidRDefault="00CC2A5F" w:rsidP="002B15F4">
      <w:pPr>
        <w:jc w:val="both"/>
        <w:rPr>
          <w:sz w:val="28"/>
          <w:szCs w:val="28"/>
          <w:lang w:val="en-US"/>
        </w:rPr>
      </w:pPr>
      <w:r>
        <w:rPr>
          <w:sz w:val="28"/>
          <w:szCs w:val="28"/>
        </w:rPr>
        <w:t>OHCHR actively contributes</w:t>
      </w:r>
      <w:r w:rsidR="007B0015" w:rsidRPr="00CC2A5F">
        <w:rPr>
          <w:sz w:val="28"/>
          <w:szCs w:val="28"/>
        </w:rPr>
        <w:t xml:space="preserve"> to the Preparatory Process of </w:t>
      </w:r>
      <w:r w:rsidR="005B12C0" w:rsidRPr="00CC2A5F">
        <w:rPr>
          <w:sz w:val="28"/>
          <w:szCs w:val="28"/>
        </w:rPr>
        <w:t xml:space="preserve">UN LDC 5, including by organizing panel discussions in partnership with UN-Women, organizing training activities </w:t>
      </w:r>
      <w:r w:rsidR="00752DC7">
        <w:rPr>
          <w:sz w:val="28"/>
          <w:szCs w:val="28"/>
        </w:rPr>
        <w:t xml:space="preserve">in partnership with OHRLLS, </w:t>
      </w:r>
      <w:r w:rsidR="005B12C0" w:rsidRPr="00CC2A5F">
        <w:rPr>
          <w:sz w:val="28"/>
          <w:szCs w:val="28"/>
        </w:rPr>
        <w:t>and through substantive inputs</w:t>
      </w:r>
      <w:r w:rsidR="007B0015" w:rsidRPr="00CC2A5F">
        <w:rPr>
          <w:sz w:val="28"/>
          <w:szCs w:val="28"/>
        </w:rPr>
        <w:t>.</w:t>
      </w:r>
      <w:r w:rsidR="005B12C0" w:rsidRPr="00CC2A5F">
        <w:rPr>
          <w:sz w:val="28"/>
          <w:szCs w:val="28"/>
        </w:rPr>
        <w:t xml:space="preserve"> The 2020 </w:t>
      </w:r>
      <w:r w:rsidR="005B12C0" w:rsidRPr="00CC2A5F">
        <w:rPr>
          <w:sz w:val="28"/>
          <w:szCs w:val="28"/>
          <w:lang w:val="en-US"/>
        </w:rPr>
        <w:t>joint report of the Secretary General and the High Commissioner on the Right to Development</w:t>
      </w:r>
      <w:r w:rsidR="00752DC7">
        <w:rPr>
          <w:sz w:val="28"/>
          <w:szCs w:val="28"/>
          <w:lang w:val="en-US"/>
        </w:rPr>
        <w:t xml:space="preserve"> (</w:t>
      </w:r>
      <w:hyperlink r:id="rId12" w:history="1">
        <w:r w:rsidR="00752DC7" w:rsidRPr="001B2E73">
          <w:rPr>
            <w:rStyle w:val="Hyperlink"/>
            <w:sz w:val="28"/>
            <w:szCs w:val="28"/>
            <w:lang w:val="en-US"/>
          </w:rPr>
          <w:t>A/HRC/RES/45/21</w:t>
        </w:r>
      </w:hyperlink>
      <w:r w:rsidR="00752DC7">
        <w:rPr>
          <w:sz w:val="28"/>
          <w:szCs w:val="28"/>
          <w:lang w:val="en-US"/>
        </w:rPr>
        <w:t>)</w:t>
      </w:r>
      <w:r w:rsidR="005B12C0" w:rsidRPr="00CC2A5F">
        <w:rPr>
          <w:sz w:val="28"/>
          <w:szCs w:val="28"/>
          <w:lang w:val="en-US"/>
        </w:rPr>
        <w:t xml:space="preserve"> provides a series of recommendations </w:t>
      </w:r>
      <w:r w:rsidR="007D62F2" w:rsidRPr="00CC2A5F">
        <w:rPr>
          <w:sz w:val="28"/>
          <w:szCs w:val="28"/>
          <w:lang w:val="en-US"/>
        </w:rPr>
        <w:t>relating to the new programme of work for LDCs</w:t>
      </w:r>
      <w:r w:rsidR="00420B97">
        <w:rPr>
          <w:sz w:val="28"/>
          <w:szCs w:val="28"/>
          <w:lang w:val="en-US"/>
        </w:rPr>
        <w:t>. This includes</w:t>
      </w:r>
      <w:r w:rsidR="007D62F2" w:rsidRPr="00CC2A5F">
        <w:rPr>
          <w:sz w:val="28"/>
          <w:szCs w:val="28"/>
          <w:lang w:val="en-US"/>
        </w:rPr>
        <w:t xml:space="preserve"> active, free and meaningful participation in the</w:t>
      </w:r>
      <w:r w:rsidR="005B12C0" w:rsidRPr="00CC2A5F">
        <w:rPr>
          <w:sz w:val="28"/>
          <w:szCs w:val="28"/>
          <w:lang w:val="en-US"/>
        </w:rPr>
        <w:t xml:space="preserve"> </w:t>
      </w:r>
      <w:r w:rsidR="007D62F2" w:rsidRPr="00CC2A5F">
        <w:rPr>
          <w:sz w:val="28"/>
          <w:szCs w:val="28"/>
          <w:lang w:val="en-US"/>
        </w:rPr>
        <w:t>negotiations process that gives priorities to the voices of peoples from LDCs</w:t>
      </w:r>
      <w:r w:rsidR="00163974">
        <w:rPr>
          <w:sz w:val="28"/>
          <w:szCs w:val="28"/>
          <w:lang w:val="en-US"/>
        </w:rPr>
        <w:t>. The report recommends</w:t>
      </w:r>
      <w:r w:rsidR="005B12C0" w:rsidRPr="00CC2A5F">
        <w:rPr>
          <w:sz w:val="28"/>
          <w:szCs w:val="28"/>
          <w:lang w:val="en-US"/>
        </w:rPr>
        <w:t xml:space="preserve"> expanding productive capacity for inclusive, equitable and sustainable development</w:t>
      </w:r>
      <w:r w:rsidR="007D62F2" w:rsidRPr="00CC2A5F">
        <w:rPr>
          <w:sz w:val="28"/>
          <w:szCs w:val="28"/>
          <w:lang w:val="en-US"/>
        </w:rPr>
        <w:t xml:space="preserve"> by</w:t>
      </w:r>
      <w:r w:rsidR="005B12C0" w:rsidRPr="00CC2A5F">
        <w:rPr>
          <w:sz w:val="28"/>
          <w:szCs w:val="28"/>
          <w:lang w:val="en-US"/>
        </w:rPr>
        <w:t xml:space="preserve"> address</w:t>
      </w:r>
      <w:r w:rsidR="007D62F2" w:rsidRPr="00CC2A5F">
        <w:rPr>
          <w:sz w:val="28"/>
          <w:szCs w:val="28"/>
          <w:lang w:val="en-US"/>
        </w:rPr>
        <w:t>ing</w:t>
      </w:r>
      <w:r w:rsidR="005B12C0" w:rsidRPr="00CC2A5F">
        <w:rPr>
          <w:sz w:val="28"/>
          <w:szCs w:val="28"/>
          <w:lang w:val="en-US"/>
        </w:rPr>
        <w:t xml:space="preserve"> international and national resource mobilization challenges for transformative change relating to access to new and traditional technologies, sustainable debt, urbanization, opportunities for young people</w:t>
      </w:r>
      <w:r w:rsidR="00B82E5C">
        <w:rPr>
          <w:sz w:val="28"/>
          <w:szCs w:val="28"/>
          <w:lang w:val="en-US"/>
        </w:rPr>
        <w:t>, gender equality</w:t>
      </w:r>
      <w:r w:rsidR="005B12C0" w:rsidRPr="00CC2A5F">
        <w:rPr>
          <w:sz w:val="28"/>
          <w:szCs w:val="28"/>
          <w:lang w:val="en-US"/>
        </w:rPr>
        <w:t>, disaster risk reduction</w:t>
      </w:r>
      <w:r w:rsidR="002B15F4">
        <w:rPr>
          <w:sz w:val="28"/>
          <w:szCs w:val="28"/>
          <w:lang w:val="en-US"/>
        </w:rPr>
        <w:t xml:space="preserve">, </w:t>
      </w:r>
      <w:r w:rsidR="005B12C0" w:rsidRPr="00CC2A5F">
        <w:rPr>
          <w:sz w:val="28"/>
          <w:szCs w:val="28"/>
          <w:lang w:val="en-US"/>
        </w:rPr>
        <w:t xml:space="preserve">smooth </w:t>
      </w:r>
      <w:r w:rsidR="002B15F4">
        <w:rPr>
          <w:sz w:val="28"/>
          <w:szCs w:val="28"/>
          <w:lang w:val="en-US"/>
        </w:rPr>
        <w:t xml:space="preserve">and just </w:t>
      </w:r>
      <w:r w:rsidR="005B12C0" w:rsidRPr="00CC2A5F">
        <w:rPr>
          <w:sz w:val="28"/>
          <w:szCs w:val="28"/>
          <w:lang w:val="en-US"/>
        </w:rPr>
        <w:t xml:space="preserve">transition </w:t>
      </w:r>
      <w:r w:rsidR="00163974">
        <w:rPr>
          <w:sz w:val="28"/>
          <w:szCs w:val="28"/>
          <w:lang w:val="en-US"/>
        </w:rPr>
        <w:t>from the LDC</w:t>
      </w:r>
      <w:r w:rsidR="005B12C0" w:rsidRPr="00CC2A5F">
        <w:rPr>
          <w:sz w:val="28"/>
          <w:szCs w:val="28"/>
          <w:lang w:val="en-US"/>
        </w:rPr>
        <w:t xml:space="preserve"> status.</w:t>
      </w:r>
      <w:r>
        <w:rPr>
          <w:sz w:val="28"/>
          <w:szCs w:val="28"/>
          <w:lang w:val="en-US"/>
        </w:rPr>
        <w:t xml:space="preserve"> </w:t>
      </w:r>
      <w:r w:rsidR="005B12C0" w:rsidRPr="00CC2A5F">
        <w:rPr>
          <w:sz w:val="28"/>
          <w:szCs w:val="28"/>
          <w:lang w:val="en-US"/>
        </w:rPr>
        <w:t xml:space="preserve">The accountability and monitoring framework </w:t>
      </w:r>
      <w:r>
        <w:rPr>
          <w:sz w:val="28"/>
          <w:szCs w:val="28"/>
          <w:lang w:val="en-US"/>
        </w:rPr>
        <w:t xml:space="preserve">of the new programme of action </w:t>
      </w:r>
      <w:r w:rsidR="005B12C0" w:rsidRPr="00CC2A5F">
        <w:rPr>
          <w:sz w:val="28"/>
          <w:szCs w:val="28"/>
          <w:lang w:val="en-US"/>
        </w:rPr>
        <w:t xml:space="preserve">should use rights-based indicators, drawing </w:t>
      </w:r>
      <w:r w:rsidR="00163974">
        <w:rPr>
          <w:sz w:val="28"/>
          <w:szCs w:val="28"/>
          <w:lang w:val="en-US"/>
        </w:rPr>
        <w:t>from</w:t>
      </w:r>
      <w:r>
        <w:rPr>
          <w:sz w:val="28"/>
          <w:szCs w:val="28"/>
          <w:lang w:val="en-US"/>
        </w:rPr>
        <w:t xml:space="preserve"> relevant guidelines from human rights mechanisms,</w:t>
      </w:r>
      <w:r w:rsidR="00752DC7">
        <w:rPr>
          <w:rStyle w:val="FootnoteReference"/>
          <w:sz w:val="28"/>
          <w:szCs w:val="28"/>
          <w:lang w:val="en-US"/>
        </w:rPr>
        <w:footnoteReference w:id="1"/>
      </w:r>
      <w:r>
        <w:rPr>
          <w:sz w:val="28"/>
          <w:szCs w:val="28"/>
          <w:lang w:val="en-US"/>
        </w:rPr>
        <w:t xml:space="preserve"> the OHCHR</w:t>
      </w:r>
      <w:r w:rsidR="00752DC7">
        <w:rPr>
          <w:rStyle w:val="FootnoteReference"/>
          <w:sz w:val="28"/>
          <w:szCs w:val="28"/>
          <w:lang w:val="en-US"/>
        </w:rPr>
        <w:footnoteReference w:id="2"/>
      </w:r>
      <w:r>
        <w:rPr>
          <w:sz w:val="28"/>
          <w:szCs w:val="28"/>
          <w:lang w:val="en-US"/>
        </w:rPr>
        <w:t xml:space="preserve"> and the UN Secretary General.</w:t>
      </w:r>
      <w:r w:rsidR="00752DC7">
        <w:rPr>
          <w:rStyle w:val="FootnoteReference"/>
          <w:sz w:val="28"/>
          <w:szCs w:val="28"/>
          <w:lang w:val="en-US"/>
        </w:rPr>
        <w:footnoteReference w:id="3"/>
      </w:r>
    </w:p>
    <w:p w14:paraId="4E35490F" w14:textId="77777777" w:rsidR="00752DC7" w:rsidRDefault="00752DC7">
      <w:pPr>
        <w:rPr>
          <w:sz w:val="28"/>
          <w:szCs w:val="28"/>
          <w:lang w:val="en-US"/>
        </w:rPr>
      </w:pPr>
      <w:r>
        <w:rPr>
          <w:sz w:val="28"/>
          <w:szCs w:val="28"/>
          <w:lang w:val="en-US"/>
        </w:rPr>
        <w:br w:type="page"/>
      </w:r>
    </w:p>
    <w:p w14:paraId="6D40A3AE" w14:textId="77777777" w:rsidR="007D62F2" w:rsidRDefault="007D62F2" w:rsidP="00752DC7">
      <w:pPr>
        <w:tabs>
          <w:tab w:val="left" w:pos="4712"/>
        </w:tabs>
        <w:rPr>
          <w:sz w:val="28"/>
          <w:szCs w:val="28"/>
        </w:rPr>
      </w:pPr>
      <w:r w:rsidRPr="00CC2A5F">
        <w:rPr>
          <w:sz w:val="28"/>
          <w:szCs w:val="28"/>
        </w:rPr>
        <w:lastRenderedPageBreak/>
        <w:t>Excellencies,</w:t>
      </w:r>
      <w:r w:rsidR="00752DC7">
        <w:rPr>
          <w:sz w:val="28"/>
          <w:szCs w:val="28"/>
        </w:rPr>
        <w:t xml:space="preserve"> </w:t>
      </w:r>
      <w:r w:rsidRPr="00CC2A5F">
        <w:rPr>
          <w:sz w:val="28"/>
          <w:szCs w:val="28"/>
        </w:rPr>
        <w:t>Distinguished delegates,</w:t>
      </w:r>
      <w:r w:rsidR="00752DC7">
        <w:rPr>
          <w:sz w:val="28"/>
          <w:szCs w:val="28"/>
        </w:rPr>
        <w:t xml:space="preserve"> </w:t>
      </w:r>
      <w:r w:rsidRPr="00CC2A5F">
        <w:rPr>
          <w:sz w:val="28"/>
          <w:szCs w:val="28"/>
        </w:rPr>
        <w:t>Ladies and gentlemen,</w:t>
      </w:r>
    </w:p>
    <w:p w14:paraId="63D4453E" w14:textId="77777777" w:rsidR="00CC2A5F" w:rsidRPr="00CC2A5F" w:rsidRDefault="00CC2A5F" w:rsidP="00752DC7">
      <w:pPr>
        <w:jc w:val="both"/>
        <w:rPr>
          <w:sz w:val="28"/>
          <w:szCs w:val="28"/>
        </w:rPr>
      </w:pPr>
      <w:r>
        <w:rPr>
          <w:sz w:val="28"/>
          <w:szCs w:val="28"/>
        </w:rPr>
        <w:t>Human rights, including the right to development, climate action, and recovering better from COVID-19 are closely intertwined.</w:t>
      </w:r>
    </w:p>
    <w:p w14:paraId="61713F40" w14:textId="77777777" w:rsidR="00EC790E" w:rsidRPr="00CC2A5F" w:rsidRDefault="00EC790E" w:rsidP="00752DC7">
      <w:pPr>
        <w:jc w:val="both"/>
        <w:rPr>
          <w:sz w:val="28"/>
          <w:szCs w:val="28"/>
        </w:rPr>
      </w:pPr>
      <w:r w:rsidRPr="00CC2A5F">
        <w:rPr>
          <w:sz w:val="28"/>
          <w:szCs w:val="28"/>
        </w:rPr>
        <w:t>To</w:t>
      </w:r>
      <w:r w:rsidR="005B12C0" w:rsidRPr="00CC2A5F">
        <w:rPr>
          <w:sz w:val="28"/>
          <w:szCs w:val="28"/>
        </w:rPr>
        <w:t xml:space="preserve"> </w:t>
      </w:r>
      <w:r w:rsidRPr="00CC2A5F">
        <w:rPr>
          <w:sz w:val="28"/>
          <w:szCs w:val="28"/>
        </w:rPr>
        <w:t>avert</w:t>
      </w:r>
      <w:r w:rsidR="005B12C0" w:rsidRPr="00CC2A5F">
        <w:rPr>
          <w:sz w:val="28"/>
          <w:szCs w:val="28"/>
        </w:rPr>
        <w:t xml:space="preserve"> </w:t>
      </w:r>
      <w:r w:rsidRPr="00CC2A5F">
        <w:rPr>
          <w:sz w:val="28"/>
          <w:szCs w:val="28"/>
        </w:rPr>
        <w:t>future</w:t>
      </w:r>
      <w:r w:rsidR="005B12C0" w:rsidRPr="00CC2A5F">
        <w:rPr>
          <w:sz w:val="28"/>
          <w:szCs w:val="28"/>
        </w:rPr>
        <w:t xml:space="preserve"> </w:t>
      </w:r>
      <w:r w:rsidRPr="00CC2A5F">
        <w:rPr>
          <w:sz w:val="28"/>
          <w:szCs w:val="28"/>
        </w:rPr>
        <w:t>global</w:t>
      </w:r>
      <w:r w:rsidR="005B12C0" w:rsidRPr="00CC2A5F">
        <w:rPr>
          <w:sz w:val="28"/>
          <w:szCs w:val="28"/>
        </w:rPr>
        <w:t xml:space="preserve"> </w:t>
      </w:r>
      <w:r w:rsidRPr="00CC2A5F">
        <w:rPr>
          <w:sz w:val="28"/>
          <w:szCs w:val="28"/>
        </w:rPr>
        <w:t>threats,</w:t>
      </w:r>
      <w:r w:rsidR="005B12C0" w:rsidRPr="00CC2A5F">
        <w:rPr>
          <w:sz w:val="28"/>
          <w:szCs w:val="28"/>
        </w:rPr>
        <w:t xml:space="preserve"> </w:t>
      </w:r>
      <w:r w:rsidRPr="00CC2A5F">
        <w:rPr>
          <w:sz w:val="28"/>
          <w:szCs w:val="28"/>
        </w:rPr>
        <w:t>including</w:t>
      </w:r>
      <w:r w:rsidR="005B12C0" w:rsidRPr="00CC2A5F">
        <w:rPr>
          <w:sz w:val="28"/>
          <w:szCs w:val="28"/>
        </w:rPr>
        <w:t xml:space="preserve"> </w:t>
      </w:r>
      <w:r w:rsidRPr="00CC2A5F">
        <w:rPr>
          <w:sz w:val="28"/>
          <w:szCs w:val="28"/>
        </w:rPr>
        <w:t>pandemics,</w:t>
      </w:r>
      <w:r w:rsidR="005B12C0" w:rsidRPr="00CC2A5F">
        <w:rPr>
          <w:sz w:val="28"/>
          <w:szCs w:val="28"/>
        </w:rPr>
        <w:t xml:space="preserve"> </w:t>
      </w:r>
      <w:r w:rsidRPr="00CC2A5F">
        <w:rPr>
          <w:sz w:val="28"/>
          <w:szCs w:val="28"/>
        </w:rPr>
        <w:t>we</w:t>
      </w:r>
      <w:r w:rsidR="005B12C0" w:rsidRPr="00CC2A5F">
        <w:rPr>
          <w:sz w:val="28"/>
          <w:szCs w:val="28"/>
        </w:rPr>
        <w:t xml:space="preserve"> </w:t>
      </w:r>
      <w:r w:rsidRPr="00CC2A5F">
        <w:rPr>
          <w:sz w:val="28"/>
          <w:szCs w:val="28"/>
        </w:rPr>
        <w:t>must</w:t>
      </w:r>
      <w:r w:rsidR="005B12C0" w:rsidRPr="00CC2A5F">
        <w:rPr>
          <w:sz w:val="28"/>
          <w:szCs w:val="28"/>
        </w:rPr>
        <w:t xml:space="preserve"> </w:t>
      </w:r>
      <w:r w:rsidRPr="00CC2A5F">
        <w:rPr>
          <w:sz w:val="28"/>
          <w:szCs w:val="28"/>
        </w:rPr>
        <w:t>protect</w:t>
      </w:r>
      <w:r w:rsidR="005B12C0" w:rsidRPr="00CC2A5F">
        <w:rPr>
          <w:sz w:val="28"/>
          <w:szCs w:val="28"/>
        </w:rPr>
        <w:t xml:space="preserve"> </w:t>
      </w:r>
      <w:r w:rsidRPr="00CC2A5F">
        <w:rPr>
          <w:sz w:val="28"/>
          <w:szCs w:val="28"/>
        </w:rPr>
        <w:t>rights</w:t>
      </w:r>
      <w:r w:rsidR="005B12C0" w:rsidRPr="00CC2A5F">
        <w:rPr>
          <w:sz w:val="28"/>
          <w:szCs w:val="28"/>
        </w:rPr>
        <w:t xml:space="preserve"> </w:t>
      </w:r>
      <w:r w:rsidRPr="00CC2A5F">
        <w:rPr>
          <w:sz w:val="28"/>
          <w:szCs w:val="28"/>
        </w:rPr>
        <w:t>to</w:t>
      </w:r>
      <w:r w:rsidR="005B12C0" w:rsidRPr="00CC2A5F">
        <w:rPr>
          <w:sz w:val="28"/>
          <w:szCs w:val="28"/>
        </w:rPr>
        <w:t xml:space="preserve"> </w:t>
      </w:r>
      <w:r w:rsidRPr="00CC2A5F">
        <w:rPr>
          <w:sz w:val="28"/>
          <w:szCs w:val="28"/>
        </w:rPr>
        <w:t>a</w:t>
      </w:r>
      <w:r w:rsidR="005B12C0" w:rsidRPr="00CC2A5F">
        <w:rPr>
          <w:sz w:val="28"/>
          <w:szCs w:val="28"/>
        </w:rPr>
        <w:t xml:space="preserve"> </w:t>
      </w:r>
      <w:r w:rsidRPr="00CC2A5F">
        <w:rPr>
          <w:sz w:val="28"/>
          <w:szCs w:val="28"/>
        </w:rPr>
        <w:t>safe,</w:t>
      </w:r>
      <w:r w:rsidR="005B12C0" w:rsidRPr="00CC2A5F">
        <w:rPr>
          <w:sz w:val="28"/>
          <w:szCs w:val="28"/>
        </w:rPr>
        <w:t xml:space="preserve"> </w:t>
      </w:r>
      <w:r w:rsidRPr="00CC2A5F">
        <w:rPr>
          <w:sz w:val="28"/>
          <w:szCs w:val="28"/>
        </w:rPr>
        <w:t>clean,</w:t>
      </w:r>
      <w:r w:rsidR="005B12C0" w:rsidRPr="00CC2A5F">
        <w:rPr>
          <w:sz w:val="28"/>
          <w:szCs w:val="28"/>
        </w:rPr>
        <w:t xml:space="preserve"> </w:t>
      </w:r>
      <w:r w:rsidRPr="00CC2A5F">
        <w:rPr>
          <w:sz w:val="28"/>
          <w:szCs w:val="28"/>
        </w:rPr>
        <w:t>healthy</w:t>
      </w:r>
      <w:r w:rsidR="005B12C0" w:rsidRPr="00CC2A5F">
        <w:rPr>
          <w:sz w:val="28"/>
          <w:szCs w:val="28"/>
        </w:rPr>
        <w:t xml:space="preserve"> </w:t>
      </w:r>
      <w:r w:rsidRPr="00CC2A5F">
        <w:rPr>
          <w:sz w:val="28"/>
          <w:szCs w:val="28"/>
        </w:rPr>
        <w:t>and</w:t>
      </w:r>
      <w:r w:rsidR="005B12C0" w:rsidRPr="00CC2A5F">
        <w:rPr>
          <w:sz w:val="28"/>
          <w:szCs w:val="28"/>
        </w:rPr>
        <w:t xml:space="preserve"> </w:t>
      </w:r>
      <w:r w:rsidRPr="00CC2A5F">
        <w:rPr>
          <w:sz w:val="28"/>
          <w:szCs w:val="28"/>
        </w:rPr>
        <w:t>sustainable</w:t>
      </w:r>
      <w:r w:rsidR="005B12C0" w:rsidRPr="00CC2A5F">
        <w:rPr>
          <w:sz w:val="28"/>
          <w:szCs w:val="28"/>
        </w:rPr>
        <w:t xml:space="preserve"> </w:t>
      </w:r>
      <w:r w:rsidRPr="00CC2A5F">
        <w:rPr>
          <w:sz w:val="28"/>
          <w:szCs w:val="28"/>
        </w:rPr>
        <w:t>environment</w:t>
      </w:r>
      <w:r w:rsidR="005B12C0" w:rsidRPr="00CC2A5F">
        <w:rPr>
          <w:sz w:val="28"/>
          <w:szCs w:val="28"/>
        </w:rPr>
        <w:t xml:space="preserve"> </w:t>
      </w:r>
      <w:r w:rsidRPr="00CC2A5F">
        <w:rPr>
          <w:sz w:val="28"/>
          <w:szCs w:val="28"/>
        </w:rPr>
        <w:t>upon which we all depend for our health and wellbeing. A human rights-based approach to the COVID-19 crisis is also needed to address its unequal impacts on the poor, vulnerable and</w:t>
      </w:r>
      <w:r w:rsidR="005B12C0" w:rsidRPr="00CC2A5F">
        <w:rPr>
          <w:sz w:val="28"/>
          <w:szCs w:val="28"/>
        </w:rPr>
        <w:t xml:space="preserve"> </w:t>
      </w:r>
      <w:r w:rsidRPr="00CC2A5F">
        <w:rPr>
          <w:sz w:val="28"/>
          <w:szCs w:val="28"/>
        </w:rPr>
        <w:t>marginalized</w:t>
      </w:r>
      <w:r w:rsidR="005B12C0" w:rsidRPr="00CC2A5F">
        <w:rPr>
          <w:sz w:val="28"/>
          <w:szCs w:val="28"/>
        </w:rPr>
        <w:t xml:space="preserve"> </w:t>
      </w:r>
      <w:r w:rsidRPr="00CC2A5F">
        <w:rPr>
          <w:sz w:val="28"/>
          <w:szCs w:val="28"/>
        </w:rPr>
        <w:t>and</w:t>
      </w:r>
      <w:r w:rsidR="005B12C0" w:rsidRPr="00CC2A5F">
        <w:rPr>
          <w:sz w:val="28"/>
          <w:szCs w:val="28"/>
        </w:rPr>
        <w:t xml:space="preserve"> </w:t>
      </w:r>
      <w:r w:rsidRPr="00CC2A5F">
        <w:rPr>
          <w:sz w:val="28"/>
          <w:szCs w:val="28"/>
        </w:rPr>
        <w:t>its</w:t>
      </w:r>
      <w:r w:rsidR="005B12C0" w:rsidRPr="00CC2A5F">
        <w:rPr>
          <w:sz w:val="28"/>
          <w:szCs w:val="28"/>
        </w:rPr>
        <w:t xml:space="preserve"> </w:t>
      </w:r>
      <w:r w:rsidRPr="00CC2A5F">
        <w:rPr>
          <w:sz w:val="28"/>
          <w:szCs w:val="28"/>
        </w:rPr>
        <w:t>underlying</w:t>
      </w:r>
      <w:r w:rsidR="005B12C0" w:rsidRPr="00CC2A5F">
        <w:rPr>
          <w:sz w:val="28"/>
          <w:szCs w:val="28"/>
        </w:rPr>
        <w:t xml:space="preserve"> </w:t>
      </w:r>
      <w:r w:rsidRPr="00CC2A5F">
        <w:rPr>
          <w:sz w:val="28"/>
          <w:szCs w:val="28"/>
        </w:rPr>
        <w:t>drivers,</w:t>
      </w:r>
      <w:r w:rsidR="005B12C0" w:rsidRPr="00CC2A5F">
        <w:rPr>
          <w:sz w:val="28"/>
          <w:szCs w:val="28"/>
        </w:rPr>
        <w:t xml:space="preserve"> </w:t>
      </w:r>
      <w:r w:rsidRPr="00CC2A5F">
        <w:rPr>
          <w:sz w:val="28"/>
          <w:szCs w:val="28"/>
        </w:rPr>
        <w:t>including</w:t>
      </w:r>
      <w:r w:rsidR="005B12C0" w:rsidRPr="00CC2A5F">
        <w:rPr>
          <w:sz w:val="28"/>
          <w:szCs w:val="28"/>
        </w:rPr>
        <w:t xml:space="preserve"> </w:t>
      </w:r>
      <w:r w:rsidRPr="00CC2A5F">
        <w:rPr>
          <w:sz w:val="28"/>
          <w:szCs w:val="28"/>
        </w:rPr>
        <w:t>environmental</w:t>
      </w:r>
      <w:r w:rsidR="005B12C0" w:rsidRPr="00CC2A5F">
        <w:rPr>
          <w:sz w:val="28"/>
          <w:szCs w:val="28"/>
        </w:rPr>
        <w:t xml:space="preserve"> </w:t>
      </w:r>
      <w:r w:rsidRPr="00CC2A5F">
        <w:rPr>
          <w:sz w:val="28"/>
          <w:szCs w:val="28"/>
        </w:rPr>
        <w:t xml:space="preserve">degradation. </w:t>
      </w:r>
    </w:p>
    <w:p w14:paraId="50947163" w14:textId="77777777" w:rsidR="00082BEC" w:rsidRPr="00420B97" w:rsidRDefault="00CC2A5F" w:rsidP="00752DC7">
      <w:pPr>
        <w:jc w:val="both"/>
        <w:rPr>
          <w:sz w:val="28"/>
          <w:szCs w:val="28"/>
        </w:rPr>
      </w:pPr>
      <w:r w:rsidRPr="00420B97">
        <w:rPr>
          <w:sz w:val="28"/>
          <w:szCs w:val="28"/>
        </w:rPr>
        <w:t xml:space="preserve">Substantive elements of </w:t>
      </w:r>
      <w:r w:rsidR="00420B97">
        <w:rPr>
          <w:sz w:val="28"/>
          <w:szCs w:val="28"/>
        </w:rPr>
        <w:t xml:space="preserve">the right to a healthy and sustainable environment </w:t>
      </w:r>
      <w:r w:rsidRPr="00420B97">
        <w:rPr>
          <w:sz w:val="28"/>
          <w:szCs w:val="28"/>
        </w:rPr>
        <w:t>include a safe climate, water and sanitation, clean air, healthy and sustainably produced food, non-toxic environments, healthy ecosystems and biodiversity.</w:t>
      </w:r>
      <w:r w:rsidR="00420B97">
        <w:rPr>
          <w:sz w:val="28"/>
          <w:szCs w:val="28"/>
        </w:rPr>
        <w:t xml:space="preserve"> We should r</w:t>
      </w:r>
      <w:r w:rsidR="00082BEC" w:rsidRPr="00CC2A5F">
        <w:rPr>
          <w:sz w:val="28"/>
          <w:szCs w:val="28"/>
        </w:rPr>
        <w:t>e-think our interactions with nature</w:t>
      </w:r>
      <w:r w:rsidR="009A6753" w:rsidRPr="00CC2A5F">
        <w:rPr>
          <w:sz w:val="28"/>
          <w:szCs w:val="28"/>
        </w:rPr>
        <w:t>,</w:t>
      </w:r>
      <w:r>
        <w:rPr>
          <w:sz w:val="28"/>
          <w:szCs w:val="28"/>
        </w:rPr>
        <w:t xml:space="preserve"> including by integrating the human </w:t>
      </w:r>
      <w:r w:rsidR="00B82E5C">
        <w:rPr>
          <w:sz w:val="28"/>
          <w:szCs w:val="28"/>
        </w:rPr>
        <w:t xml:space="preserve">rights to </w:t>
      </w:r>
      <w:r>
        <w:rPr>
          <w:sz w:val="28"/>
          <w:szCs w:val="28"/>
        </w:rPr>
        <w:t>the post-2020 Global Biodiversity Framework.</w:t>
      </w:r>
      <w:r w:rsidR="00420B97">
        <w:rPr>
          <w:sz w:val="28"/>
          <w:szCs w:val="28"/>
        </w:rPr>
        <w:t xml:space="preserve"> We need to </w:t>
      </w:r>
      <w:r w:rsidR="00873520" w:rsidRPr="00420B97">
        <w:rPr>
          <w:sz w:val="28"/>
          <w:szCs w:val="28"/>
        </w:rPr>
        <w:t>p</w:t>
      </w:r>
      <w:r w:rsidR="00082BEC" w:rsidRPr="00420B97">
        <w:rPr>
          <w:sz w:val="28"/>
          <w:szCs w:val="28"/>
        </w:rPr>
        <w:t xml:space="preserve">rotect </w:t>
      </w:r>
      <w:r w:rsidR="00873520" w:rsidRPr="00420B97">
        <w:rPr>
          <w:sz w:val="28"/>
          <w:szCs w:val="28"/>
        </w:rPr>
        <w:t>e</w:t>
      </w:r>
      <w:r w:rsidR="00082BEC" w:rsidRPr="00420B97">
        <w:rPr>
          <w:sz w:val="28"/>
          <w:szCs w:val="28"/>
        </w:rPr>
        <w:t xml:space="preserve">nvironmental </w:t>
      </w:r>
      <w:r w:rsidR="00873520" w:rsidRPr="00420B97">
        <w:rPr>
          <w:sz w:val="28"/>
          <w:szCs w:val="28"/>
        </w:rPr>
        <w:t>h</w:t>
      </w:r>
      <w:r w:rsidR="00082BEC" w:rsidRPr="00420B97">
        <w:rPr>
          <w:sz w:val="28"/>
          <w:szCs w:val="28"/>
        </w:rPr>
        <w:t xml:space="preserve">uman </w:t>
      </w:r>
      <w:r w:rsidR="00873520" w:rsidRPr="00420B97">
        <w:rPr>
          <w:sz w:val="28"/>
          <w:szCs w:val="28"/>
        </w:rPr>
        <w:t>r</w:t>
      </w:r>
      <w:r w:rsidR="00082BEC" w:rsidRPr="00420B97">
        <w:rPr>
          <w:sz w:val="28"/>
          <w:szCs w:val="28"/>
        </w:rPr>
        <w:t xml:space="preserve">ights </w:t>
      </w:r>
      <w:r w:rsidR="00873520" w:rsidRPr="00420B97">
        <w:rPr>
          <w:sz w:val="28"/>
          <w:szCs w:val="28"/>
        </w:rPr>
        <w:t>d</w:t>
      </w:r>
      <w:r w:rsidR="00082BEC" w:rsidRPr="00420B97">
        <w:rPr>
          <w:sz w:val="28"/>
          <w:szCs w:val="28"/>
        </w:rPr>
        <w:t>efenders</w:t>
      </w:r>
      <w:r w:rsidR="00420B97">
        <w:rPr>
          <w:sz w:val="28"/>
          <w:szCs w:val="28"/>
        </w:rPr>
        <w:t>. Countries should g</w:t>
      </w:r>
      <w:r w:rsidR="00873520" w:rsidRPr="00420B97">
        <w:rPr>
          <w:sz w:val="28"/>
          <w:szCs w:val="28"/>
        </w:rPr>
        <w:t>uarantee m</w:t>
      </w:r>
      <w:r w:rsidR="00082BEC" w:rsidRPr="00420B97">
        <w:rPr>
          <w:sz w:val="28"/>
          <w:szCs w:val="28"/>
        </w:rPr>
        <w:t xml:space="preserve">eaningful </w:t>
      </w:r>
      <w:r w:rsidR="00873520" w:rsidRPr="00420B97">
        <w:rPr>
          <w:sz w:val="28"/>
          <w:szCs w:val="28"/>
        </w:rPr>
        <w:t>a</w:t>
      </w:r>
      <w:r w:rsidR="00082BEC" w:rsidRPr="00420B97">
        <w:rPr>
          <w:sz w:val="28"/>
          <w:szCs w:val="28"/>
        </w:rPr>
        <w:t xml:space="preserve">nd </w:t>
      </w:r>
      <w:r w:rsidR="00873520" w:rsidRPr="00420B97">
        <w:rPr>
          <w:sz w:val="28"/>
          <w:szCs w:val="28"/>
        </w:rPr>
        <w:t>i</w:t>
      </w:r>
      <w:r w:rsidR="00082BEC" w:rsidRPr="00420B97">
        <w:rPr>
          <w:sz w:val="28"/>
          <w:szCs w:val="28"/>
        </w:rPr>
        <w:t xml:space="preserve">nformed </w:t>
      </w:r>
      <w:r w:rsidR="00873520" w:rsidRPr="00420B97">
        <w:rPr>
          <w:sz w:val="28"/>
          <w:szCs w:val="28"/>
        </w:rPr>
        <w:t>p</w:t>
      </w:r>
      <w:r w:rsidR="00082BEC" w:rsidRPr="00420B97">
        <w:rPr>
          <w:sz w:val="28"/>
          <w:szCs w:val="28"/>
        </w:rPr>
        <w:t>articipation</w:t>
      </w:r>
      <w:r w:rsidR="00873520" w:rsidRPr="00420B97">
        <w:rPr>
          <w:sz w:val="28"/>
          <w:szCs w:val="28"/>
        </w:rPr>
        <w:t xml:space="preserve"> in policy making. The OHCHR guidelines on public participation </w:t>
      </w:r>
      <w:r w:rsidR="00752DC7">
        <w:rPr>
          <w:sz w:val="28"/>
          <w:szCs w:val="28"/>
        </w:rPr>
        <w:t>(</w:t>
      </w:r>
      <w:hyperlink r:id="rId13" w:history="1">
        <w:r w:rsidR="00752DC7" w:rsidRPr="001B2E73">
          <w:rPr>
            <w:rStyle w:val="Hyperlink"/>
            <w:sz w:val="28"/>
            <w:szCs w:val="28"/>
          </w:rPr>
          <w:t>A/HRC/39/28</w:t>
        </w:r>
      </w:hyperlink>
      <w:r w:rsidR="00752DC7">
        <w:rPr>
          <w:sz w:val="28"/>
          <w:szCs w:val="28"/>
        </w:rPr>
        <w:t>)</w:t>
      </w:r>
      <w:r w:rsidR="00752DC7">
        <w:rPr>
          <w:rStyle w:val="FootnoteReference"/>
          <w:sz w:val="28"/>
          <w:szCs w:val="28"/>
        </w:rPr>
        <w:footnoteReference w:id="4"/>
      </w:r>
      <w:r w:rsidR="00752DC7">
        <w:rPr>
          <w:sz w:val="28"/>
          <w:szCs w:val="28"/>
        </w:rPr>
        <w:t xml:space="preserve"> </w:t>
      </w:r>
      <w:r w:rsidR="00873520" w:rsidRPr="00420B97">
        <w:rPr>
          <w:sz w:val="28"/>
          <w:szCs w:val="28"/>
        </w:rPr>
        <w:t xml:space="preserve">includes guidance </w:t>
      </w:r>
      <w:r w:rsidR="00395193">
        <w:rPr>
          <w:sz w:val="28"/>
          <w:szCs w:val="28"/>
        </w:rPr>
        <w:t xml:space="preserve">for national policies and </w:t>
      </w:r>
      <w:r w:rsidR="00873520" w:rsidRPr="00420B97">
        <w:rPr>
          <w:sz w:val="28"/>
          <w:szCs w:val="28"/>
        </w:rPr>
        <w:t>for international process</w:t>
      </w:r>
      <w:r w:rsidR="00395193">
        <w:rPr>
          <w:sz w:val="28"/>
          <w:szCs w:val="28"/>
        </w:rPr>
        <w:t>es</w:t>
      </w:r>
      <w:r w:rsidR="00873520" w:rsidRPr="00420B97">
        <w:rPr>
          <w:sz w:val="28"/>
          <w:szCs w:val="28"/>
        </w:rPr>
        <w:t xml:space="preserve"> such as the current one.</w:t>
      </w:r>
      <w:r w:rsidR="00420B97">
        <w:rPr>
          <w:sz w:val="28"/>
          <w:szCs w:val="28"/>
        </w:rPr>
        <w:t xml:space="preserve"> We should m</w:t>
      </w:r>
      <w:r w:rsidR="00082BEC" w:rsidRPr="00420B97">
        <w:rPr>
          <w:sz w:val="28"/>
          <w:szCs w:val="28"/>
        </w:rPr>
        <w:t xml:space="preserve">inimize </w:t>
      </w:r>
      <w:r w:rsidR="00873520" w:rsidRPr="00420B97">
        <w:rPr>
          <w:sz w:val="28"/>
          <w:szCs w:val="28"/>
        </w:rPr>
        <w:t>t</w:t>
      </w:r>
      <w:r w:rsidR="00082BEC" w:rsidRPr="00420B97">
        <w:rPr>
          <w:sz w:val="28"/>
          <w:szCs w:val="28"/>
        </w:rPr>
        <w:t xml:space="preserve">he </w:t>
      </w:r>
      <w:r w:rsidR="00873520" w:rsidRPr="00420B97">
        <w:rPr>
          <w:sz w:val="28"/>
          <w:szCs w:val="28"/>
        </w:rPr>
        <w:t>h</w:t>
      </w:r>
      <w:r w:rsidR="00082BEC" w:rsidRPr="00420B97">
        <w:rPr>
          <w:sz w:val="28"/>
          <w:szCs w:val="28"/>
        </w:rPr>
        <w:t xml:space="preserve">armful </w:t>
      </w:r>
      <w:r w:rsidR="00873520" w:rsidRPr="00420B97">
        <w:rPr>
          <w:sz w:val="28"/>
          <w:szCs w:val="28"/>
        </w:rPr>
        <w:t>i</w:t>
      </w:r>
      <w:r w:rsidR="00082BEC" w:rsidRPr="00420B97">
        <w:rPr>
          <w:sz w:val="28"/>
          <w:szCs w:val="28"/>
        </w:rPr>
        <w:t xml:space="preserve">mpacts </w:t>
      </w:r>
      <w:r w:rsidR="00873520" w:rsidRPr="00420B97">
        <w:rPr>
          <w:sz w:val="28"/>
          <w:szCs w:val="28"/>
        </w:rPr>
        <w:t>o</w:t>
      </w:r>
      <w:r w:rsidR="00082BEC" w:rsidRPr="00420B97">
        <w:rPr>
          <w:sz w:val="28"/>
          <w:szCs w:val="28"/>
        </w:rPr>
        <w:t xml:space="preserve">f </w:t>
      </w:r>
      <w:r w:rsidR="00873520" w:rsidRPr="00420B97">
        <w:rPr>
          <w:sz w:val="28"/>
          <w:szCs w:val="28"/>
        </w:rPr>
        <w:t>m</w:t>
      </w:r>
      <w:r w:rsidR="00082BEC" w:rsidRPr="00420B97">
        <w:rPr>
          <w:sz w:val="28"/>
          <w:szCs w:val="28"/>
        </w:rPr>
        <w:t xml:space="preserve">edical </w:t>
      </w:r>
      <w:r w:rsidR="00873520" w:rsidRPr="00420B97">
        <w:rPr>
          <w:sz w:val="28"/>
          <w:szCs w:val="28"/>
        </w:rPr>
        <w:t xml:space="preserve">and other waste including </w:t>
      </w:r>
      <w:r w:rsidR="00395193">
        <w:rPr>
          <w:sz w:val="28"/>
          <w:szCs w:val="28"/>
        </w:rPr>
        <w:t>of</w:t>
      </w:r>
      <w:r w:rsidR="00873520" w:rsidRPr="00420B97">
        <w:rPr>
          <w:sz w:val="28"/>
          <w:szCs w:val="28"/>
        </w:rPr>
        <w:t xml:space="preserve"> waste trade to </w:t>
      </w:r>
      <w:r w:rsidR="00163974">
        <w:rPr>
          <w:sz w:val="28"/>
          <w:szCs w:val="28"/>
        </w:rPr>
        <w:t>LDCs</w:t>
      </w:r>
      <w:r w:rsidR="00873520" w:rsidRPr="00420B97">
        <w:rPr>
          <w:sz w:val="28"/>
          <w:szCs w:val="28"/>
        </w:rPr>
        <w:t>.</w:t>
      </w:r>
    </w:p>
    <w:p w14:paraId="3A14492F" w14:textId="77777777" w:rsidR="007D62F2" w:rsidRPr="00420B97" w:rsidRDefault="00420B97" w:rsidP="00752DC7">
      <w:pPr>
        <w:jc w:val="both"/>
        <w:rPr>
          <w:sz w:val="28"/>
          <w:szCs w:val="28"/>
        </w:rPr>
      </w:pPr>
      <w:r>
        <w:rPr>
          <w:sz w:val="28"/>
          <w:szCs w:val="28"/>
        </w:rPr>
        <w:t>T</w:t>
      </w:r>
      <w:r w:rsidRPr="00420B97">
        <w:rPr>
          <w:sz w:val="28"/>
          <w:szCs w:val="28"/>
        </w:rPr>
        <w:t xml:space="preserve">he SG and the HC have called vaccines and other relevant technologies to be treated as world public goods. We are all on this together, and only when </w:t>
      </w:r>
      <w:r w:rsidR="00395193">
        <w:rPr>
          <w:sz w:val="28"/>
          <w:szCs w:val="28"/>
        </w:rPr>
        <w:t>the weakest among is safe from COVID-19 will we all overcome the current crisis.</w:t>
      </w:r>
    </w:p>
    <w:p w14:paraId="37485755" w14:textId="77777777" w:rsidR="00420B97" w:rsidRDefault="00420B97" w:rsidP="00752DC7">
      <w:pPr>
        <w:rPr>
          <w:sz w:val="28"/>
          <w:szCs w:val="28"/>
        </w:rPr>
      </w:pPr>
      <w:r>
        <w:rPr>
          <w:sz w:val="28"/>
          <w:szCs w:val="28"/>
        </w:rPr>
        <w:t>Excellencies,</w:t>
      </w:r>
      <w:r w:rsidR="00752DC7">
        <w:rPr>
          <w:sz w:val="28"/>
          <w:szCs w:val="28"/>
        </w:rPr>
        <w:t xml:space="preserve"> </w:t>
      </w:r>
      <w:r>
        <w:rPr>
          <w:sz w:val="28"/>
          <w:szCs w:val="28"/>
        </w:rPr>
        <w:t>Ladies and Gentlemen</w:t>
      </w:r>
    </w:p>
    <w:p w14:paraId="6D4B27C0" w14:textId="77777777" w:rsidR="00163974" w:rsidRPr="00420B97" w:rsidRDefault="00752DC7" w:rsidP="00752DC7">
      <w:pPr>
        <w:jc w:val="both"/>
        <w:rPr>
          <w:sz w:val="28"/>
          <w:szCs w:val="28"/>
        </w:rPr>
      </w:pPr>
      <w:r>
        <w:rPr>
          <w:sz w:val="28"/>
          <w:szCs w:val="28"/>
        </w:rPr>
        <w:t xml:space="preserve">The virus threatens everyone. </w:t>
      </w:r>
      <w:r w:rsidR="00163974" w:rsidRPr="00752DC7">
        <w:rPr>
          <w:sz w:val="28"/>
          <w:szCs w:val="28"/>
        </w:rPr>
        <w:t>Cl</w:t>
      </w:r>
      <w:r>
        <w:rPr>
          <w:sz w:val="28"/>
          <w:szCs w:val="28"/>
        </w:rPr>
        <w:t>imate change threatens everyone.</w:t>
      </w:r>
      <w:r w:rsidR="00163974" w:rsidRPr="00752DC7">
        <w:rPr>
          <w:sz w:val="28"/>
          <w:szCs w:val="28"/>
        </w:rPr>
        <w:t xml:space="preserve"> Human rights uplift everyone. By respecting human rights in this time of crisis, we will build more effective and inclusive solutions for the emergency of today and the recovery for tomorrow.</w:t>
      </w:r>
    </w:p>
    <w:p w14:paraId="7740E2B6" w14:textId="77777777" w:rsidR="00163974" w:rsidRPr="00752DC7" w:rsidRDefault="00163974" w:rsidP="00752DC7">
      <w:pPr>
        <w:jc w:val="both"/>
        <w:rPr>
          <w:b/>
          <w:bCs/>
          <w:sz w:val="28"/>
          <w:szCs w:val="28"/>
        </w:rPr>
      </w:pPr>
      <w:r w:rsidRPr="00752DC7">
        <w:rPr>
          <w:b/>
          <w:bCs/>
          <w:sz w:val="28"/>
          <w:szCs w:val="28"/>
        </w:rPr>
        <w:t>Bearing this in mind, I would like to ask participants how can human rights, including the right to development, and the right to a healthy and sustainable environment, be integrated to the new Programme of Action?</w:t>
      </w:r>
    </w:p>
    <w:sectPr w:rsidR="00163974" w:rsidRPr="00752D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9696D" w14:textId="77777777" w:rsidR="00752DC7" w:rsidRDefault="00752DC7" w:rsidP="00752DC7">
      <w:pPr>
        <w:spacing w:after="0" w:line="240" w:lineRule="auto"/>
      </w:pPr>
      <w:r>
        <w:separator/>
      </w:r>
    </w:p>
  </w:endnote>
  <w:endnote w:type="continuationSeparator" w:id="0">
    <w:p w14:paraId="678E5735" w14:textId="77777777" w:rsidR="00752DC7" w:rsidRDefault="00752DC7" w:rsidP="0075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5AC2B" w14:textId="77777777" w:rsidR="00752DC7" w:rsidRDefault="00752DC7" w:rsidP="00752DC7">
      <w:pPr>
        <w:spacing w:after="0" w:line="240" w:lineRule="auto"/>
      </w:pPr>
      <w:r>
        <w:separator/>
      </w:r>
    </w:p>
  </w:footnote>
  <w:footnote w:type="continuationSeparator" w:id="0">
    <w:p w14:paraId="226A9316" w14:textId="77777777" w:rsidR="00752DC7" w:rsidRDefault="00752DC7" w:rsidP="00752DC7">
      <w:pPr>
        <w:spacing w:after="0" w:line="240" w:lineRule="auto"/>
      </w:pPr>
      <w:r>
        <w:continuationSeparator/>
      </w:r>
    </w:p>
  </w:footnote>
  <w:footnote w:id="1">
    <w:p w14:paraId="6D9985EF" w14:textId="77777777" w:rsidR="00752DC7" w:rsidRDefault="00752DC7">
      <w:pPr>
        <w:pStyle w:val="FootnoteText"/>
      </w:pPr>
      <w:r>
        <w:rPr>
          <w:rStyle w:val="FootnoteReference"/>
        </w:rPr>
        <w:footnoteRef/>
      </w:r>
      <w:r>
        <w:t xml:space="preserve"> See </w:t>
      </w:r>
      <w:hyperlink r:id="rId1" w:history="1">
        <w:r w:rsidRPr="001B2E73">
          <w:rPr>
            <w:rStyle w:val="Hyperlink"/>
          </w:rPr>
          <w:t>https://www.ohchr.org/EN/HRBodies/SP/Pages/COVID-19-and-Special-Procedures.aspx</w:t>
        </w:r>
      </w:hyperlink>
      <w:r>
        <w:t xml:space="preserve"> and </w:t>
      </w:r>
      <w:hyperlink r:id="rId2" w:history="1">
        <w:r w:rsidRPr="001B2E73">
          <w:rPr>
            <w:rStyle w:val="Hyperlink"/>
          </w:rPr>
          <w:t>https://www.ohchr.org/EN/HRBodies/Pages/COVID-19-and-TreatyBodies.aspx</w:t>
        </w:r>
      </w:hyperlink>
      <w:r>
        <w:t xml:space="preserve"> </w:t>
      </w:r>
    </w:p>
  </w:footnote>
  <w:footnote w:id="2">
    <w:p w14:paraId="35B424F3" w14:textId="77777777" w:rsidR="00752DC7" w:rsidRPr="00752DC7" w:rsidRDefault="00752DC7">
      <w:pPr>
        <w:pStyle w:val="FootnoteText"/>
      </w:pPr>
      <w:r>
        <w:rPr>
          <w:rStyle w:val="FootnoteReference"/>
        </w:rPr>
        <w:footnoteRef/>
      </w:r>
      <w:r>
        <w:t xml:space="preserve"> </w:t>
      </w:r>
      <w:hyperlink r:id="rId3" w:history="1">
        <w:r w:rsidRPr="001B2E73">
          <w:rPr>
            <w:rStyle w:val="Hyperlink"/>
          </w:rPr>
          <w:t>https://www.ohchr.org/EN/NewsEvents/Pages/COVID19Guidance.aspx</w:t>
        </w:r>
      </w:hyperlink>
      <w:r>
        <w:t xml:space="preserve"> </w:t>
      </w:r>
    </w:p>
  </w:footnote>
  <w:footnote w:id="3">
    <w:p w14:paraId="5AFA5352" w14:textId="77777777" w:rsidR="00752DC7" w:rsidRDefault="00752DC7">
      <w:pPr>
        <w:pStyle w:val="FootnoteText"/>
      </w:pPr>
      <w:r>
        <w:rPr>
          <w:rStyle w:val="FootnoteReference"/>
        </w:rPr>
        <w:footnoteRef/>
      </w:r>
      <w:r>
        <w:t xml:space="preserve"> </w:t>
      </w:r>
      <w:hyperlink r:id="rId4" w:history="1">
        <w:r w:rsidRPr="001B2E73">
          <w:rPr>
            <w:rStyle w:val="Hyperlink"/>
          </w:rPr>
          <w:t>https://www.un.org/sites/un2.un.org/files/un_policy_brief_on_human_rights_and_covid_23_april_2020.pdf</w:t>
        </w:r>
      </w:hyperlink>
      <w:r>
        <w:t xml:space="preserve"> </w:t>
      </w:r>
    </w:p>
  </w:footnote>
  <w:footnote w:id="4">
    <w:p w14:paraId="505B50D9" w14:textId="77777777" w:rsidR="00752DC7" w:rsidRDefault="00752DC7">
      <w:pPr>
        <w:pStyle w:val="FootnoteText"/>
      </w:pPr>
      <w:r>
        <w:rPr>
          <w:rStyle w:val="FootnoteReference"/>
        </w:rPr>
        <w:footnoteRef/>
      </w:r>
      <w:r>
        <w:t xml:space="preserve"> </w:t>
      </w:r>
      <w:hyperlink r:id="rId5" w:history="1">
        <w:r w:rsidRPr="001B2E73">
          <w:rPr>
            <w:rStyle w:val="Hyperlink"/>
          </w:rPr>
          <w:t>https://www.ohchr.org/Documents/Issues/PublicAffairs/GuidelinesRightParticipatePublicAffairs_web.pdf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C2D16"/>
    <w:multiLevelType w:val="hybridMultilevel"/>
    <w:tmpl w:val="2FA65A50"/>
    <w:lvl w:ilvl="0" w:tplc="2C2E3FD4">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93794B"/>
    <w:multiLevelType w:val="hybridMultilevel"/>
    <w:tmpl w:val="FF04C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0E"/>
    <w:rsid w:val="00082BEC"/>
    <w:rsid w:val="00163974"/>
    <w:rsid w:val="002B15F4"/>
    <w:rsid w:val="00375826"/>
    <w:rsid w:val="00395193"/>
    <w:rsid w:val="00420B97"/>
    <w:rsid w:val="005B12C0"/>
    <w:rsid w:val="00752DC7"/>
    <w:rsid w:val="007B0015"/>
    <w:rsid w:val="007D62F2"/>
    <w:rsid w:val="00862990"/>
    <w:rsid w:val="00873520"/>
    <w:rsid w:val="009A6753"/>
    <w:rsid w:val="00A319F0"/>
    <w:rsid w:val="00B358A8"/>
    <w:rsid w:val="00B82E5C"/>
    <w:rsid w:val="00C91298"/>
    <w:rsid w:val="00CC2A5F"/>
    <w:rsid w:val="00EB1C56"/>
    <w:rsid w:val="00EC790E"/>
    <w:rsid w:val="00FA33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D5D8"/>
  <w15:chartTrackingRefBased/>
  <w15:docId w15:val="{3B5A05EA-365C-4A9A-A55F-CD1410CE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90E"/>
    <w:pPr>
      <w:ind w:left="720"/>
      <w:contextualSpacing/>
    </w:pPr>
  </w:style>
  <w:style w:type="character" w:styleId="Hyperlink">
    <w:name w:val="Hyperlink"/>
    <w:basedOn w:val="DefaultParagraphFont"/>
    <w:uiPriority w:val="99"/>
    <w:unhideWhenUsed/>
    <w:rsid w:val="00752DC7"/>
    <w:rPr>
      <w:color w:val="0563C1" w:themeColor="hyperlink"/>
      <w:u w:val="single"/>
    </w:rPr>
  </w:style>
  <w:style w:type="paragraph" w:styleId="FootnoteText">
    <w:name w:val="footnote text"/>
    <w:basedOn w:val="Normal"/>
    <w:link w:val="FootnoteTextChar"/>
    <w:uiPriority w:val="99"/>
    <w:semiHidden/>
    <w:unhideWhenUsed/>
    <w:rsid w:val="00752D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DC7"/>
    <w:rPr>
      <w:sz w:val="20"/>
      <w:szCs w:val="20"/>
    </w:rPr>
  </w:style>
  <w:style w:type="character" w:styleId="FootnoteReference">
    <w:name w:val="footnote reference"/>
    <w:basedOn w:val="DefaultParagraphFont"/>
    <w:uiPriority w:val="99"/>
    <w:semiHidden/>
    <w:unhideWhenUsed/>
    <w:rsid w:val="00752D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4091">
      <w:bodyDiv w:val="1"/>
      <w:marLeft w:val="0"/>
      <w:marRight w:val="0"/>
      <w:marTop w:val="0"/>
      <w:marBottom w:val="0"/>
      <w:divBdr>
        <w:top w:val="none" w:sz="0" w:space="0" w:color="auto"/>
        <w:left w:val="none" w:sz="0" w:space="0" w:color="auto"/>
        <w:bottom w:val="none" w:sz="0" w:space="0" w:color="auto"/>
        <w:right w:val="none" w:sz="0" w:space="0" w:color="auto"/>
      </w:divBdr>
      <w:divsChild>
        <w:div w:id="920601932">
          <w:marLeft w:val="0"/>
          <w:marRight w:val="0"/>
          <w:marTop w:val="0"/>
          <w:marBottom w:val="0"/>
          <w:divBdr>
            <w:top w:val="none" w:sz="0" w:space="0" w:color="auto"/>
            <w:left w:val="none" w:sz="0" w:space="0" w:color="auto"/>
            <w:bottom w:val="none" w:sz="0" w:space="0" w:color="auto"/>
            <w:right w:val="none" w:sz="0" w:space="0" w:color="auto"/>
          </w:divBdr>
        </w:div>
      </w:divsChild>
    </w:div>
    <w:div w:id="497966881">
      <w:bodyDiv w:val="1"/>
      <w:marLeft w:val="0"/>
      <w:marRight w:val="0"/>
      <w:marTop w:val="0"/>
      <w:marBottom w:val="0"/>
      <w:divBdr>
        <w:top w:val="none" w:sz="0" w:space="0" w:color="auto"/>
        <w:left w:val="none" w:sz="0" w:space="0" w:color="auto"/>
        <w:bottom w:val="none" w:sz="0" w:space="0" w:color="auto"/>
        <w:right w:val="none" w:sz="0" w:space="0" w:color="auto"/>
      </w:divBdr>
      <w:divsChild>
        <w:div w:id="563880696">
          <w:marLeft w:val="0"/>
          <w:marRight w:val="0"/>
          <w:marTop w:val="0"/>
          <w:marBottom w:val="0"/>
          <w:divBdr>
            <w:top w:val="none" w:sz="0" w:space="0" w:color="auto"/>
            <w:left w:val="none" w:sz="0" w:space="0" w:color="auto"/>
            <w:bottom w:val="none" w:sz="0" w:space="0" w:color="auto"/>
            <w:right w:val="none" w:sz="0" w:space="0" w:color="auto"/>
          </w:divBdr>
        </w:div>
      </w:divsChild>
    </w:div>
    <w:div w:id="940339506">
      <w:bodyDiv w:val="1"/>
      <w:marLeft w:val="0"/>
      <w:marRight w:val="0"/>
      <w:marTop w:val="0"/>
      <w:marBottom w:val="0"/>
      <w:divBdr>
        <w:top w:val="none" w:sz="0" w:space="0" w:color="auto"/>
        <w:left w:val="none" w:sz="0" w:space="0" w:color="auto"/>
        <w:bottom w:val="none" w:sz="0" w:space="0" w:color="auto"/>
        <w:right w:val="none" w:sz="0" w:space="0" w:color="auto"/>
      </w:divBdr>
    </w:div>
    <w:div w:id="1388725995">
      <w:bodyDiv w:val="1"/>
      <w:marLeft w:val="0"/>
      <w:marRight w:val="0"/>
      <w:marTop w:val="0"/>
      <w:marBottom w:val="0"/>
      <w:divBdr>
        <w:top w:val="none" w:sz="0" w:space="0" w:color="auto"/>
        <w:left w:val="none" w:sz="0" w:space="0" w:color="auto"/>
        <w:bottom w:val="none" w:sz="0" w:space="0" w:color="auto"/>
        <w:right w:val="none" w:sz="0" w:space="0" w:color="auto"/>
      </w:divBdr>
    </w:div>
    <w:div w:id="193790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docs.org/A/HRC/39/2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docs.org/A/HRC/RES/45/2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NewsEvents/Pages/COVID19Guidance.aspx" TargetMode="External"/><Relationship Id="rId2" Type="http://schemas.openxmlformats.org/officeDocument/2006/relationships/hyperlink" Target="https://www.ohchr.org/EN/HRBodies/Pages/COVID-19-and-TreatyBodies.aspx" TargetMode="External"/><Relationship Id="rId1" Type="http://schemas.openxmlformats.org/officeDocument/2006/relationships/hyperlink" Target="https://www.ohchr.org/EN/HRBodies/SP/Pages/COVID-19-and-Special-Procedures.aspx" TargetMode="External"/><Relationship Id="rId5" Type="http://schemas.openxmlformats.org/officeDocument/2006/relationships/hyperlink" Target="https://www.ohchr.org/Documents/Issues/PublicAffairs/GuidelinesRightParticipatePublicAffairs_web.pdf" TargetMode="External"/><Relationship Id="rId4" Type="http://schemas.openxmlformats.org/officeDocument/2006/relationships/hyperlink" Target="https://www.un.org/sites/un2.un.org/files/un_policy_brief_on_human_rights_and_covid_23_april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95514-4652-4AAD-A049-1AE7353B5309}"/>
</file>

<file path=customXml/itemProps2.xml><?xml version="1.0" encoding="utf-8"?>
<ds:datastoreItem xmlns:ds="http://schemas.openxmlformats.org/officeDocument/2006/customXml" ds:itemID="{4F6F08DA-0964-458B-BBB7-947137A2E42B}">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9040124-3724-453e-9e0f-d53a96d17322"/>
    <ds:schemaRef ds:uri="http://www.w3.org/XML/1998/namespace"/>
  </ds:schemaRefs>
</ds:datastoreItem>
</file>

<file path=customXml/itemProps3.xml><?xml version="1.0" encoding="utf-8"?>
<ds:datastoreItem xmlns:ds="http://schemas.openxmlformats.org/officeDocument/2006/customXml" ds:itemID="{21479CC3-82C8-42F5-9906-3B2EBCC7AC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VALADARES Diego</dc:creator>
  <cp:keywords/>
  <dc:description/>
  <cp:lastModifiedBy>MYTNIK Valerie</cp:lastModifiedBy>
  <cp:revision>2</cp:revision>
  <dcterms:created xsi:type="dcterms:W3CDTF">2021-10-22T09:43:00Z</dcterms:created>
  <dcterms:modified xsi:type="dcterms:W3CDTF">2021-10-22T09:43:00Z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