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drawings/drawing3.xml" ContentType="application/vnd.openxmlformats-officedocument.drawingml.chartshapes+xml"/>
  <Override PartName="/word/drawings/drawing1.xml" ContentType="application/vnd.openxmlformats-officedocument.drawingml.chartshapes+xml"/>
  <Override PartName="/word/drawings/drawing2.xml" ContentType="application/vnd.openxmlformats-officedocument.drawingml.chartshapes+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6927" w14:textId="77777777" w:rsidR="003E7793" w:rsidRDefault="003E7793" w:rsidP="003E7793">
      <w:pPr>
        <w:jc w:val="both"/>
        <w:rPr>
          <w:rFonts w:cs="Calibri"/>
        </w:rPr>
      </w:pPr>
    </w:p>
    <w:p w14:paraId="40C7EA6A" w14:textId="77777777" w:rsidR="003E7793" w:rsidRDefault="003E7793" w:rsidP="003E7793">
      <w:pPr>
        <w:rPr>
          <w:rFonts w:cs="Calibri"/>
          <w:b/>
          <w:i/>
          <w:color w:val="00B0F0"/>
          <w:sz w:val="18"/>
          <w:szCs w:val="18"/>
        </w:rPr>
      </w:pPr>
      <w:r>
        <w:rPr>
          <w:rFonts w:cs="Calibri"/>
          <w:b/>
          <w:i/>
          <w:sz w:val="18"/>
          <w:szCs w:val="18"/>
        </w:rPr>
        <w:t>Fig.1: Percent of men and women age 15-49 years who have ever been tested, % who have ever been tested for HIV and know the result of the most recent test, % who have been tested in the 12 months that preceded the survey</w:t>
      </w:r>
    </w:p>
    <w:p w14:paraId="5078B80D" w14:textId="77777777" w:rsidR="003E7793" w:rsidRDefault="003E7793" w:rsidP="003E7793">
      <w:pPr>
        <w:ind w:right="57"/>
        <w:jc w:val="both"/>
        <w:rPr>
          <w:rFonts w:cs="Calibri"/>
          <w:color w:val="FF0000"/>
          <w:sz w:val="22"/>
          <w:szCs w:val="22"/>
          <w:lang w:eastAsia="en-GB"/>
        </w:rPr>
      </w:pPr>
      <w:r>
        <w:rPr>
          <w:noProof/>
          <w:lang w:val="en-ZW" w:eastAsia="en-ZW"/>
        </w:rPr>
        <mc:AlternateContent>
          <mc:Choice Requires="wps">
            <w:drawing>
              <wp:anchor distT="0" distB="0" distL="114300" distR="114300" simplePos="0" relativeHeight="251659264" behindDoc="0" locked="0" layoutInCell="1" allowOverlap="1" wp14:anchorId="606255D2" wp14:editId="3783415E">
                <wp:simplePos x="0" y="0"/>
                <wp:positionH relativeFrom="column">
                  <wp:posOffset>2945130</wp:posOffset>
                </wp:positionH>
                <wp:positionV relativeFrom="paragraph">
                  <wp:posOffset>134620</wp:posOffset>
                </wp:positionV>
                <wp:extent cx="8890" cy="1899285"/>
                <wp:effectExtent l="0" t="0" r="29210" b="247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90" cy="1899285"/>
                        </a:xfrm>
                        <a:prstGeom prst="line">
                          <a:avLst/>
                        </a:prstGeom>
                        <a:noFill/>
                        <a:ln w="1270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9E46B5D"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10.6pt" to="232.6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" strokeweight="1pt">
                <v:stroke joinstyle="miter"/>
                <o:lock v:ext="edit" shapetype="f"/>
              </v:line>
            </w:pict>
          </mc:Fallback>
        </mc:AlternateContent>
      </w:r>
      <w:r>
        <w:rPr>
          <w:rFonts w:cs="Calibri"/>
          <w:noProof/>
          <w:sz w:val="22"/>
          <w:szCs w:val="22"/>
          <w:lang w:val="en-ZW" w:eastAsia="en-ZW"/>
        </w:rPr>
        <w:drawing>
          <wp:inline distT="0" distB="0" distL="0" distR="0" wp14:anchorId="416F7217" wp14:editId="6B78A602">
            <wp:extent cx="5624830" cy="2891790"/>
            <wp:effectExtent l="0" t="0" r="13970" b="38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239B8DE" w14:textId="77777777" w:rsidR="003E7793" w:rsidRDefault="003E7793" w:rsidP="003E7793">
      <w:pPr>
        <w:rPr>
          <w:rFonts w:cs="Calibri"/>
        </w:rPr>
      </w:pPr>
    </w:p>
    <w:p w14:paraId="3B75F6F0" w14:textId="77777777" w:rsidR="00820377" w:rsidRDefault="00820377"/>
    <w:p w14:paraId="378F2A4F" w14:textId="77777777" w:rsidR="003E7793" w:rsidRDefault="003E7793" w:rsidP="003E7793">
      <w:pPr>
        <w:jc w:val="both"/>
        <w:rPr>
          <w:rFonts w:cs="Calibri"/>
          <w:b/>
          <w:i/>
          <w:sz w:val="18"/>
          <w:szCs w:val="18"/>
        </w:rPr>
      </w:pPr>
      <w:r>
        <w:rPr>
          <w:rFonts w:cs="Calibri"/>
          <w:b/>
          <w:i/>
          <w:sz w:val="18"/>
          <w:szCs w:val="18"/>
        </w:rPr>
        <w:t xml:space="preserve">Fig 2: Irrigation schemes under the More Food </w:t>
      </w:r>
      <w:proofErr w:type="spellStart"/>
      <w:r>
        <w:rPr>
          <w:rFonts w:cs="Calibri"/>
          <w:b/>
          <w:i/>
          <w:sz w:val="18"/>
          <w:szCs w:val="18"/>
        </w:rPr>
        <w:t>Programme</w:t>
      </w:r>
      <w:proofErr w:type="spellEnd"/>
      <w:r>
        <w:rPr>
          <w:rFonts w:cs="Calibri"/>
          <w:b/>
          <w:i/>
          <w:sz w:val="18"/>
          <w:szCs w:val="18"/>
        </w:rPr>
        <w:t>, Source: Ministry of Agriculture, 2020</w:t>
      </w:r>
    </w:p>
    <w:p w14:paraId="0A56D95E" w14:textId="77777777" w:rsidR="003E7793" w:rsidRDefault="003E7793" w:rsidP="003E7793">
      <w:r>
        <w:rPr>
          <w:rFonts w:cs="Calibri"/>
          <w:noProof/>
          <w:sz w:val="22"/>
          <w:szCs w:val="22"/>
          <w:lang w:val="en-ZW" w:eastAsia="en-ZW"/>
        </w:rPr>
        <w:drawing>
          <wp:inline distT="0" distB="0" distL="0" distR="0" wp14:anchorId="0E8589C6" wp14:editId="34032BE6">
            <wp:extent cx="5257800" cy="34099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DD9542" w14:textId="77777777" w:rsidR="003E7793" w:rsidRDefault="003E7793" w:rsidP="003E7793"/>
    <w:p w14:paraId="0FB3E1F7" w14:textId="77777777" w:rsidR="003E7793" w:rsidRDefault="003E7793" w:rsidP="003E7793"/>
    <w:p w14:paraId="02F0842C" w14:textId="77777777" w:rsidR="003E7793" w:rsidRDefault="003E7793" w:rsidP="003E7793">
      <w:pPr>
        <w:jc w:val="both"/>
        <w:rPr>
          <w:rFonts w:cs="Calibri"/>
          <w:b/>
          <w:i/>
          <w:sz w:val="18"/>
          <w:szCs w:val="18"/>
        </w:rPr>
      </w:pPr>
    </w:p>
    <w:p w14:paraId="600B2B61" w14:textId="77777777" w:rsidR="003E7793" w:rsidRDefault="003E7793" w:rsidP="003E7793">
      <w:pPr>
        <w:jc w:val="both"/>
        <w:rPr>
          <w:rFonts w:cs="Calibri"/>
          <w:b/>
          <w:i/>
          <w:sz w:val="18"/>
          <w:szCs w:val="18"/>
        </w:rPr>
      </w:pPr>
    </w:p>
    <w:p w14:paraId="278C0634" w14:textId="77777777" w:rsidR="003E7793" w:rsidRDefault="003E7793" w:rsidP="003E7793">
      <w:pPr>
        <w:jc w:val="both"/>
        <w:rPr>
          <w:rFonts w:cs="Calibri"/>
          <w:b/>
          <w:i/>
          <w:sz w:val="18"/>
          <w:szCs w:val="18"/>
        </w:rPr>
      </w:pPr>
    </w:p>
    <w:p w14:paraId="41D6BAD4" w14:textId="77777777" w:rsidR="003E7793" w:rsidRDefault="003E7793" w:rsidP="003E7793">
      <w:pPr>
        <w:jc w:val="both"/>
        <w:rPr>
          <w:rFonts w:cs="Calibri"/>
          <w:b/>
          <w:i/>
          <w:sz w:val="18"/>
          <w:szCs w:val="18"/>
        </w:rPr>
      </w:pPr>
    </w:p>
    <w:p w14:paraId="65CA2ADC" w14:textId="77777777" w:rsidR="003E7793" w:rsidRDefault="003E7793" w:rsidP="003E7793">
      <w:pPr>
        <w:jc w:val="both"/>
        <w:rPr>
          <w:rFonts w:cs="Calibri"/>
          <w:b/>
          <w:i/>
          <w:sz w:val="18"/>
          <w:szCs w:val="18"/>
        </w:rPr>
      </w:pPr>
    </w:p>
    <w:p w14:paraId="17DB1D94" w14:textId="77777777" w:rsidR="003E7793" w:rsidRDefault="003E7793" w:rsidP="003E7793">
      <w:pPr>
        <w:jc w:val="both"/>
        <w:rPr>
          <w:rFonts w:cs="Calibri"/>
          <w:b/>
          <w:i/>
          <w:sz w:val="18"/>
          <w:szCs w:val="18"/>
        </w:rPr>
      </w:pPr>
    </w:p>
    <w:p w14:paraId="4C0A8092" w14:textId="77777777" w:rsidR="003E7793" w:rsidRDefault="003E7793" w:rsidP="003E7793">
      <w:pPr>
        <w:jc w:val="both"/>
        <w:rPr>
          <w:rFonts w:cs="Calibri"/>
          <w:b/>
          <w:i/>
          <w:sz w:val="18"/>
          <w:szCs w:val="18"/>
        </w:rPr>
      </w:pPr>
    </w:p>
    <w:p w14:paraId="49F337A8" w14:textId="77777777" w:rsidR="003E7793" w:rsidRDefault="003E7793" w:rsidP="003E7793">
      <w:pPr>
        <w:jc w:val="both"/>
        <w:rPr>
          <w:rFonts w:cs="Calibri"/>
          <w:b/>
          <w:i/>
          <w:sz w:val="18"/>
          <w:szCs w:val="18"/>
        </w:rPr>
      </w:pPr>
    </w:p>
    <w:p w14:paraId="12AB00F9" w14:textId="77777777" w:rsidR="003E7793" w:rsidRDefault="003E7793" w:rsidP="003E7793">
      <w:pPr>
        <w:jc w:val="both"/>
        <w:rPr>
          <w:rFonts w:cs="Calibri"/>
          <w:b/>
          <w:i/>
          <w:sz w:val="18"/>
          <w:szCs w:val="18"/>
        </w:rPr>
      </w:pPr>
    </w:p>
    <w:p w14:paraId="45511B3C" w14:textId="77777777" w:rsidR="003E7793" w:rsidRDefault="003E7793" w:rsidP="003E7793">
      <w:pPr>
        <w:jc w:val="both"/>
        <w:rPr>
          <w:rFonts w:cs="Calibri"/>
          <w:b/>
          <w:i/>
          <w:color w:val="FF0000"/>
          <w:sz w:val="22"/>
          <w:szCs w:val="22"/>
        </w:rPr>
      </w:pPr>
      <w:r>
        <w:rPr>
          <w:rFonts w:cs="Calibri"/>
          <w:b/>
          <w:i/>
          <w:sz w:val="18"/>
          <w:szCs w:val="18"/>
        </w:rPr>
        <w:lastRenderedPageBreak/>
        <w:t xml:space="preserve">Fig 3: Beneficiaries under the More Food </w:t>
      </w:r>
      <w:proofErr w:type="spellStart"/>
      <w:r>
        <w:rPr>
          <w:rFonts w:cs="Calibri"/>
          <w:b/>
          <w:i/>
          <w:sz w:val="18"/>
          <w:szCs w:val="18"/>
        </w:rPr>
        <w:t>Programme</w:t>
      </w:r>
      <w:proofErr w:type="spellEnd"/>
      <w:r>
        <w:rPr>
          <w:rFonts w:cs="Calibri"/>
          <w:b/>
          <w:i/>
          <w:sz w:val="18"/>
          <w:szCs w:val="18"/>
        </w:rPr>
        <w:t xml:space="preserve"> by sex and province, Source: Ministry of Agriculture, 2020</w:t>
      </w:r>
    </w:p>
    <w:p w14:paraId="538EB146" w14:textId="77777777" w:rsidR="003E7793" w:rsidRDefault="003E7793" w:rsidP="003E7793">
      <w:r>
        <w:rPr>
          <w:rFonts w:cs="Calibri"/>
          <w:noProof/>
          <w:sz w:val="22"/>
          <w:szCs w:val="22"/>
          <w:lang w:val="en-ZW" w:eastAsia="en-ZW"/>
        </w:rPr>
        <w:drawing>
          <wp:inline distT="0" distB="0" distL="0" distR="0" wp14:anchorId="78B7EE84" wp14:editId="43464799">
            <wp:extent cx="5524500" cy="279082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33BA86" w14:textId="77777777" w:rsidR="00D8080A" w:rsidRDefault="00D8080A" w:rsidP="00D8080A">
      <w:pPr>
        <w:ind w:left="425"/>
        <w:jc w:val="both"/>
        <w:rPr>
          <w:rFonts w:cs="Calibri"/>
          <w:i/>
          <w:color w:val="000000"/>
        </w:rPr>
      </w:pPr>
      <w:r>
        <w:rPr>
          <w:noProof/>
          <w:lang w:val="en-ZW" w:eastAsia="en-ZW"/>
        </w:rPr>
        <w:drawing>
          <wp:anchor distT="6096" distB="7239" distL="120396" distR="118491" simplePos="0" relativeHeight="251661312" behindDoc="0" locked="0" layoutInCell="1" allowOverlap="1" wp14:anchorId="7A3585FB" wp14:editId="7261E05F">
            <wp:simplePos x="0" y="0"/>
            <wp:positionH relativeFrom="margin">
              <wp:posOffset>304546</wp:posOffset>
            </wp:positionH>
            <wp:positionV relativeFrom="paragraph">
              <wp:posOffset>249301</wp:posOffset>
            </wp:positionV>
            <wp:extent cx="4847590" cy="2028825"/>
            <wp:effectExtent l="0" t="0" r="10160" b="9525"/>
            <wp:wrapTopAndBottom/>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rFonts w:cs="Calibri"/>
          <w:b/>
          <w:i/>
          <w:color w:val="000000"/>
        </w:rPr>
        <w:t>Fig 4. Dietary Diversity Scores of food consumed by households in Zimbabwe</w:t>
      </w:r>
    </w:p>
    <w:p w14:paraId="6F877653" w14:textId="77777777" w:rsidR="00D8080A" w:rsidRDefault="00D8080A" w:rsidP="003E7793"/>
    <w:p w14:paraId="3AD35194" w14:textId="77777777" w:rsidR="00D8080A" w:rsidRDefault="00D8080A" w:rsidP="00D8080A">
      <w:pPr>
        <w:pStyle w:val="CommentText"/>
        <w:rPr>
          <w:rFonts w:cs="Calibri"/>
          <w:b/>
          <w:i/>
          <w:sz w:val="18"/>
          <w:szCs w:val="18"/>
          <w:lang w:eastAsia="en-US"/>
        </w:rPr>
      </w:pPr>
      <w:r>
        <w:rPr>
          <w:rFonts w:cs="Calibri"/>
          <w:b/>
          <w:i/>
          <w:sz w:val="18"/>
          <w:szCs w:val="18"/>
          <w:lang w:eastAsia="en-US"/>
        </w:rPr>
        <w:t xml:space="preserve">Figure 5: Number of children with disabilities enrolled in primary and secondary education </w:t>
      </w:r>
    </w:p>
    <w:p w14:paraId="57ED6551" w14:textId="77777777" w:rsidR="00D8080A" w:rsidRDefault="00D8080A" w:rsidP="00D8080A">
      <w:pPr>
        <w:pStyle w:val="CommentText"/>
        <w:rPr>
          <w:rFonts w:cs="Calibri"/>
          <w:sz w:val="22"/>
          <w:szCs w:val="22"/>
          <w:lang w:eastAsia="en-US"/>
        </w:rPr>
      </w:pPr>
    </w:p>
    <w:p w14:paraId="4954CA5D" w14:textId="77777777" w:rsidR="00D8080A" w:rsidRDefault="00D8080A" w:rsidP="00D8080A">
      <w:r>
        <w:rPr>
          <w:noProof/>
          <w:lang w:val="en-ZW" w:eastAsia="en-ZW"/>
        </w:rPr>
        <w:drawing>
          <wp:inline distT="0" distB="0" distL="0" distR="0" wp14:anchorId="2FE995D2" wp14:editId="2F257620">
            <wp:extent cx="5467350" cy="245745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E427E0" w14:textId="77777777" w:rsidR="00D8080A" w:rsidRDefault="00D8080A" w:rsidP="00D8080A"/>
    <w:p w14:paraId="4FDAB143" w14:textId="77777777" w:rsidR="00D8080A" w:rsidRDefault="00D8080A" w:rsidP="00D8080A">
      <w:pPr>
        <w:spacing w:line="259" w:lineRule="auto"/>
        <w:jc w:val="both"/>
        <w:rPr>
          <w:rFonts w:eastAsia="Calibri" w:cs="Calibri"/>
          <w:b/>
          <w:color w:val="FF0000"/>
          <w:lang w:val="en-ZW" w:eastAsia="en-US"/>
        </w:rPr>
      </w:pPr>
      <w:r>
        <w:rPr>
          <w:rFonts w:cs="Calibri"/>
          <w:sz w:val="18"/>
          <w:szCs w:val="18"/>
        </w:rPr>
        <w:t xml:space="preserve">Fig. 6 below shows the status of cases which were received and attended to by the High, Magistrate Civil and Criminal courts in 2019 and 2020. From the figure it is noteworthy that the courts </w:t>
      </w:r>
      <w:proofErr w:type="spellStart"/>
      <w:r>
        <w:rPr>
          <w:rFonts w:cs="Calibri"/>
          <w:sz w:val="18"/>
          <w:szCs w:val="18"/>
        </w:rPr>
        <w:t>finalised</w:t>
      </w:r>
      <w:proofErr w:type="spellEnd"/>
      <w:r>
        <w:rPr>
          <w:rFonts w:cs="Calibri"/>
          <w:sz w:val="18"/>
          <w:szCs w:val="18"/>
        </w:rPr>
        <w:t xml:space="preserve"> the majority of cases during the year that they first received them and thus carried few cases to the following year.</w:t>
      </w:r>
    </w:p>
    <w:p w14:paraId="13CF3EF8" w14:textId="77777777" w:rsidR="00D8080A" w:rsidRDefault="00D8080A" w:rsidP="00D8080A">
      <w:pPr>
        <w:tabs>
          <w:tab w:val="left" w:pos="425"/>
        </w:tabs>
        <w:kinsoku w:val="0"/>
        <w:overflowPunct w:val="0"/>
        <w:ind w:right="115"/>
        <w:jc w:val="both"/>
        <w:rPr>
          <w:rFonts w:cs="Calibri"/>
          <w:color w:val="FF0000"/>
          <w:spacing w:val="15"/>
          <w:sz w:val="22"/>
          <w:szCs w:val="22"/>
        </w:rPr>
      </w:pPr>
    </w:p>
    <w:p w14:paraId="10AF6B97" w14:textId="77777777" w:rsidR="00D8080A" w:rsidRDefault="00D8080A" w:rsidP="00D8080A">
      <w:pPr>
        <w:tabs>
          <w:tab w:val="left" w:pos="425"/>
        </w:tabs>
        <w:kinsoku w:val="0"/>
        <w:overflowPunct w:val="0"/>
        <w:ind w:right="115"/>
        <w:jc w:val="both"/>
        <w:rPr>
          <w:rFonts w:cs="Calibri"/>
          <w:b/>
          <w:i/>
          <w:spacing w:val="15"/>
          <w:sz w:val="22"/>
          <w:szCs w:val="22"/>
        </w:rPr>
      </w:pPr>
      <w:r>
        <w:rPr>
          <w:rFonts w:cs="Calibri"/>
          <w:b/>
          <w:i/>
          <w:spacing w:val="15"/>
          <w:sz w:val="22"/>
          <w:szCs w:val="22"/>
        </w:rPr>
        <w:t>Fig 6: High court, civil and criminal magistrates’ caseloads 2019-2020</w:t>
      </w:r>
    </w:p>
    <w:p w14:paraId="34BF3BE0" w14:textId="77777777" w:rsidR="00D8080A" w:rsidRDefault="00D8080A" w:rsidP="00D8080A">
      <w:r>
        <w:rPr>
          <w:noProof/>
          <w:lang w:val="en-ZW" w:eastAsia="en-ZW"/>
        </w:rPr>
        <mc:AlternateContent>
          <mc:Choice Requires="wps">
            <w:drawing>
              <wp:anchor distT="4294967295" distB="4294967295" distL="114300" distR="114300" simplePos="0" relativeHeight="251663360" behindDoc="0" locked="0" layoutInCell="1" allowOverlap="1" wp14:anchorId="4B31857D" wp14:editId="45DADA69">
                <wp:simplePos x="0" y="0"/>
                <wp:positionH relativeFrom="column">
                  <wp:posOffset>584200</wp:posOffset>
                </wp:positionH>
                <wp:positionV relativeFrom="paragraph">
                  <wp:posOffset>2913379</wp:posOffset>
                </wp:positionV>
                <wp:extent cx="4102100" cy="0"/>
                <wp:effectExtent l="0" t="0" r="317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2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DF6D44"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229.4pt" to="369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" strokecolor="windowText" strokeweight=".5pt">
                <v:stroke joinstyle="miter"/>
                <o:lock v:ext="edit" shapetype="f"/>
              </v:line>
            </w:pict>
          </mc:Fallback>
        </mc:AlternateContent>
      </w:r>
      <w:r>
        <w:rPr>
          <w:rFonts w:cs="Calibri"/>
          <w:noProof/>
          <w:sz w:val="22"/>
          <w:szCs w:val="22"/>
          <w:lang w:val="en-ZW" w:eastAsia="en-ZW"/>
        </w:rPr>
        <w:drawing>
          <wp:inline distT="0" distB="0" distL="0" distR="0" wp14:anchorId="77F9CB5A" wp14:editId="44FB3A66">
            <wp:extent cx="5274945" cy="3718560"/>
            <wp:effectExtent l="0" t="0" r="1905" b="1524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68C6CF" w14:textId="77777777" w:rsidR="00D8080A" w:rsidRDefault="00D8080A" w:rsidP="00D8080A"/>
    <w:p w14:paraId="799FC325" w14:textId="77777777" w:rsidR="00D8080A" w:rsidRDefault="00D8080A" w:rsidP="00D8080A">
      <w:pPr>
        <w:tabs>
          <w:tab w:val="left" w:pos="425"/>
        </w:tabs>
        <w:ind w:left="425"/>
        <w:rPr>
          <w:rFonts w:cs="Calibri"/>
          <w:b/>
          <w:bCs/>
          <w:i/>
          <w:sz w:val="18"/>
          <w:szCs w:val="18"/>
        </w:rPr>
      </w:pPr>
      <w:r>
        <w:rPr>
          <w:rFonts w:cs="Calibri"/>
          <w:b/>
          <w:bCs/>
          <w:i/>
          <w:sz w:val="18"/>
          <w:szCs w:val="18"/>
        </w:rPr>
        <w:t xml:space="preserve">Fig 7: Money distributed to SMEs by sex of beneficiary </w:t>
      </w:r>
    </w:p>
    <w:p w14:paraId="010E5B61" w14:textId="77777777" w:rsidR="00D8080A" w:rsidRDefault="00D8080A" w:rsidP="00D8080A">
      <w:pPr>
        <w:tabs>
          <w:tab w:val="left" w:pos="425"/>
        </w:tabs>
        <w:ind w:left="425"/>
        <w:rPr>
          <w:rFonts w:cs="Calibri"/>
          <w:b/>
          <w:bCs/>
          <w:i/>
          <w:sz w:val="18"/>
          <w:szCs w:val="18"/>
        </w:rPr>
      </w:pPr>
      <w:r>
        <w:rPr>
          <w:noProof/>
          <w:lang w:val="en-ZW" w:eastAsia="en-ZW"/>
        </w:rPr>
        <w:drawing>
          <wp:inline distT="0" distB="0" distL="0" distR="0" wp14:anchorId="74FC3AE3" wp14:editId="0B6BFC85">
            <wp:extent cx="5006340" cy="3006090"/>
            <wp:effectExtent l="0" t="0" r="3810" b="38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D4524F" w14:textId="77777777" w:rsidR="00D8080A" w:rsidRDefault="00D8080A" w:rsidP="00D8080A">
      <w:pPr>
        <w:tabs>
          <w:tab w:val="left" w:pos="425"/>
        </w:tabs>
        <w:ind w:left="425"/>
        <w:rPr>
          <w:rFonts w:cs="Calibri"/>
          <w:b/>
          <w:bCs/>
          <w:i/>
          <w:sz w:val="18"/>
          <w:szCs w:val="18"/>
        </w:rPr>
      </w:pPr>
    </w:p>
    <w:p w14:paraId="526671C6" w14:textId="77777777" w:rsidR="00D8080A" w:rsidRDefault="00D8080A" w:rsidP="00D8080A">
      <w:pPr>
        <w:tabs>
          <w:tab w:val="left" w:pos="425"/>
        </w:tabs>
        <w:ind w:left="425"/>
        <w:rPr>
          <w:rFonts w:cs="Calibri"/>
          <w:b/>
          <w:bCs/>
          <w:i/>
          <w:sz w:val="18"/>
          <w:szCs w:val="18"/>
        </w:rPr>
      </w:pPr>
    </w:p>
    <w:p w14:paraId="3F278C70" w14:textId="77777777" w:rsidR="00D8080A" w:rsidRDefault="00D8080A" w:rsidP="00D8080A">
      <w:pPr>
        <w:tabs>
          <w:tab w:val="left" w:pos="425"/>
        </w:tabs>
        <w:ind w:left="425"/>
        <w:rPr>
          <w:rFonts w:cs="Calibri"/>
          <w:b/>
          <w:bCs/>
          <w:i/>
          <w:sz w:val="18"/>
          <w:szCs w:val="18"/>
        </w:rPr>
      </w:pPr>
    </w:p>
    <w:p w14:paraId="6B437C34" w14:textId="77777777" w:rsidR="00D8080A" w:rsidRDefault="00D8080A" w:rsidP="00D8080A"/>
    <w:p w14:paraId="1700B6BA" w14:textId="77777777" w:rsidR="00D8080A" w:rsidRDefault="00D8080A" w:rsidP="00D8080A"/>
    <w:p w14:paraId="116EBD56" w14:textId="77777777" w:rsidR="00D8080A" w:rsidRDefault="00D8080A" w:rsidP="00D8080A"/>
    <w:sectPr w:rsidR="00D80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93"/>
    <w:rsid w:val="00352E8A"/>
    <w:rsid w:val="003E7793"/>
    <w:rsid w:val="00546126"/>
    <w:rsid w:val="00744355"/>
    <w:rsid w:val="00820377"/>
    <w:rsid w:val="00A722B5"/>
    <w:rsid w:val="00D8080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C08B"/>
  <w15:chartTrackingRefBased/>
  <w15:docId w15:val="{D9BAC490-7F57-417F-BD64-61811D08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93"/>
    <w:pPr>
      <w:spacing w:after="0" w:line="240" w:lineRule="auto"/>
    </w:pPr>
    <w:rPr>
      <w:rFonts w:ascii="Calibri" w:eastAsia="SimSun" w:hAnsi="Calibri"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sid w:val="00D8080A"/>
  </w:style>
  <w:style w:type="character" w:customStyle="1" w:styleId="CommentTextChar">
    <w:name w:val="Comment Text Char"/>
    <w:basedOn w:val="DefaultParagraphFont"/>
    <w:link w:val="CommentText"/>
    <w:qFormat/>
    <w:rsid w:val="00D8080A"/>
    <w:rPr>
      <w:rFonts w:ascii="Calibri" w:eastAsia="SimSu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5" Type="http://schemas.openxmlformats.org/officeDocument/2006/relationships/customXml" Target="../customXml/item3.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Xolani%20Moyo\Documents\UPR%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2.xml"/><Relationship Id="rId4" Type="http://schemas.openxmlformats.org/officeDocument/2006/relationships/oleObject" Target="Chart%20in%20Microsoft%20Word"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3.xml"/><Relationship Id="rId4" Type="http://schemas.openxmlformats.org/officeDocument/2006/relationships/oleObject" Target="file:///C:\Users\HP\Documents\Judicial%20and%20Social%20Welfare\UPR\fwduprinforgapareas%20Kadoma\JSC.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6" Type="http://schemas.openxmlformats.org/officeDocument/2006/relationships/oleObject" Target="file:///C:\Users\HP\Documents\Judicial%20and%20Social%20Welfare\UPR\fwduprinforgapareas%20Kadoma\JSC.xlsx" TargetMode="External"/><Relationship Id="rId5" Type="http://schemas.openxmlformats.org/officeDocument/2006/relationships/image" Target="../media/image2.jpeg"/><Relationship Id="rId4"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735122819410097E-2"/>
          <c:y val="4.8003491162993697E-2"/>
          <c:w val="0.913084578148048"/>
          <c:h val="0.65505797701536495"/>
        </c:manualLayout>
      </c:layout>
      <c:barChart>
        <c:barDir val="col"/>
        <c:grouping val="clustered"/>
        <c:varyColors val="0"/>
        <c:ser>
          <c:idx val="0"/>
          <c:order val="0"/>
          <c:tx>
            <c:strRef>
              <c:f>Sheet1!$C$7</c:f>
              <c:strCache>
                <c:ptCount val="1"/>
                <c:pt idx="0">
                  <c:v>2010-2011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Sheet1!$B$8:$B$12</c:f>
              <c:strCache>
                <c:ptCount val="5"/>
                <c:pt idx="0">
                  <c:v>Ever tested and received the results</c:v>
                </c:pt>
                <c:pt idx="1">
                  <c:v>Tested 12 months before the survey and received the results</c:v>
                </c:pt>
                <c:pt idx="3">
                  <c:v>Ever tested and received the results</c:v>
                </c:pt>
                <c:pt idx="4">
                  <c:v>Tested 12 months before the survey and received the results</c:v>
                </c:pt>
              </c:strCache>
            </c:strRef>
          </c:cat>
          <c:val>
            <c:numRef>
              <c:f>Sheet1!$C$8:$C$12</c:f>
              <c:numCache>
                <c:formatCode>General</c:formatCode>
                <c:ptCount val="5"/>
                <c:pt idx="0">
                  <c:v>21</c:v>
                </c:pt>
                <c:pt idx="1">
                  <c:v>14</c:v>
                </c:pt>
                <c:pt idx="3">
                  <c:v>45</c:v>
                </c:pt>
                <c:pt idx="4">
                  <c:v>30</c:v>
                </c:pt>
              </c:numCache>
            </c:numRef>
          </c:val>
          <c:extLst>
            <c:ext xmlns:c16="http://schemas.microsoft.com/office/drawing/2014/chart" uri="{C3380CC4-5D6E-409C-BE32-E72D297353CC}">
              <c16:uniqueId val="{00000000-BFBB-5844-8481-DFC95C143319}"/>
            </c:ext>
          </c:extLst>
        </c:ser>
        <c:ser>
          <c:idx val="1"/>
          <c:order val="1"/>
          <c:tx>
            <c:strRef>
              <c:f>Sheet1!$D$7</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Sheet1!$B$8:$B$12</c:f>
              <c:strCache>
                <c:ptCount val="5"/>
                <c:pt idx="0">
                  <c:v>Ever tested and received the results</c:v>
                </c:pt>
                <c:pt idx="1">
                  <c:v>Tested 12 months before the survey and received the results</c:v>
                </c:pt>
                <c:pt idx="3">
                  <c:v>Ever tested and received the results</c:v>
                </c:pt>
                <c:pt idx="4">
                  <c:v>Tested 12 months before the survey and received the results</c:v>
                </c:pt>
              </c:strCache>
            </c:strRef>
          </c:cat>
          <c:val>
            <c:numRef>
              <c:f>Sheet1!$D$8:$D$12</c:f>
              <c:numCache>
                <c:formatCode>General</c:formatCode>
                <c:ptCount val="5"/>
                <c:pt idx="0">
                  <c:v>61</c:v>
                </c:pt>
                <c:pt idx="1">
                  <c:v>41</c:v>
                </c:pt>
                <c:pt idx="3">
                  <c:v>79</c:v>
                </c:pt>
                <c:pt idx="4">
                  <c:v>51</c:v>
                </c:pt>
              </c:numCache>
            </c:numRef>
          </c:val>
          <c:extLst>
            <c:ext xmlns:c16="http://schemas.microsoft.com/office/drawing/2014/chart" uri="{C3380CC4-5D6E-409C-BE32-E72D297353CC}">
              <c16:uniqueId val="{00000001-BFBB-5844-8481-DFC95C143319}"/>
            </c:ext>
          </c:extLst>
        </c:ser>
        <c:ser>
          <c:idx val="2"/>
          <c:order val="2"/>
          <c:tx>
            <c:strRef>
              <c:f>Sheet1!$E$7</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Sheet1!$B$8:$B$12</c:f>
              <c:strCache>
                <c:ptCount val="5"/>
                <c:pt idx="0">
                  <c:v>Ever tested and received the results</c:v>
                </c:pt>
                <c:pt idx="1">
                  <c:v>Tested 12 months before the survey and received the results</c:v>
                </c:pt>
                <c:pt idx="3">
                  <c:v>Ever tested and received the results</c:v>
                </c:pt>
                <c:pt idx="4">
                  <c:v>Tested 12 months before the survey and received the results</c:v>
                </c:pt>
              </c:strCache>
            </c:strRef>
          </c:cat>
          <c:val>
            <c:numRef>
              <c:f>Sheet1!$E$8:$E$12</c:f>
              <c:numCache>
                <c:formatCode>General</c:formatCode>
                <c:ptCount val="5"/>
                <c:pt idx="0">
                  <c:v>75</c:v>
                </c:pt>
                <c:pt idx="1">
                  <c:v>47</c:v>
                </c:pt>
                <c:pt idx="3">
                  <c:v>87</c:v>
                </c:pt>
                <c:pt idx="4">
                  <c:v>61</c:v>
                </c:pt>
              </c:numCache>
            </c:numRef>
          </c:val>
          <c:extLst>
            <c:ext xmlns:c16="http://schemas.microsoft.com/office/drawing/2014/chart" uri="{C3380CC4-5D6E-409C-BE32-E72D297353CC}">
              <c16:uniqueId val="{00000002-BFBB-5844-8481-DFC95C143319}"/>
            </c:ext>
          </c:extLst>
        </c:ser>
        <c:dLbls>
          <c:showLegendKey val="0"/>
          <c:showVal val="1"/>
          <c:showCatName val="0"/>
          <c:showSerName val="0"/>
          <c:showPercent val="0"/>
          <c:showBubbleSize val="0"/>
        </c:dLbls>
        <c:gapWidth val="219"/>
        <c:overlap val="-27"/>
        <c:axId val="-1496578128"/>
        <c:axId val="-1496577584"/>
      </c:barChart>
      <c:catAx>
        <c:axId val="-149657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6577584"/>
        <c:crosses val="autoZero"/>
        <c:auto val="1"/>
        <c:lblAlgn val="ctr"/>
        <c:lblOffset val="100"/>
        <c:noMultiLvlLbl val="0"/>
      </c:catAx>
      <c:valAx>
        <c:axId val="-1496577584"/>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657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078" b="1" i="0" u="none" strike="noStrike" kern="1200" cap="none" spc="0" normalizeH="0" baseline="0">
                <a:solidFill>
                  <a:schemeClr val="tx1"/>
                </a:solidFill>
                <a:uFill>
                  <a:solidFill>
                    <a:schemeClr val="tx1"/>
                  </a:solidFill>
                </a:uFill>
                <a:latin typeface="Calibri" panose="020F0502020204030204" pitchFamily="2" charset="-122"/>
                <a:ea typeface="+mn-ea"/>
                <a:cs typeface="+mn-cs"/>
              </a:defRPr>
            </a:pPr>
            <a:r>
              <a:rPr lang="en-US" sz="1049" b="1" u="none" strike="noStrike" cap="none" normalizeH="0">
                <a:solidFill>
                  <a:schemeClr val="tx1"/>
                </a:solidFill>
                <a:uFill>
                  <a:solidFill>
                    <a:schemeClr val="tx1"/>
                  </a:solidFill>
                </a:uFill>
                <a:latin typeface="Calibri" panose="020F0502020204030204" pitchFamily="2" charset="-122"/>
              </a:rPr>
              <a:t>Number </a:t>
            </a:r>
          </a:p>
          <a:p>
            <a:pPr>
              <a:defRPr lang="en-US" sz="1078" b="1" i="0" u="none" strike="noStrike" kern="1200" cap="none" spc="0" normalizeH="0" baseline="0">
                <a:solidFill>
                  <a:schemeClr val="tx1"/>
                </a:solidFill>
                <a:uFill>
                  <a:solidFill>
                    <a:schemeClr val="tx1"/>
                  </a:solidFill>
                </a:uFill>
                <a:latin typeface="Calibri" panose="020F0502020204030204" pitchFamily="2" charset="-122"/>
                <a:ea typeface="+mn-ea"/>
                <a:cs typeface="+mn-cs"/>
              </a:defRPr>
            </a:pPr>
            <a:r>
              <a:rPr lang="en-US" sz="1049" b="1" u="none" strike="noStrike" cap="none" normalizeH="0">
                <a:solidFill>
                  <a:schemeClr val="tx1"/>
                </a:solidFill>
                <a:uFill>
                  <a:solidFill>
                    <a:schemeClr val="tx1"/>
                  </a:solidFill>
                </a:uFill>
                <a:latin typeface="Calibri" panose="020F0502020204030204" pitchFamily="2" charset="-122"/>
              </a:rPr>
              <a:t>of schemes</a:t>
            </a:r>
          </a:p>
        </c:rich>
      </c:tx>
      <c:layout>
        <c:manualLayout>
          <c:xMode val="edge"/>
          <c:yMode val="edge"/>
          <c:x val="9.5652553597158944E-4"/>
          <c:y val="0.39564531378822604"/>
        </c:manualLayout>
      </c:layout>
      <c:overlay val="0"/>
      <c:spPr>
        <a:noFill/>
        <a:ln w="25383">
          <a:noFill/>
        </a:ln>
      </c:spPr>
    </c:title>
    <c:autoTitleDeleted val="0"/>
    <c:plotArea>
      <c:layout>
        <c:manualLayout>
          <c:layoutTarget val="inner"/>
          <c:xMode val="edge"/>
          <c:yMode val="edge"/>
          <c:x val="0.13975101085337299"/>
          <c:y val="0.17171296296296301"/>
          <c:w val="0.83866453855430301"/>
          <c:h val="0.56412766112569301"/>
        </c:manualLayout>
      </c:layout>
      <c:barChart>
        <c:barDir val="col"/>
        <c:grouping val="clustered"/>
        <c:varyColors val="0"/>
        <c:ser>
          <c:idx val="0"/>
          <c:order val="0"/>
          <c:tx>
            <c:strRef>
              <c:f>Sheet5!$B$1</c:f>
              <c:strCache>
                <c:ptCount val="1"/>
                <c:pt idx="0">
                  <c:v>Number of schemes</c:v>
                </c:pt>
              </c:strCache>
            </c:strRef>
          </c:tx>
          <c:spPr>
            <a:solidFill>
              <a:schemeClr val="accent1"/>
            </a:solidFill>
            <a:ln w="19037">
              <a:solidFill>
                <a:schemeClr val="lt1"/>
              </a:solidFill>
            </a:ln>
            <a:effectLst/>
          </c:spPr>
          <c:invertIfNegative val="0"/>
          <c:dLbls>
            <c:spPr>
              <a:noFill/>
              <a:ln w="25383">
                <a:noFill/>
              </a:ln>
            </c:spPr>
            <c:txPr>
              <a:bodyPr rot="0" spcFirstLastPara="1" vertOverflow="ellipsis" vert="horz" wrap="square" lIns="38100" tIns="19050" rIns="38100" bIns="19050" anchor="ctr" anchorCtr="1">
                <a:spAutoFit/>
              </a:bodyPr>
              <a:lstStyle/>
              <a:p>
                <a:pPr>
                  <a:defRPr lang="en-US" sz="899" b="0" i="0" u="none" strike="noStrike" kern="1200" cap="none" spc="0" normalizeH="0" baseline="0">
                    <a:solidFill>
                      <a:schemeClr val="tx1"/>
                    </a:solidFill>
                    <a:uFill>
                      <a:solidFill>
                        <a:schemeClr val="tx1"/>
                      </a:solidFill>
                    </a:uFill>
                    <a:latin typeface="Calibri" panose="020F0502020204030204" pitchFamily="2" charset="-122"/>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Sheet5!$A$2:$A$9</c:f>
              <c:strCache>
                <c:ptCount val="8"/>
                <c:pt idx="0">
                  <c:v>Manicaland</c:v>
                </c:pt>
                <c:pt idx="1">
                  <c:v>Mashonaland Central </c:v>
                </c:pt>
                <c:pt idx="2">
                  <c:v>Mashonaland East</c:v>
                </c:pt>
                <c:pt idx="3">
                  <c:v>Mashonaland West</c:v>
                </c:pt>
                <c:pt idx="4">
                  <c:v>Matebeleland North</c:v>
                </c:pt>
                <c:pt idx="5">
                  <c:v>Matebeleland South</c:v>
                </c:pt>
                <c:pt idx="6">
                  <c:v>Masvingo </c:v>
                </c:pt>
                <c:pt idx="7">
                  <c:v>Midlands</c:v>
                </c:pt>
              </c:strCache>
            </c:strRef>
          </c:cat>
          <c:val>
            <c:numRef>
              <c:f>Sheet5!$B$2:$B$9</c:f>
              <c:numCache>
                <c:formatCode>General</c:formatCode>
                <c:ptCount val="8"/>
                <c:pt idx="0">
                  <c:v>3</c:v>
                </c:pt>
                <c:pt idx="1">
                  <c:v>6</c:v>
                </c:pt>
                <c:pt idx="2">
                  <c:v>6</c:v>
                </c:pt>
                <c:pt idx="3">
                  <c:v>8</c:v>
                </c:pt>
                <c:pt idx="4">
                  <c:v>4</c:v>
                </c:pt>
                <c:pt idx="5">
                  <c:v>3</c:v>
                </c:pt>
                <c:pt idx="6">
                  <c:v>4</c:v>
                </c:pt>
                <c:pt idx="7">
                  <c:v>4</c:v>
                </c:pt>
              </c:numCache>
            </c:numRef>
          </c:val>
          <c:extLst>
            <c:ext xmlns:c16="http://schemas.microsoft.com/office/drawing/2014/chart" uri="{C3380CC4-5D6E-409C-BE32-E72D297353CC}">
              <c16:uniqueId val="{00000000-149D-2A4B-ABBC-BC4F1A4E5062}"/>
            </c:ext>
          </c:extLst>
        </c:ser>
        <c:dLbls>
          <c:showLegendKey val="0"/>
          <c:showVal val="0"/>
          <c:showCatName val="0"/>
          <c:showSerName val="0"/>
          <c:showPercent val="0"/>
          <c:showBubbleSize val="0"/>
        </c:dLbls>
        <c:gapWidth val="150"/>
        <c:axId val="-1496575408"/>
        <c:axId val="-1496586832"/>
      </c:barChart>
      <c:catAx>
        <c:axId val="-1496575408"/>
        <c:scaling>
          <c:orientation val="minMax"/>
        </c:scaling>
        <c:delete val="0"/>
        <c:axPos val="b"/>
        <c:title>
          <c:tx>
            <c:rich>
              <a:bodyPr/>
              <a:lstStyle/>
              <a:p>
                <a:pPr>
                  <a:defRPr sz="899" b="1" i="0" u="none" strike="noStrike" baseline="0">
                    <a:solidFill>
                      <a:srgbClr val="000000"/>
                    </a:solidFill>
                    <a:latin typeface="Calibri"/>
                    <a:ea typeface="Calibri"/>
                    <a:cs typeface="Calibri"/>
                  </a:defRPr>
                </a:pPr>
                <a:r>
                  <a:rPr lang="en-ZW"/>
                  <a:t>Provinces</a:t>
                </a:r>
              </a:p>
            </c:rich>
          </c:tx>
          <c:overlay val="0"/>
          <c:spPr>
            <a:noFill/>
            <a:ln w="25383">
              <a:noFill/>
            </a:ln>
          </c:spPr>
        </c:title>
        <c:numFmt formatCode="General" sourceLinked="1"/>
        <c:majorTickMark val="out"/>
        <c:minorTickMark val="none"/>
        <c:tickLblPos val="nextTo"/>
        <c:spPr>
          <a:noFill/>
          <a:ln w="9519" cap="flat" cmpd="sng" algn="ctr">
            <a:solidFill>
              <a:schemeClr val="tx1"/>
            </a:solidFill>
            <a:prstDash val="solid"/>
            <a:round/>
          </a:ln>
          <a:effectLst/>
        </c:spPr>
        <c:txPr>
          <a:bodyPr rot="-60000000" spcFirstLastPara="1" vertOverflow="ellipsis" vert="horz" wrap="square" anchor="ctr" anchorCtr="1"/>
          <a:lstStyle/>
          <a:p>
            <a:pPr>
              <a:defRPr lang="en-US" sz="799" b="0" i="0" u="none" strike="noStrike" kern="1200" cap="none" spc="0" normalizeH="0" baseline="0">
                <a:solidFill>
                  <a:schemeClr val="tx1"/>
                </a:solidFill>
                <a:uFill>
                  <a:solidFill>
                    <a:schemeClr val="tx1"/>
                  </a:solidFill>
                </a:uFill>
                <a:latin typeface="Calibri" panose="020F0502020204030204" pitchFamily="2" charset="-122"/>
                <a:ea typeface="+mn-ea"/>
                <a:cs typeface="+mn-cs"/>
              </a:defRPr>
            </a:pPr>
            <a:endParaRPr lang="en-US"/>
          </a:p>
        </c:txPr>
        <c:crossAx val="-1496586832"/>
        <c:crosses val="autoZero"/>
        <c:auto val="1"/>
        <c:lblAlgn val="ctr"/>
        <c:lblOffset val="100"/>
        <c:noMultiLvlLbl val="0"/>
      </c:catAx>
      <c:valAx>
        <c:axId val="-1496586832"/>
        <c:scaling>
          <c:orientation val="minMax"/>
        </c:scaling>
        <c:delete val="0"/>
        <c:axPos val="l"/>
        <c:majorGridlines>
          <c:spPr>
            <a:ln w="9519"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46" cap="flat" cmpd="sng" algn="ctr">
            <a:solidFill>
              <a:schemeClr val="tx1"/>
            </a:solidFill>
            <a:prstDash val="solid"/>
            <a:round/>
          </a:ln>
          <a:effectLst/>
        </c:spPr>
        <c:txPr>
          <a:bodyPr rot="-60000000" spcFirstLastPara="1" vertOverflow="ellipsis" vert="horz" wrap="square" anchor="ctr" anchorCtr="1"/>
          <a:lstStyle/>
          <a:p>
            <a:pPr>
              <a:defRPr lang="en-US" sz="899" b="0" i="0" u="none" strike="noStrike" kern="1200" cap="none" spc="0" normalizeH="0" baseline="0">
                <a:solidFill>
                  <a:schemeClr val="tx1"/>
                </a:solidFill>
                <a:uFill>
                  <a:solidFill>
                    <a:schemeClr val="tx1"/>
                  </a:solidFill>
                </a:uFill>
                <a:latin typeface="Calibri" panose="020F0502020204030204" pitchFamily="2" charset="-122"/>
                <a:ea typeface="+mn-ea"/>
                <a:cs typeface="+mn-cs"/>
              </a:defRPr>
            </a:pPr>
            <a:endParaRPr lang="en-US"/>
          </a:p>
        </c:txPr>
        <c:crossAx val="-1496575408"/>
        <c:crosses val="autoZero"/>
        <c:crossBetween val="between"/>
      </c:valAx>
      <c:spPr>
        <a:noFill/>
        <a:ln w="25383">
          <a:noFill/>
        </a:ln>
      </c:spPr>
    </c:plotArea>
    <c:plotVisOnly val="1"/>
    <c:dispBlanksAs val="gap"/>
    <c:showDLblsOverMax val="0"/>
  </c:chart>
  <c:spPr>
    <a:solidFill>
      <a:schemeClr val="bg1"/>
    </a:solidFill>
    <a:ln w="9519" cap="flat" cmpd="sng" algn="ctr">
      <a:solidFill>
        <a:schemeClr val="tx1">
          <a:lumMod val="15000"/>
          <a:lumOff val="85000"/>
        </a:schemeClr>
      </a:solidFill>
      <a:prstDash val="solid"/>
      <a:round/>
    </a:ln>
    <a:effectLst/>
  </c:spPr>
  <c:txPr>
    <a:bodyPr/>
    <a:lstStyle/>
    <a:p>
      <a:pPr>
        <a:defRPr lang="en-US" sz="899" u="none" strike="noStrike" kern="1200" cap="none" spc="0" normalizeH="0">
          <a:solidFill>
            <a:schemeClr val="tx1"/>
          </a:solidFill>
          <a:uFill>
            <a:solidFill>
              <a:schemeClr val="tx1"/>
            </a:solidFill>
          </a:uFill>
          <a:latin typeface="Calibri" panose="020F0502020204030204" pitchFamily="2" charset="-122"/>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998" b="1" i="0" u="none" strike="noStrike" kern="1200" spc="0" baseline="0">
                <a:solidFill>
                  <a:schemeClr val="tx1"/>
                </a:solidFill>
                <a:latin typeface="+mn-lt"/>
                <a:ea typeface="+mn-ea"/>
                <a:cs typeface="+mn-cs"/>
              </a:defRPr>
            </a:pPr>
            <a:r>
              <a:rPr lang="en-US" sz="999" b="1">
                <a:solidFill>
                  <a:schemeClr val="tx1"/>
                </a:solidFill>
              </a:rPr>
              <a:t>Number of </a:t>
            </a:r>
          </a:p>
          <a:p>
            <a:pPr>
              <a:defRPr lang="en-US" sz="998" b="1" i="0" u="none" strike="noStrike" kern="1200" spc="0" baseline="0">
                <a:solidFill>
                  <a:schemeClr val="tx1"/>
                </a:solidFill>
                <a:latin typeface="+mn-lt"/>
                <a:ea typeface="+mn-ea"/>
                <a:cs typeface="+mn-cs"/>
              </a:defRPr>
            </a:pPr>
            <a:r>
              <a:rPr lang="en-US" sz="999" b="1">
                <a:solidFill>
                  <a:schemeClr val="tx1"/>
                </a:solidFill>
              </a:rPr>
              <a:t>beneficiaries</a:t>
            </a:r>
          </a:p>
        </c:rich>
      </c:tx>
      <c:layout>
        <c:manualLayout>
          <c:xMode val="edge"/>
          <c:yMode val="edge"/>
          <c:x val="7.5054565547727587E-3"/>
          <c:y val="0.39937082069688284"/>
        </c:manualLayout>
      </c:layout>
      <c:overlay val="0"/>
      <c:spPr>
        <a:noFill/>
        <a:ln w="25382">
          <a:noFill/>
        </a:ln>
      </c:spPr>
    </c:title>
    <c:autoTitleDeleted val="0"/>
    <c:plotArea>
      <c:layout>
        <c:manualLayout>
          <c:layoutTarget val="inner"/>
          <c:xMode val="edge"/>
          <c:yMode val="edge"/>
          <c:x val="0.19252235252274799"/>
          <c:y val="0.13698984302862399"/>
          <c:w val="0.78427080554704798"/>
          <c:h val="0.65226805098116203"/>
        </c:manualLayout>
      </c:layout>
      <c:barChart>
        <c:barDir val="col"/>
        <c:grouping val="clustered"/>
        <c:varyColors val="0"/>
        <c:ser>
          <c:idx val="0"/>
          <c:order val="0"/>
          <c:tx>
            <c:strRef>
              <c:f>Sheet5!$S$1</c:f>
              <c:strCache>
                <c:ptCount val="1"/>
                <c:pt idx="0">
                  <c:v>Male</c:v>
                </c:pt>
              </c:strCache>
            </c:strRef>
          </c:tx>
          <c:spPr>
            <a:solidFill>
              <a:srgbClr val="5B9BD5"/>
            </a:solidFill>
            <a:ln w="25382">
              <a:noFill/>
            </a:ln>
          </c:spPr>
          <c:invertIfNegative val="0"/>
          <c:cat>
            <c:strRef>
              <c:f>Sheet5!$R$2:$R$9</c:f>
              <c:strCache>
                <c:ptCount val="8"/>
                <c:pt idx="0">
                  <c:v>Manicaland</c:v>
                </c:pt>
                <c:pt idx="1">
                  <c:v>Matebeleland South</c:v>
                </c:pt>
                <c:pt idx="2">
                  <c:v>Mashonaland East</c:v>
                </c:pt>
                <c:pt idx="3">
                  <c:v>Mashonaland Central </c:v>
                </c:pt>
                <c:pt idx="4">
                  <c:v>Mashonaland West</c:v>
                </c:pt>
                <c:pt idx="5">
                  <c:v>Matebeleland North</c:v>
                </c:pt>
                <c:pt idx="6">
                  <c:v>Masvingo </c:v>
                </c:pt>
                <c:pt idx="7">
                  <c:v>Midlands</c:v>
                </c:pt>
              </c:strCache>
            </c:strRef>
          </c:cat>
          <c:val>
            <c:numRef>
              <c:f>Sheet5!$S$2:$S$9</c:f>
              <c:numCache>
                <c:formatCode>General</c:formatCode>
                <c:ptCount val="8"/>
                <c:pt idx="0">
                  <c:v>66</c:v>
                </c:pt>
                <c:pt idx="1">
                  <c:v>75</c:v>
                </c:pt>
                <c:pt idx="2">
                  <c:v>228</c:v>
                </c:pt>
                <c:pt idx="3">
                  <c:v>134</c:v>
                </c:pt>
                <c:pt idx="4">
                  <c:v>156</c:v>
                </c:pt>
                <c:pt idx="5">
                  <c:v>44</c:v>
                </c:pt>
                <c:pt idx="6">
                  <c:v>49</c:v>
                </c:pt>
                <c:pt idx="7">
                  <c:v>56</c:v>
                </c:pt>
              </c:numCache>
            </c:numRef>
          </c:val>
          <c:extLst>
            <c:ext xmlns:c16="http://schemas.microsoft.com/office/drawing/2014/chart" uri="{C3380CC4-5D6E-409C-BE32-E72D297353CC}">
              <c16:uniqueId val="{00000000-28A2-BC4D-B692-4A5228D2636A}"/>
            </c:ext>
          </c:extLst>
        </c:ser>
        <c:ser>
          <c:idx val="1"/>
          <c:order val="1"/>
          <c:tx>
            <c:strRef>
              <c:f>Sheet5!$T$1</c:f>
              <c:strCache>
                <c:ptCount val="1"/>
                <c:pt idx="0">
                  <c:v>Female</c:v>
                </c:pt>
              </c:strCache>
            </c:strRef>
          </c:tx>
          <c:spPr>
            <a:solidFill>
              <a:srgbClr val="ED7D31"/>
            </a:solidFill>
            <a:ln w="25382">
              <a:noFill/>
            </a:ln>
          </c:spPr>
          <c:invertIfNegative val="0"/>
          <c:cat>
            <c:strRef>
              <c:f>Sheet5!$R$2:$R$9</c:f>
              <c:strCache>
                <c:ptCount val="8"/>
                <c:pt idx="0">
                  <c:v>Manicaland</c:v>
                </c:pt>
                <c:pt idx="1">
                  <c:v>Matebeleland South</c:v>
                </c:pt>
                <c:pt idx="2">
                  <c:v>Mashonaland East</c:v>
                </c:pt>
                <c:pt idx="3">
                  <c:v>Mashonaland Central </c:v>
                </c:pt>
                <c:pt idx="4">
                  <c:v>Mashonaland West</c:v>
                </c:pt>
                <c:pt idx="5">
                  <c:v>Matebeleland North</c:v>
                </c:pt>
                <c:pt idx="6">
                  <c:v>Masvingo </c:v>
                </c:pt>
                <c:pt idx="7">
                  <c:v>Midlands</c:v>
                </c:pt>
              </c:strCache>
            </c:strRef>
          </c:cat>
          <c:val>
            <c:numRef>
              <c:f>Sheet5!$T$2:$T$9</c:f>
              <c:numCache>
                <c:formatCode>General</c:formatCode>
                <c:ptCount val="8"/>
                <c:pt idx="0">
                  <c:v>18</c:v>
                </c:pt>
                <c:pt idx="1">
                  <c:v>28</c:v>
                </c:pt>
                <c:pt idx="2">
                  <c:v>55</c:v>
                </c:pt>
                <c:pt idx="3">
                  <c:v>95</c:v>
                </c:pt>
                <c:pt idx="4">
                  <c:v>35</c:v>
                </c:pt>
                <c:pt idx="5">
                  <c:v>26</c:v>
                </c:pt>
                <c:pt idx="6">
                  <c:v>9</c:v>
                </c:pt>
                <c:pt idx="7">
                  <c:v>18</c:v>
                </c:pt>
              </c:numCache>
            </c:numRef>
          </c:val>
          <c:extLst>
            <c:ext xmlns:c16="http://schemas.microsoft.com/office/drawing/2014/chart" uri="{C3380CC4-5D6E-409C-BE32-E72D297353CC}">
              <c16:uniqueId val="{00000001-28A2-BC4D-B692-4A5228D2636A}"/>
            </c:ext>
          </c:extLst>
        </c:ser>
        <c:ser>
          <c:idx val="2"/>
          <c:order val="2"/>
          <c:tx>
            <c:strRef>
              <c:f>Sheet5!$U$1</c:f>
              <c:strCache>
                <c:ptCount val="1"/>
                <c:pt idx="0">
                  <c:v>Total</c:v>
                </c:pt>
              </c:strCache>
            </c:strRef>
          </c:tx>
          <c:spPr>
            <a:solidFill>
              <a:srgbClr val="A5A5A5"/>
            </a:solidFill>
            <a:ln w="25382">
              <a:noFill/>
            </a:ln>
          </c:spPr>
          <c:invertIfNegative val="0"/>
          <c:cat>
            <c:strRef>
              <c:f>Sheet5!$R$2:$R$9</c:f>
              <c:strCache>
                <c:ptCount val="8"/>
                <c:pt idx="0">
                  <c:v>Manicaland</c:v>
                </c:pt>
                <c:pt idx="1">
                  <c:v>Matebeleland South</c:v>
                </c:pt>
                <c:pt idx="2">
                  <c:v>Mashonaland East</c:v>
                </c:pt>
                <c:pt idx="3">
                  <c:v>Mashonaland Central </c:v>
                </c:pt>
                <c:pt idx="4">
                  <c:v>Mashonaland West</c:v>
                </c:pt>
                <c:pt idx="5">
                  <c:v>Matebeleland North</c:v>
                </c:pt>
                <c:pt idx="6">
                  <c:v>Masvingo </c:v>
                </c:pt>
                <c:pt idx="7">
                  <c:v>Midlands</c:v>
                </c:pt>
              </c:strCache>
            </c:strRef>
          </c:cat>
          <c:val>
            <c:numRef>
              <c:f>Sheet5!$U$2:$U$9</c:f>
              <c:numCache>
                <c:formatCode>General</c:formatCode>
                <c:ptCount val="8"/>
                <c:pt idx="0">
                  <c:v>84</c:v>
                </c:pt>
                <c:pt idx="1">
                  <c:v>103</c:v>
                </c:pt>
                <c:pt idx="2">
                  <c:v>283</c:v>
                </c:pt>
                <c:pt idx="3">
                  <c:v>229</c:v>
                </c:pt>
                <c:pt idx="4">
                  <c:v>191</c:v>
                </c:pt>
                <c:pt idx="5">
                  <c:v>70</c:v>
                </c:pt>
                <c:pt idx="6">
                  <c:v>58</c:v>
                </c:pt>
                <c:pt idx="7">
                  <c:v>74</c:v>
                </c:pt>
              </c:numCache>
            </c:numRef>
          </c:val>
          <c:extLst>
            <c:ext xmlns:c16="http://schemas.microsoft.com/office/drawing/2014/chart" uri="{C3380CC4-5D6E-409C-BE32-E72D297353CC}">
              <c16:uniqueId val="{00000002-28A2-BC4D-B692-4A5228D2636A}"/>
            </c:ext>
          </c:extLst>
        </c:ser>
        <c:dLbls>
          <c:showLegendKey val="0"/>
          <c:showVal val="0"/>
          <c:showCatName val="0"/>
          <c:showSerName val="0"/>
          <c:showPercent val="0"/>
          <c:showBubbleSize val="0"/>
        </c:dLbls>
        <c:gapWidth val="219"/>
        <c:overlap val="-27"/>
        <c:axId val="-1496584656"/>
        <c:axId val="-1496573232"/>
      </c:barChart>
      <c:catAx>
        <c:axId val="-1496584656"/>
        <c:scaling>
          <c:orientation val="minMax"/>
        </c:scaling>
        <c:delete val="0"/>
        <c:axPos val="b"/>
        <c:title>
          <c:tx>
            <c:rich>
              <a:bodyPr/>
              <a:lstStyle/>
              <a:p>
                <a:pPr>
                  <a:defRPr sz="1049" b="1" i="0" u="none" strike="noStrike" baseline="0">
                    <a:solidFill>
                      <a:srgbClr val="000000"/>
                    </a:solidFill>
                    <a:latin typeface="Calibri"/>
                    <a:ea typeface="Calibri"/>
                    <a:cs typeface="Calibri"/>
                  </a:defRPr>
                </a:pPr>
                <a:r>
                  <a:rPr lang="en-ZW"/>
                  <a:t>Provinces</a:t>
                </a:r>
              </a:p>
            </c:rich>
          </c:tx>
          <c:overlay val="0"/>
          <c:spPr>
            <a:noFill/>
            <a:ln w="25382">
              <a:noFill/>
            </a:ln>
          </c:spPr>
        </c:title>
        <c:numFmt formatCode="General" sourceLinked="1"/>
        <c:majorTickMark val="none"/>
        <c:minorTickMark val="none"/>
        <c:tickLblPos val="nextTo"/>
        <c:spPr>
          <a:noFill/>
          <a:ln w="9518" cap="flat" cmpd="sng" algn="ctr">
            <a:solidFill>
              <a:schemeClr val="tx1"/>
            </a:solidFill>
            <a:prstDash val="solid"/>
            <a:round/>
          </a:ln>
          <a:effectLst/>
        </c:spPr>
        <c:txPr>
          <a:bodyPr rot="-60000000" spcFirstLastPara="1" vertOverflow="ellipsis" vert="horz" wrap="square" anchor="ctr" anchorCtr="1"/>
          <a:lstStyle/>
          <a:p>
            <a:pPr>
              <a:defRPr lang="en-US" sz="699" b="0" i="0" u="none" strike="noStrike" kern="1200" baseline="0">
                <a:solidFill>
                  <a:schemeClr val="tx1"/>
                </a:solidFill>
                <a:latin typeface="+mn-lt"/>
                <a:ea typeface="+mn-ea"/>
                <a:cs typeface="+mn-cs"/>
              </a:defRPr>
            </a:pPr>
            <a:endParaRPr lang="en-US"/>
          </a:p>
        </c:txPr>
        <c:crossAx val="-1496573232"/>
        <c:crosses val="autoZero"/>
        <c:auto val="1"/>
        <c:lblAlgn val="ctr"/>
        <c:lblOffset val="100"/>
        <c:noMultiLvlLbl val="0"/>
      </c:catAx>
      <c:valAx>
        <c:axId val="-1496573232"/>
        <c:scaling>
          <c:orientation val="minMax"/>
        </c:scaling>
        <c:delete val="0"/>
        <c:axPos val="l"/>
        <c:majorGridlines>
          <c:spPr>
            <a:ln w="9518"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45" cap="flat" cmpd="sng" algn="ctr">
            <a:solidFill>
              <a:schemeClr val="tx1"/>
            </a:solidFill>
            <a:prstDash val="solid"/>
            <a:round/>
          </a:ln>
          <a:effectLst/>
        </c:spPr>
        <c:txPr>
          <a:bodyPr rot="-60000000" spcFirstLastPara="1" vertOverflow="ellipsis" vert="horz" wrap="square" anchor="ctr" anchorCtr="1"/>
          <a:lstStyle/>
          <a:p>
            <a:pPr>
              <a:defRPr lang="en-US" sz="999" b="0" i="0" u="none" strike="noStrike" kern="1200" baseline="0">
                <a:solidFill>
                  <a:schemeClr val="tx1"/>
                </a:solidFill>
                <a:latin typeface="+mn-lt"/>
                <a:ea typeface="+mn-ea"/>
                <a:cs typeface="+mn-cs"/>
              </a:defRPr>
            </a:pPr>
            <a:endParaRPr lang="en-US"/>
          </a:p>
        </c:txPr>
        <c:crossAx val="-1496584656"/>
        <c:crosses val="autoZero"/>
        <c:crossBetween val="between"/>
      </c:valAx>
      <c:spPr>
        <a:noFill/>
        <a:ln w="25382">
          <a:noFill/>
        </a:ln>
      </c:spPr>
    </c:plotArea>
    <c:legend>
      <c:legendPos val="b"/>
      <c:layout>
        <c:manualLayout>
          <c:xMode val="edge"/>
          <c:yMode val="edge"/>
          <c:x val="0.58202164203158813"/>
          <c:y val="0.16391493466143586"/>
          <c:w val="0.35784040152875629"/>
          <c:h val="6.4476410413362661E-2"/>
        </c:manualLayout>
      </c:layout>
      <c:overlay val="0"/>
      <c:spPr>
        <a:noFill/>
        <a:ln w="25382">
          <a:noFill/>
        </a:ln>
      </c:spPr>
      <c:txPr>
        <a:bodyPr rot="0" spcFirstLastPara="1" vertOverflow="ellipsis" vert="horz" wrap="square" anchor="ctr" anchorCtr="1"/>
        <a:lstStyle/>
        <a:p>
          <a:pPr>
            <a:defRPr lang="en-US" sz="1199"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 in Microsoft Word]Sheet1'!$B$1</c:f>
              <c:strCache>
                <c:ptCount val="1"/>
                <c:pt idx="0">
                  <c:v>Rural households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Word]Sheet1'!$A$2:$A$7</c:f>
              <c:numCache>
                <c:formatCode>General</c:formatCode>
                <c:ptCount val="6"/>
                <c:pt idx="0">
                  <c:v>2016</c:v>
                </c:pt>
                <c:pt idx="1">
                  <c:v>2017</c:v>
                </c:pt>
                <c:pt idx="2">
                  <c:v>2018</c:v>
                </c:pt>
                <c:pt idx="3">
                  <c:v>2019</c:v>
                </c:pt>
                <c:pt idx="4">
                  <c:v>2020</c:v>
                </c:pt>
                <c:pt idx="5">
                  <c:v>2021</c:v>
                </c:pt>
              </c:numCache>
            </c:numRef>
          </c:cat>
          <c:val>
            <c:numRef>
              <c:f>'[Chart in Microsoft Word]Sheet1'!$B$2:$B$7</c:f>
              <c:numCache>
                <c:formatCode>General</c:formatCode>
                <c:ptCount val="6"/>
                <c:pt idx="0">
                  <c:v>5.6</c:v>
                </c:pt>
                <c:pt idx="1">
                  <c:v>5.8</c:v>
                </c:pt>
                <c:pt idx="2">
                  <c:v>4.5</c:v>
                </c:pt>
                <c:pt idx="3">
                  <c:v>4.4000000000000004</c:v>
                </c:pt>
                <c:pt idx="4">
                  <c:v>4.4000000000000004</c:v>
                </c:pt>
                <c:pt idx="5">
                  <c:v>5.9</c:v>
                </c:pt>
              </c:numCache>
            </c:numRef>
          </c:val>
          <c:extLst>
            <c:ext xmlns:c16="http://schemas.microsoft.com/office/drawing/2014/chart" uri="{C3380CC4-5D6E-409C-BE32-E72D297353CC}">
              <c16:uniqueId val="{00000000-29DA-C645-B852-73A945CC1997}"/>
            </c:ext>
          </c:extLst>
        </c:ser>
        <c:ser>
          <c:idx val="1"/>
          <c:order val="1"/>
          <c:tx>
            <c:strRef>
              <c:f>'[Chart in Microsoft Word]Sheet1'!$C$1</c:f>
              <c:strCache>
                <c:ptCount val="1"/>
                <c:pt idx="0">
                  <c:v>Urban households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Word]Sheet1'!$A$2:$A$7</c:f>
              <c:numCache>
                <c:formatCode>General</c:formatCode>
                <c:ptCount val="6"/>
                <c:pt idx="0">
                  <c:v>2016</c:v>
                </c:pt>
                <c:pt idx="1">
                  <c:v>2017</c:v>
                </c:pt>
                <c:pt idx="2">
                  <c:v>2018</c:v>
                </c:pt>
                <c:pt idx="3">
                  <c:v>2019</c:v>
                </c:pt>
                <c:pt idx="4">
                  <c:v>2020</c:v>
                </c:pt>
                <c:pt idx="5">
                  <c:v>2021</c:v>
                </c:pt>
              </c:numCache>
            </c:numRef>
          </c:cat>
          <c:val>
            <c:numRef>
              <c:f>'[Chart in Microsoft Word]Sheet1'!$C$2:$C$7</c:f>
              <c:numCache>
                <c:formatCode>General</c:formatCode>
                <c:ptCount val="6"/>
                <c:pt idx="0">
                  <c:v>7</c:v>
                </c:pt>
                <c:pt idx="2">
                  <c:v>7</c:v>
                </c:pt>
                <c:pt idx="3">
                  <c:v>5</c:v>
                </c:pt>
              </c:numCache>
            </c:numRef>
          </c:val>
          <c:extLst>
            <c:ext xmlns:c16="http://schemas.microsoft.com/office/drawing/2014/chart" uri="{C3380CC4-5D6E-409C-BE32-E72D297353CC}">
              <c16:uniqueId val="{00000001-29DA-C645-B852-73A945CC1997}"/>
            </c:ext>
          </c:extLst>
        </c:ser>
        <c:dLbls>
          <c:showLegendKey val="0"/>
          <c:showVal val="1"/>
          <c:showCatName val="0"/>
          <c:showSerName val="0"/>
          <c:showPercent val="0"/>
          <c:showBubbleSize val="0"/>
        </c:dLbls>
        <c:gapWidth val="219"/>
        <c:overlap val="-27"/>
        <c:axId val="-1496588464"/>
        <c:axId val="-1496582480"/>
      </c:barChart>
      <c:catAx>
        <c:axId val="-149658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6582480"/>
        <c:crosses val="autoZero"/>
        <c:auto val="1"/>
        <c:lblAlgn val="ctr"/>
        <c:lblOffset val="100"/>
        <c:noMultiLvlLbl val="0"/>
      </c:catAx>
      <c:valAx>
        <c:axId val="-1496582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658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Sheet1!$D$18</c:f>
              <c:strCache>
                <c:ptCount val="1"/>
                <c:pt idx="0">
                  <c:v>Mainstream Schools</c:v>
                </c:pt>
              </c:strCache>
            </c:strRef>
          </c:tx>
          <c:spPr>
            <a:solidFill>
              <a:schemeClr val="accent1"/>
            </a:solidFill>
            <a:ln>
              <a:noFill/>
            </a:ln>
            <a:effectLst/>
          </c:spPr>
          <c:invertIfNegative val="0"/>
          <c:cat>
            <c:multiLvlStrRef>
              <c:f>Sheet1!$B$19:$C$30</c:f>
              <c:multiLvlStrCache>
                <c:ptCount val="12"/>
                <c:lvl>
                  <c:pt idx="0">
                    <c:v>2017</c:v>
                  </c:pt>
                  <c:pt idx="1">
                    <c:v>2018</c:v>
                  </c:pt>
                  <c:pt idx="2">
                    <c:v>2019</c:v>
                  </c:pt>
                  <c:pt idx="3">
                    <c:v>2020</c:v>
                  </c:pt>
                  <c:pt idx="4">
                    <c:v>2017</c:v>
                  </c:pt>
                  <c:pt idx="5">
                    <c:v>2018</c:v>
                  </c:pt>
                  <c:pt idx="6">
                    <c:v>2019</c:v>
                  </c:pt>
                  <c:pt idx="7">
                    <c:v>2020</c:v>
                  </c:pt>
                  <c:pt idx="8">
                    <c:v>2017</c:v>
                  </c:pt>
                  <c:pt idx="9">
                    <c:v>2018</c:v>
                  </c:pt>
                  <c:pt idx="10">
                    <c:v>2019</c:v>
                  </c:pt>
                  <c:pt idx="11">
                    <c:v>2020</c:v>
                  </c:pt>
                </c:lvl>
                <c:lvl>
                  <c:pt idx="0">
                    <c:v>ECD</c:v>
                  </c:pt>
                  <c:pt idx="4">
                    <c:v>Primary Grade 1-7</c:v>
                  </c:pt>
                  <c:pt idx="8">
                    <c:v>Total Secondary (Form 1-6)</c:v>
                  </c:pt>
                </c:lvl>
              </c:multiLvlStrCache>
            </c:multiLvlStrRef>
          </c:cat>
          <c:val>
            <c:numRef>
              <c:f>Sheet1!$D$19:$D$30</c:f>
              <c:numCache>
                <c:formatCode>General</c:formatCode>
                <c:ptCount val="12"/>
                <c:pt idx="0">
                  <c:v>5657</c:v>
                </c:pt>
                <c:pt idx="1">
                  <c:v>5132</c:v>
                </c:pt>
                <c:pt idx="2">
                  <c:v>7218</c:v>
                </c:pt>
                <c:pt idx="3">
                  <c:v>5052</c:v>
                </c:pt>
                <c:pt idx="4">
                  <c:v>53013</c:v>
                </c:pt>
                <c:pt idx="5">
                  <c:v>41453</c:v>
                </c:pt>
                <c:pt idx="6">
                  <c:v>60779</c:v>
                </c:pt>
                <c:pt idx="7">
                  <c:v>48773</c:v>
                </c:pt>
                <c:pt idx="8">
                  <c:v>11458</c:v>
                </c:pt>
                <c:pt idx="9">
                  <c:v>12546</c:v>
                </c:pt>
                <c:pt idx="10">
                  <c:v>15278</c:v>
                </c:pt>
                <c:pt idx="11">
                  <c:v>13481</c:v>
                </c:pt>
              </c:numCache>
            </c:numRef>
          </c:val>
          <c:extLst>
            <c:ext xmlns:c16="http://schemas.microsoft.com/office/drawing/2014/chart" uri="{C3380CC4-5D6E-409C-BE32-E72D297353CC}">
              <c16:uniqueId val="{00000000-C2DD-C94F-B18D-1B7392A98333}"/>
            </c:ext>
          </c:extLst>
        </c:ser>
        <c:ser>
          <c:idx val="1"/>
          <c:order val="1"/>
          <c:tx>
            <c:strRef>
              <c:f>Sheet1!$E$18</c:f>
              <c:strCache>
                <c:ptCount val="1"/>
                <c:pt idx="0">
                  <c:v>Special Schools</c:v>
                </c:pt>
              </c:strCache>
            </c:strRef>
          </c:tx>
          <c:spPr>
            <a:solidFill>
              <a:schemeClr val="accent2"/>
            </a:solidFill>
            <a:ln>
              <a:noFill/>
            </a:ln>
            <a:effectLst/>
          </c:spPr>
          <c:invertIfNegative val="0"/>
          <c:cat>
            <c:multiLvlStrRef>
              <c:f>Sheet1!$B$19:$C$30</c:f>
              <c:multiLvlStrCache>
                <c:ptCount val="12"/>
                <c:lvl>
                  <c:pt idx="0">
                    <c:v>2017</c:v>
                  </c:pt>
                  <c:pt idx="1">
                    <c:v>2018</c:v>
                  </c:pt>
                  <c:pt idx="2">
                    <c:v>2019</c:v>
                  </c:pt>
                  <c:pt idx="3">
                    <c:v>2020</c:v>
                  </c:pt>
                  <c:pt idx="4">
                    <c:v>2017</c:v>
                  </c:pt>
                  <c:pt idx="5">
                    <c:v>2018</c:v>
                  </c:pt>
                  <c:pt idx="6">
                    <c:v>2019</c:v>
                  </c:pt>
                  <c:pt idx="7">
                    <c:v>2020</c:v>
                  </c:pt>
                  <c:pt idx="8">
                    <c:v>2017</c:v>
                  </c:pt>
                  <c:pt idx="9">
                    <c:v>2018</c:v>
                  </c:pt>
                  <c:pt idx="10">
                    <c:v>2019</c:v>
                  </c:pt>
                  <c:pt idx="11">
                    <c:v>2020</c:v>
                  </c:pt>
                </c:lvl>
                <c:lvl>
                  <c:pt idx="0">
                    <c:v>ECD</c:v>
                  </c:pt>
                  <c:pt idx="4">
                    <c:v>Primary Grade 1-7</c:v>
                  </c:pt>
                  <c:pt idx="8">
                    <c:v>Total Secondary (Form 1-6)</c:v>
                  </c:pt>
                </c:lvl>
              </c:multiLvlStrCache>
            </c:multiLvlStrRef>
          </c:cat>
          <c:val>
            <c:numRef>
              <c:f>Sheet1!$E$19:$E$30</c:f>
              <c:numCache>
                <c:formatCode>General</c:formatCode>
                <c:ptCount val="12"/>
                <c:pt idx="0">
                  <c:v>122</c:v>
                </c:pt>
                <c:pt idx="1">
                  <c:v>215</c:v>
                </c:pt>
                <c:pt idx="2">
                  <c:v>177</c:v>
                </c:pt>
                <c:pt idx="3">
                  <c:v>143</c:v>
                </c:pt>
                <c:pt idx="4">
                  <c:v>2105</c:v>
                </c:pt>
                <c:pt idx="5">
                  <c:v>2051</c:v>
                </c:pt>
                <c:pt idx="6">
                  <c:v>1880</c:v>
                </c:pt>
                <c:pt idx="7">
                  <c:v>1731</c:v>
                </c:pt>
                <c:pt idx="8">
                  <c:v>244</c:v>
                </c:pt>
                <c:pt idx="9">
                  <c:v>549</c:v>
                </c:pt>
                <c:pt idx="10">
                  <c:v>228</c:v>
                </c:pt>
                <c:pt idx="11">
                  <c:v>342</c:v>
                </c:pt>
              </c:numCache>
            </c:numRef>
          </c:val>
          <c:extLst>
            <c:ext xmlns:c16="http://schemas.microsoft.com/office/drawing/2014/chart" uri="{C3380CC4-5D6E-409C-BE32-E72D297353CC}">
              <c16:uniqueId val="{00000001-C2DD-C94F-B18D-1B7392A98333}"/>
            </c:ext>
          </c:extLst>
        </c:ser>
        <c:dLbls>
          <c:showLegendKey val="0"/>
          <c:showVal val="0"/>
          <c:showCatName val="0"/>
          <c:showSerName val="0"/>
          <c:showPercent val="0"/>
          <c:showBubbleSize val="0"/>
        </c:dLbls>
        <c:gapWidth val="150"/>
        <c:overlap val="100"/>
        <c:axId val="-1501748288"/>
        <c:axId val="-1501747200"/>
      </c:barChart>
      <c:catAx>
        <c:axId val="-1501748288"/>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01747200"/>
        <c:crosses val="autoZero"/>
        <c:auto val="1"/>
        <c:lblAlgn val="ctr"/>
        <c:lblOffset val="100"/>
        <c:noMultiLvlLbl val="0"/>
      </c:catAx>
      <c:valAx>
        <c:axId val="-1501747200"/>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01748288"/>
        <c:crosses val="autoZero"/>
        <c:crossBetween val="between"/>
      </c:valAx>
      <c:spPr>
        <a:noFill/>
        <a:ln w="25394">
          <a:noFill/>
        </a:ln>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lang="en-US"/>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Sheet3!$E$3</c:f>
              <c:strCache>
                <c:ptCount val="1"/>
                <c:pt idx="0">
                  <c:v>2019</c:v>
                </c:pt>
              </c:strCache>
            </c:strRef>
          </c:tx>
          <c:spPr>
            <a:solidFill>
              <a:schemeClr val="accent1"/>
            </a:solidFill>
            <a:ln>
              <a:noFill/>
            </a:ln>
            <a:effectLst/>
          </c:spPr>
          <c:invertIfNegative val="0"/>
          <c:cat>
            <c:strRef>
              <c:f>Sheet3!$D$4:$D$15</c:f>
              <c:strCache>
                <c:ptCount val="12"/>
                <c:pt idx="0">
                  <c:v>Cases brought forward</c:v>
                </c:pt>
                <c:pt idx="1">
                  <c:v>Received</c:v>
                </c:pt>
                <c:pt idx="2">
                  <c:v>Completed</c:v>
                </c:pt>
                <c:pt idx="3">
                  <c:v>Backlog</c:v>
                </c:pt>
                <c:pt idx="4">
                  <c:v>Cases brought forward</c:v>
                </c:pt>
                <c:pt idx="5">
                  <c:v>Received</c:v>
                </c:pt>
                <c:pt idx="6">
                  <c:v>Completed</c:v>
                </c:pt>
                <c:pt idx="7">
                  <c:v>Backlog</c:v>
                </c:pt>
                <c:pt idx="8">
                  <c:v>Cases brought forward</c:v>
                </c:pt>
                <c:pt idx="9">
                  <c:v>Received</c:v>
                </c:pt>
                <c:pt idx="10">
                  <c:v>Completed</c:v>
                </c:pt>
                <c:pt idx="11">
                  <c:v>Backlog</c:v>
                </c:pt>
              </c:strCache>
            </c:strRef>
          </c:cat>
          <c:val>
            <c:numRef>
              <c:f>Sheet3!$E$4:$E$15</c:f>
              <c:numCache>
                <c:formatCode>General</c:formatCode>
                <c:ptCount val="12"/>
                <c:pt idx="0">
                  <c:v>3742</c:v>
                </c:pt>
                <c:pt idx="1">
                  <c:v>24946</c:v>
                </c:pt>
                <c:pt idx="2">
                  <c:v>24752</c:v>
                </c:pt>
                <c:pt idx="3">
                  <c:v>3936</c:v>
                </c:pt>
                <c:pt idx="4">
                  <c:v>618</c:v>
                </c:pt>
                <c:pt idx="5">
                  <c:v>70911</c:v>
                </c:pt>
                <c:pt idx="6">
                  <c:v>71065</c:v>
                </c:pt>
                <c:pt idx="7">
                  <c:v>464</c:v>
                </c:pt>
                <c:pt idx="8">
                  <c:v>4308</c:v>
                </c:pt>
                <c:pt idx="9">
                  <c:v>101124</c:v>
                </c:pt>
                <c:pt idx="10">
                  <c:v>100493</c:v>
                </c:pt>
                <c:pt idx="11">
                  <c:v>4939</c:v>
                </c:pt>
              </c:numCache>
            </c:numRef>
          </c:val>
          <c:extLst>
            <c:ext xmlns:c16="http://schemas.microsoft.com/office/drawing/2014/chart" uri="{C3380CC4-5D6E-409C-BE32-E72D297353CC}">
              <c16:uniqueId val="{00000000-FE43-094C-B0D6-1C299C29FD27}"/>
            </c:ext>
          </c:extLst>
        </c:ser>
        <c:ser>
          <c:idx val="1"/>
          <c:order val="1"/>
          <c:tx>
            <c:strRef>
              <c:f>Sheet3!$F$3</c:f>
              <c:strCache>
                <c:ptCount val="1"/>
                <c:pt idx="0">
                  <c:v>2020</c:v>
                </c:pt>
              </c:strCache>
            </c:strRef>
          </c:tx>
          <c:spPr>
            <a:solidFill>
              <a:schemeClr val="accent2"/>
            </a:solidFill>
            <a:ln>
              <a:noFill/>
            </a:ln>
            <a:effectLst/>
          </c:spPr>
          <c:invertIfNegative val="0"/>
          <c:cat>
            <c:strRef>
              <c:f>Sheet3!$D$4:$D$15</c:f>
              <c:strCache>
                <c:ptCount val="12"/>
                <c:pt idx="0">
                  <c:v>Cases brought forward</c:v>
                </c:pt>
                <c:pt idx="1">
                  <c:v>Received</c:v>
                </c:pt>
                <c:pt idx="2">
                  <c:v>Completed</c:v>
                </c:pt>
                <c:pt idx="3">
                  <c:v>Backlog</c:v>
                </c:pt>
                <c:pt idx="4">
                  <c:v>Cases brought forward</c:v>
                </c:pt>
                <c:pt idx="5">
                  <c:v>Received</c:v>
                </c:pt>
                <c:pt idx="6">
                  <c:v>Completed</c:v>
                </c:pt>
                <c:pt idx="7">
                  <c:v>Backlog</c:v>
                </c:pt>
                <c:pt idx="8">
                  <c:v>Cases brought forward</c:v>
                </c:pt>
                <c:pt idx="9">
                  <c:v>Received</c:v>
                </c:pt>
                <c:pt idx="10">
                  <c:v>Completed</c:v>
                </c:pt>
                <c:pt idx="11">
                  <c:v>Backlog</c:v>
                </c:pt>
              </c:strCache>
            </c:strRef>
          </c:cat>
          <c:val>
            <c:numRef>
              <c:f>Sheet3!$F$4:$F$15</c:f>
              <c:numCache>
                <c:formatCode>General</c:formatCode>
                <c:ptCount val="12"/>
                <c:pt idx="0">
                  <c:v>3946</c:v>
                </c:pt>
                <c:pt idx="1">
                  <c:v>18690</c:v>
                </c:pt>
                <c:pt idx="2">
                  <c:v>20902</c:v>
                </c:pt>
                <c:pt idx="3">
                  <c:v>1724</c:v>
                </c:pt>
                <c:pt idx="4">
                  <c:v>464</c:v>
                </c:pt>
                <c:pt idx="5">
                  <c:v>18727</c:v>
                </c:pt>
                <c:pt idx="6">
                  <c:v>18215</c:v>
                </c:pt>
                <c:pt idx="7">
                  <c:v>976</c:v>
                </c:pt>
                <c:pt idx="8">
                  <c:v>4939</c:v>
                </c:pt>
                <c:pt idx="9">
                  <c:v>77031</c:v>
                </c:pt>
                <c:pt idx="10">
                  <c:v>75352</c:v>
                </c:pt>
                <c:pt idx="11">
                  <c:v>6618</c:v>
                </c:pt>
              </c:numCache>
            </c:numRef>
          </c:val>
          <c:extLst>
            <c:ext xmlns:c16="http://schemas.microsoft.com/office/drawing/2014/chart" uri="{C3380CC4-5D6E-409C-BE32-E72D297353CC}">
              <c16:uniqueId val="{00000001-FE43-094C-B0D6-1C299C29FD27}"/>
            </c:ext>
          </c:extLst>
        </c:ser>
        <c:dLbls>
          <c:showLegendKey val="0"/>
          <c:showVal val="0"/>
          <c:showCatName val="0"/>
          <c:showSerName val="0"/>
          <c:showPercent val="0"/>
          <c:showBubbleSize val="0"/>
        </c:dLbls>
        <c:gapWidth val="150"/>
        <c:overlap val="-27"/>
        <c:axId val="-1501753728"/>
        <c:axId val="-1501738496"/>
      </c:barChart>
      <c:catAx>
        <c:axId val="-150175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crossAx val="-1501738496"/>
        <c:crosses val="autoZero"/>
        <c:auto val="1"/>
        <c:lblAlgn val="ctr"/>
        <c:lblOffset val="100"/>
        <c:noMultiLvlLbl val="0"/>
      </c:catAx>
      <c:valAx>
        <c:axId val="-1501738496"/>
        <c:scaling>
          <c:orientation val="minMax"/>
          <c:max val="11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1501753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blipFill>
                <a:blip xmlns:r="http://schemas.openxmlformats.org/officeDocument/2006/relationships" r:embed="rId4"/>
                <a:stretch>
                  <a:fillRect/>
                </a:stretch>
              </a:blipFill>
              <a:ln>
                <a:noFill/>
              </a:ln>
              <a:effectLst/>
            </c:spPr>
            <c:extLst>
              <c:ext xmlns:c16="http://schemas.microsoft.com/office/drawing/2014/chart" uri="{C3380CC4-5D6E-409C-BE32-E72D297353CC}">
                <c16:uniqueId val="{00000001-3C14-4AC7-BED2-165D8AA479C9}"/>
              </c:ext>
            </c:extLst>
          </c:dPt>
          <c:dPt>
            <c:idx val="1"/>
            <c:invertIfNegative val="0"/>
            <c:bubble3D val="0"/>
            <c:spPr>
              <a:blipFill>
                <a:blip xmlns:r="http://schemas.openxmlformats.org/officeDocument/2006/relationships" r:embed="rId5"/>
                <a:stretch>
                  <a:fillRect/>
                </a:stretch>
              </a:blipFill>
              <a:ln>
                <a:noFill/>
              </a:ln>
              <a:effectLst/>
            </c:spPr>
            <c:extLst>
              <c:ext xmlns:c16="http://schemas.microsoft.com/office/drawing/2014/chart" uri="{C3380CC4-5D6E-409C-BE32-E72D297353CC}">
                <c16:uniqueId val="{00000003-3C14-4AC7-BED2-165D8AA479C9}"/>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14-4AC7-BED2-165D8AA479C9}"/>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14-4AC7-BED2-165D8AA479C9}"/>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Sheet4!$F$1:$G$2</c:f>
              <c:strCache>
                <c:ptCount val="2"/>
                <c:pt idx="0">
                  <c:v>Male</c:v>
                </c:pt>
                <c:pt idx="1">
                  <c:v>Female</c:v>
                </c:pt>
              </c:strCache>
            </c:strRef>
          </c:cat>
          <c:val>
            <c:numRef>
              <c:f>Sheet4!$F$3:$G$3</c:f>
              <c:numCache>
                <c:formatCode>#\ ###\ ###</c:formatCode>
                <c:ptCount val="2"/>
                <c:pt idx="0">
                  <c:v>49442000</c:v>
                </c:pt>
                <c:pt idx="1">
                  <c:v>34358000</c:v>
                </c:pt>
              </c:numCache>
            </c:numRef>
          </c:val>
          <c:extLst>
            <c:ext xmlns:c16="http://schemas.microsoft.com/office/drawing/2014/chart" uri="{C3380CC4-5D6E-409C-BE32-E72D297353CC}">
              <c16:uniqueId val="{00000000-CA8C-284C-9514-F7A5B20D1AE4}"/>
            </c:ext>
          </c:extLst>
        </c:ser>
        <c:dLbls>
          <c:showLegendKey val="0"/>
          <c:showVal val="0"/>
          <c:showCatName val="0"/>
          <c:showSerName val="0"/>
          <c:showPercent val="0"/>
          <c:showBubbleSize val="0"/>
        </c:dLbls>
        <c:gapWidth val="124"/>
        <c:overlap val="9"/>
        <c:axId val="-1501746112"/>
        <c:axId val="-1501750464"/>
      </c:barChart>
      <c:catAx>
        <c:axId val="-150174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1501750464"/>
        <c:crosses val="autoZero"/>
        <c:auto val="1"/>
        <c:lblAlgn val="ctr"/>
        <c:lblOffset val="100"/>
        <c:noMultiLvlLbl val="0"/>
      </c:catAx>
      <c:valAx>
        <c:axId val="-150175046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050" b="0" i="0" u="none" strike="noStrike" kern="1200" baseline="0">
                    <a:solidFill>
                      <a:sysClr val="windowText" lastClr="000000">
                        <a:lumMod val="65000"/>
                        <a:lumOff val="35000"/>
                      </a:sysClr>
                    </a:solidFill>
                    <a:latin typeface="+mn-lt"/>
                    <a:ea typeface="+mn-ea"/>
                    <a:cs typeface="+mn-cs"/>
                  </a:defRPr>
                </a:pPr>
                <a:r>
                  <a:rPr lang="en-US" sz="1050" b="0" i="0" baseline="0">
                    <a:effectLst/>
                  </a:rPr>
                  <a:t>Amount in dollars ($)</a:t>
                </a:r>
                <a:endParaRPr lang="en-US" sz="1050">
                  <a:effectLst/>
                </a:endParaRPr>
              </a:p>
              <a:p>
                <a:pPr marL="0" marR="0" lvl="0" indent="0" algn="ctr" defTabSz="914400" rtl="0" eaLnBrk="1" fontAlgn="auto" latinLnBrk="0" hangingPunct="1">
                  <a:lnSpc>
                    <a:spcPct val="100000"/>
                  </a:lnSpc>
                  <a:spcBef>
                    <a:spcPts val="0"/>
                  </a:spcBef>
                  <a:spcAft>
                    <a:spcPts val="0"/>
                  </a:spcAft>
                  <a:buClrTx/>
                  <a:buSzTx/>
                  <a:buFontTx/>
                  <a:buNone/>
                  <a:defRPr sz="1050">
                    <a:solidFill>
                      <a:sysClr val="windowText" lastClr="000000">
                        <a:lumMod val="65000"/>
                        <a:lumOff val="35000"/>
                      </a:sysClr>
                    </a:solidFill>
                  </a:defRPr>
                </a:pPr>
                <a:endParaRPr lang="en-US" sz="1050"/>
              </a:p>
            </c:rich>
          </c:tx>
          <c:layout>
            <c:manualLayout>
              <c:xMode val="edge"/>
              <c:yMode val="edge"/>
              <c:x val="4.6783630266236297E-2"/>
              <c:y val="0.26074293683134298"/>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050" b="0" i="0" u="none" strike="noStrike" kern="1200" baseline="0">
                  <a:solidFill>
                    <a:sysClr val="windowText" lastClr="000000">
                      <a:lumMod val="65000"/>
                      <a:lumOff val="35000"/>
                    </a:sysClr>
                  </a:solidFill>
                  <a:latin typeface="+mn-lt"/>
                  <a:ea typeface="+mn-ea"/>
                  <a:cs typeface="+mn-cs"/>
                </a:defRPr>
              </a:pPr>
              <a:endParaRPr lang="en-US"/>
            </a:p>
          </c:txPr>
        </c:title>
        <c:numFmt formatCode="#\ ###\ ###"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150174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en-US"/>
      </a:pPr>
      <a:endParaRPr lang="en-US"/>
    </a:p>
  </c:txPr>
  <c:externalData r:id="rId6">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0.05176</cdr:x>
      <cdr:y>0</cdr:y>
    </cdr:from>
    <cdr:to>
      <cdr:x>0.16592</cdr:x>
      <cdr:y>0.07553</cdr:y>
    </cdr:to>
    <cdr:sp macro="" textlink="">
      <cdr:nvSpPr>
        <cdr:cNvPr id="2" name="Rectangles 1"/>
        <cdr:cNvSpPr/>
      </cdr:nvSpPr>
      <cdr:spPr>
        <a:xfrm xmlns:a="http://schemas.openxmlformats.org/drawingml/2006/main">
          <a:off x="298938" y="0"/>
          <a:ext cx="659424" cy="219808"/>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000" b="1"/>
            <a:t>Men</a:t>
          </a:r>
        </a:p>
      </cdr:txBody>
    </cdr:sp>
  </cdr:relSizeAnchor>
  <cdr:relSizeAnchor xmlns:cdr="http://schemas.openxmlformats.org/drawingml/2006/chartDrawing">
    <cdr:from>
      <cdr:x>0.5206</cdr:x>
      <cdr:y>0</cdr:y>
    </cdr:from>
    <cdr:to>
      <cdr:x>0.6439</cdr:x>
      <cdr:y>0.11178</cdr:y>
    </cdr:to>
    <cdr:sp macro="" textlink="">
      <cdr:nvSpPr>
        <cdr:cNvPr id="3" name="Rectangles 2"/>
        <cdr:cNvSpPr/>
      </cdr:nvSpPr>
      <cdr:spPr>
        <a:xfrm xmlns:a="http://schemas.openxmlformats.org/drawingml/2006/main">
          <a:off x="3006969" y="0"/>
          <a:ext cx="712177" cy="32531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000" b="1"/>
            <a:t>Women</a:t>
          </a:r>
        </a:p>
      </cdr:txBody>
    </cdr:sp>
  </cdr:relSizeAnchor>
</c:userShapes>
</file>

<file path=word/drawings/drawing2.xml><?xml version="1.0" encoding="utf-8"?>
<c:userShapes xmlns:c="http://schemas.openxmlformats.org/drawingml/2006/chart">
  <cdr:relSizeAnchor xmlns:cdr="http://schemas.openxmlformats.org/drawingml/2006/chartDrawing">
    <cdr:from>
      <cdr:x>0.03605</cdr:x>
      <cdr:y>0.32844</cdr:y>
    </cdr:from>
    <cdr:to>
      <cdr:x>0.96395</cdr:x>
      <cdr:y>0.32844</cdr:y>
    </cdr:to>
    <cdr:cxnSp macro="">
      <cdr:nvCxnSpPr>
        <cdr:cNvPr id="2" name="Straight Connector 1"/>
        <cdr:cNvCxnSpPr/>
      </cdr:nvCxnSpPr>
      <cdr:spPr>
        <a:xfrm xmlns:a="http://schemas.openxmlformats.org/drawingml/2006/main">
          <a:off x="219075" y="952500"/>
          <a:ext cx="5638800" cy="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0.39063</cdr:x>
      <cdr:y>0.89296</cdr:y>
    </cdr:from>
    <cdr:to>
      <cdr:x>0.56713</cdr:x>
      <cdr:y>0.92518</cdr:y>
    </cdr:to>
    <cdr:sp macro="" textlink="">
      <cdr:nvSpPr>
        <cdr:cNvPr id="2" name="Rectangles 1"/>
        <cdr:cNvSpPr/>
      </cdr:nvSpPr>
      <cdr:spPr>
        <a:xfrm xmlns:a="http://schemas.openxmlformats.org/drawingml/2006/main">
          <a:off x="2060325" y="3318263"/>
          <a:ext cx="930916" cy="11973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700">
              <a:solidFill>
                <a:srgbClr val="FF0000"/>
              </a:solidFill>
            </a:rPr>
            <a:t>Magistrate's Civil </a:t>
          </a:r>
          <a:r>
            <a:rPr lang="en-US" sz="800">
              <a:solidFill>
                <a:srgbClr val="FF0000"/>
              </a:solidFill>
            </a:rPr>
            <a:t>courts</a:t>
          </a:r>
        </a:p>
      </cdr:txBody>
    </cdr:sp>
  </cdr:relSizeAnchor>
  <cdr:relSizeAnchor xmlns:cdr="http://schemas.openxmlformats.org/drawingml/2006/chartDrawing">
    <cdr:from>
      <cdr:x>0.65376</cdr:x>
      <cdr:y>0.90638</cdr:y>
    </cdr:from>
    <cdr:to>
      <cdr:x>0.93152</cdr:x>
      <cdr:y>0.96102</cdr:y>
    </cdr:to>
    <cdr:sp macro="" textlink="">
      <cdr:nvSpPr>
        <cdr:cNvPr id="3" name="Rectangles 2"/>
        <cdr:cNvSpPr/>
      </cdr:nvSpPr>
      <cdr:spPr>
        <a:xfrm xmlns:a="http://schemas.openxmlformats.org/drawingml/2006/main">
          <a:off x="3448133" y="3368127"/>
          <a:ext cx="1464993" cy="20304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800">
              <a:solidFill>
                <a:srgbClr val="FF0000"/>
              </a:solidFill>
            </a:rPr>
            <a:t>Magistrate's </a:t>
          </a:r>
          <a:r>
            <a:rPr lang="en-US" sz="700">
              <a:solidFill>
                <a:srgbClr val="FF0000"/>
              </a:solidFill>
            </a:rPr>
            <a:t>criminal</a:t>
          </a:r>
          <a:r>
            <a:rPr lang="en-US" sz="800">
              <a:solidFill>
                <a:srgbClr val="FF0000"/>
              </a:solidFill>
            </a:rPr>
            <a:t> courts</a:t>
          </a:r>
        </a:p>
      </cdr:txBody>
    </cdr:sp>
  </cdr:relSizeAnchor>
  <cdr:relSizeAnchor xmlns:cdr="http://schemas.openxmlformats.org/drawingml/2006/chartDrawing">
    <cdr:from>
      <cdr:x>0.14318</cdr:x>
      <cdr:y>0.90676</cdr:y>
    </cdr:from>
    <cdr:to>
      <cdr:x>0.28471</cdr:x>
      <cdr:y>0.97477</cdr:y>
    </cdr:to>
    <cdr:sp macro="" textlink="">
      <cdr:nvSpPr>
        <cdr:cNvPr id="4" name="Rectangles 3"/>
        <cdr:cNvSpPr/>
      </cdr:nvSpPr>
      <cdr:spPr>
        <a:xfrm xmlns:a="http://schemas.openxmlformats.org/drawingml/2006/main">
          <a:off x="755202" y="3369533"/>
          <a:ext cx="746473" cy="252727"/>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p xmlns:a="http://schemas.openxmlformats.org/drawingml/2006/main">
          <a:r>
            <a:rPr lang="en-US" sz="700">
              <a:solidFill>
                <a:srgbClr val="FF0000"/>
              </a:solidFill>
            </a:rPr>
            <a:t>High</a:t>
          </a:r>
          <a:r>
            <a:rPr lang="en-US" sz="800">
              <a:solidFill>
                <a:srgbClr val="FF0000"/>
              </a:solidFill>
            </a:rPr>
            <a:t> courts</a:t>
          </a:r>
        </a:p>
      </cdr:txBody>
    </cdr:sp>
  </cdr:relSizeAnchor>
  <cdr:relSizeAnchor xmlns:cdr="http://schemas.openxmlformats.org/drawingml/2006/chartDrawing">
    <cdr:from>
      <cdr:x>0.36873</cdr:x>
      <cdr:y>2.69105E-7</cdr:y>
    </cdr:from>
    <cdr:to>
      <cdr:x>0.36961</cdr:x>
      <cdr:y>0.78435</cdr:y>
    </cdr:to>
    <cdr:cxnSp macro="">
      <cdr:nvCxnSpPr>
        <cdr:cNvPr id="5" name="Straight Connector 4"/>
        <cdr:cNvCxnSpPr/>
      </cdr:nvCxnSpPr>
      <cdr:spPr>
        <a:xfrm xmlns:a="http://schemas.openxmlformats.org/drawingml/2006/main" flipH="1" flipV="1">
          <a:off x="1944807" y="1"/>
          <a:ext cx="4643" cy="291464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0.6182</cdr:x>
      <cdr:y>0.00225</cdr:y>
    </cdr:from>
    <cdr:to>
      <cdr:x>0.62124</cdr:x>
      <cdr:y>0.78776</cdr:y>
    </cdr:to>
    <cdr:cxnSp macro="">
      <cdr:nvCxnSpPr>
        <cdr:cNvPr id="6" name="Straight Connector 5"/>
        <cdr:cNvCxnSpPr/>
      </cdr:nvCxnSpPr>
      <cdr:spPr>
        <a:xfrm xmlns:a="http://schemas.openxmlformats.org/drawingml/2006/main" flipH="1" flipV="1">
          <a:off x="3260577" y="8347"/>
          <a:ext cx="16023" cy="291900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0.88611</cdr:x>
      <cdr:y>8.07315E-7</cdr:y>
    </cdr:from>
    <cdr:to>
      <cdr:x>0.88782</cdr:x>
      <cdr:y>0.78606</cdr:y>
    </cdr:to>
    <cdr:cxnSp macro="">
      <cdr:nvCxnSpPr>
        <cdr:cNvPr id="7" name="Straight Connector 6"/>
        <cdr:cNvCxnSpPr/>
      </cdr:nvCxnSpPr>
      <cdr:spPr>
        <a:xfrm xmlns:a="http://schemas.openxmlformats.org/drawingml/2006/main" flipV="1">
          <a:off x="4673600" y="3"/>
          <a:ext cx="9038" cy="292099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0.10769</cdr:x>
      <cdr:y>0</cdr:y>
    </cdr:from>
    <cdr:to>
      <cdr:x>0.11076</cdr:x>
      <cdr:y>0.78776</cdr:y>
    </cdr:to>
    <cdr:cxnSp macro="">
      <cdr:nvCxnSpPr>
        <cdr:cNvPr id="8" name="Straight Connector 7"/>
        <cdr:cNvCxnSpPr/>
      </cdr:nvCxnSpPr>
      <cdr:spPr>
        <a:xfrm xmlns:a="http://schemas.openxmlformats.org/drawingml/2006/main" flipH="1" flipV="1">
          <a:off x="567990" y="0"/>
          <a:ext cx="16210" cy="292735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57D3E4-3534-4AC4-BA81-D8331FE083B4}"/>
</file>

<file path=customXml/itemProps2.xml><?xml version="1.0" encoding="utf-8"?>
<ds:datastoreItem xmlns:ds="http://schemas.openxmlformats.org/officeDocument/2006/customXml" ds:itemID="{90751A01-9219-41FE-B7F8-F69F8B7E1634}"/>
</file>

<file path=customXml/itemProps3.xml><?xml version="1.0" encoding="utf-8"?>
<ds:datastoreItem xmlns:ds="http://schemas.openxmlformats.org/officeDocument/2006/customXml" ds:itemID="{552CC1EB-53AE-4AC9-B15B-514B6B6FA987}"/>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ZimGeneva10</cp:lastModifiedBy>
  <cp:revision>2</cp:revision>
  <dcterms:created xsi:type="dcterms:W3CDTF">2021-10-20T12:34:00Z</dcterms:created>
  <dcterms:modified xsi:type="dcterms:W3CDTF">2021-10-20T12:34:00Z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