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89B4" w14:textId="77777777" w:rsidR="001A0258" w:rsidRPr="00751ADA" w:rsidRDefault="00022A1E" w:rsidP="001A0258">
      <w:pPr>
        <w:pStyle w:val="Title"/>
      </w:pPr>
      <w:bookmarkStart w:id="0" w:name="_GoBack"/>
      <w:r w:rsidRPr="00751ADA">
        <w:t>Call for input</w:t>
      </w:r>
      <w:r w:rsidR="001A0258" w:rsidRPr="00751ADA">
        <w:t>s</w:t>
      </w:r>
      <w:r w:rsidRPr="00751ADA">
        <w:t xml:space="preserve">: </w:t>
      </w:r>
    </w:p>
    <w:p w14:paraId="7F19009C" w14:textId="39E122EA" w:rsidR="001A0258" w:rsidRPr="00751ADA" w:rsidRDefault="001A0258" w:rsidP="00751ADA">
      <w:pPr>
        <w:pStyle w:val="Subtitle"/>
      </w:pPr>
      <w:r w:rsidRPr="00751ADA">
        <w:t>R</w:t>
      </w:r>
      <w:r w:rsidR="00022A1E" w:rsidRPr="00751ADA">
        <w:t xml:space="preserve">eport to the UN </w:t>
      </w:r>
      <w:r w:rsidR="00274C5E" w:rsidRPr="00751ADA">
        <w:t>Human Rights Council</w:t>
      </w:r>
      <w:r w:rsidR="00022A1E" w:rsidRPr="00751ADA">
        <w:t xml:space="preserve"> on the realisation of </w:t>
      </w:r>
      <w:r w:rsidR="0031121F" w:rsidRPr="00751ADA">
        <w:t xml:space="preserve">the right of </w:t>
      </w:r>
      <w:r w:rsidR="009329C8" w:rsidRPr="00751ADA">
        <w:t xml:space="preserve">persons affected by violence and discrimination based on sexual orientation and gender identity </w:t>
      </w:r>
      <w:r w:rsidR="0031121F" w:rsidRPr="00751ADA">
        <w:t xml:space="preserve">to the enjoyment of the highest attainable standard of physical and mental health, </w:t>
      </w:r>
      <w:r w:rsidR="00022A1E" w:rsidRPr="00751ADA">
        <w:t>in relation to SDG3</w:t>
      </w:r>
      <w:r w:rsidR="009329C8" w:rsidRPr="00751ADA">
        <w:t>.</w:t>
      </w:r>
    </w:p>
    <w:p w14:paraId="00000003" w14:textId="000C9E13" w:rsidR="00FB2D8E" w:rsidRPr="00751ADA" w:rsidRDefault="00022A1E" w:rsidP="001A0258">
      <w:pPr>
        <w:pStyle w:val="Heading1"/>
      </w:pPr>
      <w:r w:rsidRPr="00751ADA">
        <w:t>Deadline</w:t>
      </w:r>
      <w:r w:rsidR="00C71BC8" w:rsidRPr="00751ADA">
        <w:t xml:space="preserve"> for inputs</w:t>
      </w:r>
      <w:r w:rsidRPr="00751ADA">
        <w:t>:</w:t>
      </w:r>
    </w:p>
    <w:p w14:paraId="59F026BE" w14:textId="16DA08D0" w:rsidR="001A0258" w:rsidRPr="00751ADA" w:rsidRDefault="00987915" w:rsidP="00751ADA">
      <w:pPr>
        <w:shd w:val="clear" w:color="auto" w:fill="FFFFFF"/>
        <w:rPr>
          <w:rFonts w:eastAsia="Calibri"/>
        </w:rPr>
      </w:pPr>
      <w:r w:rsidRPr="00751ADA">
        <w:rPr>
          <w:rFonts w:eastAsia="Calibri"/>
        </w:rPr>
        <w:t>31</w:t>
      </w:r>
      <w:r w:rsidR="001B4F70" w:rsidRPr="00751ADA">
        <w:rPr>
          <w:rFonts w:eastAsia="Calibri"/>
        </w:rPr>
        <w:t xml:space="preserve"> January </w:t>
      </w:r>
      <w:r w:rsidR="00274C5E" w:rsidRPr="00751ADA">
        <w:rPr>
          <w:rFonts w:eastAsia="Calibri"/>
        </w:rPr>
        <w:t>2022</w:t>
      </w:r>
    </w:p>
    <w:p w14:paraId="00000005" w14:textId="0FDF9B15" w:rsidR="00FB2D8E" w:rsidRPr="00751ADA" w:rsidRDefault="00022A1E" w:rsidP="001A0258">
      <w:pPr>
        <w:pStyle w:val="Heading1"/>
      </w:pPr>
      <w:r w:rsidRPr="00751ADA">
        <w:t>Iss</w:t>
      </w:r>
      <w:r w:rsidR="00751ADA" w:rsidRPr="00751ADA">
        <w:t>u</w:t>
      </w:r>
      <w:r w:rsidRPr="00751ADA">
        <w:t>ed by:</w:t>
      </w:r>
    </w:p>
    <w:p w14:paraId="53A0D7B0" w14:textId="0FFC6A9B" w:rsidR="001A0258" w:rsidRPr="00751ADA" w:rsidRDefault="00022A1E" w:rsidP="00751ADA">
      <w:pPr>
        <w:shd w:val="clear" w:color="auto" w:fill="FFFFFF"/>
        <w:rPr>
          <w:rFonts w:eastAsia="Calibri"/>
        </w:rPr>
      </w:pPr>
      <w:r w:rsidRPr="00751ADA">
        <w:rPr>
          <w:rFonts w:eastAsia="Calibri"/>
        </w:rPr>
        <w:t>The Independent Expert on protection against violence and discrimination based on sexual orientation and gender identity</w:t>
      </w:r>
    </w:p>
    <w:p w14:paraId="00000007" w14:textId="77A0170A" w:rsidR="00FB2D8E" w:rsidRPr="00751ADA" w:rsidRDefault="00022A1E" w:rsidP="001A0258">
      <w:pPr>
        <w:pStyle w:val="Heading1"/>
      </w:pPr>
      <w:r w:rsidRPr="00751ADA">
        <w:t>Purpose:</w:t>
      </w:r>
    </w:p>
    <w:p w14:paraId="00000008" w14:textId="6436EAE9" w:rsidR="00FB2D8E" w:rsidRPr="00751ADA" w:rsidRDefault="00022A1E">
      <w:pPr>
        <w:shd w:val="clear" w:color="auto" w:fill="FFFFFF"/>
        <w:rPr>
          <w:rFonts w:eastAsia="Calibri"/>
        </w:rPr>
      </w:pPr>
      <w:r w:rsidRPr="00751ADA">
        <w:rPr>
          <w:rFonts w:eastAsia="Calibri"/>
        </w:rPr>
        <w:t>To inform the Independent Expert's report to be presented to the</w:t>
      </w:r>
      <w:r w:rsidR="00274C5E" w:rsidRPr="00751ADA">
        <w:rPr>
          <w:rFonts w:eastAsia="Calibri"/>
        </w:rPr>
        <w:t xml:space="preserve"> 50th Session of the United Nations Human Rights Council.</w:t>
      </w:r>
    </w:p>
    <w:p w14:paraId="0000000A" w14:textId="77777777" w:rsidR="00FB2D8E" w:rsidRPr="00751ADA" w:rsidRDefault="00FB2D8E">
      <w:pPr>
        <w:rPr>
          <w:rFonts w:eastAsia="Calibri"/>
        </w:rPr>
      </w:pPr>
    </w:p>
    <w:p w14:paraId="2DB56EAF" w14:textId="77777777" w:rsidR="001A0258" w:rsidRPr="00751ADA" w:rsidRDefault="00022A1E" w:rsidP="001A0258">
      <w:pPr>
        <w:jc w:val="both"/>
        <w:rPr>
          <w:color w:val="000000"/>
          <w:sz w:val="19"/>
          <w:szCs w:val="19"/>
          <w:shd w:val="clear" w:color="auto" w:fill="FFFFFF"/>
        </w:rPr>
      </w:pPr>
      <w:r w:rsidRPr="00751ADA">
        <w:rPr>
          <w:rFonts w:eastAsia="Calibri"/>
        </w:rPr>
        <w:t xml:space="preserve">The Independent Expert on protection against violence and discrimination based on sexual orientation and gender identity, Mr. Victor Madrigal-Borloz, will dedicate his report to the </w:t>
      </w:r>
      <w:r w:rsidR="00274C5E" w:rsidRPr="00751ADA">
        <w:rPr>
          <w:rFonts w:eastAsia="Calibri"/>
        </w:rPr>
        <w:t>50</w:t>
      </w:r>
      <w:r w:rsidRPr="00751ADA">
        <w:rPr>
          <w:rFonts w:eastAsia="Calibri"/>
        </w:rPr>
        <w:t xml:space="preserve">th session of the </w:t>
      </w:r>
      <w:r w:rsidR="00274C5E" w:rsidRPr="00751ADA">
        <w:rPr>
          <w:rFonts w:eastAsia="Calibri"/>
        </w:rPr>
        <w:t>Human Rights Council</w:t>
      </w:r>
      <w:r w:rsidRPr="00751ADA">
        <w:rPr>
          <w:rFonts w:eastAsia="Calibri"/>
        </w:rPr>
        <w:t xml:space="preserve"> to the question of health and sexual orientation and gender identity (SOGI)</w:t>
      </w:r>
      <w:r w:rsidR="001B4F70" w:rsidRPr="00751ADA">
        <w:rPr>
          <w:rFonts w:eastAsia="Calibri"/>
        </w:rPr>
        <w:t xml:space="preserve"> including in the context of sustainable development</w:t>
      </w:r>
      <w:r w:rsidRPr="00751ADA">
        <w:rPr>
          <w:rFonts w:eastAsia="Calibri"/>
        </w:rPr>
        <w:t xml:space="preserve">. In particular, the Independent Expert will explore how the human rights of people with diverse sexual orientations and gender identities can be incorporated into the national plans aimed at the realisation of </w:t>
      </w:r>
      <w:r w:rsidR="00987915" w:rsidRPr="00751ADA">
        <w:rPr>
          <w:rFonts w:eastAsia="Calibri"/>
        </w:rPr>
        <w:t>the right of everyone to the enjoyment of the highest attainable standard of physical and mental health</w:t>
      </w:r>
      <w:r w:rsidRPr="00751ADA">
        <w:rPr>
          <w:rFonts w:eastAsia="Calibri"/>
        </w:rPr>
        <w:t>, under the rubric of Sustainable Development Goal (SDG)</w:t>
      </w:r>
      <w:r w:rsidR="009E1B4A" w:rsidRPr="00751ADA">
        <w:rPr>
          <w:rFonts w:eastAsia="Calibri"/>
        </w:rPr>
        <w:t>.</w:t>
      </w:r>
    </w:p>
    <w:p w14:paraId="2D317487" w14:textId="77777777" w:rsidR="001A0258" w:rsidRPr="00751ADA" w:rsidRDefault="001A0258" w:rsidP="001A0258">
      <w:pPr>
        <w:jc w:val="both"/>
        <w:rPr>
          <w:color w:val="000000"/>
          <w:sz w:val="19"/>
          <w:szCs w:val="19"/>
          <w:shd w:val="clear" w:color="auto" w:fill="FFFFFF"/>
        </w:rPr>
      </w:pPr>
    </w:p>
    <w:p w14:paraId="0000000C" w14:textId="24640C1D" w:rsidR="00FB2D8E" w:rsidRPr="00751ADA" w:rsidRDefault="2A86A5B2" w:rsidP="001A0258">
      <w:pPr>
        <w:jc w:val="both"/>
        <w:rPr>
          <w:color w:val="000000"/>
          <w:sz w:val="19"/>
          <w:szCs w:val="19"/>
          <w:shd w:val="clear" w:color="auto" w:fill="FFFFFF"/>
        </w:rPr>
      </w:pPr>
      <w:r w:rsidRPr="00751ADA">
        <w:rPr>
          <w:rFonts w:eastAsia="Calibri"/>
        </w:rPr>
        <w:t xml:space="preserve">The </w:t>
      </w:r>
      <w:r w:rsidR="44ACC64B" w:rsidRPr="00751ADA">
        <w:rPr>
          <w:rFonts w:eastAsia="Calibri"/>
        </w:rPr>
        <w:t xml:space="preserve">SDGs should be read as an integrated whole, and SDG 3 (to ensure health and well-being for all) should guide actions towards the fulfilment of the other SDGs, such as SDG 10 (reducing inequality). This report will identify both the challenges associated with </w:t>
      </w:r>
      <w:r w:rsidRPr="00751ADA">
        <w:rPr>
          <w:rFonts w:eastAsia="Calibri"/>
        </w:rPr>
        <w:t xml:space="preserve">adopting </w:t>
      </w:r>
      <w:r w:rsidR="44ACC64B" w:rsidRPr="00751ADA">
        <w:rPr>
          <w:rFonts w:eastAsia="Calibri"/>
        </w:rPr>
        <w:t>such an integrated approach</w:t>
      </w:r>
      <w:r w:rsidRPr="00751ADA">
        <w:rPr>
          <w:rFonts w:eastAsia="Calibri"/>
        </w:rPr>
        <w:t>, as well as</w:t>
      </w:r>
      <w:r w:rsidR="44ACC64B" w:rsidRPr="00751ADA">
        <w:rPr>
          <w:rFonts w:eastAsia="Calibri"/>
        </w:rPr>
        <w:t xml:space="preserve"> the good practices that have advanced the rights of</w:t>
      </w:r>
      <w:r w:rsidR="00CA2C02" w:rsidRPr="00751ADA">
        <w:rPr>
          <w:rFonts w:eastAsia="Calibri"/>
        </w:rPr>
        <w:t xml:space="preserve"> all persons affected by violence and discrimination based on sexual orientation and gender identity, including but not limited to</w:t>
      </w:r>
      <w:r w:rsidR="44ACC64B" w:rsidRPr="00751ADA">
        <w:rPr>
          <w:rFonts w:eastAsia="Calibri"/>
        </w:rPr>
        <w:t xml:space="preserve"> lesbian, gay, </w:t>
      </w:r>
      <w:r w:rsidR="00CA2C02" w:rsidRPr="00751ADA">
        <w:rPr>
          <w:rFonts w:eastAsia="Calibri"/>
        </w:rPr>
        <w:t xml:space="preserve">trans, </w:t>
      </w:r>
      <w:r w:rsidR="44ACC64B" w:rsidRPr="00751ADA">
        <w:rPr>
          <w:rFonts w:eastAsia="Calibri"/>
        </w:rPr>
        <w:t xml:space="preserve">bisexual, and </w:t>
      </w:r>
      <w:r w:rsidR="00CA2C02" w:rsidRPr="00751ADA">
        <w:rPr>
          <w:rFonts w:eastAsia="Calibri"/>
        </w:rPr>
        <w:t xml:space="preserve">intersex </w:t>
      </w:r>
      <w:r w:rsidR="44ACC64B" w:rsidRPr="00751ADA">
        <w:rPr>
          <w:rFonts w:eastAsia="Calibri"/>
        </w:rPr>
        <w:t>(</w:t>
      </w:r>
      <w:r w:rsidR="00CA2C02" w:rsidRPr="00751ADA">
        <w:rPr>
          <w:rFonts w:eastAsia="Calibri"/>
        </w:rPr>
        <w:t>LGTBI</w:t>
      </w:r>
      <w:r w:rsidR="44ACC64B" w:rsidRPr="00751ADA">
        <w:rPr>
          <w:rFonts w:eastAsia="Calibri"/>
        </w:rPr>
        <w:t xml:space="preserve">) </w:t>
      </w:r>
      <w:r w:rsidR="00CA2C02" w:rsidRPr="00751ADA">
        <w:rPr>
          <w:rFonts w:eastAsia="Calibri"/>
        </w:rPr>
        <w:t xml:space="preserve">persons </w:t>
      </w:r>
      <w:r w:rsidR="44ACC64B" w:rsidRPr="00751ADA">
        <w:rPr>
          <w:rFonts w:eastAsia="Calibri"/>
        </w:rPr>
        <w:t>and gender non-conforming (GNC) people.</w:t>
      </w:r>
      <w:r w:rsidR="00401984" w:rsidRPr="00751ADA">
        <w:rPr>
          <w:rStyle w:val="FootnoteReference"/>
          <w:rFonts w:eastAsia="Calibri"/>
        </w:rPr>
        <w:footnoteReference w:id="1"/>
      </w:r>
      <w:r w:rsidR="250C555B" w:rsidRPr="00751ADA">
        <w:rPr>
          <w:rFonts w:eastAsia="Calibri"/>
        </w:rPr>
        <w:t xml:space="preserve"> The report will further link SDG 3 to </w:t>
      </w:r>
      <w:r w:rsidR="0031121F" w:rsidRPr="00751ADA">
        <w:rPr>
          <w:rFonts w:eastAsia="Calibri"/>
        </w:rPr>
        <w:t>the right of everyone to the enjoyment of the highest attainable standard of physical and mental health,</w:t>
      </w:r>
      <w:r w:rsidR="250C555B" w:rsidRPr="00751ADA">
        <w:rPr>
          <w:rFonts w:eastAsia="Calibri"/>
        </w:rPr>
        <w:t xml:space="preserve"> as protected in international human rights law.</w:t>
      </w:r>
    </w:p>
    <w:p w14:paraId="0000000D" w14:textId="77777777" w:rsidR="00FB2D8E" w:rsidRPr="00751ADA" w:rsidRDefault="00022A1E" w:rsidP="001A0258">
      <w:pPr>
        <w:pStyle w:val="Heading1"/>
      </w:pPr>
      <w:r w:rsidRPr="00751ADA">
        <w:lastRenderedPageBreak/>
        <w:t>About the SDGs</w:t>
      </w:r>
    </w:p>
    <w:p w14:paraId="4C49810B" w14:textId="11A0281B" w:rsidR="00A465D9" w:rsidRPr="00751ADA" w:rsidRDefault="00022A1E" w:rsidP="00A465D9">
      <w:pPr>
        <w:shd w:val="clear" w:color="auto" w:fill="FFFFFF" w:themeFill="background1"/>
        <w:spacing w:after="160"/>
        <w:jc w:val="both"/>
        <w:rPr>
          <w:rFonts w:eastAsia="Calibri"/>
        </w:rPr>
      </w:pPr>
      <w:r w:rsidRPr="00751ADA">
        <w:rPr>
          <w:rFonts w:eastAsia="Calibri"/>
        </w:rPr>
        <w:t xml:space="preserve">The SDGs are a set of goals intended to act as a “blueprint” for coordinated global action over the 2015-2030 period. They include 17 goals. Each goal is accompanied by a set of targets (which specify what the goal is designed to achieve), and indicators (which identify measures that will show if progress is made against the goal). The United Nations supports </w:t>
      </w:r>
      <w:r w:rsidR="001B4F70" w:rsidRPr="00751ADA">
        <w:rPr>
          <w:rFonts w:eastAsia="Calibri"/>
        </w:rPr>
        <w:t>S</w:t>
      </w:r>
      <w:r w:rsidRPr="00751ADA">
        <w:rPr>
          <w:rFonts w:eastAsia="Calibri"/>
        </w:rPr>
        <w:t xml:space="preserve">tates and other actors in implementing these goals, </w:t>
      </w:r>
      <w:r w:rsidR="001B4F70" w:rsidRPr="00751ADA">
        <w:rPr>
          <w:rFonts w:eastAsia="Calibri"/>
        </w:rPr>
        <w:t xml:space="preserve">including </w:t>
      </w:r>
      <w:r w:rsidRPr="00751ADA">
        <w:rPr>
          <w:rFonts w:eastAsia="Calibri"/>
        </w:rPr>
        <w:t xml:space="preserve">through </w:t>
      </w:r>
      <w:r w:rsidR="001B4F70" w:rsidRPr="00751ADA">
        <w:rPr>
          <w:rFonts w:eastAsia="Calibri"/>
        </w:rPr>
        <w:t>providing advice,</w:t>
      </w:r>
      <w:r w:rsidRPr="00751ADA">
        <w:rPr>
          <w:rFonts w:eastAsia="Calibri"/>
        </w:rPr>
        <w:t xml:space="preserve"> monitoring, a</w:t>
      </w:r>
      <w:r w:rsidR="3C569A64" w:rsidRPr="00751ADA">
        <w:rPr>
          <w:rFonts w:eastAsia="Calibri"/>
        </w:rPr>
        <w:t>s well as</w:t>
      </w:r>
      <w:r w:rsidRPr="00751ADA">
        <w:rPr>
          <w:rFonts w:eastAsia="Calibri"/>
        </w:rPr>
        <w:t xml:space="preserve"> </w:t>
      </w:r>
      <w:r w:rsidR="000335E7" w:rsidRPr="00751ADA">
        <w:rPr>
          <w:rFonts w:eastAsia="Calibri"/>
        </w:rPr>
        <w:t>capacity building</w:t>
      </w:r>
      <w:r w:rsidRPr="00751ADA">
        <w:rPr>
          <w:rFonts w:eastAsia="Calibri"/>
        </w:rPr>
        <w:t xml:space="preserve"> </w:t>
      </w:r>
      <w:r w:rsidR="001B4F70" w:rsidRPr="00751ADA">
        <w:rPr>
          <w:rFonts w:eastAsia="Calibri"/>
        </w:rPr>
        <w:t xml:space="preserve">and awareness raising </w:t>
      </w:r>
      <w:r w:rsidRPr="00751ADA">
        <w:rPr>
          <w:rFonts w:eastAsia="Calibri"/>
        </w:rPr>
        <w:t xml:space="preserve">activities. </w:t>
      </w:r>
    </w:p>
    <w:p w14:paraId="0C6AF8EB" w14:textId="720A6C7D" w:rsidR="001B4F70" w:rsidRPr="00751ADA" w:rsidRDefault="44ACC64B" w:rsidP="00A465D9">
      <w:pPr>
        <w:shd w:val="clear" w:color="auto" w:fill="FFFFFF" w:themeFill="background1"/>
        <w:spacing w:after="160"/>
        <w:jc w:val="both"/>
        <w:rPr>
          <w:rFonts w:eastAsia="Calibri"/>
        </w:rPr>
      </w:pPr>
      <w:r w:rsidRPr="00751ADA">
        <w:rPr>
          <w:rFonts w:eastAsia="Calibri"/>
        </w:rPr>
        <w:t>SDG 3 is to “ensure healthy lives and promote well-being for all at all ages”. The goal is accompanied by 13 targets and 26 indicators</w:t>
      </w:r>
      <w:r w:rsidR="009E1B4A" w:rsidRPr="00751ADA">
        <w:rPr>
          <w:rFonts w:eastAsia="Calibri"/>
        </w:rPr>
        <w:t>.</w:t>
      </w:r>
      <w:r w:rsidR="00A465D9" w:rsidRPr="00751ADA">
        <w:rPr>
          <w:rStyle w:val="FootnoteReference"/>
          <w:rFonts w:eastAsia="Calibri"/>
        </w:rPr>
        <w:footnoteReference w:id="2"/>
      </w:r>
      <w:r w:rsidRPr="00751ADA">
        <w:rPr>
          <w:rFonts w:eastAsia="Calibri"/>
        </w:rPr>
        <w:t xml:space="preserve"> Plainly, the goal cannot be achieved for all people unless the </w:t>
      </w:r>
      <w:r w:rsidR="00987915" w:rsidRPr="00751ADA">
        <w:rPr>
          <w:rFonts w:eastAsia="Calibri"/>
        </w:rPr>
        <w:t>right of everyone to the enjoyment of the highest attainable standard of physical and mental health,</w:t>
      </w:r>
      <w:r w:rsidRPr="00751ADA">
        <w:rPr>
          <w:rFonts w:eastAsia="Calibri"/>
        </w:rPr>
        <w:t xml:space="preserve"> and </w:t>
      </w:r>
      <w:r w:rsidR="2A86A5B2" w:rsidRPr="00751ADA">
        <w:rPr>
          <w:rFonts w:eastAsia="Calibri"/>
        </w:rPr>
        <w:t xml:space="preserve">the </w:t>
      </w:r>
      <w:r w:rsidRPr="00751ADA">
        <w:rPr>
          <w:rFonts w:eastAsia="Calibri"/>
        </w:rPr>
        <w:t xml:space="preserve">well-being needs of </w:t>
      </w:r>
      <w:r w:rsidR="001908A2" w:rsidRPr="00751ADA">
        <w:rPr>
          <w:rFonts w:eastAsia="Calibri"/>
        </w:rPr>
        <w:t>persons affected by violence and discrimination based on sexual orientation and gender identity</w:t>
      </w:r>
      <w:r w:rsidRPr="00751ADA">
        <w:rPr>
          <w:rFonts w:eastAsia="Calibri"/>
        </w:rPr>
        <w:t xml:space="preserve"> are met. </w:t>
      </w:r>
    </w:p>
    <w:p w14:paraId="4A1CFBEA" w14:textId="77777777" w:rsidR="001B4F70" w:rsidRPr="00751ADA" w:rsidRDefault="001B4F70" w:rsidP="001A0258">
      <w:pPr>
        <w:pStyle w:val="Heading1"/>
      </w:pPr>
      <w:r w:rsidRPr="00751ADA">
        <w:t xml:space="preserve">Call for inputs </w:t>
      </w:r>
    </w:p>
    <w:p w14:paraId="716504D4" w14:textId="14F0F7D7" w:rsidR="001B4F70" w:rsidRPr="00751ADA" w:rsidRDefault="00022A1E" w:rsidP="00A465D9">
      <w:pPr>
        <w:shd w:val="clear" w:color="auto" w:fill="FFFFFF"/>
        <w:spacing w:after="160"/>
        <w:jc w:val="both"/>
        <w:rPr>
          <w:rFonts w:eastAsia="Calibri"/>
        </w:rPr>
      </w:pPr>
      <w:r w:rsidRPr="00751ADA">
        <w:rPr>
          <w:rFonts w:eastAsia="Calibri"/>
        </w:rPr>
        <w:t xml:space="preserve">In this call for inputs, the Independent Expert is seeking information about how States have worked toward the realisation of SDG 3 in relation to </w:t>
      </w:r>
      <w:r w:rsidR="009329C8" w:rsidRPr="00751ADA">
        <w:rPr>
          <w:rFonts w:eastAsia="Calibri"/>
        </w:rPr>
        <w:t>persons affected by violence and discrimination based on sexual orientation and gender identity</w:t>
      </w:r>
      <w:r w:rsidRPr="00751ADA">
        <w:rPr>
          <w:rFonts w:eastAsia="Calibri"/>
        </w:rPr>
        <w:t xml:space="preserve">, </w:t>
      </w:r>
      <w:r w:rsidR="001B4F70" w:rsidRPr="00751ADA">
        <w:rPr>
          <w:rFonts w:eastAsia="Calibri"/>
        </w:rPr>
        <w:t xml:space="preserve">what positive examples </w:t>
      </w:r>
      <w:r w:rsidR="00987915" w:rsidRPr="00751ADA">
        <w:rPr>
          <w:rFonts w:eastAsia="Calibri"/>
        </w:rPr>
        <w:t>can be documented</w:t>
      </w:r>
      <w:r w:rsidR="001B4F70" w:rsidRPr="00751ADA">
        <w:rPr>
          <w:rFonts w:eastAsia="Calibri"/>
        </w:rPr>
        <w:t xml:space="preserve">, </w:t>
      </w:r>
      <w:r w:rsidRPr="00751ADA">
        <w:rPr>
          <w:rFonts w:eastAsia="Calibri"/>
        </w:rPr>
        <w:t xml:space="preserve">and what </w:t>
      </w:r>
      <w:r w:rsidR="001B4F70" w:rsidRPr="00751ADA">
        <w:rPr>
          <w:rFonts w:eastAsia="Calibri"/>
        </w:rPr>
        <w:t xml:space="preserve">existing challenges and </w:t>
      </w:r>
      <w:r w:rsidRPr="00751ADA">
        <w:rPr>
          <w:rFonts w:eastAsia="Calibri"/>
        </w:rPr>
        <w:t>barriers prevent its realisation.</w:t>
      </w:r>
      <w:r w:rsidR="001B4F70" w:rsidRPr="00751ADA">
        <w:rPr>
          <w:rFonts w:eastAsia="Calibri"/>
        </w:rPr>
        <w:t xml:space="preserve"> </w:t>
      </w:r>
    </w:p>
    <w:p w14:paraId="00000011" w14:textId="44DF4B7E" w:rsidR="00FB2D8E" w:rsidRPr="00751ADA" w:rsidRDefault="00022A1E" w:rsidP="00010324">
      <w:pPr>
        <w:shd w:val="clear" w:color="auto" w:fill="FFFFFF"/>
        <w:spacing w:after="160"/>
        <w:jc w:val="both"/>
        <w:rPr>
          <w:rFonts w:eastAsia="Calibri"/>
        </w:rPr>
      </w:pPr>
      <w:r w:rsidRPr="00751ADA">
        <w:rPr>
          <w:rFonts w:eastAsia="Calibri"/>
        </w:rPr>
        <w:t xml:space="preserve">The Independent Expert invites all interested </w:t>
      </w:r>
      <w:r w:rsidR="001B4F70" w:rsidRPr="00751ADA">
        <w:rPr>
          <w:rFonts w:eastAsia="Calibri"/>
        </w:rPr>
        <w:t>States</w:t>
      </w:r>
      <w:r w:rsidRPr="00751ADA">
        <w:rPr>
          <w:rFonts w:eastAsia="Calibri"/>
        </w:rPr>
        <w:t>, civil society organisations, academics, international organisations, activists, corporations and others, to provide written input for his thematic report.</w:t>
      </w:r>
    </w:p>
    <w:p w14:paraId="3950168E" w14:textId="7ED94BAA" w:rsidR="00691F08" w:rsidRPr="00751ADA" w:rsidRDefault="00022A1E" w:rsidP="00010324">
      <w:pPr>
        <w:shd w:val="clear" w:color="auto" w:fill="FFFFFF"/>
        <w:spacing w:after="160"/>
        <w:jc w:val="both"/>
        <w:rPr>
          <w:rFonts w:eastAsia="Calibri"/>
        </w:rPr>
      </w:pPr>
      <w:r w:rsidRPr="00751ADA">
        <w:rPr>
          <w:rFonts w:eastAsia="Calibri"/>
        </w:rPr>
        <w:t>Respondents are requested to limit their comments to a maximum of 2,500 words. Additional supporting materials, such as reports, academic studies, and other types of background materials may be annexed to the submission.</w:t>
      </w:r>
    </w:p>
    <w:p w14:paraId="50658077" w14:textId="7B60B377" w:rsidR="00010324" w:rsidRPr="00751ADA" w:rsidRDefault="00010324" w:rsidP="181C08EF">
      <w:pPr>
        <w:shd w:val="clear" w:color="auto" w:fill="FFFFFF" w:themeFill="background1"/>
        <w:spacing w:after="160"/>
        <w:jc w:val="both"/>
        <w:rPr>
          <w:rFonts w:eastAsia="Calibri"/>
          <w:b/>
          <w:bCs/>
        </w:rPr>
      </w:pPr>
      <w:r w:rsidRPr="00751ADA">
        <w:rPr>
          <w:rFonts w:eastAsia="Calibri"/>
        </w:rPr>
        <w:t>The Independent Expert particularly invites inputs commenting on the relationship between SDG 3 and populations whose experience of barriers to healthcare</w:t>
      </w:r>
      <w:r w:rsidR="00A465D9" w:rsidRPr="00751ADA">
        <w:t xml:space="preserve"> </w:t>
      </w:r>
      <w:r w:rsidR="00A465D9" w:rsidRPr="00751ADA">
        <w:rPr>
          <w:rFonts w:eastAsia="Calibri"/>
        </w:rPr>
        <w:t>as well as obstacles that may prevent them from enjoying their right to health including because of violence and discrimination.</w:t>
      </w:r>
      <w:r w:rsidRPr="00751ADA">
        <w:rPr>
          <w:rFonts w:eastAsia="Calibri"/>
        </w:rPr>
        <w:t xml:space="preserve"> is less well known. </w:t>
      </w:r>
      <w:r w:rsidRPr="00751ADA">
        <w:rPr>
          <w:rFonts w:eastAsia="Calibri"/>
          <w:bCs/>
        </w:rPr>
        <w:t xml:space="preserve">This includes lesbian and bisexual women and trans </w:t>
      </w:r>
      <w:r w:rsidR="0BDF4D64" w:rsidRPr="00751ADA">
        <w:rPr>
          <w:rFonts w:eastAsia="Calibri"/>
          <w:bCs/>
        </w:rPr>
        <w:t>persons</w:t>
      </w:r>
      <w:r w:rsidRPr="00751ADA">
        <w:rPr>
          <w:rFonts w:eastAsia="Calibri"/>
          <w:bCs/>
        </w:rPr>
        <w:t>, particularly those living in countries of the Global South. It also includes LGT</w:t>
      </w:r>
      <w:r w:rsidR="009E1B4A" w:rsidRPr="00751ADA">
        <w:rPr>
          <w:rFonts w:eastAsia="Calibri"/>
          <w:bCs/>
        </w:rPr>
        <w:t>B</w:t>
      </w:r>
      <w:r w:rsidR="009329C8" w:rsidRPr="00751ADA">
        <w:rPr>
          <w:rFonts w:eastAsia="Calibri"/>
          <w:bCs/>
        </w:rPr>
        <w:t>I</w:t>
      </w:r>
      <w:r w:rsidRPr="00751ADA">
        <w:rPr>
          <w:rFonts w:eastAsia="Calibri"/>
          <w:bCs/>
        </w:rPr>
        <w:t xml:space="preserve"> and GNC individuals who</w:t>
      </w:r>
      <w:r w:rsidR="008D1DDB" w:rsidRPr="00751ADA">
        <w:rPr>
          <w:rFonts w:eastAsia="Calibri"/>
          <w:bCs/>
        </w:rPr>
        <w:t xml:space="preserve"> </w:t>
      </w:r>
      <w:r w:rsidRPr="00751ADA">
        <w:rPr>
          <w:rFonts w:eastAsia="Calibri"/>
          <w:bCs/>
        </w:rPr>
        <w:t xml:space="preserve">seek healthcare following the experience of assault or gender-based violence. </w:t>
      </w:r>
    </w:p>
    <w:p w14:paraId="00000014" w14:textId="70B18741" w:rsidR="00FB2D8E" w:rsidRPr="00751ADA" w:rsidRDefault="00010324" w:rsidP="00010324">
      <w:pPr>
        <w:shd w:val="clear" w:color="auto" w:fill="FFFFFF"/>
        <w:spacing w:after="160"/>
        <w:jc w:val="both"/>
        <w:rPr>
          <w:rFonts w:eastAsia="Calibri"/>
        </w:rPr>
      </w:pPr>
      <w:r w:rsidRPr="00751ADA">
        <w:rPr>
          <w:rFonts w:eastAsia="Calibri"/>
        </w:rPr>
        <w:t>Inputs are welcome in response to the following questions:</w:t>
      </w:r>
    </w:p>
    <w:p w14:paraId="3C525BFC"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Research: understanding the health care needs of LGT</w:t>
      </w:r>
      <w:r w:rsidR="009E1B4A" w:rsidRPr="00751ADA">
        <w:rPr>
          <w:rFonts w:ascii="Arial" w:hAnsi="Arial" w:cs="Arial"/>
        </w:rPr>
        <w:t>BI</w:t>
      </w:r>
      <w:r w:rsidRPr="00751ADA">
        <w:rPr>
          <w:rFonts w:ascii="Arial" w:hAnsi="Arial" w:cs="Arial"/>
        </w:rPr>
        <w:t xml:space="preserve"> and GNC people</w:t>
      </w:r>
    </w:p>
    <w:p w14:paraId="197C9F70"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Does the State (or other stakeholders) gather data, including data disaggregated by sexual orientation and/or gender identity, on:</w:t>
      </w:r>
    </w:p>
    <w:p w14:paraId="48613A9A" w14:textId="77777777" w:rsidR="004B7A71" w:rsidRPr="00751ADA" w:rsidRDefault="00C71BC8"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access to</w:t>
      </w:r>
      <w:r w:rsidR="00277D66" w:rsidRPr="00751ADA">
        <w:rPr>
          <w:rFonts w:ascii="Arial" w:hAnsi="Arial" w:cs="Arial"/>
          <w:b w:val="0"/>
        </w:rPr>
        <w:t xml:space="preserve"> and</w:t>
      </w:r>
      <w:r w:rsidRPr="00751ADA">
        <w:rPr>
          <w:rFonts w:ascii="Arial" w:hAnsi="Arial" w:cs="Arial"/>
          <w:b w:val="0"/>
        </w:rPr>
        <w:t>/</w:t>
      </w:r>
      <w:r w:rsidR="00277D66" w:rsidRPr="00751ADA">
        <w:rPr>
          <w:rFonts w:ascii="Arial" w:hAnsi="Arial" w:cs="Arial"/>
          <w:b w:val="0"/>
        </w:rPr>
        <w:t xml:space="preserve">or </w:t>
      </w:r>
      <w:r w:rsidRPr="00751ADA">
        <w:rPr>
          <w:rFonts w:ascii="Arial" w:hAnsi="Arial" w:cs="Arial"/>
          <w:b w:val="0"/>
        </w:rPr>
        <w:t>delivery of health services</w:t>
      </w:r>
    </w:p>
    <w:p w14:paraId="7F1E4BF1"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the number of new HIV infections per 1000 uninfected population?</w:t>
      </w:r>
    </w:p>
    <w:p w14:paraId="2736347F"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lastRenderedPageBreak/>
        <w:t>The suicide mortality rate?</w:t>
      </w:r>
    </w:p>
    <w:p w14:paraId="04C846F5"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treatment interventi</w:t>
      </w:r>
      <w:r w:rsidR="004B7A71" w:rsidRPr="00751ADA">
        <w:rPr>
          <w:rFonts w:ascii="Arial" w:hAnsi="Arial" w:cs="Arial"/>
          <w:b w:val="0"/>
        </w:rPr>
        <w:t>ons for substance use disorders?</w:t>
      </w:r>
    </w:p>
    <w:p w14:paraId="6353F1B5"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Harmful use of alcohol?</w:t>
      </w:r>
    </w:p>
    <w:p w14:paraId="042A34C8"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Access to sexual and reproductive health care?</w:t>
      </w:r>
    </w:p>
    <w:p w14:paraId="23E74902" w14:textId="02F57F3F"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essential health services?</w:t>
      </w:r>
    </w:p>
    <w:p w14:paraId="1F1F54A1" w14:textId="77777777" w:rsidR="004B7A71" w:rsidRPr="00751ADA" w:rsidRDefault="004B7A71" w:rsidP="004B7A71"/>
    <w:p w14:paraId="3396A4C1" w14:textId="77777777" w:rsidR="004B7A71" w:rsidRPr="00751ADA" w:rsidRDefault="00C71BC8" w:rsidP="2D899672">
      <w:pPr>
        <w:pStyle w:val="Heading2"/>
        <w:numPr>
          <w:ilvl w:val="1"/>
          <w:numId w:val="8"/>
        </w:numPr>
        <w:spacing w:before="0" w:after="80"/>
        <w:rPr>
          <w:rFonts w:ascii="Arial" w:hAnsi="Arial" w:cs="Arial"/>
          <w:b w:val="0"/>
        </w:rPr>
      </w:pPr>
      <w:r w:rsidRPr="00751ADA">
        <w:rPr>
          <w:rFonts w:ascii="Arial" w:hAnsi="Arial" w:cs="Arial"/>
          <w:b w:val="0"/>
        </w:rPr>
        <w:t>What steps have been taken to research and understand the health care needs of LGT</w:t>
      </w:r>
      <w:r w:rsidR="009E1B4A" w:rsidRPr="00751ADA">
        <w:rPr>
          <w:rFonts w:ascii="Arial" w:hAnsi="Arial" w:cs="Arial"/>
          <w:b w:val="0"/>
        </w:rPr>
        <w:t>B</w:t>
      </w:r>
      <w:r w:rsidR="009329C8" w:rsidRPr="00751ADA">
        <w:rPr>
          <w:rFonts w:ascii="Arial" w:hAnsi="Arial" w:cs="Arial"/>
          <w:b w:val="0"/>
        </w:rPr>
        <w:t>I</w:t>
      </w:r>
      <w:r w:rsidRPr="00751ADA">
        <w:rPr>
          <w:rFonts w:ascii="Arial" w:hAnsi="Arial" w:cs="Arial"/>
          <w:b w:val="0"/>
        </w:rPr>
        <w:t xml:space="preserve"> and GNC people of all ages at the national level?</w:t>
      </w:r>
    </w:p>
    <w:p w14:paraId="00000021" w14:textId="154F1955" w:rsidR="00FB2D8E" w:rsidRPr="00751ADA" w:rsidRDefault="65259E8C" w:rsidP="2D899672">
      <w:pPr>
        <w:pStyle w:val="Heading2"/>
        <w:numPr>
          <w:ilvl w:val="1"/>
          <w:numId w:val="8"/>
        </w:numPr>
        <w:spacing w:before="0" w:after="80"/>
        <w:rPr>
          <w:rFonts w:ascii="Arial" w:hAnsi="Arial" w:cs="Arial"/>
          <w:b w:val="0"/>
        </w:rPr>
      </w:pPr>
      <w:r w:rsidRPr="00751ADA">
        <w:rPr>
          <w:rFonts w:ascii="Arial" w:hAnsi="Arial" w:cs="Arial"/>
          <w:b w:val="0"/>
        </w:rPr>
        <w:t xml:space="preserve">Is this data analyzed through an intersectional lens, such as by disaggregating data by sexual orientation and/or gender identity, as well as intersecting identities </w:t>
      </w:r>
      <w:r w:rsidR="000335E7" w:rsidRPr="00751ADA">
        <w:rPr>
          <w:rFonts w:ascii="Arial" w:hAnsi="Arial" w:cs="Arial"/>
          <w:b w:val="0"/>
        </w:rPr>
        <w:t xml:space="preserve">including </w:t>
      </w:r>
      <w:r w:rsidR="00C71BC8" w:rsidRPr="00751ADA">
        <w:rPr>
          <w:rFonts w:ascii="Arial" w:hAnsi="Arial" w:cs="Arial"/>
          <w:b w:val="0"/>
        </w:rPr>
        <w:t xml:space="preserve">social or geographic origin, </w:t>
      </w:r>
      <w:r w:rsidR="00277D66" w:rsidRPr="00751ADA">
        <w:rPr>
          <w:rFonts w:ascii="Arial" w:hAnsi="Arial" w:cs="Arial"/>
          <w:b w:val="0"/>
        </w:rPr>
        <w:t>ethnicity,</w:t>
      </w:r>
      <w:r w:rsidR="000335E7" w:rsidRPr="00751ADA">
        <w:rPr>
          <w:rFonts w:ascii="Arial" w:hAnsi="Arial" w:cs="Arial"/>
          <w:b w:val="0"/>
        </w:rPr>
        <w:t xml:space="preserve"> socio-economic status, </w:t>
      </w:r>
      <w:r w:rsidRPr="00751ADA">
        <w:rPr>
          <w:rFonts w:ascii="Arial" w:hAnsi="Arial" w:cs="Arial"/>
          <w:b w:val="0"/>
        </w:rPr>
        <w:t>nationality</w:t>
      </w:r>
      <w:r w:rsidR="00C71BC8" w:rsidRPr="00751ADA">
        <w:rPr>
          <w:rFonts w:ascii="Arial" w:hAnsi="Arial" w:cs="Arial"/>
          <w:b w:val="0"/>
        </w:rPr>
        <w:t xml:space="preserve"> or migration status</w:t>
      </w:r>
      <w:r w:rsidR="68F1E988" w:rsidRPr="00751ADA">
        <w:rPr>
          <w:rFonts w:ascii="Arial" w:hAnsi="Arial" w:cs="Arial"/>
          <w:b w:val="0"/>
        </w:rPr>
        <w:t xml:space="preserve">, </w:t>
      </w:r>
      <w:r w:rsidR="00C71BC8" w:rsidRPr="00751ADA">
        <w:rPr>
          <w:rFonts w:ascii="Arial" w:hAnsi="Arial" w:cs="Arial"/>
          <w:b w:val="0"/>
        </w:rPr>
        <w:t xml:space="preserve">minority, </w:t>
      </w:r>
      <w:r w:rsidR="68F1E988" w:rsidRPr="00751ADA">
        <w:rPr>
          <w:rFonts w:ascii="Arial" w:hAnsi="Arial" w:cs="Arial"/>
          <w:b w:val="0"/>
        </w:rPr>
        <w:t>disability, and indigenous</w:t>
      </w:r>
      <w:r w:rsidR="00277D66" w:rsidRPr="00751ADA">
        <w:rPr>
          <w:rFonts w:ascii="Arial" w:hAnsi="Arial" w:cs="Arial"/>
          <w:b w:val="0"/>
        </w:rPr>
        <w:t xml:space="preserve"> </w:t>
      </w:r>
      <w:r w:rsidR="00C71BC8" w:rsidRPr="00751ADA">
        <w:rPr>
          <w:rFonts w:ascii="Arial" w:hAnsi="Arial" w:cs="Arial"/>
          <w:b w:val="0"/>
        </w:rPr>
        <w:t xml:space="preserve">or </w:t>
      </w:r>
      <w:r w:rsidR="68F1E988" w:rsidRPr="00751ADA">
        <w:rPr>
          <w:rFonts w:ascii="Arial" w:hAnsi="Arial" w:cs="Arial"/>
          <w:b w:val="0"/>
        </w:rPr>
        <w:t xml:space="preserve">other </w:t>
      </w:r>
      <w:r w:rsidR="00C71BC8" w:rsidRPr="00751ADA">
        <w:rPr>
          <w:rFonts w:ascii="Arial" w:hAnsi="Arial" w:cs="Arial"/>
          <w:b w:val="0"/>
        </w:rPr>
        <w:t xml:space="preserve">identity or </w:t>
      </w:r>
      <w:r w:rsidR="68F1E988" w:rsidRPr="00751ADA">
        <w:rPr>
          <w:rFonts w:ascii="Arial" w:hAnsi="Arial" w:cs="Arial"/>
          <w:b w:val="0"/>
        </w:rPr>
        <w:t>status</w:t>
      </w:r>
      <w:r w:rsidRPr="00751ADA">
        <w:rPr>
          <w:rFonts w:ascii="Arial" w:hAnsi="Arial" w:cs="Arial"/>
          <w:b w:val="0"/>
        </w:rPr>
        <w:t>?</w:t>
      </w:r>
    </w:p>
    <w:p w14:paraId="7DBF4912" w14:textId="02595B97" w:rsidR="004B7A71" w:rsidRPr="00751ADA" w:rsidRDefault="00022A1E" w:rsidP="004B7A71">
      <w:pPr>
        <w:pStyle w:val="Heading2"/>
        <w:numPr>
          <w:ilvl w:val="0"/>
          <w:numId w:val="8"/>
        </w:numPr>
        <w:rPr>
          <w:rFonts w:ascii="Arial" w:hAnsi="Arial" w:cs="Arial"/>
        </w:rPr>
      </w:pPr>
      <w:r w:rsidRPr="00751ADA">
        <w:rPr>
          <w:rFonts w:ascii="Arial" w:hAnsi="Arial" w:cs="Arial"/>
        </w:rPr>
        <w:t>Inclusion: LGT</w:t>
      </w:r>
      <w:r w:rsidR="009E1B4A" w:rsidRPr="00751ADA">
        <w:rPr>
          <w:rFonts w:ascii="Arial" w:hAnsi="Arial" w:cs="Arial"/>
        </w:rPr>
        <w:t>BI</w:t>
      </w:r>
      <w:r w:rsidRPr="00751ADA">
        <w:rPr>
          <w:rFonts w:ascii="Arial" w:hAnsi="Arial" w:cs="Arial"/>
        </w:rPr>
        <w:t xml:space="preserve"> and GNC people in the decision-making process</w:t>
      </w:r>
    </w:p>
    <w:p w14:paraId="6381AD13"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measures have been put in place to consult with and include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xml:space="preserve"> in law and policy making in relation to </w:t>
      </w:r>
      <w:r w:rsidR="00987915" w:rsidRPr="00751ADA">
        <w:rPr>
          <w:rFonts w:ascii="Arial" w:hAnsi="Arial" w:cs="Arial"/>
          <w:b w:val="0"/>
        </w:rPr>
        <w:t xml:space="preserve">the right of everyone to the enjoyment of the highest attainable standard of physical and mental health, </w:t>
      </w:r>
      <w:r w:rsidRPr="00751ADA">
        <w:rPr>
          <w:rFonts w:ascii="Arial" w:hAnsi="Arial" w:cs="Arial"/>
          <w:b w:val="0"/>
        </w:rPr>
        <w:t>and in relation to realising the SDGs?</w:t>
      </w:r>
    </w:p>
    <w:p w14:paraId="122B043B"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To what extent are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included in policies and practice around sexual and reproductive health care?</w:t>
      </w:r>
    </w:p>
    <w:p w14:paraId="65A79479"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support or technical assistance is needed to ensure that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people are comprehensively addressed and included in relevant laws, policies, and practices?</w:t>
      </w:r>
    </w:p>
    <w:p w14:paraId="778A3D5A" w14:textId="77777777" w:rsidR="004B7A71" w:rsidRPr="00751ADA" w:rsidRDefault="24626FB8" w:rsidP="004B7A71">
      <w:pPr>
        <w:pStyle w:val="Heading2"/>
        <w:numPr>
          <w:ilvl w:val="1"/>
          <w:numId w:val="8"/>
        </w:numPr>
        <w:rPr>
          <w:rFonts w:ascii="Arial" w:hAnsi="Arial" w:cs="Arial"/>
          <w:b w:val="0"/>
        </w:rPr>
      </w:pPr>
      <w:r w:rsidRPr="00751ADA">
        <w:rPr>
          <w:rFonts w:ascii="Arial" w:hAnsi="Arial" w:cs="Arial"/>
          <w:b w:val="0"/>
        </w:rPr>
        <w:t xml:space="preserve">What are the main barriers, in law or practice, for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to receive care that meets their physical and mental health needs</w:t>
      </w:r>
      <w:r w:rsidR="4079AA8E" w:rsidRPr="00751ADA">
        <w:rPr>
          <w:rFonts w:ascii="Arial" w:hAnsi="Arial" w:cs="Arial"/>
          <w:b w:val="0"/>
        </w:rPr>
        <w:t xml:space="preserve"> and rights</w:t>
      </w:r>
      <w:r w:rsidRPr="00751ADA">
        <w:rPr>
          <w:rFonts w:ascii="Arial" w:hAnsi="Arial" w:cs="Arial"/>
          <w:b w:val="0"/>
        </w:rPr>
        <w:t>?</w:t>
      </w:r>
    </w:p>
    <w:p w14:paraId="78425E6D"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Acc</w:t>
      </w:r>
      <w:r w:rsidR="004B7A71" w:rsidRPr="00751ADA">
        <w:rPr>
          <w:rFonts w:ascii="Arial" w:hAnsi="Arial" w:cs="Arial"/>
        </w:rPr>
        <w:t>e</w:t>
      </w:r>
      <w:r w:rsidRPr="00751ADA">
        <w:rPr>
          <w:rFonts w:ascii="Arial" w:hAnsi="Arial" w:cs="Arial"/>
        </w:rPr>
        <w:t>ss: ensuring that LGT</w:t>
      </w:r>
      <w:r w:rsidR="009E1B4A" w:rsidRPr="00751ADA">
        <w:rPr>
          <w:rFonts w:ascii="Arial" w:hAnsi="Arial" w:cs="Arial"/>
        </w:rPr>
        <w:t>BI</w:t>
      </w:r>
      <w:r w:rsidRPr="00751ADA">
        <w:rPr>
          <w:rFonts w:ascii="Arial" w:hAnsi="Arial" w:cs="Arial"/>
        </w:rPr>
        <w:t xml:space="preserve"> and GNC people have access to health care</w:t>
      </w:r>
    </w:p>
    <w:p w14:paraId="0CE9ACC5" w14:textId="77777777" w:rsidR="004B7A71" w:rsidRPr="00751ADA" w:rsidRDefault="004B7A71" w:rsidP="004B7A71">
      <w:pPr>
        <w:pStyle w:val="Heading2"/>
        <w:numPr>
          <w:ilvl w:val="1"/>
          <w:numId w:val="8"/>
        </w:numPr>
        <w:rPr>
          <w:rFonts w:ascii="Arial" w:hAnsi="Arial" w:cs="Arial"/>
          <w:b w:val="0"/>
        </w:rPr>
      </w:pPr>
      <w:r w:rsidRPr="00751ADA">
        <w:rPr>
          <w:rFonts w:ascii="Arial" w:hAnsi="Arial" w:cs="Arial"/>
          <w:b w:val="0"/>
        </w:rPr>
        <w:t>W</w:t>
      </w:r>
      <w:r w:rsidR="00022A1E" w:rsidRPr="00751ADA">
        <w:rPr>
          <w:rFonts w:ascii="Arial" w:hAnsi="Arial" w:cs="Arial"/>
          <w:b w:val="0"/>
        </w:rPr>
        <w:t xml:space="preserve">hat measures have been taken to ensure access to affordable non-discriminatory health care services for </w:t>
      </w:r>
      <w:r w:rsidR="009329C8" w:rsidRPr="00751ADA">
        <w:rPr>
          <w:rFonts w:ascii="Arial" w:hAnsi="Arial" w:cs="Arial"/>
          <w:b w:val="0"/>
        </w:rPr>
        <w:t>persons affected by violence and discrimination based on sexual orientation and gender identity</w:t>
      </w:r>
      <w:r w:rsidR="00022A1E" w:rsidRPr="00751ADA">
        <w:rPr>
          <w:rFonts w:ascii="Arial" w:hAnsi="Arial" w:cs="Arial"/>
          <w:b w:val="0"/>
        </w:rPr>
        <w:t>?</w:t>
      </w:r>
    </w:p>
    <w:p w14:paraId="66A40AD0"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policies or programmes exist to address the mental health care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specifically around depression</w:t>
      </w:r>
      <w:r w:rsidR="008D1DDB" w:rsidRPr="00751ADA">
        <w:rPr>
          <w:rFonts w:ascii="Arial" w:hAnsi="Arial" w:cs="Arial"/>
          <w:b w:val="0"/>
        </w:rPr>
        <w:t xml:space="preserve"> and anxiety</w:t>
      </w:r>
      <w:r w:rsidRPr="00751ADA">
        <w:rPr>
          <w:rFonts w:ascii="Arial" w:hAnsi="Arial" w:cs="Arial"/>
          <w:b w:val="0"/>
        </w:rPr>
        <w:t>, suicidal ideation, and substance abuse?</w:t>
      </w:r>
    </w:p>
    <w:p w14:paraId="18EE620E"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lastRenderedPageBreak/>
        <w:t xml:space="preserve">What policies or programmes exist to assist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following the experience of assault or gender-based violence</w:t>
      </w:r>
      <w:r w:rsidR="004B7A71" w:rsidRPr="00751ADA">
        <w:rPr>
          <w:rFonts w:ascii="Arial" w:hAnsi="Arial" w:cs="Arial"/>
          <w:b w:val="0"/>
        </w:rPr>
        <w:t>?</w:t>
      </w:r>
    </w:p>
    <w:p w14:paraId="4D9092C8" w14:textId="77777777" w:rsidR="004B7A71" w:rsidRPr="00751ADA" w:rsidRDefault="000335E7" w:rsidP="004B7A71">
      <w:pPr>
        <w:pStyle w:val="Heading2"/>
        <w:numPr>
          <w:ilvl w:val="1"/>
          <w:numId w:val="8"/>
        </w:numPr>
        <w:rPr>
          <w:rFonts w:ascii="Arial" w:hAnsi="Arial" w:cs="Arial"/>
          <w:b w:val="0"/>
        </w:rPr>
      </w:pPr>
      <w:r w:rsidRPr="00751ADA">
        <w:rPr>
          <w:rFonts w:ascii="Arial" w:hAnsi="Arial" w:cs="Arial"/>
          <w:b w:val="0"/>
        </w:rPr>
        <w:t xml:space="preserve">Have adequate human and financial resources been allocated to implement those policies and/or programmes? </w:t>
      </w:r>
    </w:p>
    <w:p w14:paraId="5334867F"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Training and Education: health care professionals and educational institutions</w:t>
      </w:r>
    </w:p>
    <w:p w14:paraId="3F6239DD"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Are sexual orientation and gender identity, and the specific health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 included in training and education of health care professionals?</w:t>
      </w:r>
    </w:p>
    <w:p w14:paraId="1D43B141"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What measures are being taken to provide age-appropriate comprehensive sexuality education inclusive of sexual and gender diversity in educational institutions?</w:t>
      </w:r>
    </w:p>
    <w:p w14:paraId="74F9B287" w14:textId="77777777" w:rsidR="004B7A71" w:rsidRPr="00751ADA" w:rsidRDefault="00BC11E0" w:rsidP="004B7A71">
      <w:pPr>
        <w:pStyle w:val="Heading2"/>
        <w:numPr>
          <w:ilvl w:val="1"/>
          <w:numId w:val="8"/>
        </w:numPr>
        <w:rPr>
          <w:rFonts w:ascii="Arial" w:hAnsi="Arial" w:cs="Arial"/>
          <w:b w:val="0"/>
        </w:rPr>
      </w:pPr>
      <w:r w:rsidRPr="00751ADA">
        <w:rPr>
          <w:rFonts w:ascii="Arial" w:hAnsi="Arial" w:cs="Arial"/>
          <w:b w:val="0"/>
        </w:rPr>
        <w:t>Are evidence-based and up-to-date guidelines that include SOGI issues available? How are they used to influence health related decisions on policy, programming, services including diagnostic manuals, and practices within the health care institutions?</w:t>
      </w:r>
      <w:r w:rsidRPr="00751ADA" w:rsidDel="00BC11E0">
        <w:rPr>
          <w:rFonts w:ascii="Arial" w:hAnsi="Arial" w:cs="Arial"/>
          <w:b w:val="0"/>
        </w:rPr>
        <w:t xml:space="preserve"> </w:t>
      </w:r>
    </w:p>
    <w:p w14:paraId="77E3CFD0"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Sustainable Development Goals</w:t>
      </w:r>
    </w:p>
    <w:p w14:paraId="06BEC18C" w14:textId="77777777" w:rsidR="004B7A71" w:rsidRPr="00751ADA" w:rsidRDefault="24626FB8" w:rsidP="004B7A71">
      <w:pPr>
        <w:pStyle w:val="Heading2"/>
        <w:numPr>
          <w:ilvl w:val="1"/>
          <w:numId w:val="8"/>
        </w:numPr>
        <w:rPr>
          <w:rFonts w:ascii="Arial" w:hAnsi="Arial" w:cs="Arial"/>
          <w:b w:val="0"/>
        </w:rPr>
      </w:pPr>
      <w:r w:rsidRPr="00751ADA">
        <w:rPr>
          <w:rFonts w:ascii="Arial" w:hAnsi="Arial" w:cs="Arial"/>
          <w:b w:val="0"/>
        </w:rPr>
        <w:t xml:space="preserve">Where the State measures its progress against SDG3, does it make reference to the health outcomes and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w:t>
      </w:r>
    </w:p>
    <w:p w14:paraId="3682F888" w14:textId="6EFD4EA3" w:rsidR="001A0258"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Does the State measure progress against any of the following SDG3 indicators for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If so, please comment on whether health outcomes are improving or declining:</w:t>
      </w:r>
    </w:p>
    <w:p w14:paraId="0000003D" w14:textId="299E4309" w:rsidR="00FB2D8E"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3.3.1: Number of new HIV infections per 1,000 uninfected population, by sex, age and key populations;</w:t>
      </w:r>
    </w:p>
    <w:p w14:paraId="03D14E29"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3.4.2: Suicide mortality rate;</w:t>
      </w:r>
    </w:p>
    <w:p w14:paraId="7D49A74A"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3.5.1: Coverage of treatment interventions (pharmacological, psychosocial and rehabilitation and aftercare services) for substance use disorders;</w:t>
      </w:r>
    </w:p>
    <w:p w14:paraId="49E1C782"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3.5.2: Harmful use of alcohol, defined according to the national context as alcohol per capita consumption (aged 15 years and older) within a calendar year in litres of pure alcohol</w:t>
      </w:r>
    </w:p>
    <w:p w14:paraId="2548BC7F" w14:textId="77777777" w:rsidR="004B7A71" w:rsidRPr="00751ADA" w:rsidRDefault="24626FB8"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3.7.1: Proportion of women of reproductive age (aged 15-49 years) who have their need for family planning satisfied with modern methods, including lesbian and bisexual women, and trans </w:t>
      </w:r>
      <w:r w:rsidR="75EE2B4C" w:rsidRPr="00751ADA">
        <w:rPr>
          <w:rFonts w:eastAsia="Calibri"/>
        </w:rPr>
        <w:t>persons</w:t>
      </w:r>
      <w:r w:rsidRPr="00751ADA">
        <w:rPr>
          <w:rFonts w:eastAsia="Calibri"/>
        </w:rPr>
        <w:t>;</w:t>
      </w:r>
    </w:p>
    <w:p w14:paraId="5E620F84" w14:textId="77777777" w:rsidR="004B7A71" w:rsidRPr="00751ADA" w:rsidRDefault="525DB160" w:rsidP="004B7A71">
      <w:pPr>
        <w:pStyle w:val="ListParagraph"/>
        <w:numPr>
          <w:ilvl w:val="2"/>
          <w:numId w:val="8"/>
        </w:numPr>
        <w:spacing w:after="120"/>
        <w:ind w:left="1418" w:hanging="284"/>
        <w:contextualSpacing w:val="0"/>
        <w:rPr>
          <w:rFonts w:eastAsia="Calibri"/>
        </w:rPr>
      </w:pPr>
      <w:r w:rsidRPr="00751ADA">
        <w:rPr>
          <w:rFonts w:eastAsia="Calibri"/>
        </w:rPr>
        <w:lastRenderedPageBreak/>
        <w:t xml:space="preserve">Indicator 3.7.2: Adolescent birth rate (aged 10-14 years; aged 15-19 years) per 1,000 women </w:t>
      </w:r>
      <w:r w:rsidR="00A465D9" w:rsidRPr="00751ADA">
        <w:rPr>
          <w:rFonts w:eastAsia="Calibri"/>
        </w:rPr>
        <w:t xml:space="preserve">and trans men </w:t>
      </w:r>
      <w:r w:rsidRPr="00751ADA">
        <w:rPr>
          <w:rFonts w:eastAsia="Calibri"/>
        </w:rPr>
        <w:t xml:space="preserve">in that age group, particularly among </w:t>
      </w:r>
      <w:r w:rsidR="00A465D9" w:rsidRPr="00751ADA">
        <w:rPr>
          <w:rFonts w:eastAsia="Calibri"/>
        </w:rPr>
        <w:t>LBT and GNC young individuals</w:t>
      </w:r>
      <w:r w:rsidRPr="00751ADA">
        <w:rPr>
          <w:rFonts w:eastAsia="Calibri"/>
        </w:rPr>
        <w:t>;</w:t>
      </w:r>
    </w:p>
    <w:p w14:paraId="523380DE"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and</w:t>
      </w:r>
    </w:p>
    <w:p w14:paraId="00000045" w14:textId="492F46E1" w:rsidR="00FB2D8E"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3.8.2: Proportion of population with large household expenditures on health as a share of total household expenditure or income.</w:t>
      </w:r>
    </w:p>
    <w:p w14:paraId="2E3972FC" w14:textId="77777777" w:rsidR="009329C8" w:rsidRPr="00751ADA" w:rsidRDefault="009329C8">
      <w:pPr>
        <w:rPr>
          <w:rFonts w:eastAsia="Calibri"/>
        </w:rPr>
      </w:pPr>
    </w:p>
    <w:p w14:paraId="636EE7FE" w14:textId="77777777" w:rsidR="001A0258" w:rsidRPr="00751ADA" w:rsidRDefault="001A0258" w:rsidP="001A0258">
      <w:pPr>
        <w:pStyle w:val="Heading1"/>
      </w:pPr>
      <w:r w:rsidRPr="00751ADA">
        <w:t>HOW TO SUBMIT INFORMATION</w:t>
      </w:r>
    </w:p>
    <w:p w14:paraId="59A57AED" w14:textId="69DAB73C" w:rsidR="002A0633" w:rsidRPr="00751ADA" w:rsidRDefault="00C71BC8" w:rsidP="001A0258">
      <w:r w:rsidRPr="00751ADA">
        <w:t xml:space="preserve">Inputs should be submitted via email to </w:t>
      </w:r>
      <w:hyperlink r:id="rId11" w:history="1">
        <w:r w:rsidRPr="00751ADA">
          <w:rPr>
            <w:rStyle w:val="Hyperlink"/>
            <w:rFonts w:eastAsia="Calibri"/>
          </w:rPr>
          <w:t>ohchr-ie-sogi@un.org</w:t>
        </w:r>
      </w:hyperlink>
      <w:r w:rsidRPr="00751ADA">
        <w:t xml:space="preserve"> before 31 January 2022 (6 p.m. CET). Late inputs will not be considered. </w:t>
      </w:r>
    </w:p>
    <w:p w14:paraId="27FBEBA1" w14:textId="77777777" w:rsidR="009329C8" w:rsidRPr="00751ADA" w:rsidRDefault="009329C8"/>
    <w:p w14:paraId="0000004A" w14:textId="02E37F15" w:rsidR="00FB2D8E" w:rsidRPr="00751ADA" w:rsidRDefault="002A0633">
      <w:pPr>
        <w:rPr>
          <w:rFonts w:eastAsia="Times New Roman"/>
          <w:b/>
        </w:rPr>
      </w:pPr>
      <w:r w:rsidRPr="00751ADA">
        <w:t xml:space="preserve">The Independent Experts welcomes inputs from States, civil society, NHRIs, academia and other stakeholders, including inputs that would address issues and topics that, although connected with the main theme of the report, are not covered by this call for inputs. </w:t>
      </w:r>
      <w:bookmarkEnd w:id="0"/>
    </w:p>
    <w:sectPr w:rsidR="00FB2D8E" w:rsidRPr="00751A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1F7F" w14:textId="77777777" w:rsidR="007E6BD2" w:rsidRDefault="007E6BD2" w:rsidP="00A465D9">
      <w:pPr>
        <w:spacing w:line="240" w:lineRule="auto"/>
      </w:pPr>
      <w:r>
        <w:separator/>
      </w:r>
    </w:p>
  </w:endnote>
  <w:endnote w:type="continuationSeparator" w:id="0">
    <w:p w14:paraId="3AD031F6" w14:textId="77777777" w:rsidR="007E6BD2" w:rsidRDefault="007E6BD2"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2290" w14:textId="77777777" w:rsidR="007E6BD2" w:rsidRDefault="007E6BD2" w:rsidP="00A465D9">
      <w:pPr>
        <w:spacing w:line="240" w:lineRule="auto"/>
      </w:pPr>
      <w:r>
        <w:separator/>
      </w:r>
    </w:p>
  </w:footnote>
  <w:footnote w:type="continuationSeparator" w:id="0">
    <w:p w14:paraId="1C16CD13" w14:textId="77777777" w:rsidR="007E6BD2" w:rsidRDefault="007E6BD2" w:rsidP="00A465D9">
      <w:pPr>
        <w:spacing w:line="240" w:lineRule="auto"/>
      </w:pPr>
      <w:r>
        <w:continuationSeparator/>
      </w:r>
    </w:p>
  </w:footnote>
  <w:footnote w:id="1">
    <w:p w14:paraId="47D5F5BB" w14:textId="5D4F771F" w:rsidR="00401984" w:rsidRPr="002A0633" w:rsidRDefault="00401984" w:rsidP="002A0633">
      <w:pPr>
        <w:pStyle w:val="FootnoteText"/>
        <w:jc w:val="both"/>
        <w:rPr>
          <w:rFonts w:ascii="Times New Roman" w:hAnsi="Times New Roman" w:cs="Times New Roman"/>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003C5ADC" w:rsidRPr="002A0633">
        <w:rPr>
          <w:rFonts w:ascii="Times New Roman" w:hAnsi="Times New Roman" w:cs="Times New Roman"/>
        </w:rPr>
        <w:t xml:space="preserve">The </w:t>
      </w:r>
      <w:r w:rsidR="00CA2C02">
        <w:rPr>
          <w:rFonts w:ascii="Times New Roman" w:hAnsi="Times New Roman" w:cs="Times New Roman"/>
        </w:rPr>
        <w:t xml:space="preserve">Independent Expert has taken note of the announcement made by the Special </w:t>
      </w:r>
      <w:r w:rsidR="00CA2C02" w:rsidRPr="002A0633">
        <w:rPr>
          <w:rFonts w:ascii="Times New Roman" w:hAnsi="Times New Roman" w:cs="Times New Roman"/>
        </w:rPr>
        <w:t xml:space="preserve">Rapporteur on the right of everyone to the enjoyment of the highest attainable standard of physical and mental health </w:t>
      </w:r>
      <w:r w:rsidR="00CA2C02">
        <w:rPr>
          <w:rFonts w:ascii="Times New Roman" w:hAnsi="Times New Roman" w:cs="Times New Roman"/>
        </w:rPr>
        <w:t xml:space="preserve">on the fact that her upcoming </w:t>
      </w:r>
      <w:r w:rsidR="003C5ADC" w:rsidRPr="002A0633">
        <w:rPr>
          <w:rFonts w:ascii="Times New Roman" w:hAnsi="Times New Roman" w:cs="Times New Roman"/>
        </w:rPr>
        <w:t xml:space="preserve">report </w:t>
      </w:r>
      <w:r w:rsidR="00EC78B9">
        <w:rPr>
          <w:rFonts w:ascii="Times New Roman" w:hAnsi="Times New Roman" w:cs="Times New Roman"/>
        </w:rPr>
        <w:t xml:space="preserve">on violence and its impact on the right to health </w:t>
      </w:r>
      <w:r w:rsidR="00CA2C02">
        <w:rPr>
          <w:rFonts w:ascii="Times New Roman" w:hAnsi="Times New Roman" w:cs="Times New Roman"/>
        </w:rPr>
        <w:t>will</w:t>
      </w:r>
      <w:r w:rsidR="00836167">
        <w:rPr>
          <w:rFonts w:ascii="Times New Roman" w:hAnsi="Times New Roman" w:cs="Times New Roman"/>
        </w:rPr>
        <w:t xml:space="preserve"> address violence experienced by</w:t>
      </w:r>
      <w:r w:rsidR="00A52F36">
        <w:rPr>
          <w:rFonts w:ascii="Times New Roman" w:hAnsi="Times New Roman" w:cs="Times New Roman"/>
        </w:rPr>
        <w:t xml:space="preserve"> LGTI persons</w:t>
      </w:r>
      <w:r w:rsidR="00836167">
        <w:rPr>
          <w:rFonts w:ascii="Times New Roman" w:hAnsi="Times New Roman" w:cs="Times New Roman"/>
        </w:rPr>
        <w:t xml:space="preserve"> (the call for inputs can be found </w:t>
      </w:r>
      <w:hyperlink r:id="rId1" w:history="1">
        <w:r w:rsidR="00836167" w:rsidRPr="00836167">
          <w:rPr>
            <w:rStyle w:val="Hyperlink"/>
            <w:rFonts w:ascii="Times New Roman" w:hAnsi="Times New Roman" w:cs="Times New Roman"/>
          </w:rPr>
          <w:t>here</w:t>
        </w:r>
      </w:hyperlink>
      <w:r w:rsidR="00836167">
        <w:rPr>
          <w:rFonts w:ascii="Times New Roman" w:hAnsi="Times New Roman" w:cs="Times New Roman"/>
        </w:rPr>
        <w:t>)</w:t>
      </w:r>
      <w:r w:rsidR="00CA2C02">
        <w:rPr>
          <w:rFonts w:ascii="Times New Roman" w:hAnsi="Times New Roman" w:cs="Times New Roman"/>
        </w:rPr>
        <w:t xml:space="preserve">. The Special Rapporteur and the Independent Expert are committed to good coordination within the realm of their independent action and their respective </w:t>
      </w:r>
      <w:r w:rsidR="00CA2C02" w:rsidRPr="009E1B4A">
        <w:rPr>
          <w:rFonts w:ascii="Times New Roman" w:hAnsi="Times New Roman" w:cs="Times New Roman"/>
        </w:rPr>
        <w:t>mandates</w:t>
      </w:r>
      <w:r w:rsidR="003C5ADC" w:rsidRPr="00EA3E85">
        <w:rPr>
          <w:rFonts w:ascii="Times New Roman" w:hAnsi="Times New Roman" w:cs="Times New Roman"/>
        </w:rPr>
        <w:t>.</w:t>
      </w:r>
    </w:p>
  </w:footnote>
  <w:footnote w:id="2">
    <w:p w14:paraId="189F39FB" w14:textId="047E41AE" w:rsidR="00A465D9" w:rsidRPr="002A0633" w:rsidRDefault="00A465D9">
      <w:pPr>
        <w:pStyle w:val="FootnoteText"/>
        <w:rPr>
          <w:rFonts w:ascii="Times New Roman" w:hAnsi="Times New Roman" w:cs="Times New Roman"/>
          <w:lang w:val="en-US"/>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Pr="002A0633">
        <w:rPr>
          <w:rFonts w:ascii="Times New Roman" w:hAnsi="Times New Roman" w:cs="Times New Roman"/>
          <w:lang w:val="en-US"/>
        </w:rPr>
        <w:t>See</w:t>
      </w:r>
      <w:hyperlink w:history="1"/>
      <w:r w:rsidRPr="002A0633">
        <w:rPr>
          <w:rStyle w:val="Hyperlink"/>
          <w:rFonts w:ascii="Times New Roman" w:hAnsi="Times New Roman" w:cs="Times New Roman"/>
        </w:rPr>
        <w:t xml:space="preserve"> </w:t>
      </w:r>
      <w:hyperlink r:id="rId2" w:history="1">
        <w:r w:rsidRPr="002A0633">
          <w:rPr>
            <w:rStyle w:val="Hyperlink"/>
            <w:rFonts w:ascii="Times New Roman" w:hAnsi="Times New Roman" w:cs="Times New Roman"/>
          </w:rPr>
          <w:t>https://sdgs.un.org/goals/goal3</w:t>
        </w:r>
      </w:hyperlink>
      <w:r w:rsidRPr="002A0633">
        <w:rPr>
          <w:rStyle w:val="Hyperlink"/>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73E4E"/>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7"/>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E"/>
    <w:rsid w:val="00010324"/>
    <w:rsid w:val="00022A1E"/>
    <w:rsid w:val="000335E7"/>
    <w:rsid w:val="00071901"/>
    <w:rsid w:val="0008409E"/>
    <w:rsid w:val="001908A2"/>
    <w:rsid w:val="001A0258"/>
    <w:rsid w:val="001B4F70"/>
    <w:rsid w:val="0027302E"/>
    <w:rsid w:val="00274C5E"/>
    <w:rsid w:val="00277D66"/>
    <w:rsid w:val="002A0633"/>
    <w:rsid w:val="0031121F"/>
    <w:rsid w:val="003A2FB7"/>
    <w:rsid w:val="003C5ADC"/>
    <w:rsid w:val="00401984"/>
    <w:rsid w:val="004B7A71"/>
    <w:rsid w:val="00543171"/>
    <w:rsid w:val="00562CC1"/>
    <w:rsid w:val="005C3CD5"/>
    <w:rsid w:val="005D0E9E"/>
    <w:rsid w:val="00675780"/>
    <w:rsid w:val="00691F08"/>
    <w:rsid w:val="00751ADA"/>
    <w:rsid w:val="007E6BD2"/>
    <w:rsid w:val="00836167"/>
    <w:rsid w:val="0084785A"/>
    <w:rsid w:val="00854D8B"/>
    <w:rsid w:val="008A3B9E"/>
    <w:rsid w:val="008D1DDB"/>
    <w:rsid w:val="009329C8"/>
    <w:rsid w:val="009402AB"/>
    <w:rsid w:val="00987915"/>
    <w:rsid w:val="009E1B4A"/>
    <w:rsid w:val="00A447F4"/>
    <w:rsid w:val="00A465D9"/>
    <w:rsid w:val="00A52F36"/>
    <w:rsid w:val="00B97063"/>
    <w:rsid w:val="00BB314E"/>
    <w:rsid w:val="00BC11E0"/>
    <w:rsid w:val="00C142B9"/>
    <w:rsid w:val="00C71BC8"/>
    <w:rsid w:val="00CA2C02"/>
    <w:rsid w:val="00DC4544"/>
    <w:rsid w:val="00E35C68"/>
    <w:rsid w:val="00E86631"/>
    <w:rsid w:val="00EA3E85"/>
    <w:rsid w:val="00EB4FE7"/>
    <w:rsid w:val="00EC78B9"/>
    <w:rsid w:val="00F1376F"/>
    <w:rsid w:val="00FB2D8E"/>
    <w:rsid w:val="00FC4DD4"/>
    <w:rsid w:val="00FF0C9C"/>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51"/>
  <w15:docId w15:val="{2B180FD0-485B-442D-9A4C-3D2803F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ie-sogi@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goal3" TargetMode="External"/><Relationship Id="rId1" Type="http://schemas.openxmlformats.org/officeDocument/2006/relationships/hyperlink" Target="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06E19-EC0A-4A7D-BEF2-D844E2FA85D5}"/>
</file>

<file path=customXml/itemProps2.xml><?xml version="1.0" encoding="utf-8"?>
<ds:datastoreItem xmlns:ds="http://schemas.openxmlformats.org/officeDocument/2006/customXml" ds:itemID="{617813B1-A7C6-416C-A585-25F68B1A9AF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f8df134-663c-4bf7-aeb9-a3ecb15fc082"/>
    <ds:schemaRef ds:uri="fd02aef5-b748-4d94-bddb-a56042f097a8"/>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903DE074-F21B-4802-BAE5-1EB7F69FBF2C}">
  <ds:schemaRefs>
    <ds:schemaRef ds:uri="http://schemas.microsoft.com/sharepoint/v3/contenttype/forms"/>
  </ds:schemaRefs>
</ds:datastoreItem>
</file>

<file path=customXml/itemProps4.xml><?xml version="1.0" encoding="utf-8"?>
<ds:datastoreItem xmlns:ds="http://schemas.openxmlformats.org/officeDocument/2006/customXml" ds:itemID="{2EADA5CB-BC54-49C0-87B3-27EB9B22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FORCIGNANO Veronica</cp:lastModifiedBy>
  <cp:revision>8</cp:revision>
  <dcterms:created xsi:type="dcterms:W3CDTF">2021-12-15T09:12:00Z</dcterms:created>
  <dcterms:modified xsi:type="dcterms:W3CDTF">2021-12-15T09:57:00Z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