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12AD" w14:textId="430F4706" w:rsidR="00D22926" w:rsidRPr="000B01B2" w:rsidRDefault="00632E49" w:rsidP="00D22926">
      <w:pPr>
        <w:pStyle w:val="Title"/>
        <w:jc w:val="center"/>
        <w:rPr>
          <w:rFonts w:ascii="Arial" w:hAnsi="Arial" w:cs="Arial"/>
          <w:b/>
          <w:bCs/>
          <w:color w:val="4472C4" w:themeColor="accent1"/>
          <w:sz w:val="24"/>
          <w:szCs w:val="24"/>
          <w:lang w:val="en-GB"/>
        </w:rPr>
      </w:pPr>
      <w:bookmarkStart w:id="0" w:name="_GoBack"/>
      <w:bookmarkEnd w:id="0"/>
      <w:r w:rsidRPr="000B01B2">
        <w:rPr>
          <w:rFonts w:ascii="Arial" w:hAnsi="Arial" w:cs="Arial"/>
          <w:b/>
          <w:bCs/>
          <w:color w:val="4472C4" w:themeColor="accent1"/>
          <w:sz w:val="24"/>
          <w:szCs w:val="24"/>
          <w:lang w:val="en-GB"/>
        </w:rPr>
        <w:t xml:space="preserve">ADDITIONAL </w:t>
      </w:r>
      <w:r w:rsidR="00D22926" w:rsidRPr="000B01B2">
        <w:rPr>
          <w:rFonts w:ascii="Arial" w:hAnsi="Arial" w:cs="Arial"/>
          <w:b/>
          <w:bCs/>
          <w:color w:val="4472C4" w:themeColor="accent1"/>
          <w:sz w:val="24"/>
          <w:szCs w:val="24"/>
        </w:rPr>
        <w:t xml:space="preserve">CONTRIBUTION FROM THE REPUBLIC OF THE PHILIPPINES                                        </w:t>
      </w:r>
      <w:r w:rsidR="00FE5C93" w:rsidRPr="000B01B2">
        <w:rPr>
          <w:rFonts w:ascii="Arial" w:hAnsi="Arial" w:cs="Arial"/>
          <w:b/>
          <w:bCs/>
          <w:color w:val="4472C4" w:themeColor="accent1"/>
          <w:sz w:val="24"/>
          <w:szCs w:val="24"/>
          <w:lang w:val="en-GB"/>
        </w:rPr>
        <w:t xml:space="preserve">TO </w:t>
      </w:r>
      <w:r w:rsidR="00D22926" w:rsidRPr="000B01B2">
        <w:rPr>
          <w:rFonts w:ascii="Arial" w:hAnsi="Arial" w:cs="Arial"/>
          <w:b/>
          <w:bCs/>
          <w:color w:val="4472C4" w:themeColor="accent1"/>
          <w:sz w:val="24"/>
          <w:szCs w:val="24"/>
          <w:lang w:val="en-GB"/>
        </w:rPr>
        <w:t xml:space="preserve">THE OHCHR CALL FOR INPUTS </w:t>
      </w:r>
      <w:r w:rsidR="00A36C69" w:rsidRPr="000B01B2">
        <w:rPr>
          <w:rFonts w:ascii="Arial" w:hAnsi="Arial" w:cs="Arial"/>
          <w:b/>
          <w:bCs/>
          <w:color w:val="4472C4" w:themeColor="accent1"/>
          <w:sz w:val="24"/>
          <w:szCs w:val="24"/>
          <w:lang w:val="en-GB"/>
        </w:rPr>
        <w:t xml:space="preserve">PURSUANT TO ITS MANDATE IN </w:t>
      </w:r>
      <w:r w:rsidR="00FE5C93" w:rsidRPr="000B01B2">
        <w:rPr>
          <w:rFonts w:ascii="Arial" w:hAnsi="Arial" w:cs="Arial"/>
          <w:b/>
          <w:bCs/>
          <w:color w:val="4472C4" w:themeColor="accent1"/>
          <w:sz w:val="24"/>
          <w:szCs w:val="24"/>
          <w:lang w:val="en-GB"/>
        </w:rPr>
        <w:t xml:space="preserve"> </w:t>
      </w:r>
    </w:p>
    <w:p w14:paraId="6F9B4B97" w14:textId="77777777" w:rsidR="00C30586" w:rsidRPr="000B01B2" w:rsidRDefault="00F848AB" w:rsidP="00C30586">
      <w:pPr>
        <w:pStyle w:val="Title"/>
        <w:jc w:val="center"/>
        <w:rPr>
          <w:rFonts w:ascii="Arial" w:hAnsi="Arial" w:cs="Arial"/>
          <w:b/>
          <w:bCs/>
          <w:color w:val="4472C4" w:themeColor="accent1"/>
          <w:sz w:val="24"/>
          <w:szCs w:val="24"/>
          <w:lang w:val="en-GB"/>
        </w:rPr>
      </w:pPr>
      <w:r w:rsidRPr="000B01B2">
        <w:rPr>
          <w:rFonts w:ascii="Arial" w:hAnsi="Arial" w:cs="Arial"/>
          <w:b/>
          <w:bCs/>
          <w:color w:val="4472C4" w:themeColor="accent1"/>
          <w:sz w:val="24"/>
          <w:szCs w:val="24"/>
        </w:rPr>
        <w:t xml:space="preserve">HRC </w:t>
      </w:r>
      <w:r w:rsidR="00D22926" w:rsidRPr="000B01B2">
        <w:rPr>
          <w:rFonts w:ascii="Arial" w:hAnsi="Arial" w:cs="Arial"/>
          <w:b/>
          <w:bCs/>
          <w:color w:val="4472C4" w:themeColor="accent1"/>
          <w:sz w:val="24"/>
          <w:szCs w:val="24"/>
        </w:rPr>
        <w:t>RESOLUTION 4</w:t>
      </w:r>
      <w:r w:rsidR="00B77695" w:rsidRPr="000B01B2">
        <w:rPr>
          <w:rFonts w:ascii="Arial" w:hAnsi="Arial" w:cs="Arial"/>
          <w:b/>
          <w:bCs/>
          <w:color w:val="4472C4" w:themeColor="accent1"/>
          <w:sz w:val="24"/>
          <w:szCs w:val="24"/>
          <w:lang w:val="en-GB"/>
        </w:rPr>
        <w:t>3</w:t>
      </w:r>
      <w:r w:rsidR="00D22926" w:rsidRPr="000B01B2">
        <w:rPr>
          <w:rFonts w:ascii="Arial" w:hAnsi="Arial" w:cs="Arial"/>
          <w:b/>
          <w:bCs/>
          <w:color w:val="4472C4" w:themeColor="accent1"/>
          <w:sz w:val="24"/>
          <w:szCs w:val="24"/>
        </w:rPr>
        <w:t>/</w:t>
      </w:r>
      <w:r w:rsidR="00B77695" w:rsidRPr="000B01B2">
        <w:rPr>
          <w:rFonts w:ascii="Arial" w:hAnsi="Arial" w:cs="Arial"/>
          <w:b/>
          <w:bCs/>
          <w:color w:val="4472C4" w:themeColor="accent1"/>
          <w:sz w:val="24"/>
          <w:szCs w:val="24"/>
          <w:lang w:val="en-GB"/>
        </w:rPr>
        <w:t>L.34</w:t>
      </w:r>
      <w:r w:rsidR="00D22926" w:rsidRPr="000B01B2">
        <w:rPr>
          <w:rFonts w:ascii="Arial" w:hAnsi="Arial" w:cs="Arial"/>
          <w:b/>
          <w:bCs/>
          <w:color w:val="4472C4" w:themeColor="accent1"/>
          <w:sz w:val="24"/>
          <w:szCs w:val="24"/>
        </w:rPr>
        <w:t xml:space="preserve"> ON </w:t>
      </w:r>
      <w:r w:rsidR="00B77695" w:rsidRPr="000B01B2">
        <w:rPr>
          <w:rFonts w:ascii="Arial" w:hAnsi="Arial" w:cs="Arial"/>
          <w:b/>
          <w:bCs/>
          <w:color w:val="4472C4" w:themeColor="accent1"/>
          <w:sz w:val="24"/>
          <w:szCs w:val="24"/>
          <w:lang w:val="en-GB"/>
        </w:rPr>
        <w:t xml:space="preserve">STATISTICS AND DATA COLLECTION </w:t>
      </w:r>
    </w:p>
    <w:p w14:paraId="184CFE41" w14:textId="510FCBF0" w:rsidR="00D54A96" w:rsidRPr="000B01B2" w:rsidRDefault="00B77695" w:rsidP="00C30586">
      <w:pPr>
        <w:pStyle w:val="Title"/>
        <w:jc w:val="center"/>
        <w:rPr>
          <w:rFonts w:ascii="Arial" w:hAnsi="Arial" w:cs="Arial"/>
          <w:b/>
          <w:bCs/>
          <w:color w:val="4472C4" w:themeColor="accent1"/>
          <w:sz w:val="24"/>
          <w:szCs w:val="24"/>
          <w:lang w:val="en-GB"/>
        </w:rPr>
      </w:pPr>
      <w:r w:rsidRPr="000B01B2">
        <w:rPr>
          <w:rFonts w:ascii="Arial" w:hAnsi="Arial" w:cs="Arial"/>
          <w:b/>
          <w:bCs/>
          <w:color w:val="4472C4" w:themeColor="accent1"/>
          <w:sz w:val="24"/>
          <w:szCs w:val="24"/>
          <w:lang w:val="en-GB"/>
        </w:rPr>
        <w:t>ABOUT PERSONS WITH DISABILITIES</w:t>
      </w:r>
      <w:r w:rsidR="00C30586" w:rsidRPr="000B01B2">
        <w:rPr>
          <w:rFonts w:ascii="Arial" w:hAnsi="Arial" w:cs="Arial"/>
          <w:b/>
          <w:bCs/>
          <w:color w:val="4472C4" w:themeColor="accent1"/>
          <w:sz w:val="24"/>
          <w:szCs w:val="24"/>
          <w:lang w:val="en-GB"/>
        </w:rPr>
        <w:t xml:space="preserve"> (PWDs)</w:t>
      </w:r>
      <w:r w:rsidRPr="000B01B2">
        <w:rPr>
          <w:rFonts w:ascii="Arial" w:hAnsi="Arial" w:cs="Arial"/>
          <w:b/>
          <w:bCs/>
          <w:color w:val="4472C4" w:themeColor="accent1"/>
          <w:sz w:val="24"/>
          <w:szCs w:val="24"/>
          <w:lang w:val="en-GB"/>
        </w:rPr>
        <w:t xml:space="preserve"> </w:t>
      </w:r>
    </w:p>
    <w:p w14:paraId="201F172D" w14:textId="77777777" w:rsidR="008A063D" w:rsidRPr="000B01B2" w:rsidRDefault="008A063D" w:rsidP="00F848AB">
      <w:pPr>
        <w:spacing w:after="0" w:line="240" w:lineRule="auto"/>
        <w:rPr>
          <w:rFonts w:ascii="Arial" w:hAnsi="Arial" w:cs="Arial"/>
          <w:sz w:val="24"/>
          <w:szCs w:val="24"/>
        </w:rPr>
      </w:pPr>
    </w:p>
    <w:p w14:paraId="3D2BBC85" w14:textId="4151E7A9" w:rsidR="00A95238" w:rsidRPr="000B01B2" w:rsidRDefault="00632E49" w:rsidP="00403A8B">
      <w:pPr>
        <w:spacing w:after="0" w:line="276" w:lineRule="auto"/>
        <w:jc w:val="both"/>
        <w:rPr>
          <w:rFonts w:ascii="Arial" w:hAnsi="Arial" w:cs="Arial"/>
          <w:sz w:val="24"/>
          <w:szCs w:val="24"/>
          <w:lang w:val="en-GB"/>
        </w:rPr>
      </w:pPr>
      <w:r w:rsidRPr="000B01B2">
        <w:rPr>
          <w:rFonts w:ascii="Arial" w:hAnsi="Arial" w:cs="Arial"/>
          <w:sz w:val="24"/>
          <w:szCs w:val="24"/>
          <w:lang w:val="en-GB"/>
        </w:rPr>
        <w:t xml:space="preserve">Further to Note Verbale No. NV-EPG-299-2021 dated 20 October 2021, the Permanent Mission of the Philippines conveys additional </w:t>
      </w:r>
      <w:r w:rsidR="003D6EFF" w:rsidRPr="000B01B2">
        <w:rPr>
          <w:rFonts w:ascii="Arial" w:hAnsi="Arial" w:cs="Arial"/>
          <w:sz w:val="24"/>
          <w:szCs w:val="24"/>
          <w:lang w:val="en-GB"/>
        </w:rPr>
        <w:t xml:space="preserve">contribution </w:t>
      </w:r>
      <w:r w:rsidRPr="000B01B2">
        <w:rPr>
          <w:rFonts w:ascii="Arial" w:hAnsi="Arial" w:cs="Arial"/>
          <w:sz w:val="24"/>
          <w:szCs w:val="24"/>
          <w:lang w:val="en-GB"/>
        </w:rPr>
        <w:t xml:space="preserve">in response </w:t>
      </w:r>
      <w:r w:rsidR="003D6EFF" w:rsidRPr="000B01B2">
        <w:rPr>
          <w:rFonts w:ascii="Arial" w:hAnsi="Arial" w:cs="Arial"/>
          <w:sz w:val="24"/>
          <w:szCs w:val="24"/>
          <w:lang w:val="en-GB"/>
        </w:rPr>
        <w:t xml:space="preserve">to </w:t>
      </w:r>
      <w:r w:rsidR="00915402" w:rsidRPr="000B01B2">
        <w:rPr>
          <w:rFonts w:ascii="Arial" w:hAnsi="Arial" w:cs="Arial"/>
          <w:sz w:val="24"/>
          <w:szCs w:val="24"/>
          <w:lang w:val="en-GB"/>
        </w:rPr>
        <w:t xml:space="preserve">OHCHR’s </w:t>
      </w:r>
      <w:r w:rsidR="003D6EFF" w:rsidRPr="000B01B2">
        <w:rPr>
          <w:rFonts w:ascii="Arial" w:hAnsi="Arial" w:cs="Arial"/>
          <w:sz w:val="24"/>
          <w:szCs w:val="24"/>
          <w:lang w:val="en-GB"/>
        </w:rPr>
        <w:t xml:space="preserve">call for inputs </w:t>
      </w:r>
      <w:r w:rsidR="00915402" w:rsidRPr="000B01B2">
        <w:rPr>
          <w:rFonts w:ascii="Arial" w:hAnsi="Arial" w:cs="Arial"/>
          <w:sz w:val="24"/>
          <w:szCs w:val="24"/>
          <w:lang w:val="en-GB"/>
        </w:rPr>
        <w:t xml:space="preserve">through </w:t>
      </w:r>
      <w:r w:rsidR="00A95238" w:rsidRPr="000B01B2">
        <w:rPr>
          <w:rFonts w:ascii="Arial" w:hAnsi="Arial" w:cs="Arial"/>
          <w:sz w:val="24"/>
          <w:szCs w:val="24"/>
          <w:lang w:val="en-GB"/>
        </w:rPr>
        <w:t xml:space="preserve">Note Verbale No. OHCHR/TESRPRD/DESIB/HRESIS dated 24 August 2021 on its reporting mandate pursuant to HRC resolution 43/L.34 on a “study on statistics and data collection under article 31 of the Convention on the Rights of Persons with Disabilities (CRPD) requiring contributions to be submitted to the OHCHR in an accessible format”.  </w:t>
      </w:r>
    </w:p>
    <w:p w14:paraId="2ECF7CE3" w14:textId="68F6E402" w:rsidR="00504873" w:rsidRPr="000B01B2" w:rsidRDefault="00504873" w:rsidP="00403A8B">
      <w:pPr>
        <w:spacing w:after="0" w:line="276" w:lineRule="auto"/>
        <w:jc w:val="both"/>
        <w:rPr>
          <w:rFonts w:ascii="Arial" w:hAnsi="Arial" w:cs="Arial"/>
          <w:sz w:val="24"/>
          <w:szCs w:val="24"/>
          <w:lang w:val="en-GB"/>
        </w:rPr>
      </w:pPr>
    </w:p>
    <w:p w14:paraId="2BF1F7EA" w14:textId="38E90307" w:rsidR="00DB668D" w:rsidRPr="000B01B2" w:rsidRDefault="00DB668D" w:rsidP="00DB668D">
      <w:pPr>
        <w:spacing w:after="0" w:line="276" w:lineRule="auto"/>
        <w:jc w:val="both"/>
        <w:rPr>
          <w:rFonts w:ascii="Arial" w:hAnsi="Arial" w:cs="Arial"/>
          <w:sz w:val="24"/>
          <w:szCs w:val="24"/>
          <w:lang w:val="en-GB"/>
        </w:rPr>
      </w:pPr>
      <w:r w:rsidRPr="000B01B2">
        <w:rPr>
          <w:rFonts w:ascii="Arial" w:hAnsi="Arial" w:cs="Arial"/>
          <w:sz w:val="24"/>
          <w:szCs w:val="24"/>
          <w:lang w:val="en-GB"/>
        </w:rPr>
        <w:t xml:space="preserve">The information </w:t>
      </w:r>
      <w:r w:rsidR="00C313A7" w:rsidRPr="000B01B2">
        <w:rPr>
          <w:rFonts w:ascii="Arial" w:hAnsi="Arial" w:cs="Arial"/>
          <w:sz w:val="24"/>
          <w:szCs w:val="24"/>
          <w:lang w:val="en-GB"/>
        </w:rPr>
        <w:t xml:space="preserve">below </w:t>
      </w:r>
      <w:r w:rsidRPr="000B01B2">
        <w:rPr>
          <w:rFonts w:ascii="Arial" w:hAnsi="Arial" w:cs="Arial"/>
          <w:sz w:val="24"/>
          <w:szCs w:val="24"/>
          <w:lang w:val="en-GB"/>
        </w:rPr>
        <w:t xml:space="preserve">was provided by the Philippines’ Department of Human Settlements and Urban Development (DHSUD), the main planning and policy-making, regulatory, program coordination, and performance monitoring entity for all housing, human settlements, and urban development in the Philippines.  The DHSUD, </w:t>
      </w:r>
      <w:r w:rsidR="00724DFA" w:rsidRPr="000B01B2">
        <w:rPr>
          <w:rFonts w:ascii="Arial" w:hAnsi="Arial" w:cs="Arial"/>
          <w:sz w:val="24"/>
          <w:szCs w:val="24"/>
          <w:lang w:val="en-GB"/>
        </w:rPr>
        <w:t xml:space="preserve">which is </w:t>
      </w:r>
      <w:r w:rsidRPr="000B01B2">
        <w:rPr>
          <w:rFonts w:ascii="Arial" w:hAnsi="Arial" w:cs="Arial"/>
          <w:sz w:val="24"/>
          <w:szCs w:val="24"/>
          <w:lang w:val="en-GB"/>
        </w:rPr>
        <w:t xml:space="preserve">mandated through Republic Act 11201 </w:t>
      </w:r>
      <w:r w:rsidR="00BB43C8" w:rsidRPr="000B01B2">
        <w:rPr>
          <w:rFonts w:ascii="Arial" w:hAnsi="Arial" w:cs="Arial"/>
          <w:sz w:val="24"/>
          <w:szCs w:val="24"/>
          <w:lang w:val="en-GB"/>
        </w:rPr>
        <w:t xml:space="preserve">of </w:t>
      </w:r>
      <w:r w:rsidRPr="000B01B2">
        <w:rPr>
          <w:rFonts w:ascii="Arial" w:hAnsi="Arial" w:cs="Arial"/>
          <w:sz w:val="24"/>
          <w:szCs w:val="24"/>
          <w:lang w:val="en-GB"/>
        </w:rPr>
        <w:t xml:space="preserve">14 February 2019, is responsible for the development and adoption of a national strategy to ensure the alignment of policies, programs and projects to provide access to decent, affordable, resilient and sustainable housing communities to all Filipinos, particularly the underprivileged and those in the low-income bracket.  </w:t>
      </w:r>
    </w:p>
    <w:p w14:paraId="65785A9C" w14:textId="5AF7BE61" w:rsidR="00A95238" w:rsidRPr="000B01B2" w:rsidRDefault="00A95238" w:rsidP="00403A8B">
      <w:pPr>
        <w:spacing w:after="0" w:line="276" w:lineRule="auto"/>
        <w:jc w:val="both"/>
        <w:rPr>
          <w:rFonts w:ascii="Arial" w:hAnsi="Arial" w:cs="Arial"/>
          <w:sz w:val="24"/>
          <w:szCs w:val="24"/>
        </w:rPr>
      </w:pPr>
    </w:p>
    <w:p w14:paraId="1A4C3EAA" w14:textId="77777777" w:rsidR="00C30586" w:rsidRPr="000B01B2" w:rsidRDefault="00C30586" w:rsidP="00C30586">
      <w:pPr>
        <w:autoSpaceDE w:val="0"/>
        <w:autoSpaceDN w:val="0"/>
        <w:adjustRightInd w:val="0"/>
        <w:spacing w:after="0" w:line="240" w:lineRule="auto"/>
        <w:rPr>
          <w:rFonts w:ascii="Arial" w:hAnsi="Arial" w:cs="Arial"/>
          <w:b/>
          <w:bCs/>
          <w:color w:val="000000"/>
          <w:sz w:val="24"/>
          <w:szCs w:val="24"/>
        </w:rPr>
      </w:pPr>
      <w:r w:rsidRPr="000B01B2">
        <w:rPr>
          <w:rFonts w:ascii="Arial" w:hAnsi="Arial" w:cs="Arial"/>
          <w:b/>
          <w:bCs/>
          <w:color w:val="000000"/>
          <w:sz w:val="24"/>
          <w:szCs w:val="24"/>
        </w:rPr>
        <w:t xml:space="preserve">Responses to Questions Prepared by the OHCHR </w:t>
      </w:r>
    </w:p>
    <w:p w14:paraId="5527EC40" w14:textId="77777777" w:rsidR="00C30586" w:rsidRPr="000B01B2" w:rsidRDefault="00C30586" w:rsidP="00C30586">
      <w:pPr>
        <w:autoSpaceDE w:val="0"/>
        <w:autoSpaceDN w:val="0"/>
        <w:adjustRightInd w:val="0"/>
        <w:spacing w:after="0" w:line="240" w:lineRule="auto"/>
        <w:rPr>
          <w:rFonts w:ascii="Arial" w:hAnsi="Arial" w:cs="Arial"/>
          <w:b/>
          <w:bCs/>
          <w:color w:val="000000"/>
          <w:sz w:val="24"/>
          <w:szCs w:val="24"/>
        </w:rPr>
      </w:pPr>
    </w:p>
    <w:p w14:paraId="09E17E6E" w14:textId="77777777" w:rsidR="009334EA" w:rsidRPr="000B01B2" w:rsidRDefault="009334EA" w:rsidP="000B01B2">
      <w:p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b/>
          <w:bCs/>
          <w:color w:val="000000"/>
          <w:sz w:val="24"/>
          <w:szCs w:val="24"/>
        </w:rPr>
        <w:t xml:space="preserve">Measures and services available at municipal, regional or national levels to support people living in poverty </w:t>
      </w:r>
    </w:p>
    <w:p w14:paraId="12969DF7" w14:textId="77777777" w:rsidR="0099142F" w:rsidRPr="000B01B2" w:rsidRDefault="0099142F" w:rsidP="0099142F">
      <w:pPr>
        <w:autoSpaceDE w:val="0"/>
        <w:autoSpaceDN w:val="0"/>
        <w:adjustRightInd w:val="0"/>
        <w:spacing w:after="0" w:line="240" w:lineRule="auto"/>
        <w:rPr>
          <w:rFonts w:ascii="Arial" w:hAnsi="Arial" w:cs="Arial"/>
          <w:color w:val="000000"/>
          <w:sz w:val="24"/>
          <w:szCs w:val="24"/>
        </w:rPr>
      </w:pPr>
    </w:p>
    <w:p w14:paraId="7C279E55" w14:textId="49B0BA68" w:rsidR="00146AD7" w:rsidRPr="000B01B2" w:rsidRDefault="0099142F" w:rsidP="000B01B2">
      <w:p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color w:val="000000"/>
          <w:sz w:val="24"/>
          <w:szCs w:val="24"/>
        </w:rPr>
        <w:t xml:space="preserve">The DHSUD provided the following list of programs, ordinances, and laws available to support people living in poverty: </w:t>
      </w:r>
    </w:p>
    <w:p w14:paraId="1BEBF689" w14:textId="77777777" w:rsidR="00146AD7" w:rsidRPr="000B01B2" w:rsidRDefault="00146AD7" w:rsidP="00146AD7">
      <w:pPr>
        <w:pStyle w:val="ListParagraph"/>
        <w:autoSpaceDE w:val="0"/>
        <w:autoSpaceDN w:val="0"/>
        <w:adjustRightInd w:val="0"/>
        <w:spacing w:after="0" w:line="240" w:lineRule="auto"/>
        <w:ind w:left="567"/>
        <w:jc w:val="both"/>
        <w:rPr>
          <w:rFonts w:ascii="Arial" w:hAnsi="Arial" w:cs="Arial"/>
          <w:color w:val="000000"/>
          <w:sz w:val="24"/>
          <w:szCs w:val="24"/>
        </w:rPr>
      </w:pPr>
    </w:p>
    <w:p w14:paraId="3BB8AC04" w14:textId="4007E924"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color w:val="000000"/>
          <w:sz w:val="24"/>
          <w:szCs w:val="24"/>
        </w:rPr>
        <w:t xml:space="preserve">The </w:t>
      </w:r>
      <w:r w:rsidRPr="000B01B2">
        <w:rPr>
          <w:rFonts w:ascii="Arial" w:hAnsi="Arial" w:cs="Arial"/>
          <w:b/>
          <w:bCs/>
          <w:color w:val="000000"/>
          <w:sz w:val="24"/>
          <w:szCs w:val="24"/>
        </w:rPr>
        <w:t>National Shelter Program</w:t>
      </w:r>
      <w:r w:rsidR="00CE0678" w:rsidRPr="000B01B2">
        <w:rPr>
          <w:rFonts w:ascii="Arial" w:hAnsi="Arial" w:cs="Arial"/>
          <w:color w:val="000000"/>
          <w:sz w:val="24"/>
          <w:szCs w:val="24"/>
          <w:lang w:val="en-GB"/>
        </w:rPr>
        <w:t>- DHSUD’s flagship program designed to assist the homeless – in particular, the informal settler families (ISFs) – and the low- and middle-income Filipino families.  It has three major components, namely, regulations, finance and production.</w:t>
      </w:r>
      <w:r w:rsidR="000F697B" w:rsidRPr="000B01B2">
        <w:rPr>
          <w:rFonts w:ascii="Arial" w:hAnsi="Arial" w:cs="Arial"/>
          <w:color w:val="000000"/>
          <w:sz w:val="24"/>
          <w:szCs w:val="24"/>
          <w:lang w:val="en-GB"/>
        </w:rPr>
        <w:t xml:space="preserve">  The DHSUD, through its various bureaus and services, provides regulatory functions while its attached agencies – composed of the Home Development Mutual Fund or PAG-IBIG Fund, National Home Mortgage Finance Corp. (NHMFC) and Socialized Housing Finance Corp. (SHFC) – are in charge of the financing side.  The National Housing Authority (NHA) serves as the primary production unit. </w:t>
      </w:r>
    </w:p>
    <w:p w14:paraId="0A87EB57" w14:textId="1B5C133E" w:rsidR="00021C3B" w:rsidRPr="000B01B2" w:rsidRDefault="00021C3B" w:rsidP="00021C3B">
      <w:pPr>
        <w:pStyle w:val="ListParagraph"/>
        <w:autoSpaceDE w:val="0"/>
        <w:autoSpaceDN w:val="0"/>
        <w:adjustRightInd w:val="0"/>
        <w:spacing w:after="0" w:line="240" w:lineRule="auto"/>
        <w:ind w:left="927"/>
        <w:jc w:val="both"/>
        <w:rPr>
          <w:rFonts w:ascii="Arial" w:hAnsi="Arial" w:cs="Arial"/>
          <w:color w:val="000000"/>
          <w:sz w:val="24"/>
          <w:szCs w:val="24"/>
          <w:lang w:val="en-GB"/>
        </w:rPr>
      </w:pPr>
    </w:p>
    <w:p w14:paraId="365AF290" w14:textId="69AF524C" w:rsidR="00021C3B" w:rsidRPr="000B01B2" w:rsidRDefault="00021C3B" w:rsidP="00021C3B">
      <w:pPr>
        <w:pStyle w:val="ListParagraph"/>
        <w:autoSpaceDE w:val="0"/>
        <w:autoSpaceDN w:val="0"/>
        <w:adjustRightInd w:val="0"/>
        <w:spacing w:after="0" w:line="240" w:lineRule="auto"/>
        <w:ind w:left="927"/>
        <w:jc w:val="both"/>
        <w:rPr>
          <w:rFonts w:ascii="Arial" w:hAnsi="Arial" w:cs="Arial"/>
          <w:i/>
          <w:iCs/>
          <w:color w:val="000000"/>
          <w:sz w:val="24"/>
          <w:szCs w:val="24"/>
          <w:lang w:val="en-GB"/>
        </w:rPr>
      </w:pPr>
      <w:r w:rsidRPr="000B01B2">
        <w:rPr>
          <w:rFonts w:ascii="Arial" w:hAnsi="Arial" w:cs="Arial"/>
          <w:i/>
          <w:iCs/>
          <w:color w:val="000000"/>
          <w:sz w:val="24"/>
          <w:szCs w:val="24"/>
          <w:lang w:val="en-GB"/>
        </w:rPr>
        <w:t>Concrete action at the onset of the covid pandemic:</w:t>
      </w:r>
    </w:p>
    <w:p w14:paraId="017B37A5" w14:textId="77777777" w:rsidR="000B01B2" w:rsidRPr="000B01B2" w:rsidRDefault="000B01B2" w:rsidP="000B01B2">
      <w:pPr>
        <w:pStyle w:val="ListParagraph"/>
        <w:autoSpaceDE w:val="0"/>
        <w:autoSpaceDN w:val="0"/>
        <w:adjustRightInd w:val="0"/>
        <w:spacing w:after="0" w:line="240" w:lineRule="auto"/>
        <w:ind w:left="1287"/>
        <w:jc w:val="both"/>
        <w:rPr>
          <w:rFonts w:ascii="Arial" w:hAnsi="Arial" w:cs="Arial"/>
          <w:color w:val="000000"/>
          <w:sz w:val="24"/>
          <w:szCs w:val="24"/>
        </w:rPr>
      </w:pPr>
    </w:p>
    <w:p w14:paraId="05F50DE5" w14:textId="0F65EBDC" w:rsidR="00021C3B" w:rsidRPr="000B01B2" w:rsidRDefault="00021C3B" w:rsidP="00021C3B">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color w:val="000000"/>
          <w:sz w:val="24"/>
          <w:szCs w:val="24"/>
          <w:lang w:val="en-GB"/>
        </w:rPr>
        <w:t xml:space="preserve">Three-month moratorium </w:t>
      </w:r>
      <w:r w:rsidR="000B01B2" w:rsidRPr="000B01B2">
        <w:rPr>
          <w:rFonts w:ascii="Arial" w:hAnsi="Arial" w:cs="Arial"/>
          <w:color w:val="000000"/>
          <w:sz w:val="24"/>
          <w:szCs w:val="24"/>
          <w:lang w:val="en-GB"/>
        </w:rPr>
        <w:t xml:space="preserve">on loan payments </w:t>
      </w:r>
      <w:r w:rsidRPr="000B01B2">
        <w:rPr>
          <w:rFonts w:ascii="Arial" w:hAnsi="Arial" w:cs="Arial"/>
          <w:color w:val="000000"/>
          <w:sz w:val="24"/>
          <w:szCs w:val="24"/>
          <w:lang w:val="en-GB"/>
        </w:rPr>
        <w:t>implemented by attached agencies upon President Rodrigo Duterte’s declaration of the enhanced community quarantine in March 2020;</w:t>
      </w:r>
    </w:p>
    <w:p w14:paraId="23C87A46" w14:textId="77777777" w:rsidR="001F1C18" w:rsidRPr="000B01B2" w:rsidRDefault="001F1C18" w:rsidP="001F1C18">
      <w:pPr>
        <w:pStyle w:val="ListParagraph"/>
        <w:autoSpaceDE w:val="0"/>
        <w:autoSpaceDN w:val="0"/>
        <w:adjustRightInd w:val="0"/>
        <w:spacing w:after="0" w:line="240" w:lineRule="auto"/>
        <w:ind w:left="1287"/>
        <w:jc w:val="both"/>
        <w:rPr>
          <w:rFonts w:ascii="Arial" w:hAnsi="Arial" w:cs="Arial"/>
          <w:color w:val="000000"/>
          <w:sz w:val="24"/>
          <w:szCs w:val="24"/>
        </w:rPr>
      </w:pPr>
    </w:p>
    <w:p w14:paraId="2F60B286" w14:textId="3954F1A9" w:rsidR="00021C3B" w:rsidRPr="000B01B2" w:rsidRDefault="00021C3B" w:rsidP="00021C3B">
      <w:pPr>
        <w:pStyle w:val="ListParagraph"/>
        <w:numPr>
          <w:ilvl w:val="0"/>
          <w:numId w:val="12"/>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color w:val="000000"/>
          <w:sz w:val="24"/>
          <w:szCs w:val="24"/>
          <w:lang w:val="en-GB"/>
        </w:rPr>
        <w:t>PAG-IBIG increased its House Construction Financing Line to Php 10</w:t>
      </w:r>
      <w:r w:rsidR="00456340" w:rsidRPr="000B01B2">
        <w:rPr>
          <w:rFonts w:ascii="Arial" w:hAnsi="Arial" w:cs="Arial"/>
          <w:color w:val="000000"/>
          <w:sz w:val="24"/>
          <w:szCs w:val="24"/>
          <w:lang w:val="en-GB"/>
        </w:rPr>
        <w:t xml:space="preserve"> b</w:t>
      </w:r>
      <w:r w:rsidRPr="000B01B2">
        <w:rPr>
          <w:rFonts w:ascii="Arial" w:hAnsi="Arial" w:cs="Arial"/>
          <w:color w:val="000000"/>
          <w:sz w:val="24"/>
          <w:szCs w:val="24"/>
          <w:lang w:val="en-GB"/>
        </w:rPr>
        <w:t xml:space="preserve">illion (approximately USD 198 million) from only Php 2 </w:t>
      </w:r>
      <w:r w:rsidR="00456340" w:rsidRPr="000B01B2">
        <w:rPr>
          <w:rFonts w:ascii="Arial" w:hAnsi="Arial" w:cs="Arial"/>
          <w:color w:val="000000"/>
          <w:sz w:val="24"/>
          <w:szCs w:val="24"/>
          <w:lang w:val="en-GB"/>
        </w:rPr>
        <w:t>b</w:t>
      </w:r>
      <w:r w:rsidRPr="000B01B2">
        <w:rPr>
          <w:rFonts w:ascii="Arial" w:hAnsi="Arial" w:cs="Arial"/>
          <w:color w:val="000000"/>
          <w:sz w:val="24"/>
          <w:szCs w:val="24"/>
          <w:lang w:val="en-GB"/>
        </w:rPr>
        <w:t>illion</w:t>
      </w:r>
      <w:r w:rsidR="002900F0" w:rsidRPr="000B01B2">
        <w:rPr>
          <w:rFonts w:ascii="Arial" w:hAnsi="Arial" w:cs="Arial"/>
          <w:color w:val="000000"/>
          <w:sz w:val="24"/>
          <w:szCs w:val="24"/>
          <w:lang w:val="en-GB"/>
        </w:rPr>
        <w:t xml:space="preserve"> (approximately USD 39.6 million)</w:t>
      </w:r>
      <w:r w:rsidRPr="000B01B2">
        <w:rPr>
          <w:rFonts w:ascii="Arial" w:hAnsi="Arial" w:cs="Arial"/>
          <w:color w:val="000000"/>
          <w:sz w:val="24"/>
          <w:szCs w:val="24"/>
          <w:lang w:val="en-GB"/>
        </w:rPr>
        <w:t xml:space="preserve">. </w:t>
      </w:r>
    </w:p>
    <w:p w14:paraId="5FE26601" w14:textId="77777777" w:rsidR="00CE0678" w:rsidRPr="000B01B2" w:rsidRDefault="00CE0678" w:rsidP="00CE0678">
      <w:pPr>
        <w:pStyle w:val="ListParagraph"/>
        <w:autoSpaceDE w:val="0"/>
        <w:autoSpaceDN w:val="0"/>
        <w:adjustRightInd w:val="0"/>
        <w:spacing w:after="0" w:line="240" w:lineRule="auto"/>
        <w:ind w:left="927"/>
        <w:jc w:val="both"/>
        <w:rPr>
          <w:rFonts w:ascii="Arial" w:hAnsi="Arial" w:cs="Arial"/>
          <w:color w:val="000000"/>
          <w:sz w:val="24"/>
          <w:szCs w:val="24"/>
        </w:rPr>
      </w:pPr>
    </w:p>
    <w:p w14:paraId="2CD894A9" w14:textId="530DD92B"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b/>
          <w:bCs/>
          <w:color w:val="000000"/>
          <w:sz w:val="24"/>
          <w:szCs w:val="24"/>
        </w:rPr>
        <w:t>Community Mortgage Program</w:t>
      </w:r>
      <w:r w:rsidRPr="000B01B2">
        <w:rPr>
          <w:rFonts w:ascii="Arial" w:hAnsi="Arial" w:cs="Arial"/>
          <w:color w:val="000000"/>
          <w:sz w:val="24"/>
          <w:szCs w:val="24"/>
        </w:rPr>
        <w:t xml:space="preserve"> (CMP) </w:t>
      </w:r>
      <w:r w:rsidR="001F1C18" w:rsidRPr="000B01B2">
        <w:rPr>
          <w:rFonts w:ascii="Arial" w:hAnsi="Arial" w:cs="Arial"/>
          <w:color w:val="000000"/>
          <w:sz w:val="24"/>
          <w:szCs w:val="24"/>
          <w:lang w:val="en-GB"/>
        </w:rPr>
        <w:t xml:space="preserve">– Established in 1988, the CMP is a people-led finance and community development program implemented by SHFC, which assists legally organized associations of low-income groups to acquire and develop a tract of land under the concept of community ownership.  The loan may be used for land acquisition (Phase 1), site development (Phase 2), and house construction or home improvement (Phase 3). </w:t>
      </w:r>
    </w:p>
    <w:p w14:paraId="071E4E76" w14:textId="77777777" w:rsidR="001F1C18" w:rsidRPr="000B01B2" w:rsidRDefault="001F1C18" w:rsidP="001F1C18">
      <w:pPr>
        <w:pStyle w:val="ListParagraph"/>
        <w:autoSpaceDE w:val="0"/>
        <w:autoSpaceDN w:val="0"/>
        <w:adjustRightInd w:val="0"/>
        <w:spacing w:after="0" w:line="240" w:lineRule="auto"/>
        <w:ind w:left="927"/>
        <w:jc w:val="both"/>
        <w:rPr>
          <w:rFonts w:ascii="Arial" w:hAnsi="Arial" w:cs="Arial"/>
          <w:color w:val="000000"/>
          <w:sz w:val="24"/>
          <w:szCs w:val="24"/>
        </w:rPr>
      </w:pPr>
    </w:p>
    <w:p w14:paraId="2CB6AB83" w14:textId="385F3FD3"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b/>
          <w:bCs/>
          <w:color w:val="000000"/>
          <w:sz w:val="24"/>
          <w:szCs w:val="24"/>
        </w:rPr>
        <w:t>Pantawid Pamilyang Pilipino Program</w:t>
      </w:r>
      <w:r w:rsidRPr="000B01B2">
        <w:rPr>
          <w:rFonts w:ascii="Arial" w:hAnsi="Arial" w:cs="Arial"/>
          <w:color w:val="000000"/>
          <w:sz w:val="24"/>
          <w:szCs w:val="24"/>
        </w:rPr>
        <w:t xml:space="preserve"> (4Ps) </w:t>
      </w:r>
      <w:r w:rsidR="0052564B" w:rsidRPr="000B01B2">
        <w:rPr>
          <w:rFonts w:ascii="Arial" w:hAnsi="Arial" w:cs="Arial"/>
          <w:color w:val="000000"/>
          <w:sz w:val="24"/>
          <w:szCs w:val="24"/>
          <w:lang w:val="en-GB"/>
        </w:rPr>
        <w:t xml:space="preserve">is a human development measure of the national government that provides conditional cash grants to the poorest of the poor to improve the health, nutrition, and education of children aged 0-18.  This program was patterned after the conditional cash transfer schemes in Latin American and African countries which have lifted millions of people around the world from poverty.  </w:t>
      </w:r>
    </w:p>
    <w:p w14:paraId="59279567" w14:textId="77777777" w:rsidR="0052564B" w:rsidRPr="000B01B2" w:rsidRDefault="0052564B" w:rsidP="0052564B">
      <w:pPr>
        <w:autoSpaceDE w:val="0"/>
        <w:autoSpaceDN w:val="0"/>
        <w:adjustRightInd w:val="0"/>
        <w:spacing w:after="0" w:line="240" w:lineRule="auto"/>
        <w:jc w:val="both"/>
        <w:rPr>
          <w:rFonts w:ascii="Arial" w:hAnsi="Arial" w:cs="Arial"/>
          <w:color w:val="000000"/>
          <w:sz w:val="24"/>
          <w:szCs w:val="24"/>
        </w:rPr>
      </w:pPr>
    </w:p>
    <w:p w14:paraId="5C34E199" w14:textId="583749CB"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b/>
          <w:bCs/>
          <w:color w:val="000000"/>
          <w:sz w:val="24"/>
          <w:szCs w:val="24"/>
        </w:rPr>
      </w:pPr>
      <w:r w:rsidRPr="000B01B2">
        <w:rPr>
          <w:rFonts w:ascii="Arial" w:hAnsi="Arial" w:cs="Arial"/>
          <w:b/>
          <w:bCs/>
          <w:color w:val="000000"/>
          <w:sz w:val="24"/>
          <w:szCs w:val="24"/>
        </w:rPr>
        <w:t xml:space="preserve">Five-year Informal Settler Families (ISFs) Housing Program </w:t>
      </w:r>
      <w:r w:rsidR="00005826" w:rsidRPr="000B01B2">
        <w:rPr>
          <w:rFonts w:ascii="Arial" w:hAnsi="Arial" w:cs="Arial"/>
          <w:color w:val="000000"/>
          <w:sz w:val="24"/>
          <w:szCs w:val="24"/>
          <w:lang w:val="en-GB"/>
        </w:rPr>
        <w:t xml:space="preserve">aims to provide on-site or in-city housing for more than 100,000 families living on top or near “danger zones” such as estuaries, waterways, rivers and creeks.  Former President </w:t>
      </w:r>
      <w:proofErr w:type="spellStart"/>
      <w:r w:rsidR="00005826" w:rsidRPr="000B01B2">
        <w:rPr>
          <w:rFonts w:ascii="Arial" w:hAnsi="Arial" w:cs="Arial"/>
          <w:color w:val="000000"/>
          <w:sz w:val="24"/>
          <w:szCs w:val="24"/>
          <w:lang w:val="en-GB"/>
        </w:rPr>
        <w:t>Benigno</w:t>
      </w:r>
      <w:proofErr w:type="spellEnd"/>
      <w:r w:rsidR="00005826" w:rsidRPr="000B01B2">
        <w:rPr>
          <w:rFonts w:ascii="Arial" w:hAnsi="Arial" w:cs="Arial"/>
          <w:color w:val="000000"/>
          <w:sz w:val="24"/>
          <w:szCs w:val="24"/>
          <w:lang w:val="en-GB"/>
        </w:rPr>
        <w:t xml:space="preserve"> Aquino approved a P50 billion fund allocation for the implementation of the project and committed </w:t>
      </w:r>
      <w:r w:rsidR="00B80156" w:rsidRPr="000B01B2">
        <w:rPr>
          <w:rFonts w:ascii="Arial" w:hAnsi="Arial" w:cs="Arial"/>
          <w:color w:val="000000"/>
          <w:sz w:val="24"/>
          <w:szCs w:val="24"/>
          <w:lang w:val="en-GB"/>
        </w:rPr>
        <w:t xml:space="preserve">P10 billion a year to it until he steps down from office in 2016.  </w:t>
      </w:r>
    </w:p>
    <w:p w14:paraId="0049BFEC" w14:textId="77777777" w:rsidR="00D46224" w:rsidRPr="000B01B2" w:rsidRDefault="00D46224" w:rsidP="004E5278">
      <w:pPr>
        <w:autoSpaceDE w:val="0"/>
        <w:autoSpaceDN w:val="0"/>
        <w:adjustRightInd w:val="0"/>
        <w:spacing w:after="0" w:line="240" w:lineRule="auto"/>
        <w:jc w:val="both"/>
        <w:rPr>
          <w:rFonts w:ascii="Arial" w:hAnsi="Arial" w:cs="Arial"/>
          <w:color w:val="000000"/>
          <w:sz w:val="24"/>
          <w:szCs w:val="24"/>
        </w:rPr>
      </w:pPr>
    </w:p>
    <w:p w14:paraId="04771F89" w14:textId="45865C57" w:rsidR="004E5278" w:rsidRPr="000B01B2" w:rsidRDefault="0099142F" w:rsidP="004E5278">
      <w:pPr>
        <w:pStyle w:val="ListParagraph"/>
        <w:numPr>
          <w:ilvl w:val="0"/>
          <w:numId w:val="11"/>
        </w:numPr>
        <w:autoSpaceDE w:val="0"/>
        <w:autoSpaceDN w:val="0"/>
        <w:adjustRightInd w:val="0"/>
        <w:spacing w:after="0" w:line="240" w:lineRule="auto"/>
        <w:jc w:val="both"/>
        <w:rPr>
          <w:rFonts w:ascii="Arial" w:hAnsi="Arial" w:cs="Arial"/>
          <w:b/>
          <w:bCs/>
          <w:color w:val="000000"/>
          <w:sz w:val="24"/>
          <w:szCs w:val="24"/>
        </w:rPr>
      </w:pPr>
      <w:r w:rsidRPr="000B01B2">
        <w:rPr>
          <w:rFonts w:ascii="Arial" w:hAnsi="Arial" w:cs="Arial"/>
          <w:b/>
          <w:bCs/>
          <w:color w:val="000000"/>
          <w:sz w:val="24"/>
          <w:szCs w:val="24"/>
        </w:rPr>
        <w:t xml:space="preserve">Disiplina Village in Valenzuela City </w:t>
      </w:r>
      <w:r w:rsidR="004E5278" w:rsidRPr="000B01B2">
        <w:rPr>
          <w:rFonts w:ascii="Arial" w:hAnsi="Arial" w:cs="Arial"/>
          <w:color w:val="000000"/>
          <w:sz w:val="24"/>
          <w:szCs w:val="24"/>
          <w:lang w:val="en-GB"/>
        </w:rPr>
        <w:t xml:space="preserve">– the flagship in-city relocation site and public rental housing project for ISFs in the country.  With a total of 12.9 hectares, the </w:t>
      </w:r>
      <w:proofErr w:type="spellStart"/>
      <w:r w:rsidR="004E5278" w:rsidRPr="000B01B2">
        <w:rPr>
          <w:rFonts w:ascii="Arial" w:hAnsi="Arial" w:cs="Arial"/>
          <w:color w:val="000000"/>
          <w:sz w:val="24"/>
          <w:szCs w:val="24"/>
          <w:lang w:val="en-GB"/>
        </w:rPr>
        <w:t>Disiplina</w:t>
      </w:r>
      <w:proofErr w:type="spellEnd"/>
      <w:r w:rsidR="004E5278" w:rsidRPr="000B01B2">
        <w:rPr>
          <w:rFonts w:ascii="Arial" w:hAnsi="Arial" w:cs="Arial"/>
          <w:color w:val="000000"/>
          <w:sz w:val="24"/>
          <w:szCs w:val="24"/>
          <w:lang w:val="en-GB"/>
        </w:rPr>
        <w:t xml:space="preserve"> Villages in </w:t>
      </w:r>
      <w:proofErr w:type="spellStart"/>
      <w:r w:rsidR="004E5278" w:rsidRPr="000B01B2">
        <w:rPr>
          <w:rFonts w:ascii="Arial" w:hAnsi="Arial" w:cs="Arial"/>
          <w:color w:val="000000"/>
          <w:sz w:val="24"/>
          <w:szCs w:val="24"/>
          <w:lang w:val="en-GB"/>
        </w:rPr>
        <w:t>Ugong</w:t>
      </w:r>
      <w:proofErr w:type="spellEnd"/>
      <w:r w:rsidR="004E5278" w:rsidRPr="000B01B2">
        <w:rPr>
          <w:rFonts w:ascii="Arial" w:hAnsi="Arial" w:cs="Arial"/>
          <w:color w:val="000000"/>
          <w:sz w:val="24"/>
          <w:szCs w:val="24"/>
          <w:lang w:val="en-GB"/>
        </w:rPr>
        <w:t xml:space="preserve"> and Bignay accommodate more than 4,594 informal settler families, clearing up Valenzuela City from ISFs living in danger zones.  </w:t>
      </w:r>
    </w:p>
    <w:p w14:paraId="7A19ECF8" w14:textId="77777777" w:rsidR="004E5278" w:rsidRPr="000B01B2" w:rsidRDefault="004E5278" w:rsidP="000B01B2">
      <w:pPr>
        <w:autoSpaceDE w:val="0"/>
        <w:autoSpaceDN w:val="0"/>
        <w:adjustRightInd w:val="0"/>
        <w:spacing w:after="0" w:line="240" w:lineRule="auto"/>
        <w:jc w:val="both"/>
        <w:rPr>
          <w:rFonts w:ascii="Arial" w:hAnsi="Arial" w:cs="Arial"/>
          <w:color w:val="000000"/>
          <w:sz w:val="24"/>
          <w:szCs w:val="24"/>
        </w:rPr>
      </w:pPr>
    </w:p>
    <w:p w14:paraId="542EFC9F" w14:textId="258A210D"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b/>
          <w:bCs/>
          <w:color w:val="000000"/>
          <w:sz w:val="24"/>
          <w:szCs w:val="24"/>
        </w:rPr>
      </w:pPr>
      <w:r w:rsidRPr="000B01B2">
        <w:rPr>
          <w:rFonts w:ascii="Arial" w:hAnsi="Arial" w:cs="Arial"/>
          <w:b/>
          <w:bCs/>
          <w:color w:val="000000"/>
          <w:sz w:val="24"/>
          <w:szCs w:val="24"/>
        </w:rPr>
        <w:t xml:space="preserve">Quezon City Ordinance No. SP-1516 series of 2005 </w:t>
      </w:r>
      <w:r w:rsidR="00680E9B" w:rsidRPr="000B01B2">
        <w:rPr>
          <w:rFonts w:ascii="Arial" w:hAnsi="Arial" w:cs="Arial"/>
          <w:color w:val="000000"/>
          <w:sz w:val="24"/>
          <w:szCs w:val="24"/>
          <w:lang w:val="en-GB"/>
        </w:rPr>
        <w:t xml:space="preserve">recognizes persons in prostitutions as victims.  It imposes penalties only on the perpetrators, such as the pimps and recipients of the sexual act.  It also provides services to persons </w:t>
      </w:r>
      <w:r w:rsidR="00680E9B" w:rsidRPr="000B01B2">
        <w:rPr>
          <w:rFonts w:ascii="Arial" w:hAnsi="Arial" w:cs="Arial"/>
          <w:b/>
          <w:bCs/>
          <w:color w:val="000000"/>
          <w:sz w:val="24"/>
          <w:szCs w:val="24"/>
          <w:lang w:val="en-GB"/>
        </w:rPr>
        <w:t xml:space="preserve">exploited in prostitution through education campaigns against prostitution, crisis intervention service, education and socio-economic assistance, sustainable </w:t>
      </w:r>
      <w:r w:rsidR="0086726C" w:rsidRPr="000B01B2">
        <w:rPr>
          <w:rFonts w:ascii="Arial" w:hAnsi="Arial" w:cs="Arial"/>
          <w:b/>
          <w:bCs/>
          <w:color w:val="000000"/>
          <w:sz w:val="24"/>
          <w:szCs w:val="24"/>
          <w:lang w:val="en-GB"/>
        </w:rPr>
        <w:t>livelihood skills training, financial support for scale businesses, integration and complete after-care programs, health services, counselling, and temporary shelter</w:t>
      </w:r>
      <w:r w:rsidR="0086726C" w:rsidRPr="000B01B2">
        <w:rPr>
          <w:rFonts w:ascii="Arial" w:hAnsi="Arial" w:cs="Arial"/>
          <w:color w:val="000000"/>
          <w:sz w:val="24"/>
          <w:szCs w:val="24"/>
          <w:lang w:val="en-GB"/>
        </w:rPr>
        <w:t>.</w:t>
      </w:r>
    </w:p>
    <w:p w14:paraId="3A146FBE" w14:textId="77777777" w:rsidR="00680E9B" w:rsidRPr="000B01B2" w:rsidRDefault="00680E9B" w:rsidP="00680E9B">
      <w:pPr>
        <w:pStyle w:val="ListParagraph"/>
        <w:autoSpaceDE w:val="0"/>
        <w:autoSpaceDN w:val="0"/>
        <w:adjustRightInd w:val="0"/>
        <w:spacing w:after="0" w:line="240" w:lineRule="auto"/>
        <w:ind w:left="927"/>
        <w:jc w:val="both"/>
        <w:rPr>
          <w:rFonts w:ascii="Arial" w:hAnsi="Arial" w:cs="Arial"/>
          <w:color w:val="000000"/>
          <w:sz w:val="24"/>
          <w:szCs w:val="24"/>
        </w:rPr>
      </w:pPr>
    </w:p>
    <w:p w14:paraId="316FCBDF" w14:textId="0F7EB179" w:rsidR="0099142F" w:rsidRPr="000B01B2" w:rsidRDefault="00262B43" w:rsidP="0099142F">
      <w:pPr>
        <w:pStyle w:val="ListParagraph"/>
        <w:numPr>
          <w:ilvl w:val="0"/>
          <w:numId w:val="11"/>
        </w:numPr>
        <w:autoSpaceDE w:val="0"/>
        <w:autoSpaceDN w:val="0"/>
        <w:adjustRightInd w:val="0"/>
        <w:spacing w:after="0" w:line="240" w:lineRule="auto"/>
        <w:jc w:val="both"/>
        <w:rPr>
          <w:rFonts w:ascii="Arial" w:hAnsi="Arial" w:cs="Arial"/>
          <w:color w:val="000000"/>
          <w:sz w:val="24"/>
          <w:szCs w:val="24"/>
        </w:rPr>
      </w:pPr>
      <w:r w:rsidRPr="000B01B2">
        <w:rPr>
          <w:rFonts w:ascii="Arial" w:hAnsi="Arial" w:cs="Arial"/>
          <w:b/>
          <w:bCs/>
          <w:color w:val="000000"/>
          <w:sz w:val="24"/>
          <w:szCs w:val="24"/>
          <w:lang w:val="en-GB"/>
        </w:rPr>
        <w:t>Republic Act</w:t>
      </w:r>
      <w:r w:rsidR="0099142F" w:rsidRPr="000B01B2">
        <w:rPr>
          <w:rFonts w:ascii="Arial" w:hAnsi="Arial" w:cs="Arial"/>
          <w:b/>
          <w:bCs/>
          <w:color w:val="000000"/>
          <w:sz w:val="24"/>
          <w:szCs w:val="24"/>
        </w:rPr>
        <w:t xml:space="preserve"> 8368</w:t>
      </w:r>
      <w:r w:rsidR="0099142F" w:rsidRPr="000B01B2">
        <w:rPr>
          <w:rFonts w:ascii="Arial" w:hAnsi="Arial" w:cs="Arial"/>
          <w:color w:val="000000"/>
          <w:sz w:val="24"/>
          <w:szCs w:val="24"/>
        </w:rPr>
        <w:t xml:space="preserve"> entitled “An Act Repealing Presidential Decree No. 772, Entitled “Penalizing Squatting and Other Similar Acts”, or otherwise known as the “Anti-Squatting Law Repeal Act of 1997”</w:t>
      </w:r>
      <w:r w:rsidR="000C1237" w:rsidRPr="000B01B2">
        <w:rPr>
          <w:rFonts w:ascii="Arial" w:hAnsi="Arial" w:cs="Arial"/>
          <w:color w:val="000000"/>
          <w:sz w:val="24"/>
          <w:szCs w:val="24"/>
          <w:lang w:val="en-GB"/>
        </w:rPr>
        <w:t xml:space="preserve">, which was </w:t>
      </w:r>
      <w:r w:rsidR="00304EB7" w:rsidRPr="000B01B2">
        <w:rPr>
          <w:rFonts w:ascii="Arial" w:hAnsi="Arial" w:cs="Arial"/>
          <w:color w:val="000000"/>
          <w:sz w:val="24"/>
          <w:szCs w:val="24"/>
          <w:lang w:val="en-GB"/>
        </w:rPr>
        <w:t>promulgated on 27 October 1997</w:t>
      </w:r>
      <w:r w:rsidR="000C1237" w:rsidRPr="000B01B2">
        <w:rPr>
          <w:rFonts w:ascii="Arial" w:hAnsi="Arial" w:cs="Arial"/>
          <w:color w:val="000000"/>
          <w:sz w:val="24"/>
          <w:szCs w:val="24"/>
          <w:lang w:val="en-GB"/>
        </w:rPr>
        <w:t>,</w:t>
      </w:r>
      <w:r w:rsidR="00304EB7" w:rsidRPr="000B01B2">
        <w:rPr>
          <w:rFonts w:ascii="Arial" w:hAnsi="Arial" w:cs="Arial"/>
          <w:color w:val="000000"/>
          <w:sz w:val="24"/>
          <w:szCs w:val="24"/>
          <w:lang w:val="en-GB"/>
        </w:rPr>
        <w:t xml:space="preserve"> made all pending cases under the provisions of Presidential Decree No. 772 dismissed upon its effectivity. </w:t>
      </w:r>
    </w:p>
    <w:p w14:paraId="266F02AA" w14:textId="77777777" w:rsidR="00304EB7" w:rsidRPr="000B01B2" w:rsidRDefault="00304EB7" w:rsidP="00304EB7">
      <w:pPr>
        <w:autoSpaceDE w:val="0"/>
        <w:autoSpaceDN w:val="0"/>
        <w:adjustRightInd w:val="0"/>
        <w:spacing w:after="0" w:line="240" w:lineRule="auto"/>
        <w:jc w:val="both"/>
        <w:rPr>
          <w:rFonts w:ascii="Arial" w:hAnsi="Arial" w:cs="Arial"/>
          <w:color w:val="000000"/>
          <w:sz w:val="24"/>
          <w:szCs w:val="24"/>
        </w:rPr>
      </w:pPr>
    </w:p>
    <w:p w14:paraId="76400F79" w14:textId="498DFBB1" w:rsidR="0099142F" w:rsidRPr="000B01B2" w:rsidRDefault="0099142F" w:rsidP="0099142F">
      <w:pPr>
        <w:pStyle w:val="ListParagraph"/>
        <w:numPr>
          <w:ilvl w:val="0"/>
          <w:numId w:val="11"/>
        </w:numPr>
        <w:autoSpaceDE w:val="0"/>
        <w:autoSpaceDN w:val="0"/>
        <w:adjustRightInd w:val="0"/>
        <w:spacing w:after="0" w:line="240" w:lineRule="auto"/>
        <w:jc w:val="both"/>
        <w:rPr>
          <w:rFonts w:ascii="Arial" w:hAnsi="Arial" w:cs="Arial"/>
          <w:b/>
          <w:bCs/>
          <w:sz w:val="24"/>
          <w:szCs w:val="24"/>
        </w:rPr>
      </w:pPr>
      <w:r w:rsidRPr="000B01B2">
        <w:rPr>
          <w:rFonts w:ascii="Arial" w:hAnsi="Arial" w:cs="Arial"/>
          <w:b/>
          <w:bCs/>
          <w:color w:val="000000"/>
          <w:sz w:val="24"/>
          <w:szCs w:val="24"/>
        </w:rPr>
        <w:t xml:space="preserve">Magna Carta of the Poor (RA 11291) </w:t>
      </w:r>
      <w:r w:rsidR="00FF7888" w:rsidRPr="000B01B2">
        <w:rPr>
          <w:rFonts w:ascii="Arial" w:hAnsi="Arial" w:cs="Arial"/>
          <w:color w:val="000000"/>
          <w:sz w:val="24"/>
          <w:szCs w:val="24"/>
          <w:lang w:val="en-GB"/>
        </w:rPr>
        <w:t xml:space="preserve">– President Rodrigo Duterte signed into law </w:t>
      </w:r>
      <w:r w:rsidR="00FF7888" w:rsidRPr="000B01B2">
        <w:rPr>
          <w:rFonts w:ascii="Arial" w:hAnsi="Arial" w:cs="Arial"/>
          <w:sz w:val="24"/>
          <w:szCs w:val="24"/>
          <w:lang w:val="en-GB"/>
        </w:rPr>
        <w:t xml:space="preserve">the Magna Carta of the Poor (Republic Act 11291) on 12 April 2019.  </w:t>
      </w:r>
      <w:r w:rsidR="003A1D93" w:rsidRPr="000B01B2">
        <w:rPr>
          <w:rFonts w:ascii="Arial" w:hAnsi="Arial" w:cs="Arial"/>
          <w:sz w:val="24"/>
          <w:szCs w:val="24"/>
          <w:lang w:val="en-GB"/>
        </w:rPr>
        <w:t xml:space="preserve">This law declared that it is the policy of the State to uplift the standards of living of the poor and the homeless and that Filipinos have a right to adequate housing to live in a decent, safe, and culturally appropriate place with dignity, security of tenure in accordance with RA 7279 or the “Urban Development Housing Act” of 1992.  </w:t>
      </w:r>
    </w:p>
    <w:p w14:paraId="4DCFBA03" w14:textId="351FEF57" w:rsidR="00262F52" w:rsidRPr="000B01B2" w:rsidRDefault="00262F52" w:rsidP="00E42E07">
      <w:pPr>
        <w:autoSpaceDE w:val="0"/>
        <w:autoSpaceDN w:val="0"/>
        <w:adjustRightInd w:val="0"/>
        <w:spacing w:after="0" w:line="240" w:lineRule="auto"/>
        <w:rPr>
          <w:rFonts w:ascii="Arial" w:hAnsi="Arial" w:cs="Arial"/>
          <w:sz w:val="24"/>
          <w:szCs w:val="24"/>
        </w:rPr>
      </w:pPr>
    </w:p>
    <w:p w14:paraId="48116EB0" w14:textId="5FD03193" w:rsidR="00C30586" w:rsidRPr="000B01B2" w:rsidRDefault="00C30586" w:rsidP="00C30586">
      <w:pPr>
        <w:spacing w:after="0" w:line="276" w:lineRule="auto"/>
        <w:jc w:val="both"/>
        <w:rPr>
          <w:rFonts w:ascii="Arial" w:hAnsi="Arial" w:cs="Arial"/>
          <w:color w:val="000000"/>
          <w:sz w:val="24"/>
          <w:szCs w:val="24"/>
        </w:rPr>
      </w:pPr>
    </w:p>
    <w:p w14:paraId="510AB3DC" w14:textId="76D77D42" w:rsidR="00C30586" w:rsidRPr="000B01B2" w:rsidRDefault="00C30586" w:rsidP="00C30586">
      <w:pPr>
        <w:spacing w:after="0" w:line="276" w:lineRule="auto"/>
        <w:jc w:val="center"/>
        <w:rPr>
          <w:rFonts w:ascii="Arial" w:hAnsi="Arial" w:cs="Arial"/>
          <w:sz w:val="24"/>
          <w:szCs w:val="24"/>
          <w:lang w:val="en-GB"/>
        </w:rPr>
      </w:pPr>
      <w:r w:rsidRPr="000B01B2">
        <w:rPr>
          <w:rFonts w:ascii="Arial" w:hAnsi="Arial" w:cs="Arial"/>
          <w:color w:val="000000"/>
          <w:sz w:val="24"/>
          <w:szCs w:val="24"/>
          <w:lang w:val="en-GB"/>
        </w:rPr>
        <w:t>---- END---</w:t>
      </w:r>
    </w:p>
    <w:p w14:paraId="08F7D42A" w14:textId="77777777" w:rsidR="00A95238" w:rsidRPr="000B01B2" w:rsidRDefault="00A95238" w:rsidP="00403A8B">
      <w:pPr>
        <w:spacing w:after="0" w:line="276" w:lineRule="auto"/>
        <w:jc w:val="both"/>
        <w:rPr>
          <w:rFonts w:ascii="Arial" w:hAnsi="Arial" w:cs="Arial"/>
          <w:sz w:val="24"/>
          <w:szCs w:val="24"/>
          <w:lang w:val="en-GB"/>
        </w:rPr>
      </w:pPr>
    </w:p>
    <w:sectPr w:rsidR="00A95238" w:rsidRPr="000B01B2" w:rsidSect="00146AD7">
      <w:headerReference w:type="default" r:id="rId8"/>
      <w:footerReference w:type="first" r:id="rId9"/>
      <w:pgSz w:w="11906" w:h="16838"/>
      <w:pgMar w:top="851" w:right="1247" w:bottom="56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CC0B2" w14:textId="77777777" w:rsidR="002D6DFD" w:rsidRDefault="002D6DFD" w:rsidP="00FC5A4F">
      <w:pPr>
        <w:spacing w:after="0" w:line="240" w:lineRule="auto"/>
      </w:pPr>
      <w:r>
        <w:separator/>
      </w:r>
    </w:p>
  </w:endnote>
  <w:endnote w:type="continuationSeparator" w:id="0">
    <w:p w14:paraId="1670715D" w14:textId="77777777" w:rsidR="002D6DFD" w:rsidRDefault="002D6DFD" w:rsidP="00FC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9564522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848D32A" w14:textId="4D298DB7" w:rsidR="00146AD7" w:rsidRPr="00146AD7" w:rsidRDefault="00146AD7">
            <w:pPr>
              <w:pStyle w:val="Footer"/>
              <w:jc w:val="right"/>
              <w:rPr>
                <w:sz w:val="18"/>
                <w:szCs w:val="18"/>
              </w:rPr>
            </w:pPr>
            <w:r w:rsidRPr="00146AD7">
              <w:rPr>
                <w:sz w:val="18"/>
                <w:szCs w:val="18"/>
              </w:rPr>
              <w:t xml:space="preserve">Page </w:t>
            </w:r>
            <w:r w:rsidRPr="00146AD7">
              <w:rPr>
                <w:b/>
                <w:bCs/>
                <w:noProof/>
                <w:sz w:val="18"/>
                <w:szCs w:val="18"/>
              </w:rPr>
              <w:t>2</w:t>
            </w:r>
            <w:r w:rsidRPr="00146AD7">
              <w:rPr>
                <w:sz w:val="18"/>
                <w:szCs w:val="18"/>
              </w:rPr>
              <w:t xml:space="preserve"> of </w:t>
            </w:r>
            <w:r w:rsidRPr="00146AD7">
              <w:rPr>
                <w:b/>
                <w:bCs/>
                <w:noProof/>
                <w:sz w:val="18"/>
                <w:szCs w:val="18"/>
              </w:rPr>
              <w:t>2</w:t>
            </w:r>
          </w:p>
        </w:sdtContent>
      </w:sdt>
    </w:sdtContent>
  </w:sdt>
  <w:p w14:paraId="5BC2B93A" w14:textId="77777777" w:rsidR="00146AD7" w:rsidRDefault="00146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2F376" w14:textId="77777777" w:rsidR="002D6DFD" w:rsidRDefault="002D6DFD" w:rsidP="00FC5A4F">
      <w:pPr>
        <w:spacing w:after="0" w:line="240" w:lineRule="auto"/>
      </w:pPr>
      <w:r>
        <w:separator/>
      </w:r>
    </w:p>
  </w:footnote>
  <w:footnote w:type="continuationSeparator" w:id="0">
    <w:p w14:paraId="482FEF8C" w14:textId="77777777" w:rsidR="002D6DFD" w:rsidRDefault="002D6DFD" w:rsidP="00FC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103F" w14:textId="2664FC48" w:rsidR="00731446" w:rsidRPr="00456340" w:rsidRDefault="003E4DE7" w:rsidP="00731446">
    <w:pPr>
      <w:pStyle w:val="Title"/>
      <w:tabs>
        <w:tab w:val="left" w:pos="8004"/>
      </w:tabs>
      <w:rPr>
        <w:rFonts w:cstheme="majorHAnsi"/>
        <w:b/>
        <w:bCs/>
        <w:color w:val="4472C4" w:themeColor="accent1"/>
        <w:sz w:val="20"/>
        <w:szCs w:val="20"/>
        <w:lang w:val="en-GB"/>
      </w:rPr>
    </w:pPr>
    <w:r w:rsidRPr="00456340">
      <w:rPr>
        <w:rFonts w:cstheme="majorHAnsi"/>
        <w:b/>
        <w:bCs/>
        <w:color w:val="4472C4" w:themeColor="accent1"/>
        <w:sz w:val="24"/>
        <w:szCs w:val="24"/>
        <w:lang w:val="en-GB"/>
      </w:rPr>
      <w:t>The Philippines</w:t>
    </w:r>
    <w:r w:rsidR="00171DCC" w:rsidRPr="00456340">
      <w:rPr>
        <w:rFonts w:cstheme="majorHAnsi"/>
        <w:b/>
        <w:bCs/>
        <w:color w:val="4472C4" w:themeColor="accent1"/>
        <w:sz w:val="24"/>
        <w:szCs w:val="24"/>
        <w:lang w:val="en-GB"/>
      </w:rPr>
      <w:t xml:space="preserve">’ </w:t>
    </w:r>
    <w:r w:rsidR="00E52793" w:rsidRPr="00456340">
      <w:rPr>
        <w:rFonts w:cstheme="majorHAnsi"/>
        <w:b/>
        <w:bCs/>
        <w:color w:val="4472C4" w:themeColor="accent1"/>
        <w:sz w:val="24"/>
        <w:szCs w:val="24"/>
        <w:lang w:val="en-GB"/>
      </w:rPr>
      <w:t xml:space="preserve">additional </w:t>
    </w:r>
    <w:r w:rsidR="00731446" w:rsidRPr="00456340">
      <w:rPr>
        <w:rFonts w:cstheme="majorHAnsi"/>
        <w:b/>
        <w:bCs/>
        <w:color w:val="4472C4" w:themeColor="accent1"/>
        <w:sz w:val="24"/>
        <w:szCs w:val="24"/>
        <w:lang w:val="en-GB"/>
      </w:rPr>
      <w:t xml:space="preserve">inputs to the OHCHR report on </w:t>
    </w:r>
    <w:r w:rsidR="00C30586" w:rsidRPr="00456340">
      <w:rPr>
        <w:rFonts w:cstheme="majorHAnsi"/>
        <w:b/>
        <w:bCs/>
        <w:color w:val="4472C4" w:themeColor="accent1"/>
        <w:sz w:val="24"/>
        <w:szCs w:val="24"/>
        <w:lang w:val="en-GB"/>
      </w:rPr>
      <w:t>Statistics and Data Collection about PWDs</w:t>
    </w:r>
  </w:p>
  <w:p w14:paraId="22960323" w14:textId="77777777" w:rsidR="00731446" w:rsidRPr="00731446" w:rsidRDefault="0073144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8B8C60"/>
    <w:multiLevelType w:val="hybridMultilevel"/>
    <w:tmpl w:val="4E9918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2D7434"/>
    <w:multiLevelType w:val="hybridMultilevel"/>
    <w:tmpl w:val="F6F98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5F63B5"/>
    <w:multiLevelType w:val="hybridMultilevel"/>
    <w:tmpl w:val="FC3EB9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7B1090"/>
    <w:multiLevelType w:val="hybridMultilevel"/>
    <w:tmpl w:val="4F980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ED41FC"/>
    <w:multiLevelType w:val="hybridMultilevel"/>
    <w:tmpl w:val="33A84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087499"/>
    <w:multiLevelType w:val="hybridMultilevel"/>
    <w:tmpl w:val="B2C0234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BC64A81"/>
    <w:multiLevelType w:val="hybridMultilevel"/>
    <w:tmpl w:val="11F416F2"/>
    <w:lvl w:ilvl="0" w:tplc="A3D0CBE2">
      <w:start w:val="1"/>
      <w:numFmt w:val="decimal"/>
      <w:lvlText w:val="%1)"/>
      <w:lvlJc w:val="left"/>
      <w:pPr>
        <w:ind w:left="720" w:hanging="360"/>
      </w:pPr>
      <w:rPr>
        <w:rFonts w:ascii="Arial" w:eastAsia="Calibr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7A54C85"/>
    <w:multiLevelType w:val="hybridMultilevel"/>
    <w:tmpl w:val="A992BE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8E47486"/>
    <w:multiLevelType w:val="hybridMultilevel"/>
    <w:tmpl w:val="CF4E9108"/>
    <w:lvl w:ilvl="0" w:tplc="DD92EA5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82F3285"/>
    <w:multiLevelType w:val="hybridMultilevel"/>
    <w:tmpl w:val="DABE3304"/>
    <w:lvl w:ilvl="0" w:tplc="446C617A">
      <w:start w:val="1"/>
      <w:numFmt w:val="lowerLetter"/>
      <w:lvlText w:val="%1)"/>
      <w:lvlJc w:val="lef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0" w15:restartNumberingAfterBreak="0">
    <w:nsid w:val="6E691449"/>
    <w:multiLevelType w:val="hybridMultilevel"/>
    <w:tmpl w:val="BF9A1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AD05642"/>
    <w:multiLevelType w:val="hybridMultilevel"/>
    <w:tmpl w:val="4DC4BB10"/>
    <w:lvl w:ilvl="0" w:tplc="6F16281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10"/>
  </w:num>
  <w:num w:numId="6">
    <w:abstractNumId w:val="6"/>
  </w:num>
  <w:num w:numId="7">
    <w:abstractNumId w:val="5"/>
  </w:num>
  <w:num w:numId="8">
    <w:abstractNumId w:val="4"/>
  </w:num>
  <w:num w:numId="9">
    <w:abstractNumId w:val="7"/>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AB"/>
    <w:rsid w:val="00005826"/>
    <w:rsid w:val="00021C3B"/>
    <w:rsid w:val="00037C80"/>
    <w:rsid w:val="000A17F1"/>
    <w:rsid w:val="000A7D55"/>
    <w:rsid w:val="000B01B2"/>
    <w:rsid w:val="000B3911"/>
    <w:rsid w:val="000C1237"/>
    <w:rsid w:val="000C4066"/>
    <w:rsid w:val="000F697B"/>
    <w:rsid w:val="00146AD7"/>
    <w:rsid w:val="00171DCC"/>
    <w:rsid w:val="001F0A9E"/>
    <w:rsid w:val="001F1C18"/>
    <w:rsid w:val="00210123"/>
    <w:rsid w:val="00262B43"/>
    <w:rsid w:val="00262F52"/>
    <w:rsid w:val="002816C1"/>
    <w:rsid w:val="002900F0"/>
    <w:rsid w:val="002D6DFD"/>
    <w:rsid w:val="00304EB7"/>
    <w:rsid w:val="0036155D"/>
    <w:rsid w:val="003635B1"/>
    <w:rsid w:val="003A1D93"/>
    <w:rsid w:val="003D6EFF"/>
    <w:rsid w:val="003E4DE7"/>
    <w:rsid w:val="00403A8B"/>
    <w:rsid w:val="00443777"/>
    <w:rsid w:val="00456340"/>
    <w:rsid w:val="004631F0"/>
    <w:rsid w:val="004665CE"/>
    <w:rsid w:val="004C083A"/>
    <w:rsid w:val="004E5278"/>
    <w:rsid w:val="00504873"/>
    <w:rsid w:val="00507BFC"/>
    <w:rsid w:val="005205ED"/>
    <w:rsid w:val="0052564B"/>
    <w:rsid w:val="00537804"/>
    <w:rsid w:val="00595F49"/>
    <w:rsid w:val="005E7016"/>
    <w:rsid w:val="006322E5"/>
    <w:rsid w:val="00632E49"/>
    <w:rsid w:val="00647E92"/>
    <w:rsid w:val="00680E9B"/>
    <w:rsid w:val="00724DFA"/>
    <w:rsid w:val="00731446"/>
    <w:rsid w:val="00750D13"/>
    <w:rsid w:val="00823D52"/>
    <w:rsid w:val="00856555"/>
    <w:rsid w:val="0086726C"/>
    <w:rsid w:val="008A063D"/>
    <w:rsid w:val="008E32B2"/>
    <w:rsid w:val="00915402"/>
    <w:rsid w:val="009334EA"/>
    <w:rsid w:val="0094609B"/>
    <w:rsid w:val="009850D6"/>
    <w:rsid w:val="0099142F"/>
    <w:rsid w:val="009F3499"/>
    <w:rsid w:val="00A065AE"/>
    <w:rsid w:val="00A36C69"/>
    <w:rsid w:val="00A4784D"/>
    <w:rsid w:val="00A92275"/>
    <w:rsid w:val="00A95238"/>
    <w:rsid w:val="00B77695"/>
    <w:rsid w:val="00B80156"/>
    <w:rsid w:val="00BB43C8"/>
    <w:rsid w:val="00BC2EB5"/>
    <w:rsid w:val="00C30586"/>
    <w:rsid w:val="00C313A7"/>
    <w:rsid w:val="00C91396"/>
    <w:rsid w:val="00CE0678"/>
    <w:rsid w:val="00D22926"/>
    <w:rsid w:val="00D46224"/>
    <w:rsid w:val="00D50AAC"/>
    <w:rsid w:val="00D54A96"/>
    <w:rsid w:val="00D62AC5"/>
    <w:rsid w:val="00DA1C97"/>
    <w:rsid w:val="00DA469A"/>
    <w:rsid w:val="00DB668D"/>
    <w:rsid w:val="00DF54DA"/>
    <w:rsid w:val="00E031E3"/>
    <w:rsid w:val="00E263D2"/>
    <w:rsid w:val="00E42E07"/>
    <w:rsid w:val="00E52793"/>
    <w:rsid w:val="00EA722B"/>
    <w:rsid w:val="00F10E8C"/>
    <w:rsid w:val="00F53A63"/>
    <w:rsid w:val="00F74746"/>
    <w:rsid w:val="00F848AB"/>
    <w:rsid w:val="00FC5A4F"/>
    <w:rsid w:val="00FE5C93"/>
    <w:rsid w:val="00FF78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F4A1"/>
  <w15:chartTrackingRefBased/>
  <w15:docId w15:val="{D37B78B6-91CB-45CF-926A-5823A0B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9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26"/>
    <w:rPr>
      <w:rFonts w:asciiTheme="majorHAnsi" w:eastAsiaTheme="majorEastAsia" w:hAnsiTheme="majorHAnsi" w:cstheme="majorBidi"/>
      <w:spacing w:val="-10"/>
      <w:kern w:val="28"/>
      <w:sz w:val="56"/>
      <w:szCs w:val="56"/>
    </w:rPr>
  </w:style>
  <w:style w:type="paragraph" w:customStyle="1" w:styleId="Default">
    <w:name w:val="Default"/>
    <w:rsid w:val="00FC5A4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C5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A4F"/>
    <w:rPr>
      <w:sz w:val="20"/>
      <w:szCs w:val="20"/>
    </w:rPr>
  </w:style>
  <w:style w:type="character" w:styleId="FootnoteReference">
    <w:name w:val="footnote reference"/>
    <w:basedOn w:val="DefaultParagraphFont"/>
    <w:uiPriority w:val="99"/>
    <w:semiHidden/>
    <w:unhideWhenUsed/>
    <w:rsid w:val="00FC5A4F"/>
    <w:rPr>
      <w:vertAlign w:val="superscript"/>
    </w:rPr>
  </w:style>
  <w:style w:type="paragraph" w:styleId="ListParagraph">
    <w:name w:val="List Paragraph"/>
    <w:basedOn w:val="Normal"/>
    <w:uiPriority w:val="34"/>
    <w:qFormat/>
    <w:rsid w:val="00FC5A4F"/>
    <w:pPr>
      <w:ind w:left="720"/>
      <w:contextualSpacing/>
    </w:pPr>
  </w:style>
  <w:style w:type="character" w:styleId="Hyperlink">
    <w:name w:val="Hyperlink"/>
    <w:basedOn w:val="DefaultParagraphFont"/>
    <w:uiPriority w:val="99"/>
    <w:unhideWhenUsed/>
    <w:rsid w:val="00DF54DA"/>
    <w:rPr>
      <w:color w:val="0563C1" w:themeColor="hyperlink"/>
      <w:u w:val="single"/>
    </w:rPr>
  </w:style>
  <w:style w:type="character" w:customStyle="1" w:styleId="UnresolvedMention">
    <w:name w:val="Unresolved Mention"/>
    <w:basedOn w:val="DefaultParagraphFont"/>
    <w:uiPriority w:val="99"/>
    <w:semiHidden/>
    <w:unhideWhenUsed/>
    <w:rsid w:val="00DF54DA"/>
    <w:rPr>
      <w:color w:val="605E5C"/>
      <w:shd w:val="clear" w:color="auto" w:fill="E1DFDD"/>
    </w:rPr>
  </w:style>
  <w:style w:type="paragraph" w:styleId="Header">
    <w:name w:val="header"/>
    <w:basedOn w:val="Normal"/>
    <w:link w:val="HeaderChar"/>
    <w:uiPriority w:val="99"/>
    <w:unhideWhenUsed/>
    <w:rsid w:val="00731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46"/>
  </w:style>
  <w:style w:type="paragraph" w:styleId="Footer">
    <w:name w:val="footer"/>
    <w:basedOn w:val="Normal"/>
    <w:link w:val="FooterChar"/>
    <w:uiPriority w:val="99"/>
    <w:unhideWhenUsed/>
    <w:rsid w:val="00731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FA627C-BDBB-41F6-BDCC-35EE04B084C8}">
  <ds:schemaRefs>
    <ds:schemaRef ds:uri="http://schemas.openxmlformats.org/officeDocument/2006/bibliography"/>
  </ds:schemaRefs>
</ds:datastoreItem>
</file>

<file path=customXml/itemProps2.xml><?xml version="1.0" encoding="utf-8"?>
<ds:datastoreItem xmlns:ds="http://schemas.openxmlformats.org/officeDocument/2006/customXml" ds:itemID="{692FAFCB-C04E-4338-8DBB-FECA9C0E944A}"/>
</file>

<file path=customXml/itemProps3.xml><?xml version="1.0" encoding="utf-8"?>
<ds:datastoreItem xmlns:ds="http://schemas.openxmlformats.org/officeDocument/2006/customXml" ds:itemID="{AED6CE78-E6FD-4E58-AF33-DD3840D7EC24}"/>
</file>

<file path=customXml/itemProps4.xml><?xml version="1.0" encoding="utf-8"?>
<ds:datastoreItem xmlns:ds="http://schemas.openxmlformats.org/officeDocument/2006/customXml" ds:itemID="{F2DAD0A7-5AD8-43F5-8E98-4B721E7D2428}"/>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lt_gpm11@outlook.com</dc:creator>
  <cp:keywords/>
  <dc:description/>
  <cp:lastModifiedBy>Victoria Lee</cp:lastModifiedBy>
  <cp:revision>2</cp:revision>
  <dcterms:created xsi:type="dcterms:W3CDTF">2021-12-13T16:03:00Z</dcterms:created>
  <dcterms:modified xsi:type="dcterms:W3CDTF">2021-12-13T16:03:00Z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