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CA22" w14:textId="5E082B3E" w:rsidR="00353A57" w:rsidRPr="00FD607F" w:rsidRDefault="00F50F7B" w:rsidP="00CE5C85">
      <w:pPr>
        <w:rPr>
          <w:rFonts w:ascii="Arial" w:hAnsi="Arial" w:cs="Arial"/>
          <w:sz w:val="24"/>
          <w:szCs w:val="24"/>
        </w:rPr>
      </w:pPr>
      <w:bookmarkStart w:id="0" w:name="_GoBack"/>
      <w:bookmarkEnd w:id="0"/>
      <w:r w:rsidRPr="00FD607F">
        <w:rPr>
          <w:rFonts w:ascii="Arial" w:hAnsi="Arial" w:cs="Arial"/>
          <w:sz w:val="24"/>
          <w:szCs w:val="24"/>
        </w:rPr>
        <w:t xml:space="preserve"> </w:t>
      </w:r>
      <w:r w:rsidR="00670551">
        <w:rPr>
          <w:rFonts w:ascii="Arial" w:hAnsi="Arial" w:cs="Arial"/>
          <w:noProof/>
          <w:sz w:val="24"/>
          <w:szCs w:val="24"/>
          <w:lang w:val="en-GB" w:eastAsia="en-GB"/>
        </w:rPr>
        <w:drawing>
          <wp:inline distT="0" distB="0" distL="0" distR="0" wp14:anchorId="586181B1" wp14:editId="6FA0335D">
            <wp:extent cx="6645910" cy="4933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6645910" cy="493395"/>
                    </a:xfrm>
                    <a:prstGeom prst="rect">
                      <a:avLst/>
                    </a:prstGeom>
                  </pic:spPr>
                </pic:pic>
              </a:graphicData>
            </a:graphic>
          </wp:inline>
        </w:drawing>
      </w:r>
      <w:r w:rsidR="007E36AB">
        <w:rPr>
          <w:rFonts w:ascii="Arial" w:hAnsi="Arial" w:cs="Arial"/>
          <w:sz w:val="24"/>
          <w:szCs w:val="24"/>
        </w:rPr>
        <w:t xml:space="preserve">   </w:t>
      </w:r>
      <w:r w:rsidRPr="00FD607F">
        <w:rPr>
          <w:rFonts w:ascii="Arial" w:hAnsi="Arial" w:cs="Arial"/>
          <w:sz w:val="24"/>
          <w:szCs w:val="24"/>
        </w:rPr>
        <w:t xml:space="preserve">                </w:t>
      </w:r>
      <w:r w:rsidR="007E36AB">
        <w:rPr>
          <w:rFonts w:ascii="Arial" w:hAnsi="Arial" w:cs="Arial"/>
          <w:sz w:val="24"/>
          <w:szCs w:val="24"/>
        </w:rPr>
        <w:t xml:space="preserve">             </w:t>
      </w:r>
      <w:r w:rsidR="007E36AB">
        <w:rPr>
          <w:rFonts w:ascii="Arial" w:hAnsi="Arial" w:cs="Arial"/>
          <w:sz w:val="24"/>
          <w:szCs w:val="24"/>
        </w:rPr>
        <w:tab/>
        <w:t xml:space="preserve">    </w:t>
      </w:r>
      <w:r w:rsidRPr="00FD607F">
        <w:rPr>
          <w:rFonts w:ascii="Arial" w:hAnsi="Arial" w:cs="Arial"/>
          <w:sz w:val="24"/>
          <w:szCs w:val="24"/>
        </w:rPr>
        <w:t xml:space="preserve">                                         </w:t>
      </w:r>
    </w:p>
    <w:p w14:paraId="57805A69" w14:textId="77777777" w:rsidR="00D97C4F" w:rsidRDefault="00811565" w:rsidP="00353A57">
      <w:pPr>
        <w:kinsoku w:val="0"/>
        <w:overflowPunct w:val="0"/>
        <w:spacing w:line="200" w:lineRule="exact"/>
        <w:rPr>
          <w:rFonts w:ascii="Arial" w:hAnsi="Arial" w:cs="Arial"/>
          <w:sz w:val="24"/>
          <w:szCs w:val="24"/>
        </w:rPr>
      </w:pPr>
      <w:r w:rsidRPr="00FD607F">
        <w:rPr>
          <w:rFonts w:ascii="Arial" w:hAnsi="Arial" w:cs="Arial"/>
          <w:noProof/>
          <w:sz w:val="24"/>
          <w:szCs w:val="24"/>
          <w:lang w:val="en-GB" w:eastAsia="en-GB"/>
        </w:rPr>
        <mc:AlternateContent>
          <mc:Choice Requires="wps">
            <w:drawing>
              <wp:anchor distT="0" distB="0" distL="114300" distR="114300" simplePos="0" relativeHeight="251657216" behindDoc="0" locked="0" layoutInCell="1" allowOverlap="1" wp14:anchorId="28247966" wp14:editId="1A5208FC">
                <wp:simplePos x="0" y="0"/>
                <wp:positionH relativeFrom="column">
                  <wp:posOffset>51684</wp:posOffset>
                </wp:positionH>
                <wp:positionV relativeFrom="paragraph">
                  <wp:posOffset>117641</wp:posOffset>
                </wp:positionV>
                <wp:extent cx="6598120" cy="71755"/>
                <wp:effectExtent l="12700" t="12700" r="19050" b="1714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120" cy="71755"/>
                        </a:xfrm>
                        <a:prstGeom prst="rect">
                          <a:avLst/>
                        </a:prstGeom>
                        <a:solidFill>
                          <a:srgbClr val="0D7127"/>
                        </a:solidFill>
                        <a:ln w="25400" cap="flat" cmpd="sng" algn="ctr">
                          <a:solidFill>
                            <a:srgbClr val="0D7127"/>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04FC14B6" id="Rectangle 4" o:spid="_x0000_s1026" style="position:absolute;margin-left:4.05pt;margin-top:9.25pt;width:519.5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" fillcolor="#0d7127" strokecolor="#0d7127" strokeweight="2pt">
                <v:path arrowok="t"/>
              </v:rect>
            </w:pict>
          </mc:Fallback>
        </mc:AlternateContent>
      </w:r>
      <w:r w:rsidR="00FD607F">
        <w:rPr>
          <w:rFonts w:ascii="Arial" w:hAnsi="Arial" w:cs="Arial"/>
          <w:sz w:val="24"/>
          <w:szCs w:val="24"/>
        </w:rPr>
        <w:t xml:space="preserve">                                                      </w:t>
      </w:r>
      <w:r w:rsidR="00511979" w:rsidRPr="00FD607F">
        <w:rPr>
          <w:rFonts w:ascii="Arial" w:hAnsi="Arial" w:cs="Arial"/>
          <w:sz w:val="24"/>
          <w:szCs w:val="24"/>
        </w:rPr>
        <w:t xml:space="preserve">          </w:t>
      </w:r>
      <w:r w:rsidR="00F50F7B" w:rsidRPr="00FD607F">
        <w:rPr>
          <w:rFonts w:ascii="Arial" w:hAnsi="Arial" w:cs="Arial"/>
          <w:sz w:val="24"/>
          <w:szCs w:val="24"/>
        </w:rPr>
        <w:t xml:space="preserve">     </w:t>
      </w:r>
      <w:r w:rsidR="00511979" w:rsidRPr="00FD607F">
        <w:rPr>
          <w:rFonts w:ascii="Arial" w:hAnsi="Arial" w:cs="Arial"/>
          <w:sz w:val="24"/>
          <w:szCs w:val="24"/>
        </w:rPr>
        <w:t xml:space="preserve">   </w:t>
      </w:r>
    </w:p>
    <w:p w14:paraId="721942BC" w14:textId="77777777" w:rsidR="0023090F" w:rsidRPr="00576402" w:rsidRDefault="0023090F" w:rsidP="0023090F">
      <w:pPr>
        <w:pStyle w:val="Header"/>
        <w:pBdr>
          <w:bottom w:val="double" w:sz="6" w:space="1" w:color="auto"/>
        </w:pBdr>
        <w:jc w:val="center"/>
        <w:rPr>
          <w:rFonts w:ascii="Arial Narrow" w:hAnsi="Arial Narrow"/>
          <w:sz w:val="20"/>
          <w:szCs w:val="20"/>
        </w:rPr>
      </w:pPr>
      <w:r w:rsidRPr="00576402">
        <w:rPr>
          <w:rFonts w:ascii="Arial Narrow" w:hAnsi="Arial Narrow"/>
          <w:sz w:val="20"/>
          <w:szCs w:val="20"/>
        </w:rPr>
        <w:t>Private Bag X931, Pretoria, 0001, 36 Hamilton Street, Arcadia, Pretoria</w:t>
      </w:r>
    </w:p>
    <w:p w14:paraId="29612F53" w14:textId="45E02FEA" w:rsidR="002E0C65" w:rsidRPr="0079230A" w:rsidRDefault="0023090F" w:rsidP="0079230A">
      <w:pPr>
        <w:pStyle w:val="Header"/>
        <w:pBdr>
          <w:bottom w:val="double" w:sz="6" w:space="1" w:color="auto"/>
        </w:pBdr>
        <w:jc w:val="center"/>
        <w:rPr>
          <w:rFonts w:ascii="Arial Narrow" w:hAnsi="Arial Narrow"/>
          <w:sz w:val="20"/>
          <w:szCs w:val="20"/>
        </w:rPr>
      </w:pPr>
      <w:r w:rsidRPr="00576402">
        <w:rPr>
          <w:rFonts w:ascii="Arial Narrow" w:hAnsi="Arial Narrow"/>
          <w:sz w:val="20"/>
          <w:szCs w:val="20"/>
        </w:rPr>
        <w:t>Tel.: 012 </w:t>
      </w:r>
      <w:r>
        <w:rPr>
          <w:rFonts w:ascii="Arial Narrow" w:hAnsi="Arial Narrow"/>
          <w:sz w:val="20"/>
          <w:szCs w:val="20"/>
        </w:rPr>
        <w:t>359</w:t>
      </w:r>
      <w:r w:rsidRPr="00576402">
        <w:rPr>
          <w:rFonts w:ascii="Arial Narrow" w:hAnsi="Arial Narrow"/>
          <w:sz w:val="20"/>
          <w:szCs w:val="20"/>
        </w:rPr>
        <w:t xml:space="preserve"> 0071</w:t>
      </w:r>
      <w:r>
        <w:rPr>
          <w:rFonts w:ascii="Arial Narrow" w:hAnsi="Arial Narrow"/>
          <w:sz w:val="20"/>
          <w:szCs w:val="20"/>
        </w:rPr>
        <w:t>/2</w:t>
      </w:r>
      <w:r w:rsidRPr="00576402">
        <w:rPr>
          <w:rFonts w:ascii="Arial Narrow" w:hAnsi="Arial Narrow"/>
          <w:sz w:val="20"/>
          <w:szCs w:val="20"/>
        </w:rPr>
        <w:t>, Fax: 012 323 5954</w:t>
      </w:r>
    </w:p>
    <w:p w14:paraId="7BD8C034" w14:textId="77777777" w:rsidR="00971856" w:rsidRDefault="00971856" w:rsidP="0079230A">
      <w:pPr>
        <w:spacing w:line="360" w:lineRule="auto"/>
        <w:jc w:val="both"/>
        <w:rPr>
          <w:rFonts w:ascii="Arial" w:hAnsi="Arial" w:cs="Arial"/>
          <w:b/>
          <w:i/>
          <w:sz w:val="24"/>
          <w:szCs w:val="24"/>
        </w:rPr>
      </w:pPr>
    </w:p>
    <w:p w14:paraId="455288B2" w14:textId="77777777" w:rsidR="00971856" w:rsidRDefault="00971856" w:rsidP="0079230A">
      <w:pPr>
        <w:spacing w:line="360" w:lineRule="auto"/>
        <w:jc w:val="both"/>
        <w:rPr>
          <w:rFonts w:ascii="Arial" w:hAnsi="Arial" w:cs="Arial"/>
          <w:b/>
          <w:i/>
          <w:sz w:val="24"/>
          <w:szCs w:val="24"/>
        </w:rPr>
      </w:pPr>
    </w:p>
    <w:p w14:paraId="0A52ED9C" w14:textId="77777777" w:rsidR="00971856" w:rsidRDefault="00971856" w:rsidP="0079230A">
      <w:pPr>
        <w:spacing w:line="360" w:lineRule="auto"/>
        <w:jc w:val="both"/>
        <w:rPr>
          <w:rFonts w:ascii="Arial" w:hAnsi="Arial" w:cs="Arial"/>
          <w:b/>
          <w:i/>
          <w:sz w:val="24"/>
          <w:szCs w:val="24"/>
        </w:rPr>
      </w:pPr>
    </w:p>
    <w:p w14:paraId="2A721E17" w14:textId="246C4556" w:rsidR="00971856" w:rsidRPr="00971856" w:rsidRDefault="00971856" w:rsidP="00971856">
      <w:pPr>
        <w:spacing w:line="360" w:lineRule="auto"/>
        <w:jc w:val="center"/>
        <w:rPr>
          <w:rFonts w:ascii="Arial" w:hAnsi="Arial" w:cs="Arial"/>
          <w:b/>
          <w:sz w:val="40"/>
          <w:szCs w:val="40"/>
        </w:rPr>
      </w:pPr>
      <w:r w:rsidRPr="00971856">
        <w:rPr>
          <w:rFonts w:ascii="Arial" w:hAnsi="Arial" w:cs="Arial"/>
          <w:b/>
          <w:sz w:val="40"/>
          <w:szCs w:val="40"/>
        </w:rPr>
        <w:t>DWYPD COMMENTS:</w:t>
      </w:r>
    </w:p>
    <w:p w14:paraId="68ACBDF8" w14:textId="4600C91B" w:rsidR="00971856" w:rsidRPr="00971856" w:rsidRDefault="00971856" w:rsidP="00971856">
      <w:pPr>
        <w:spacing w:line="360" w:lineRule="auto"/>
        <w:jc w:val="center"/>
        <w:rPr>
          <w:rFonts w:ascii="Arial" w:hAnsi="Arial" w:cs="Arial"/>
          <w:b/>
          <w:sz w:val="24"/>
          <w:szCs w:val="24"/>
        </w:rPr>
      </w:pPr>
      <w:r>
        <w:rPr>
          <w:rFonts w:ascii="Arial" w:hAnsi="Arial" w:cs="Arial"/>
          <w:b/>
          <w:sz w:val="24"/>
          <w:szCs w:val="24"/>
        </w:rPr>
        <w:t>ACCESS TO DECENT WORK AND EMPLOYMENT OPPORTUNITIES FOR PERSONS WITH DISABILITIES, DECEMBER 2021</w:t>
      </w:r>
    </w:p>
    <w:p w14:paraId="76F91678" w14:textId="77777777" w:rsidR="00971856" w:rsidRDefault="00971856" w:rsidP="0079230A">
      <w:pPr>
        <w:spacing w:line="360" w:lineRule="auto"/>
        <w:jc w:val="both"/>
        <w:rPr>
          <w:rFonts w:ascii="Arial" w:hAnsi="Arial" w:cs="Arial"/>
          <w:b/>
          <w:i/>
          <w:sz w:val="24"/>
          <w:szCs w:val="24"/>
        </w:rPr>
      </w:pPr>
    </w:p>
    <w:p w14:paraId="4CDFE9B0" w14:textId="77777777" w:rsidR="00971856" w:rsidRDefault="00971856" w:rsidP="0079230A">
      <w:pPr>
        <w:spacing w:line="360" w:lineRule="auto"/>
        <w:jc w:val="both"/>
        <w:rPr>
          <w:rFonts w:ascii="Arial" w:hAnsi="Arial" w:cs="Arial"/>
          <w:b/>
          <w:i/>
          <w:sz w:val="24"/>
          <w:szCs w:val="24"/>
        </w:rPr>
      </w:pPr>
    </w:p>
    <w:p w14:paraId="4514D496" w14:textId="77777777" w:rsidR="00971856" w:rsidRDefault="00971856" w:rsidP="0079230A">
      <w:pPr>
        <w:spacing w:line="360" w:lineRule="auto"/>
        <w:jc w:val="both"/>
        <w:rPr>
          <w:rFonts w:ascii="Arial" w:hAnsi="Arial" w:cs="Arial"/>
          <w:b/>
          <w:i/>
          <w:sz w:val="24"/>
          <w:szCs w:val="24"/>
        </w:rPr>
      </w:pPr>
    </w:p>
    <w:p w14:paraId="4B2C5B8E" w14:textId="77777777" w:rsidR="00971856" w:rsidRDefault="00971856" w:rsidP="0079230A">
      <w:pPr>
        <w:spacing w:line="360" w:lineRule="auto"/>
        <w:jc w:val="both"/>
        <w:rPr>
          <w:rFonts w:ascii="Arial" w:hAnsi="Arial" w:cs="Arial"/>
          <w:b/>
          <w:i/>
          <w:sz w:val="24"/>
          <w:szCs w:val="24"/>
        </w:rPr>
      </w:pPr>
    </w:p>
    <w:p w14:paraId="7FC120FC" w14:textId="77777777" w:rsidR="00971856" w:rsidRDefault="00971856" w:rsidP="0079230A">
      <w:pPr>
        <w:spacing w:line="360" w:lineRule="auto"/>
        <w:jc w:val="both"/>
        <w:rPr>
          <w:rFonts w:ascii="Arial" w:hAnsi="Arial" w:cs="Arial"/>
          <w:b/>
          <w:i/>
          <w:sz w:val="24"/>
          <w:szCs w:val="24"/>
        </w:rPr>
      </w:pPr>
    </w:p>
    <w:p w14:paraId="2F1B71E9" w14:textId="77777777" w:rsidR="00971856" w:rsidRDefault="00971856" w:rsidP="0079230A">
      <w:pPr>
        <w:spacing w:line="360" w:lineRule="auto"/>
        <w:jc w:val="both"/>
        <w:rPr>
          <w:rFonts w:ascii="Arial" w:hAnsi="Arial" w:cs="Arial"/>
          <w:b/>
          <w:i/>
          <w:sz w:val="24"/>
          <w:szCs w:val="24"/>
        </w:rPr>
      </w:pPr>
    </w:p>
    <w:p w14:paraId="4AEDD5FB" w14:textId="77777777" w:rsidR="00971856" w:rsidRDefault="00971856" w:rsidP="0079230A">
      <w:pPr>
        <w:spacing w:line="360" w:lineRule="auto"/>
        <w:jc w:val="both"/>
        <w:rPr>
          <w:rFonts w:ascii="Arial" w:hAnsi="Arial" w:cs="Arial"/>
          <w:b/>
          <w:i/>
          <w:sz w:val="24"/>
          <w:szCs w:val="24"/>
        </w:rPr>
      </w:pPr>
    </w:p>
    <w:p w14:paraId="2136CBF6" w14:textId="77777777" w:rsidR="00971856" w:rsidRDefault="00971856" w:rsidP="0079230A">
      <w:pPr>
        <w:spacing w:line="360" w:lineRule="auto"/>
        <w:jc w:val="both"/>
        <w:rPr>
          <w:rFonts w:ascii="Arial" w:hAnsi="Arial" w:cs="Arial"/>
          <w:b/>
          <w:i/>
          <w:sz w:val="24"/>
          <w:szCs w:val="24"/>
        </w:rPr>
      </w:pPr>
    </w:p>
    <w:p w14:paraId="4E3B64AC" w14:textId="77777777" w:rsidR="00971856" w:rsidRDefault="00971856" w:rsidP="0079230A">
      <w:pPr>
        <w:spacing w:line="360" w:lineRule="auto"/>
        <w:jc w:val="both"/>
        <w:rPr>
          <w:rFonts w:ascii="Arial" w:hAnsi="Arial" w:cs="Arial"/>
          <w:b/>
          <w:i/>
          <w:sz w:val="24"/>
          <w:szCs w:val="24"/>
        </w:rPr>
      </w:pPr>
    </w:p>
    <w:p w14:paraId="5791FF30" w14:textId="77777777" w:rsidR="00971856" w:rsidRDefault="00971856" w:rsidP="0079230A">
      <w:pPr>
        <w:spacing w:line="360" w:lineRule="auto"/>
        <w:jc w:val="both"/>
        <w:rPr>
          <w:rFonts w:ascii="Arial" w:hAnsi="Arial" w:cs="Arial"/>
          <w:b/>
          <w:i/>
          <w:sz w:val="24"/>
          <w:szCs w:val="24"/>
        </w:rPr>
      </w:pPr>
    </w:p>
    <w:p w14:paraId="16F7B313" w14:textId="77777777" w:rsidR="00971856" w:rsidRDefault="00971856" w:rsidP="0079230A">
      <w:pPr>
        <w:spacing w:line="360" w:lineRule="auto"/>
        <w:jc w:val="both"/>
        <w:rPr>
          <w:rFonts w:ascii="Arial" w:hAnsi="Arial" w:cs="Arial"/>
          <w:b/>
          <w:i/>
          <w:sz w:val="24"/>
          <w:szCs w:val="24"/>
        </w:rPr>
      </w:pPr>
    </w:p>
    <w:p w14:paraId="379DA330" w14:textId="77777777" w:rsidR="00971856" w:rsidRDefault="00971856" w:rsidP="0079230A">
      <w:pPr>
        <w:spacing w:line="360" w:lineRule="auto"/>
        <w:jc w:val="both"/>
        <w:rPr>
          <w:rFonts w:ascii="Arial" w:hAnsi="Arial" w:cs="Arial"/>
          <w:b/>
          <w:i/>
          <w:sz w:val="24"/>
          <w:szCs w:val="24"/>
        </w:rPr>
      </w:pPr>
    </w:p>
    <w:p w14:paraId="358A46A0" w14:textId="77777777" w:rsidR="00971856" w:rsidRDefault="00971856" w:rsidP="0079230A">
      <w:pPr>
        <w:spacing w:line="360" w:lineRule="auto"/>
        <w:jc w:val="both"/>
        <w:rPr>
          <w:rFonts w:ascii="Arial" w:hAnsi="Arial" w:cs="Arial"/>
          <w:b/>
          <w:i/>
          <w:sz w:val="24"/>
          <w:szCs w:val="24"/>
        </w:rPr>
      </w:pPr>
    </w:p>
    <w:p w14:paraId="14C427F8" w14:textId="77777777" w:rsidR="00971856" w:rsidRDefault="00971856" w:rsidP="0079230A">
      <w:pPr>
        <w:spacing w:line="360" w:lineRule="auto"/>
        <w:jc w:val="both"/>
        <w:rPr>
          <w:rFonts w:ascii="Arial" w:hAnsi="Arial" w:cs="Arial"/>
          <w:b/>
          <w:i/>
          <w:sz w:val="24"/>
          <w:szCs w:val="24"/>
        </w:rPr>
      </w:pPr>
    </w:p>
    <w:p w14:paraId="6700B18C" w14:textId="210B55AA" w:rsidR="0079230A" w:rsidRPr="00A42EDE" w:rsidRDefault="0079230A" w:rsidP="0079230A">
      <w:pPr>
        <w:spacing w:line="360" w:lineRule="auto"/>
        <w:jc w:val="both"/>
        <w:rPr>
          <w:rFonts w:ascii="Arial" w:hAnsi="Arial" w:cs="Arial"/>
          <w:sz w:val="24"/>
          <w:szCs w:val="24"/>
        </w:rPr>
      </w:pPr>
      <w:r w:rsidRPr="00A42EDE">
        <w:rPr>
          <w:rFonts w:ascii="Arial" w:hAnsi="Arial" w:cs="Arial"/>
          <w:b/>
          <w:i/>
          <w:sz w:val="24"/>
          <w:szCs w:val="24"/>
        </w:rPr>
        <w:t>Access to Decent Work and Employment Opportunities</w:t>
      </w:r>
    </w:p>
    <w:p w14:paraId="20A831BC" w14:textId="6F52092F" w:rsidR="0079230A" w:rsidRPr="00A42EDE" w:rsidRDefault="0079230A" w:rsidP="0079230A">
      <w:pPr>
        <w:spacing w:line="360" w:lineRule="auto"/>
        <w:jc w:val="both"/>
        <w:rPr>
          <w:rFonts w:ascii="Arial" w:hAnsi="Arial" w:cs="Arial"/>
          <w:sz w:val="24"/>
          <w:szCs w:val="24"/>
        </w:rPr>
      </w:pPr>
      <w:r w:rsidRPr="00A42EDE">
        <w:rPr>
          <w:rFonts w:ascii="Arial" w:hAnsi="Arial" w:cs="Arial"/>
          <w:sz w:val="24"/>
          <w:szCs w:val="24"/>
        </w:rPr>
        <w:t>The W</w:t>
      </w:r>
      <w:r w:rsidR="00971856">
        <w:rPr>
          <w:rFonts w:ascii="Arial" w:hAnsi="Arial" w:cs="Arial"/>
          <w:sz w:val="24"/>
          <w:szCs w:val="24"/>
        </w:rPr>
        <w:t xml:space="preserve">hite </w:t>
      </w:r>
      <w:r w:rsidRPr="00A42EDE">
        <w:rPr>
          <w:rFonts w:ascii="Arial" w:hAnsi="Arial" w:cs="Arial"/>
          <w:sz w:val="24"/>
          <w:szCs w:val="24"/>
        </w:rPr>
        <w:t>P</w:t>
      </w:r>
      <w:r w:rsidR="00971856">
        <w:rPr>
          <w:rFonts w:ascii="Arial" w:hAnsi="Arial" w:cs="Arial"/>
          <w:sz w:val="24"/>
          <w:szCs w:val="24"/>
        </w:rPr>
        <w:t xml:space="preserve">aper on the </w:t>
      </w:r>
      <w:r w:rsidRPr="00A42EDE">
        <w:rPr>
          <w:rFonts w:ascii="Arial" w:hAnsi="Arial" w:cs="Arial"/>
          <w:sz w:val="24"/>
          <w:szCs w:val="24"/>
        </w:rPr>
        <w:t>R</w:t>
      </w:r>
      <w:r w:rsidR="00971856">
        <w:rPr>
          <w:rFonts w:ascii="Arial" w:hAnsi="Arial" w:cs="Arial"/>
          <w:sz w:val="24"/>
          <w:szCs w:val="24"/>
        </w:rPr>
        <w:t xml:space="preserve">ights of </w:t>
      </w:r>
      <w:r w:rsidRPr="00A42EDE">
        <w:rPr>
          <w:rFonts w:ascii="Arial" w:hAnsi="Arial" w:cs="Arial"/>
          <w:sz w:val="24"/>
          <w:szCs w:val="24"/>
        </w:rPr>
        <w:t>P</w:t>
      </w:r>
      <w:r w:rsidR="00971856">
        <w:rPr>
          <w:rFonts w:ascii="Arial" w:hAnsi="Arial" w:cs="Arial"/>
          <w:sz w:val="24"/>
          <w:szCs w:val="24"/>
        </w:rPr>
        <w:t xml:space="preserve">ersons with </w:t>
      </w:r>
      <w:r w:rsidRPr="00A42EDE">
        <w:rPr>
          <w:rFonts w:ascii="Arial" w:hAnsi="Arial" w:cs="Arial"/>
          <w:sz w:val="24"/>
          <w:szCs w:val="24"/>
        </w:rPr>
        <w:t>D</w:t>
      </w:r>
      <w:r w:rsidR="00971856">
        <w:rPr>
          <w:rFonts w:ascii="Arial" w:hAnsi="Arial" w:cs="Arial"/>
          <w:sz w:val="24"/>
          <w:szCs w:val="24"/>
        </w:rPr>
        <w:t xml:space="preserve">isabilities (WPRPD) </w:t>
      </w:r>
      <w:r w:rsidRPr="00A42EDE">
        <w:rPr>
          <w:rFonts w:ascii="Arial" w:hAnsi="Arial" w:cs="Arial"/>
          <w:sz w:val="24"/>
          <w:szCs w:val="24"/>
        </w:rPr>
        <w:t xml:space="preserve">policy directives promote equal employment and access to economic opportunities for persons with disabilities in private and public sector. These measures afforded employees with disabilities who were at risk of contracting the virus due </w:t>
      </w:r>
      <w:r w:rsidRPr="00A42EDE">
        <w:rPr>
          <w:rFonts w:ascii="Arial" w:hAnsi="Arial" w:cs="Arial"/>
          <w:sz w:val="24"/>
          <w:szCs w:val="24"/>
        </w:rPr>
        <w:lastRenderedPageBreak/>
        <w:t>to their disability, comorbidities and health conditions to apply for working at home during the lockdown period.</w:t>
      </w:r>
    </w:p>
    <w:p w14:paraId="6F88C605"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sz w:val="24"/>
          <w:szCs w:val="24"/>
        </w:rPr>
        <w:t>The DoLE also released the Annual Employment Equity report with disability employment statistics for both private and public sector through the Commission for Employment Equity (CEE). The disability employment statistics for the year under review are as follows:</w:t>
      </w:r>
    </w:p>
    <w:p w14:paraId="6D21AE04" w14:textId="77777777" w:rsidR="0079230A" w:rsidRPr="00A42EDE" w:rsidRDefault="0079230A" w:rsidP="0079230A">
      <w:pPr>
        <w:spacing w:line="360" w:lineRule="auto"/>
        <w:jc w:val="both"/>
        <w:rPr>
          <w:rFonts w:ascii="Arial" w:hAnsi="Arial" w:cs="Arial"/>
          <w:b/>
          <w:sz w:val="24"/>
          <w:szCs w:val="24"/>
        </w:rPr>
      </w:pPr>
      <w:r w:rsidRPr="00A42EDE">
        <w:rPr>
          <w:rFonts w:ascii="Arial" w:hAnsi="Arial" w:cs="Arial"/>
          <w:b/>
          <w:sz w:val="24"/>
          <w:szCs w:val="24"/>
        </w:rPr>
        <w:t>Workforce Profile, Workforce Movement and Skills Development at the Top Management Level by population group, gender and disability</w:t>
      </w:r>
    </w:p>
    <w:p w14:paraId="10613BE0" w14:textId="728A1DDF" w:rsidR="002E0C65" w:rsidRDefault="0079230A" w:rsidP="0023090F">
      <w:pPr>
        <w:spacing w:line="240" w:lineRule="auto"/>
        <w:jc w:val="both"/>
        <w:rPr>
          <w:rFonts w:ascii="Arial" w:hAnsi="Arial" w:cs="Arial"/>
        </w:rPr>
      </w:pPr>
      <w:r w:rsidRPr="00A42EDE">
        <w:rPr>
          <w:rFonts w:ascii="Arial" w:hAnsi="Arial" w:cs="Arial"/>
          <w:noProof/>
          <w:sz w:val="24"/>
          <w:szCs w:val="24"/>
          <w:lang w:val="en-GB" w:eastAsia="en-GB"/>
        </w:rPr>
        <w:lastRenderedPageBreak/>
        <w:drawing>
          <wp:inline distT="0" distB="0" distL="0" distR="0" wp14:anchorId="37A8E335" wp14:editId="65213102">
            <wp:extent cx="6134100" cy="3533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34100" cy="3533775"/>
                    </a:xfrm>
                    <a:prstGeom prst="rect">
                      <a:avLst/>
                    </a:prstGeom>
                  </pic:spPr>
                </pic:pic>
              </a:graphicData>
            </a:graphic>
          </wp:inline>
        </w:drawing>
      </w:r>
    </w:p>
    <w:p w14:paraId="56321E91" w14:textId="77777777" w:rsidR="0079230A" w:rsidRPr="00A42EDE" w:rsidRDefault="0079230A" w:rsidP="0079230A">
      <w:pPr>
        <w:spacing w:line="360" w:lineRule="auto"/>
        <w:jc w:val="both"/>
        <w:rPr>
          <w:rFonts w:ascii="Arial" w:hAnsi="Arial" w:cs="Arial"/>
          <w:b/>
          <w:sz w:val="24"/>
          <w:szCs w:val="24"/>
        </w:rPr>
      </w:pPr>
      <w:r w:rsidRPr="00A42EDE">
        <w:rPr>
          <w:rFonts w:ascii="Arial" w:hAnsi="Arial" w:cs="Arial"/>
          <w:sz w:val="24"/>
          <w:szCs w:val="24"/>
        </w:rPr>
        <w:t>Figure 7 shows a steady increase in the representation of persons with disabilities at this occupational level from 1.3% in 2018 to 1.6% in 2020</w:t>
      </w:r>
      <w:r>
        <w:rPr>
          <w:rFonts w:ascii="Arial" w:hAnsi="Arial" w:cs="Arial"/>
          <w:sz w:val="24"/>
          <w:szCs w:val="24"/>
        </w:rPr>
        <w:t>.</w:t>
      </w:r>
      <w:r w:rsidRPr="00A42EDE">
        <w:rPr>
          <w:rFonts w:ascii="Arial" w:hAnsi="Arial" w:cs="Arial"/>
          <w:sz w:val="24"/>
          <w:szCs w:val="24"/>
        </w:rPr>
        <w:t xml:space="preserve"> </w:t>
      </w:r>
      <w:r w:rsidRPr="00A42EDE">
        <w:rPr>
          <w:rFonts w:ascii="Arial" w:hAnsi="Arial" w:cs="Arial"/>
          <w:sz w:val="20"/>
          <w:szCs w:val="20"/>
        </w:rPr>
        <w:t>(</w:t>
      </w:r>
      <w:r w:rsidRPr="00A42EDE">
        <w:rPr>
          <w:rFonts w:ascii="Arial" w:hAnsi="Arial" w:cs="Arial"/>
          <w:b/>
          <w:i/>
          <w:sz w:val="20"/>
          <w:szCs w:val="20"/>
        </w:rPr>
        <w:t>Source 21</w:t>
      </w:r>
      <w:r w:rsidRPr="00A42EDE">
        <w:rPr>
          <w:rFonts w:ascii="Arial" w:hAnsi="Arial" w:cs="Arial"/>
          <w:b/>
          <w:i/>
          <w:sz w:val="20"/>
          <w:szCs w:val="20"/>
          <w:vertAlign w:val="superscript"/>
        </w:rPr>
        <w:t>st</w:t>
      </w:r>
      <w:r w:rsidRPr="00A42EDE">
        <w:rPr>
          <w:rFonts w:ascii="Arial" w:hAnsi="Arial" w:cs="Arial"/>
          <w:b/>
          <w:i/>
          <w:sz w:val="20"/>
          <w:szCs w:val="20"/>
        </w:rPr>
        <w:t xml:space="preserve"> CEE 2020/21</w:t>
      </w:r>
      <w:r w:rsidRPr="00A42EDE">
        <w:rPr>
          <w:rFonts w:ascii="Arial" w:hAnsi="Arial" w:cs="Arial"/>
          <w:sz w:val="20"/>
          <w:szCs w:val="20"/>
        </w:rPr>
        <w:t>)</w:t>
      </w:r>
    </w:p>
    <w:p w14:paraId="5BCB7D10" w14:textId="77777777" w:rsidR="0079230A" w:rsidRPr="00A42EDE" w:rsidRDefault="0079230A" w:rsidP="0079230A">
      <w:pPr>
        <w:spacing w:line="360" w:lineRule="auto"/>
        <w:jc w:val="both"/>
        <w:rPr>
          <w:rFonts w:ascii="Arial" w:hAnsi="Arial" w:cs="Arial"/>
          <w:b/>
          <w:sz w:val="24"/>
          <w:szCs w:val="24"/>
        </w:rPr>
      </w:pPr>
      <w:r w:rsidRPr="00A42EDE">
        <w:rPr>
          <w:rFonts w:ascii="Arial" w:hAnsi="Arial" w:cs="Arial"/>
          <w:b/>
          <w:sz w:val="24"/>
          <w:szCs w:val="24"/>
        </w:rPr>
        <w:lastRenderedPageBreak/>
        <w:t>Workforce Profile, Workforce Movement and Skills Development at the Senior Management Level by population group, gender and disability</w:t>
      </w:r>
      <w:r w:rsidRPr="00A42EDE">
        <w:rPr>
          <w:rFonts w:ascii="Arial" w:hAnsi="Arial" w:cs="Arial"/>
          <w:noProof/>
          <w:sz w:val="24"/>
          <w:szCs w:val="24"/>
          <w:lang w:val="en-GB" w:eastAsia="en-GB"/>
        </w:rPr>
        <w:drawing>
          <wp:inline distT="0" distB="0" distL="0" distR="0" wp14:anchorId="4A55796D" wp14:editId="4C201D05">
            <wp:extent cx="6143625" cy="3438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43625" cy="3438525"/>
                    </a:xfrm>
                    <a:prstGeom prst="rect">
                      <a:avLst/>
                    </a:prstGeom>
                  </pic:spPr>
                </pic:pic>
              </a:graphicData>
            </a:graphic>
          </wp:inline>
        </w:drawing>
      </w:r>
    </w:p>
    <w:p w14:paraId="2889A73B" w14:textId="77777777" w:rsidR="0079230A" w:rsidRPr="00A42EDE" w:rsidRDefault="0079230A" w:rsidP="0079230A">
      <w:pPr>
        <w:spacing w:line="360" w:lineRule="auto"/>
        <w:jc w:val="both"/>
        <w:rPr>
          <w:rFonts w:ascii="Arial" w:hAnsi="Arial" w:cs="Arial"/>
          <w:b/>
          <w:sz w:val="24"/>
          <w:szCs w:val="24"/>
        </w:rPr>
      </w:pPr>
      <w:r w:rsidRPr="00A42EDE">
        <w:rPr>
          <w:rFonts w:ascii="Arial" w:hAnsi="Arial" w:cs="Arial"/>
          <w:noProof/>
          <w:sz w:val="24"/>
          <w:szCs w:val="24"/>
          <w:lang w:val="en-GB" w:eastAsia="en-GB"/>
        </w:rPr>
        <w:lastRenderedPageBreak/>
        <w:drawing>
          <wp:inline distT="0" distB="0" distL="0" distR="0" wp14:anchorId="07061B2B" wp14:editId="104CE5A4">
            <wp:extent cx="6172200"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2200" cy="3638550"/>
                    </a:xfrm>
                    <a:prstGeom prst="rect">
                      <a:avLst/>
                    </a:prstGeom>
                  </pic:spPr>
                </pic:pic>
              </a:graphicData>
            </a:graphic>
          </wp:inline>
        </w:drawing>
      </w:r>
    </w:p>
    <w:p w14:paraId="43E142CC" w14:textId="77777777" w:rsidR="0079230A" w:rsidRPr="00A42EDE" w:rsidRDefault="0079230A" w:rsidP="0079230A">
      <w:pPr>
        <w:spacing w:line="360" w:lineRule="auto"/>
        <w:jc w:val="both"/>
        <w:rPr>
          <w:rFonts w:ascii="Arial" w:hAnsi="Arial" w:cs="Arial"/>
          <w:b/>
          <w:sz w:val="20"/>
          <w:szCs w:val="20"/>
        </w:rPr>
      </w:pPr>
      <w:r w:rsidRPr="00A42EDE">
        <w:rPr>
          <w:rFonts w:ascii="Arial" w:hAnsi="Arial" w:cs="Arial"/>
          <w:b/>
          <w:i/>
          <w:sz w:val="20"/>
          <w:szCs w:val="20"/>
        </w:rPr>
        <w:t>(Source 21</w:t>
      </w:r>
      <w:r w:rsidRPr="00A42EDE">
        <w:rPr>
          <w:rFonts w:ascii="Arial" w:hAnsi="Arial" w:cs="Arial"/>
          <w:b/>
          <w:i/>
          <w:sz w:val="20"/>
          <w:szCs w:val="20"/>
          <w:vertAlign w:val="superscript"/>
        </w:rPr>
        <w:t>st</w:t>
      </w:r>
      <w:r w:rsidRPr="00A42EDE">
        <w:rPr>
          <w:rFonts w:ascii="Arial" w:hAnsi="Arial" w:cs="Arial"/>
          <w:b/>
          <w:i/>
          <w:sz w:val="20"/>
          <w:szCs w:val="20"/>
        </w:rPr>
        <w:t xml:space="preserve"> CEE 2020/21)</w:t>
      </w:r>
    </w:p>
    <w:p w14:paraId="33CC6713" w14:textId="77777777" w:rsidR="0079230A" w:rsidRDefault="0079230A" w:rsidP="0079230A">
      <w:pPr>
        <w:rPr>
          <w:rFonts w:ascii="Arial" w:hAnsi="Arial" w:cs="Arial"/>
          <w:b/>
          <w:sz w:val="24"/>
          <w:szCs w:val="24"/>
        </w:rPr>
      </w:pPr>
      <w:r>
        <w:rPr>
          <w:rFonts w:ascii="Arial" w:hAnsi="Arial" w:cs="Arial"/>
          <w:b/>
          <w:sz w:val="24"/>
          <w:szCs w:val="24"/>
        </w:rPr>
        <w:br w:type="page"/>
      </w:r>
    </w:p>
    <w:p w14:paraId="439B0B02" w14:textId="77777777" w:rsidR="0079230A" w:rsidRPr="00A42EDE" w:rsidRDefault="0079230A" w:rsidP="0079230A">
      <w:pPr>
        <w:spacing w:line="360" w:lineRule="auto"/>
        <w:jc w:val="both"/>
        <w:rPr>
          <w:rFonts w:ascii="Arial" w:hAnsi="Arial" w:cs="Arial"/>
          <w:b/>
          <w:sz w:val="24"/>
          <w:szCs w:val="24"/>
        </w:rPr>
      </w:pPr>
      <w:r w:rsidRPr="00A42EDE">
        <w:rPr>
          <w:rFonts w:ascii="Arial" w:hAnsi="Arial" w:cs="Arial"/>
          <w:b/>
          <w:sz w:val="24"/>
          <w:szCs w:val="24"/>
        </w:rPr>
        <w:lastRenderedPageBreak/>
        <w:t>Workforce Profile, Workforce Movement and Skills Development at the Professionally Qualified Level by population group, gender and disability</w:t>
      </w:r>
    </w:p>
    <w:p w14:paraId="2E023407"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noProof/>
          <w:sz w:val="24"/>
          <w:szCs w:val="24"/>
          <w:lang w:val="en-GB" w:eastAsia="en-GB"/>
        </w:rPr>
        <w:drawing>
          <wp:inline distT="0" distB="0" distL="0" distR="0" wp14:anchorId="71126DB6" wp14:editId="6B07D49A">
            <wp:extent cx="5731510" cy="343027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430270"/>
                    </a:xfrm>
                    <a:prstGeom prst="rect">
                      <a:avLst/>
                    </a:prstGeom>
                  </pic:spPr>
                </pic:pic>
              </a:graphicData>
            </a:graphic>
          </wp:inline>
        </w:drawing>
      </w:r>
    </w:p>
    <w:p w14:paraId="2592C464" w14:textId="77777777" w:rsidR="0079230A" w:rsidRPr="00A42EDE" w:rsidRDefault="0079230A" w:rsidP="0079230A">
      <w:pPr>
        <w:spacing w:line="360" w:lineRule="auto"/>
        <w:jc w:val="both"/>
        <w:rPr>
          <w:rFonts w:ascii="Arial" w:hAnsi="Arial" w:cs="Arial"/>
          <w:b/>
          <w:sz w:val="20"/>
          <w:szCs w:val="20"/>
        </w:rPr>
      </w:pPr>
      <w:r w:rsidRPr="00A42EDE">
        <w:rPr>
          <w:rFonts w:ascii="Arial" w:hAnsi="Arial" w:cs="Arial"/>
          <w:b/>
          <w:i/>
          <w:sz w:val="20"/>
          <w:szCs w:val="20"/>
        </w:rPr>
        <w:t>(Source 21</w:t>
      </w:r>
      <w:r w:rsidRPr="00A42EDE">
        <w:rPr>
          <w:rFonts w:ascii="Arial" w:hAnsi="Arial" w:cs="Arial"/>
          <w:b/>
          <w:i/>
          <w:sz w:val="20"/>
          <w:szCs w:val="20"/>
          <w:vertAlign w:val="superscript"/>
        </w:rPr>
        <w:t>st</w:t>
      </w:r>
      <w:r w:rsidRPr="00A42EDE">
        <w:rPr>
          <w:rFonts w:ascii="Arial" w:hAnsi="Arial" w:cs="Arial"/>
          <w:b/>
          <w:i/>
          <w:sz w:val="20"/>
          <w:szCs w:val="20"/>
        </w:rPr>
        <w:t xml:space="preserve"> CEE 2020/21)</w:t>
      </w:r>
    </w:p>
    <w:p w14:paraId="0A84EDA0"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noProof/>
          <w:sz w:val="24"/>
          <w:szCs w:val="24"/>
          <w:lang w:val="en-GB" w:eastAsia="en-GB"/>
        </w:rPr>
        <w:lastRenderedPageBreak/>
        <w:drawing>
          <wp:inline distT="0" distB="0" distL="0" distR="0" wp14:anchorId="267410F5" wp14:editId="4DBB47F7">
            <wp:extent cx="5731510" cy="331851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318510"/>
                    </a:xfrm>
                    <a:prstGeom prst="rect">
                      <a:avLst/>
                    </a:prstGeom>
                  </pic:spPr>
                </pic:pic>
              </a:graphicData>
            </a:graphic>
          </wp:inline>
        </w:drawing>
      </w:r>
    </w:p>
    <w:p w14:paraId="289CB691" w14:textId="77777777" w:rsidR="0079230A" w:rsidRPr="00A42EDE" w:rsidRDefault="0079230A" w:rsidP="0079230A">
      <w:pPr>
        <w:spacing w:line="360" w:lineRule="auto"/>
        <w:jc w:val="both"/>
        <w:rPr>
          <w:rFonts w:ascii="Arial" w:hAnsi="Arial" w:cs="Arial"/>
          <w:b/>
          <w:sz w:val="20"/>
          <w:szCs w:val="20"/>
        </w:rPr>
      </w:pPr>
      <w:r w:rsidRPr="00A42EDE">
        <w:rPr>
          <w:rFonts w:ascii="Arial" w:hAnsi="Arial" w:cs="Arial"/>
          <w:b/>
          <w:i/>
          <w:sz w:val="20"/>
          <w:szCs w:val="20"/>
        </w:rPr>
        <w:t>(Source 21</w:t>
      </w:r>
      <w:r w:rsidRPr="00A42EDE">
        <w:rPr>
          <w:rFonts w:ascii="Arial" w:hAnsi="Arial" w:cs="Arial"/>
          <w:b/>
          <w:i/>
          <w:sz w:val="20"/>
          <w:szCs w:val="20"/>
          <w:vertAlign w:val="superscript"/>
        </w:rPr>
        <w:t>st</w:t>
      </w:r>
      <w:r w:rsidRPr="00A42EDE">
        <w:rPr>
          <w:rFonts w:ascii="Arial" w:hAnsi="Arial" w:cs="Arial"/>
          <w:b/>
          <w:i/>
          <w:sz w:val="20"/>
          <w:szCs w:val="20"/>
        </w:rPr>
        <w:t xml:space="preserve"> CEE 2020/21)</w:t>
      </w:r>
    </w:p>
    <w:p w14:paraId="1F14AF4C" w14:textId="77777777" w:rsidR="0079230A" w:rsidRPr="00A42EDE" w:rsidRDefault="0079230A" w:rsidP="0079230A">
      <w:pPr>
        <w:spacing w:line="360" w:lineRule="auto"/>
        <w:jc w:val="both"/>
        <w:rPr>
          <w:rFonts w:ascii="Arial" w:hAnsi="Arial" w:cs="Arial"/>
          <w:sz w:val="24"/>
          <w:szCs w:val="24"/>
        </w:rPr>
      </w:pPr>
    </w:p>
    <w:p w14:paraId="7795A92F" w14:textId="77777777" w:rsidR="0079230A" w:rsidRPr="00A42EDE" w:rsidRDefault="0079230A" w:rsidP="0079230A">
      <w:pPr>
        <w:spacing w:line="360" w:lineRule="auto"/>
        <w:jc w:val="both"/>
        <w:rPr>
          <w:rFonts w:ascii="Arial" w:hAnsi="Arial" w:cs="Arial"/>
          <w:b/>
          <w:sz w:val="24"/>
          <w:szCs w:val="24"/>
        </w:rPr>
      </w:pPr>
      <w:r w:rsidRPr="00A42EDE">
        <w:rPr>
          <w:rFonts w:ascii="Arial" w:hAnsi="Arial" w:cs="Arial"/>
          <w:b/>
          <w:sz w:val="24"/>
          <w:szCs w:val="24"/>
        </w:rPr>
        <w:t>Workforce Profile, Workforce Movement and Skills Development at the Skilled Level by population group, gender and disability</w:t>
      </w:r>
    </w:p>
    <w:p w14:paraId="43886137"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noProof/>
          <w:sz w:val="24"/>
          <w:szCs w:val="24"/>
          <w:lang w:val="en-GB" w:eastAsia="en-GB"/>
        </w:rPr>
        <w:lastRenderedPageBreak/>
        <w:drawing>
          <wp:inline distT="0" distB="0" distL="0" distR="0" wp14:anchorId="24C4BB14" wp14:editId="2A49BAC5">
            <wp:extent cx="5731510" cy="35642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64255"/>
                    </a:xfrm>
                    <a:prstGeom prst="rect">
                      <a:avLst/>
                    </a:prstGeom>
                  </pic:spPr>
                </pic:pic>
              </a:graphicData>
            </a:graphic>
          </wp:inline>
        </w:drawing>
      </w:r>
    </w:p>
    <w:p w14:paraId="62065F9B"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noProof/>
          <w:sz w:val="24"/>
          <w:szCs w:val="24"/>
          <w:lang w:val="en-GB" w:eastAsia="en-GB"/>
        </w:rPr>
        <w:lastRenderedPageBreak/>
        <w:drawing>
          <wp:inline distT="0" distB="0" distL="0" distR="0" wp14:anchorId="698EDC80" wp14:editId="28ADF889">
            <wp:extent cx="5731510" cy="2987675"/>
            <wp:effectExtent l="0" t="0" r="254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87675"/>
                    </a:xfrm>
                    <a:prstGeom prst="rect">
                      <a:avLst/>
                    </a:prstGeom>
                  </pic:spPr>
                </pic:pic>
              </a:graphicData>
            </a:graphic>
          </wp:inline>
        </w:drawing>
      </w:r>
    </w:p>
    <w:p w14:paraId="298EBB57" w14:textId="77777777" w:rsidR="0079230A" w:rsidRPr="00A42EDE" w:rsidRDefault="0079230A" w:rsidP="0079230A">
      <w:pPr>
        <w:spacing w:line="360" w:lineRule="auto"/>
        <w:jc w:val="both"/>
        <w:rPr>
          <w:rFonts w:ascii="Arial" w:hAnsi="Arial" w:cs="Arial"/>
          <w:b/>
          <w:sz w:val="20"/>
          <w:szCs w:val="20"/>
        </w:rPr>
      </w:pPr>
      <w:r w:rsidRPr="00A42EDE">
        <w:rPr>
          <w:rFonts w:ascii="Arial" w:hAnsi="Arial" w:cs="Arial"/>
          <w:sz w:val="24"/>
          <w:szCs w:val="24"/>
        </w:rPr>
        <w:t>Figure 19 shows that the representation of persons with disabilities remained slightly above 1% over the past three years at this occupational level</w:t>
      </w:r>
      <w:r>
        <w:rPr>
          <w:rFonts w:ascii="Arial" w:hAnsi="Arial" w:cs="Arial"/>
          <w:sz w:val="24"/>
          <w:szCs w:val="24"/>
        </w:rPr>
        <w:t xml:space="preserve"> </w:t>
      </w:r>
      <w:r w:rsidRPr="00A42EDE">
        <w:rPr>
          <w:rFonts w:ascii="Arial" w:hAnsi="Arial" w:cs="Arial"/>
          <w:b/>
          <w:i/>
          <w:sz w:val="20"/>
          <w:szCs w:val="20"/>
        </w:rPr>
        <w:t>(Source 21</w:t>
      </w:r>
      <w:r w:rsidRPr="00A42EDE">
        <w:rPr>
          <w:rFonts w:ascii="Arial" w:hAnsi="Arial" w:cs="Arial"/>
          <w:b/>
          <w:i/>
          <w:sz w:val="20"/>
          <w:szCs w:val="20"/>
          <w:vertAlign w:val="superscript"/>
        </w:rPr>
        <w:t>st</w:t>
      </w:r>
      <w:r w:rsidRPr="00A42EDE">
        <w:rPr>
          <w:rFonts w:ascii="Arial" w:hAnsi="Arial" w:cs="Arial"/>
          <w:b/>
          <w:i/>
          <w:sz w:val="20"/>
          <w:szCs w:val="20"/>
        </w:rPr>
        <w:t xml:space="preserve"> CEE 2020/21)</w:t>
      </w:r>
      <w:r w:rsidRPr="00A42EDE">
        <w:rPr>
          <w:rFonts w:ascii="Arial" w:hAnsi="Arial" w:cs="Arial"/>
          <w:b/>
          <w:sz w:val="20"/>
          <w:szCs w:val="20"/>
        </w:rPr>
        <w:t xml:space="preserve">. </w:t>
      </w:r>
    </w:p>
    <w:p w14:paraId="63B5C003"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noProof/>
          <w:sz w:val="24"/>
          <w:szCs w:val="24"/>
          <w:lang w:val="en-GB" w:eastAsia="en-GB"/>
        </w:rPr>
        <w:drawing>
          <wp:inline distT="0" distB="0" distL="0" distR="0" wp14:anchorId="35247809" wp14:editId="531DCA0F">
            <wp:extent cx="5731510" cy="141668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416685"/>
                    </a:xfrm>
                    <a:prstGeom prst="rect">
                      <a:avLst/>
                    </a:prstGeom>
                  </pic:spPr>
                </pic:pic>
              </a:graphicData>
            </a:graphic>
          </wp:inline>
        </w:drawing>
      </w:r>
    </w:p>
    <w:p w14:paraId="4E9410E6" w14:textId="77777777" w:rsidR="0079230A" w:rsidRPr="00A42EDE" w:rsidRDefault="0079230A" w:rsidP="0079230A">
      <w:pPr>
        <w:spacing w:line="360" w:lineRule="auto"/>
        <w:jc w:val="both"/>
        <w:rPr>
          <w:rFonts w:ascii="Arial" w:hAnsi="Arial" w:cs="Arial"/>
          <w:b/>
          <w:sz w:val="20"/>
          <w:szCs w:val="20"/>
        </w:rPr>
      </w:pPr>
      <w:r w:rsidRPr="00A42EDE">
        <w:rPr>
          <w:rFonts w:ascii="Arial" w:hAnsi="Arial" w:cs="Arial"/>
          <w:b/>
          <w:i/>
          <w:sz w:val="20"/>
          <w:szCs w:val="20"/>
        </w:rPr>
        <w:lastRenderedPageBreak/>
        <w:t>(Source 21</w:t>
      </w:r>
      <w:r w:rsidRPr="00A42EDE">
        <w:rPr>
          <w:rFonts w:ascii="Arial" w:hAnsi="Arial" w:cs="Arial"/>
          <w:b/>
          <w:i/>
          <w:sz w:val="20"/>
          <w:szCs w:val="20"/>
          <w:vertAlign w:val="superscript"/>
        </w:rPr>
        <w:t>st</w:t>
      </w:r>
      <w:r w:rsidRPr="00A42EDE">
        <w:rPr>
          <w:rFonts w:ascii="Arial" w:hAnsi="Arial" w:cs="Arial"/>
          <w:b/>
          <w:i/>
          <w:sz w:val="20"/>
          <w:szCs w:val="20"/>
        </w:rPr>
        <w:t xml:space="preserve"> CEE 2020/21)</w:t>
      </w:r>
    </w:p>
    <w:p w14:paraId="21593148"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sz w:val="24"/>
          <w:szCs w:val="24"/>
        </w:rPr>
        <w:t>The DoLE has also finalised the review of the Technical Assistance Guidelines on the Employment of Persons with Disabilities (Disability TAGs) to streamline the implementation of EEA with regards to persons with disabilities in the year 2020.</w:t>
      </w:r>
    </w:p>
    <w:p w14:paraId="75C455F1" w14:textId="77777777" w:rsidR="0079230A" w:rsidRPr="00A42EDE" w:rsidRDefault="0079230A" w:rsidP="0079230A">
      <w:pPr>
        <w:spacing w:line="360" w:lineRule="auto"/>
        <w:jc w:val="both"/>
        <w:rPr>
          <w:rFonts w:ascii="Arial" w:hAnsi="Arial" w:cs="Arial"/>
          <w:color w:val="FF0000"/>
          <w:sz w:val="24"/>
          <w:szCs w:val="24"/>
          <w:shd w:val="clear" w:color="auto" w:fill="FFFFFF"/>
        </w:rPr>
      </w:pPr>
      <w:r w:rsidRPr="00A42EDE">
        <w:rPr>
          <w:rFonts w:ascii="Arial" w:hAnsi="Arial" w:cs="Arial"/>
          <w:sz w:val="24"/>
          <w:szCs w:val="24"/>
          <w:shd w:val="clear" w:color="auto" w:fill="FFFFFF"/>
        </w:rPr>
        <w:t>The public sector, as a major employer and as custodian of policies promoting the empowerment of persons with disabilities, is under particular obligation to ensure that employment of persons with disabilities is achieved.</w:t>
      </w:r>
      <w:r w:rsidRPr="00A42EDE">
        <w:rPr>
          <w:rFonts w:ascii="Arial" w:hAnsi="Arial" w:cs="Arial"/>
          <w:color w:val="FF0000"/>
          <w:sz w:val="24"/>
          <w:szCs w:val="24"/>
          <w:shd w:val="clear" w:color="auto" w:fill="FFFFFF"/>
        </w:rPr>
        <w:t xml:space="preserve"> </w:t>
      </w:r>
      <w:r w:rsidRPr="00A42EDE">
        <w:rPr>
          <w:rFonts w:ascii="Arial" w:eastAsia="Times New Roman" w:hAnsi="Arial" w:cs="Arial"/>
          <w:sz w:val="24"/>
          <w:szCs w:val="24"/>
        </w:rPr>
        <w:t>The main focus is the 2% representation of persons with disabilities across all levels and the 50% representation of women at SMS. Departments that have achieved both the 50% and 2% targets are highlighted in order for other departments that are struggling to meet the targets to be able to contact them and share best practices.</w:t>
      </w:r>
    </w:p>
    <w:p w14:paraId="08220700"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 xml:space="preserve">All national and provincial government departments are mandated to report annually to DPSA on progress made with implementation of the </w:t>
      </w:r>
      <w:proofErr w:type="spellStart"/>
      <w:r w:rsidRPr="00A42EDE">
        <w:rPr>
          <w:rFonts w:ascii="Arial" w:hAnsi="Arial" w:cs="Arial"/>
          <w:sz w:val="24"/>
          <w:szCs w:val="24"/>
          <w:shd w:val="clear" w:color="auto" w:fill="FFFFFF"/>
        </w:rPr>
        <w:t>JobAccess</w:t>
      </w:r>
      <w:proofErr w:type="spellEnd"/>
      <w:r w:rsidRPr="00A42EDE">
        <w:rPr>
          <w:rFonts w:ascii="Arial" w:hAnsi="Arial" w:cs="Arial"/>
          <w:sz w:val="24"/>
          <w:szCs w:val="24"/>
          <w:shd w:val="clear" w:color="auto" w:fill="FFFFFF"/>
        </w:rPr>
        <w:t xml:space="preserve"> Strategic Framework for the Recruitment, Appointment, and Retention of persons with disabilities. During the compilation of this annual compliance report, employment equity report for 2020/2021 financial year for public service was still under draft format hence the 2019/2020 employment equity report was </w:t>
      </w:r>
      <w:r w:rsidRPr="00A42EDE">
        <w:rPr>
          <w:rFonts w:ascii="Arial" w:hAnsi="Arial" w:cs="Arial"/>
          <w:sz w:val="24"/>
          <w:szCs w:val="24"/>
          <w:shd w:val="clear" w:color="auto" w:fill="FFFFFF"/>
        </w:rPr>
        <w:lastRenderedPageBreak/>
        <w:t>considered for this purpose. The status for employment representation of persons with disabilities in the public service as from March 2020 was as follows:</w:t>
      </w:r>
    </w:p>
    <w:p w14:paraId="1C7335A3"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eastAsia="Verdana" w:hAnsi="Arial" w:cs="Arial"/>
          <w:b/>
          <w:sz w:val="24"/>
          <w:szCs w:val="24"/>
        </w:rPr>
        <w:t>Representation of persons with disabilities by gender and disability status.</w:t>
      </w:r>
    </w:p>
    <w:p w14:paraId="0ADD6F42" w14:textId="77777777" w:rsidR="0079230A" w:rsidRPr="00A42EDE" w:rsidRDefault="0079230A" w:rsidP="0079230A">
      <w:pPr>
        <w:spacing w:line="360" w:lineRule="auto"/>
        <w:jc w:val="both"/>
        <w:rPr>
          <w:rFonts w:ascii="Arial" w:eastAsia="Verdana" w:hAnsi="Arial" w:cs="Arial"/>
          <w:sz w:val="24"/>
          <w:szCs w:val="24"/>
        </w:rPr>
      </w:pPr>
      <w:r w:rsidRPr="00A42EDE">
        <w:rPr>
          <w:rFonts w:ascii="Arial" w:eastAsia="Verdana" w:hAnsi="Arial" w:cs="Arial"/>
          <w:sz w:val="24"/>
          <w:szCs w:val="24"/>
        </w:rPr>
        <w:t>As at 31 March</w:t>
      </w:r>
      <w:r w:rsidRPr="00A42EDE">
        <w:rPr>
          <w:rFonts w:ascii="Arial" w:eastAsia="Verdana" w:hAnsi="Arial" w:cs="Arial"/>
          <w:b/>
          <w:sz w:val="24"/>
          <w:szCs w:val="24"/>
        </w:rPr>
        <w:t xml:space="preserve"> </w:t>
      </w:r>
      <w:r w:rsidRPr="00A42EDE">
        <w:rPr>
          <w:rFonts w:ascii="Arial" w:eastAsia="Verdana" w:hAnsi="Arial" w:cs="Arial"/>
          <w:sz w:val="24"/>
          <w:szCs w:val="24"/>
        </w:rPr>
        <w:t>2020 there were 1 215 057 employees in the Public Service of which 12 560 (1.03%) were employees with disabilities. Women were 6 607 (52.60%) and men were 5 953 (47.40%). The representation of persons with disabilities increased by 398 between March 2019 and March 2020. An additional 11 741 employees with disabilities need to be employed in order for the entire Public Service to achieve the 2% representation target.</w:t>
      </w:r>
    </w:p>
    <w:p w14:paraId="6C01DD90"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hAnsi="Arial" w:cs="Arial"/>
          <w:noProof/>
          <w:sz w:val="24"/>
          <w:szCs w:val="24"/>
          <w:lang w:val="en-GB" w:eastAsia="en-GB"/>
        </w:rPr>
        <w:drawing>
          <wp:inline distT="0" distB="0" distL="0" distR="0" wp14:anchorId="38DD84A8" wp14:editId="2536E764">
            <wp:extent cx="5657850" cy="1390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7850" cy="1390650"/>
                    </a:xfrm>
                    <a:prstGeom prst="rect">
                      <a:avLst/>
                    </a:prstGeom>
                  </pic:spPr>
                </pic:pic>
              </a:graphicData>
            </a:graphic>
          </wp:inline>
        </w:drawing>
      </w:r>
    </w:p>
    <w:p w14:paraId="1E9DCC0F"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eastAsia="Verdana" w:hAnsi="Arial" w:cs="Arial"/>
          <w:b/>
          <w:sz w:val="24"/>
          <w:szCs w:val="24"/>
        </w:rPr>
        <w:t>Representation of persons with disabilities by age</w:t>
      </w:r>
      <w:r>
        <w:rPr>
          <w:rFonts w:ascii="Arial" w:eastAsia="Verdana" w:hAnsi="Arial" w:cs="Arial"/>
          <w:b/>
          <w:sz w:val="24"/>
          <w:szCs w:val="24"/>
        </w:rPr>
        <w:t>.</w:t>
      </w:r>
    </w:p>
    <w:p w14:paraId="26AA20E9" w14:textId="77777777" w:rsidR="0079230A" w:rsidRPr="00A42EDE" w:rsidRDefault="0079230A" w:rsidP="0079230A">
      <w:pPr>
        <w:tabs>
          <w:tab w:val="left" w:pos="1170"/>
        </w:tabs>
        <w:spacing w:after="0" w:line="360" w:lineRule="auto"/>
        <w:jc w:val="both"/>
        <w:rPr>
          <w:rFonts w:ascii="Arial" w:eastAsia="Verdana" w:hAnsi="Arial" w:cs="Arial"/>
          <w:b/>
          <w:bCs/>
          <w:sz w:val="24"/>
          <w:szCs w:val="24"/>
        </w:rPr>
      </w:pPr>
      <w:r w:rsidRPr="00A42EDE">
        <w:rPr>
          <w:rFonts w:ascii="Arial" w:eastAsia="Verdana" w:hAnsi="Arial" w:cs="Arial"/>
          <w:sz w:val="24"/>
          <w:szCs w:val="24"/>
        </w:rPr>
        <w:lastRenderedPageBreak/>
        <w:t>The table below shows the representation of persons with disabilities by age. The number of youth with disabilities in the Public Service is continuing to decrease, from 1 290 to 1 197 between March 2019 and March 2020. Most of the employees with disabilities are between the ages 35 to 59 amounting to 10 629 which represent 84.62%. Effective strategies need to be employed in order to recruit more youth with disabilities in the Public Service.</w:t>
      </w:r>
    </w:p>
    <w:p w14:paraId="67BD4CBB"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hAnsi="Arial" w:cs="Arial"/>
          <w:noProof/>
          <w:sz w:val="24"/>
          <w:szCs w:val="24"/>
          <w:lang w:val="en-GB" w:eastAsia="en-GB"/>
        </w:rPr>
        <w:drawing>
          <wp:inline distT="0" distB="0" distL="0" distR="0" wp14:anchorId="4657B04F" wp14:editId="2D139D65">
            <wp:extent cx="5731510" cy="300926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09265"/>
                    </a:xfrm>
                    <a:prstGeom prst="rect">
                      <a:avLst/>
                    </a:prstGeom>
                  </pic:spPr>
                </pic:pic>
              </a:graphicData>
            </a:graphic>
          </wp:inline>
        </w:drawing>
      </w:r>
    </w:p>
    <w:p w14:paraId="643583B7" w14:textId="77777777" w:rsidR="0079230A" w:rsidRPr="00A42EDE" w:rsidRDefault="0079230A" w:rsidP="0079230A">
      <w:pPr>
        <w:spacing w:line="360" w:lineRule="auto"/>
        <w:rPr>
          <w:rFonts w:ascii="Arial" w:eastAsia="Verdana" w:hAnsi="Arial" w:cs="Arial"/>
          <w:b/>
          <w:sz w:val="24"/>
          <w:szCs w:val="24"/>
        </w:rPr>
      </w:pPr>
      <w:r w:rsidRPr="00A42EDE">
        <w:rPr>
          <w:rFonts w:ascii="Arial" w:eastAsia="Verdana" w:hAnsi="Arial" w:cs="Arial"/>
          <w:b/>
          <w:sz w:val="24"/>
          <w:szCs w:val="24"/>
        </w:rPr>
        <w:t>Representation of persons with disabilities by salary levels.</w:t>
      </w:r>
    </w:p>
    <w:p w14:paraId="740ADEE4" w14:textId="77777777" w:rsidR="0079230A" w:rsidRPr="00A42EDE" w:rsidRDefault="0079230A" w:rsidP="0079230A">
      <w:pPr>
        <w:spacing w:after="0" w:line="360" w:lineRule="auto"/>
        <w:ind w:hanging="360"/>
        <w:jc w:val="both"/>
        <w:rPr>
          <w:rFonts w:ascii="Arial" w:eastAsia="Verdana" w:hAnsi="Arial" w:cs="Arial"/>
          <w:sz w:val="24"/>
          <w:szCs w:val="24"/>
        </w:rPr>
      </w:pPr>
      <w:r w:rsidRPr="00A42EDE">
        <w:rPr>
          <w:rFonts w:ascii="Arial" w:eastAsia="Verdana" w:hAnsi="Arial" w:cs="Arial"/>
          <w:b/>
          <w:sz w:val="24"/>
          <w:szCs w:val="24"/>
        </w:rPr>
        <w:lastRenderedPageBreak/>
        <w:t xml:space="preserve">      </w:t>
      </w:r>
      <w:r w:rsidRPr="00A42EDE">
        <w:rPr>
          <w:rFonts w:ascii="Arial" w:eastAsia="Verdana" w:hAnsi="Arial" w:cs="Arial"/>
          <w:sz w:val="24"/>
          <w:szCs w:val="24"/>
        </w:rPr>
        <w:t>This paragraph depicts the representation of persons with disabilities according salary levels. The largest number of persons with disabilities are still employed between salary levels 05 and 08 with a total number of 8 091 which translates to 64.41%. There are 1 759 (14%) employees with disabilities between levels 09 and 10, 605 (4.81%) between levels 11 and 12 and 153 (1.22%) between levels 13 and 15. There is still no representation of persons with disabilities in level 16.</w:t>
      </w:r>
    </w:p>
    <w:p w14:paraId="6015C1BE" w14:textId="77777777" w:rsidR="0079230A" w:rsidRPr="00A42EDE" w:rsidRDefault="0079230A" w:rsidP="0079230A">
      <w:pPr>
        <w:widowControl w:val="0"/>
        <w:spacing w:after="0" w:line="360" w:lineRule="auto"/>
        <w:rPr>
          <w:rFonts w:ascii="Arial" w:eastAsia="Verdana" w:hAnsi="Arial" w:cs="Arial"/>
          <w:b/>
          <w:sz w:val="24"/>
          <w:szCs w:val="24"/>
        </w:rPr>
      </w:pPr>
      <w:r w:rsidRPr="00A42EDE">
        <w:rPr>
          <w:rFonts w:ascii="Arial" w:eastAsia="Verdana" w:hAnsi="Arial" w:cs="Arial"/>
          <w:b/>
          <w:sz w:val="24"/>
          <w:szCs w:val="24"/>
        </w:rPr>
        <w:t>Compliance with meeting the 2% equity target for public servants with disabilities</w:t>
      </w:r>
    </w:p>
    <w:p w14:paraId="3DB68C09" w14:textId="77777777" w:rsidR="0079230A" w:rsidRPr="00A42EDE" w:rsidRDefault="0079230A" w:rsidP="0079230A">
      <w:pPr>
        <w:spacing w:after="0" w:line="360" w:lineRule="auto"/>
        <w:rPr>
          <w:rFonts w:ascii="Arial" w:eastAsia="Verdana" w:hAnsi="Arial" w:cs="Arial"/>
          <w:b/>
          <w:sz w:val="24"/>
          <w:szCs w:val="24"/>
        </w:rPr>
      </w:pPr>
    </w:p>
    <w:p w14:paraId="1F271255" w14:textId="77777777" w:rsidR="0079230A" w:rsidRPr="00A42EDE" w:rsidRDefault="0079230A" w:rsidP="0079230A">
      <w:pPr>
        <w:spacing w:after="0" w:line="360" w:lineRule="auto"/>
        <w:jc w:val="both"/>
        <w:rPr>
          <w:rFonts w:ascii="Arial" w:eastAsia="Verdana" w:hAnsi="Arial" w:cs="Arial"/>
          <w:sz w:val="24"/>
          <w:szCs w:val="24"/>
        </w:rPr>
      </w:pPr>
      <w:r w:rsidRPr="00A42EDE">
        <w:rPr>
          <w:rFonts w:ascii="Arial" w:eastAsia="Verdana" w:hAnsi="Arial" w:cs="Arial"/>
          <w:sz w:val="24"/>
          <w:szCs w:val="24"/>
        </w:rPr>
        <w:t>Between the end March 2019 and the end March 2020 the number of departments that surpassed the 2% representation of persons with disabilities increased from 52 to 55. National departments maintained their number at 15, Gauteng province had a significant increase from 07 to 10 departments, the North West increased from 07 to 08 departments and the Northern Cape increased from 02 to 03 departments. KwaZulu Natal decreased from 03 to 02 departments and the Western Cape decreased from 06 to 05 departments.</w:t>
      </w:r>
    </w:p>
    <w:p w14:paraId="38F71149" w14:textId="77777777" w:rsidR="0079230A" w:rsidRPr="00A42EDE" w:rsidRDefault="0079230A" w:rsidP="0079230A">
      <w:pPr>
        <w:spacing w:after="0" w:line="360" w:lineRule="auto"/>
        <w:rPr>
          <w:rFonts w:ascii="Arial" w:eastAsia="Verdana" w:hAnsi="Arial" w:cs="Arial"/>
          <w:sz w:val="24"/>
          <w:szCs w:val="24"/>
        </w:rPr>
      </w:pPr>
    </w:p>
    <w:p w14:paraId="795EDF27" w14:textId="77777777" w:rsidR="0079230A" w:rsidRPr="00A42EDE" w:rsidRDefault="0079230A" w:rsidP="0079230A">
      <w:pPr>
        <w:spacing w:after="0" w:line="360" w:lineRule="auto"/>
        <w:rPr>
          <w:rFonts w:ascii="Arial" w:eastAsia="Verdana" w:hAnsi="Arial" w:cs="Arial"/>
          <w:sz w:val="24"/>
          <w:szCs w:val="24"/>
        </w:rPr>
      </w:pPr>
      <w:r w:rsidRPr="00A42EDE">
        <w:rPr>
          <w:rFonts w:ascii="Arial" w:eastAsia="Verdana" w:hAnsi="Arial" w:cs="Arial"/>
          <w:sz w:val="24"/>
          <w:szCs w:val="24"/>
        </w:rPr>
        <w:t xml:space="preserve">The other provinces maintained their numbers, namely, the Eastern Cape 03, the Free State 01, Limpopo 03 and Mpumalanga 05, respectively.  </w:t>
      </w:r>
    </w:p>
    <w:p w14:paraId="47A3DFDE" w14:textId="77777777" w:rsidR="0079230A" w:rsidRPr="00A42EDE" w:rsidRDefault="0079230A" w:rsidP="0079230A">
      <w:pPr>
        <w:spacing w:after="0" w:line="360" w:lineRule="auto"/>
        <w:rPr>
          <w:rFonts w:ascii="Arial" w:eastAsia="Verdana" w:hAnsi="Arial" w:cs="Arial"/>
          <w:sz w:val="24"/>
          <w:szCs w:val="24"/>
        </w:rPr>
      </w:pPr>
      <w:r w:rsidRPr="00A42EDE">
        <w:rPr>
          <w:rFonts w:ascii="Arial" w:hAnsi="Arial" w:cs="Arial"/>
          <w:noProof/>
          <w:sz w:val="24"/>
          <w:szCs w:val="24"/>
          <w:lang w:val="en-GB" w:eastAsia="en-GB"/>
        </w:rPr>
        <w:lastRenderedPageBreak/>
        <w:drawing>
          <wp:inline distT="0" distB="0" distL="0" distR="0" wp14:anchorId="6489E53C" wp14:editId="192C1BD2">
            <wp:extent cx="6571542" cy="103822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6458" cy="1039002"/>
                    </a:xfrm>
                    <a:prstGeom prst="rect">
                      <a:avLst/>
                    </a:prstGeom>
                  </pic:spPr>
                </pic:pic>
              </a:graphicData>
            </a:graphic>
          </wp:inline>
        </w:drawing>
      </w:r>
    </w:p>
    <w:p w14:paraId="74D0157F" w14:textId="77777777" w:rsidR="0079230A" w:rsidRPr="00A42EDE" w:rsidRDefault="0079230A" w:rsidP="0079230A">
      <w:pPr>
        <w:spacing w:after="0" w:line="360" w:lineRule="auto"/>
        <w:ind w:hanging="360"/>
        <w:jc w:val="both"/>
        <w:rPr>
          <w:rFonts w:ascii="Arial" w:eastAsia="Verdana" w:hAnsi="Arial" w:cs="Arial"/>
          <w:sz w:val="24"/>
          <w:szCs w:val="24"/>
        </w:rPr>
      </w:pPr>
      <w:r w:rsidRPr="00A42EDE">
        <w:rPr>
          <w:rFonts w:ascii="Arial" w:eastAsia="Verdana" w:hAnsi="Arial" w:cs="Arial"/>
          <w:sz w:val="24"/>
          <w:szCs w:val="24"/>
        </w:rPr>
        <w:tab/>
      </w:r>
    </w:p>
    <w:p w14:paraId="6DD59EC6" w14:textId="77777777" w:rsidR="0079230A" w:rsidRPr="00A42EDE" w:rsidRDefault="0079230A" w:rsidP="0079230A">
      <w:pPr>
        <w:widowControl w:val="0"/>
        <w:spacing w:after="0" w:line="360" w:lineRule="auto"/>
        <w:jc w:val="both"/>
        <w:rPr>
          <w:rFonts w:ascii="Arial" w:eastAsia="Verdana" w:hAnsi="Arial" w:cs="Arial"/>
          <w:b/>
          <w:sz w:val="24"/>
          <w:szCs w:val="24"/>
        </w:rPr>
      </w:pPr>
      <w:r w:rsidRPr="00A42EDE">
        <w:rPr>
          <w:rFonts w:ascii="Arial" w:eastAsia="Verdana" w:hAnsi="Arial" w:cs="Arial"/>
          <w:b/>
          <w:sz w:val="24"/>
          <w:szCs w:val="24"/>
        </w:rPr>
        <w:t>Departments that achieved 2% representation of persons with disabilities</w:t>
      </w:r>
    </w:p>
    <w:p w14:paraId="3738F2AA" w14:textId="77777777" w:rsidR="0079230A" w:rsidRPr="00A42EDE" w:rsidRDefault="0079230A" w:rsidP="0079230A">
      <w:pPr>
        <w:spacing w:after="0" w:line="360" w:lineRule="auto"/>
        <w:jc w:val="both"/>
        <w:rPr>
          <w:rFonts w:ascii="Arial" w:eastAsia="Verdana" w:hAnsi="Arial" w:cs="Arial"/>
          <w:sz w:val="24"/>
          <w:szCs w:val="24"/>
        </w:rPr>
      </w:pPr>
      <w:r w:rsidRPr="00A42EDE">
        <w:rPr>
          <w:rFonts w:ascii="Arial" w:eastAsia="Verdana" w:hAnsi="Arial" w:cs="Arial"/>
          <w:sz w:val="24"/>
          <w:szCs w:val="24"/>
        </w:rPr>
        <w:t>Provincial departments had an increase of three departments which achieved the 2% representation of persons with disabilities from thirty seven to forty, whilst national departments maintained their number at fifteen during this reporting period. Fifteen National Departments that have achieved or surpassed the 2% representation of persons with disabilities are; Department of Arts and Culture, Department of Economic Development, Department of Environmental Affairs, Government Communication and Information System, Department of Labour, National School of Government, Department of Public Service and Administration, Department of Science and Technology, Department of Small Business Development, The Presidency, Department of Trade and Industry, Department of Tourism, Department of Traditional Affairs, Independent Police Investigative Directorate and Department of Women now known as Department of Women, Youth and Persons with Disabilities.</w:t>
      </w:r>
    </w:p>
    <w:p w14:paraId="1EC22A6B" w14:textId="77777777" w:rsidR="0079230A" w:rsidRPr="00A42EDE" w:rsidRDefault="0079230A" w:rsidP="0079230A">
      <w:pPr>
        <w:spacing w:after="0" w:line="360" w:lineRule="auto"/>
        <w:jc w:val="both"/>
        <w:rPr>
          <w:rFonts w:ascii="Arial" w:eastAsia="Verdana" w:hAnsi="Arial" w:cs="Arial"/>
          <w:sz w:val="24"/>
          <w:szCs w:val="24"/>
        </w:rPr>
      </w:pPr>
    </w:p>
    <w:p w14:paraId="19E2095D" w14:textId="77777777" w:rsidR="0079230A" w:rsidRPr="00A42EDE" w:rsidRDefault="0079230A" w:rsidP="0079230A">
      <w:pPr>
        <w:spacing w:after="0" w:line="360" w:lineRule="auto"/>
        <w:jc w:val="both"/>
        <w:rPr>
          <w:rFonts w:ascii="Arial" w:eastAsia="Verdana" w:hAnsi="Arial" w:cs="Arial"/>
          <w:sz w:val="24"/>
          <w:szCs w:val="24"/>
        </w:rPr>
      </w:pPr>
      <w:r w:rsidRPr="00A42EDE">
        <w:rPr>
          <w:rFonts w:ascii="Arial" w:eastAsia="Verdana" w:hAnsi="Arial" w:cs="Arial"/>
          <w:sz w:val="24"/>
          <w:szCs w:val="24"/>
        </w:rPr>
        <w:lastRenderedPageBreak/>
        <w:t>Gauteng is still the province with highest number of departments that have achieved the 2% representation of persons with disabilities with 10, followed by North West province with 08 departments, Mpumalanga and the Western Cape provinces with 05 departments each, the Northern Cape, Limpopo and the Eastern Cape provinces with 03 departments each and KwaZulu Natal province with 02 departments. The Free State is still the only province with one department that has met the 2% target.</w:t>
      </w:r>
    </w:p>
    <w:p w14:paraId="0F8DFAFF" w14:textId="77777777" w:rsidR="0079230A" w:rsidRPr="00A42EDE" w:rsidRDefault="0079230A" w:rsidP="0079230A">
      <w:pPr>
        <w:spacing w:after="0" w:line="360" w:lineRule="auto"/>
        <w:jc w:val="both"/>
        <w:rPr>
          <w:rFonts w:ascii="Arial" w:eastAsia="Verdana" w:hAnsi="Arial" w:cs="Arial"/>
          <w:sz w:val="24"/>
          <w:szCs w:val="24"/>
        </w:rPr>
      </w:pPr>
      <w:r w:rsidRPr="00A42EDE">
        <w:rPr>
          <w:rFonts w:ascii="Arial" w:hAnsi="Arial" w:cs="Arial"/>
          <w:noProof/>
          <w:sz w:val="24"/>
          <w:szCs w:val="24"/>
          <w:lang w:val="en-GB" w:eastAsia="en-GB"/>
        </w:rPr>
        <w:drawing>
          <wp:inline distT="0" distB="0" distL="0" distR="0" wp14:anchorId="4C3405C7" wp14:editId="02CE8FDE">
            <wp:extent cx="6115050" cy="2857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5050" cy="2857500"/>
                    </a:xfrm>
                    <a:prstGeom prst="rect">
                      <a:avLst/>
                    </a:prstGeom>
                  </pic:spPr>
                </pic:pic>
              </a:graphicData>
            </a:graphic>
          </wp:inline>
        </w:drawing>
      </w:r>
    </w:p>
    <w:p w14:paraId="54E2C3AE" w14:textId="77777777" w:rsidR="0079230A" w:rsidRPr="00A42EDE" w:rsidRDefault="0079230A" w:rsidP="0079230A">
      <w:pPr>
        <w:tabs>
          <w:tab w:val="left" w:pos="975"/>
        </w:tabs>
        <w:spacing w:after="0" w:line="360" w:lineRule="auto"/>
        <w:jc w:val="both"/>
        <w:rPr>
          <w:rFonts w:ascii="Arial" w:eastAsia="Verdana" w:hAnsi="Arial" w:cs="Arial"/>
          <w:sz w:val="24"/>
          <w:szCs w:val="24"/>
        </w:rPr>
      </w:pPr>
      <w:r w:rsidRPr="00A42EDE">
        <w:rPr>
          <w:rFonts w:ascii="Arial" w:eastAsia="Verdana" w:hAnsi="Arial" w:cs="Arial"/>
          <w:sz w:val="24"/>
          <w:szCs w:val="24"/>
        </w:rPr>
        <w:t xml:space="preserve">The above rankings depicts the representation of persons with disabilities per province. Gauteng is the only province that have exceeded the 2% representation of persons with disabilities and the province with the highest number of persons with disabilities (4 442) representing 2.65% of the workforce in that </w:t>
      </w:r>
      <w:r w:rsidRPr="00A42EDE">
        <w:rPr>
          <w:rFonts w:ascii="Arial" w:eastAsia="Verdana" w:hAnsi="Arial" w:cs="Arial"/>
          <w:sz w:val="24"/>
          <w:szCs w:val="24"/>
        </w:rPr>
        <w:lastRenderedPageBreak/>
        <w:t>province. National departments have 4 883 (1.47%) employees with disabilities which is an increase of 171 employees as compared to the previous financial year at second position.</w:t>
      </w:r>
    </w:p>
    <w:p w14:paraId="1A79C926" w14:textId="77777777" w:rsidR="0079230A" w:rsidRPr="00A42EDE" w:rsidRDefault="0079230A" w:rsidP="0079230A">
      <w:pPr>
        <w:tabs>
          <w:tab w:val="left" w:pos="975"/>
        </w:tabs>
        <w:spacing w:after="0" w:line="360" w:lineRule="auto"/>
        <w:jc w:val="both"/>
        <w:rPr>
          <w:rFonts w:ascii="Arial" w:eastAsia="Verdana" w:hAnsi="Arial" w:cs="Arial"/>
          <w:sz w:val="24"/>
          <w:szCs w:val="24"/>
        </w:rPr>
      </w:pPr>
    </w:p>
    <w:p w14:paraId="4D266F9A" w14:textId="77777777" w:rsidR="0079230A" w:rsidRPr="00A42EDE" w:rsidRDefault="0079230A" w:rsidP="0079230A">
      <w:pPr>
        <w:tabs>
          <w:tab w:val="left" w:pos="975"/>
        </w:tabs>
        <w:spacing w:after="0" w:line="360" w:lineRule="auto"/>
        <w:jc w:val="both"/>
        <w:rPr>
          <w:rFonts w:ascii="Arial" w:eastAsia="Verdana" w:hAnsi="Arial" w:cs="Arial"/>
          <w:sz w:val="24"/>
          <w:szCs w:val="24"/>
        </w:rPr>
      </w:pPr>
      <w:r w:rsidRPr="00A42EDE">
        <w:rPr>
          <w:rFonts w:ascii="Arial" w:eastAsia="Verdana" w:hAnsi="Arial" w:cs="Arial"/>
          <w:sz w:val="24"/>
          <w:szCs w:val="24"/>
        </w:rPr>
        <w:t>The North West province maintained their third position with 382 (0.60%) and Mpumalanga at fourth position with 417 (0.58%), followed by Western Cape 431 (0.53%), Limpopo 501 (0.48%), Free State 263 (0.47%) and KwaZulu Natal improved to the eighth position with 698 (0.38%), whilst the Eastern Cape succumbed to the ninth position with 467 (0.37%). The Northern Cape remained at the bottom of the ranking for the fifth consecutive year 76 (0.32%). The Eastern Cape Province experienced the highest decline of the representative of persons with disabilities by 24 from 491 to 467, followed by Western Cape by 12 from 443 to 431, Northern Cape by 05 from 81 to 76 and lastly Mpumalanga by 01 from 418 to 417.</w:t>
      </w:r>
    </w:p>
    <w:p w14:paraId="569434A5"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sz w:val="24"/>
          <w:szCs w:val="24"/>
        </w:rPr>
        <w:t xml:space="preserve">The DPSA has issued specific regulations, guidelines and directions to designated employers on measures to combat the spread of the Covid-19 virus at employment environments in order to ensure protection and safety of employees including persons with disabilities. </w:t>
      </w:r>
    </w:p>
    <w:p w14:paraId="0EB485A5" w14:textId="77777777" w:rsidR="0079230A" w:rsidRDefault="0079230A" w:rsidP="0079230A">
      <w:p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 xml:space="preserve">Subsequent to the President of the Republic of South Africa declaring the national lockdown with effect from 27 March 2020 due to the prevalence of the </w:t>
      </w:r>
      <w:r w:rsidRPr="00A42EDE">
        <w:rPr>
          <w:rFonts w:ascii="Arial" w:hAnsi="Arial" w:cs="Arial"/>
          <w:sz w:val="24"/>
          <w:szCs w:val="24"/>
          <w:shd w:val="clear" w:color="auto" w:fill="FFFFFF"/>
        </w:rPr>
        <w:lastRenderedPageBreak/>
        <w:t>COVID-19 pandemic, the Department of Public Service and Administration issued a number of circulars to give guidance and ensure continuity of service delivery.</w:t>
      </w:r>
    </w:p>
    <w:p w14:paraId="3E77CD67" w14:textId="77777777" w:rsidR="0079230A" w:rsidRPr="00A42EDE" w:rsidRDefault="0079230A" w:rsidP="0079230A">
      <w:pPr>
        <w:spacing w:after="0" w:line="360" w:lineRule="auto"/>
        <w:jc w:val="both"/>
        <w:rPr>
          <w:rFonts w:ascii="Arial" w:hAnsi="Arial" w:cs="Arial"/>
          <w:sz w:val="24"/>
          <w:szCs w:val="24"/>
          <w:shd w:val="clear" w:color="auto" w:fill="FFFFFF"/>
        </w:rPr>
      </w:pPr>
    </w:p>
    <w:p w14:paraId="150FC6AE" w14:textId="77777777" w:rsidR="0079230A" w:rsidRPr="00A42EDE" w:rsidRDefault="0079230A" w:rsidP="0079230A">
      <w:pPr>
        <w:spacing w:line="360" w:lineRule="auto"/>
        <w:jc w:val="both"/>
        <w:rPr>
          <w:rFonts w:ascii="Arial" w:hAnsi="Arial" w:cs="Arial"/>
          <w:b/>
          <w:sz w:val="24"/>
          <w:szCs w:val="24"/>
          <w:shd w:val="clear" w:color="auto" w:fill="FFFFFF"/>
        </w:rPr>
      </w:pPr>
      <w:r w:rsidRPr="00A42EDE">
        <w:rPr>
          <w:rFonts w:ascii="Arial" w:hAnsi="Arial" w:cs="Arial"/>
          <w:b/>
          <w:sz w:val="24"/>
          <w:szCs w:val="24"/>
          <w:shd w:val="clear" w:color="auto" w:fill="FFFFFF"/>
        </w:rPr>
        <w:t>Circular 15 issued 25/03/2020</w:t>
      </w:r>
    </w:p>
    <w:p w14:paraId="1945C805"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 xml:space="preserve">The circular gave directions in respect of service delivery and business continuity for the Public Service during COVID-19. The objectives of circular 15 is: </w:t>
      </w:r>
    </w:p>
    <w:p w14:paraId="2517343F" w14:textId="77777777" w:rsidR="0079230A" w:rsidRPr="00A42EDE" w:rsidRDefault="0079230A" w:rsidP="0079230A">
      <w:pPr>
        <w:numPr>
          <w:ilvl w:val="0"/>
          <w:numId w:val="13"/>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1.3 To provide for arrangements of remote work for employees following the outbreak of the coronavirus (COVID-19) in South Africa for which the President of the Republic of South Africa has declared a national state of disaster;</w:t>
      </w:r>
    </w:p>
    <w:p w14:paraId="063C12DB" w14:textId="77777777" w:rsidR="0079230A" w:rsidRPr="00A42EDE" w:rsidRDefault="0079230A" w:rsidP="0079230A">
      <w:pPr>
        <w:numPr>
          <w:ilvl w:val="0"/>
          <w:numId w:val="13"/>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To provide for arrangements of remote working for the duration of the declared national state of disaster declared by Government Notice R 313 of 15 March 2020. The remote work arrangements should be based on a management philosophy of trust and mutual benefit;</w:t>
      </w:r>
    </w:p>
    <w:p w14:paraId="49AC175A" w14:textId="77777777" w:rsidR="0079230A" w:rsidRPr="00A42EDE" w:rsidRDefault="0079230A" w:rsidP="0079230A">
      <w:pPr>
        <w:numPr>
          <w:ilvl w:val="0"/>
          <w:numId w:val="13"/>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6.4 A head of department must implement plans for business and service delivery continuity.</w:t>
      </w:r>
    </w:p>
    <w:p w14:paraId="6A08AF95" w14:textId="77777777" w:rsidR="0079230A" w:rsidRPr="00A42EDE" w:rsidRDefault="0079230A" w:rsidP="0079230A">
      <w:pPr>
        <w:spacing w:after="0" w:line="360" w:lineRule="auto"/>
        <w:jc w:val="both"/>
        <w:rPr>
          <w:rFonts w:ascii="Arial" w:hAnsi="Arial" w:cs="Arial"/>
          <w:b/>
          <w:sz w:val="24"/>
          <w:szCs w:val="24"/>
          <w:shd w:val="clear" w:color="auto" w:fill="FFFFFF"/>
        </w:rPr>
      </w:pPr>
    </w:p>
    <w:p w14:paraId="6A44E9CD" w14:textId="77777777" w:rsidR="0079230A" w:rsidRDefault="0079230A" w:rsidP="0079230A">
      <w:pPr>
        <w:rPr>
          <w:rFonts w:ascii="Arial" w:hAnsi="Arial" w:cs="Arial"/>
          <w:b/>
          <w:sz w:val="24"/>
          <w:szCs w:val="24"/>
          <w:shd w:val="clear" w:color="auto" w:fill="FFFFFF"/>
        </w:rPr>
      </w:pPr>
      <w:r>
        <w:rPr>
          <w:rFonts w:ascii="Arial" w:hAnsi="Arial" w:cs="Arial"/>
          <w:b/>
          <w:sz w:val="24"/>
          <w:szCs w:val="24"/>
          <w:shd w:val="clear" w:color="auto" w:fill="FFFFFF"/>
        </w:rPr>
        <w:lastRenderedPageBreak/>
        <w:br w:type="page"/>
      </w:r>
    </w:p>
    <w:p w14:paraId="70CA5548" w14:textId="77777777" w:rsidR="0079230A" w:rsidRPr="00A42EDE" w:rsidRDefault="0079230A" w:rsidP="0079230A">
      <w:pPr>
        <w:spacing w:line="360" w:lineRule="auto"/>
        <w:jc w:val="both"/>
        <w:rPr>
          <w:rFonts w:ascii="Arial" w:hAnsi="Arial" w:cs="Arial"/>
          <w:b/>
          <w:sz w:val="24"/>
          <w:szCs w:val="24"/>
          <w:shd w:val="clear" w:color="auto" w:fill="FFFFFF"/>
        </w:rPr>
      </w:pPr>
      <w:r w:rsidRPr="00A42EDE">
        <w:rPr>
          <w:rFonts w:ascii="Arial" w:hAnsi="Arial" w:cs="Arial"/>
          <w:b/>
          <w:sz w:val="24"/>
          <w:szCs w:val="24"/>
          <w:shd w:val="clear" w:color="auto" w:fill="FFFFFF"/>
        </w:rPr>
        <w:lastRenderedPageBreak/>
        <w:t>Circular 07 of 2020</w:t>
      </w:r>
    </w:p>
    <w:p w14:paraId="1D369602"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It gave guidelines for the containment of the coronavirus (COVID-19) in the Public Service.</w:t>
      </w:r>
    </w:p>
    <w:p w14:paraId="52257F1A" w14:textId="77777777" w:rsidR="0079230A" w:rsidRPr="00A42EDE" w:rsidRDefault="0079230A" w:rsidP="0079230A">
      <w:pPr>
        <w:numPr>
          <w:ilvl w:val="0"/>
          <w:numId w:val="14"/>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 xml:space="preserve">Regulation 5.3 provides that </w:t>
      </w:r>
      <w:proofErr w:type="spellStart"/>
      <w:r w:rsidRPr="00A42EDE">
        <w:rPr>
          <w:rFonts w:ascii="Arial" w:hAnsi="Arial" w:cs="Arial"/>
          <w:sz w:val="24"/>
          <w:szCs w:val="24"/>
          <w:shd w:val="clear" w:color="auto" w:fill="FFFFFF"/>
        </w:rPr>
        <w:t>HoD</w:t>
      </w:r>
      <w:proofErr w:type="spellEnd"/>
      <w:r w:rsidRPr="00A42EDE">
        <w:rPr>
          <w:rFonts w:ascii="Arial" w:hAnsi="Arial" w:cs="Arial"/>
          <w:sz w:val="24"/>
          <w:szCs w:val="24"/>
          <w:shd w:val="clear" w:color="auto" w:fill="FFFFFF"/>
        </w:rPr>
        <w:t xml:space="preserve"> shall establish and maintain a safe and healthy working environment for employees of the department. It must also be linked to:</w:t>
      </w:r>
    </w:p>
    <w:p w14:paraId="0389E104" w14:textId="77777777" w:rsidR="0079230A" w:rsidRPr="00A42EDE" w:rsidRDefault="0079230A" w:rsidP="0079230A">
      <w:pPr>
        <w:numPr>
          <w:ilvl w:val="0"/>
          <w:numId w:val="14"/>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Occupational Health and Safety Act;</w:t>
      </w:r>
    </w:p>
    <w:p w14:paraId="5B89FE63" w14:textId="77777777" w:rsidR="0079230A" w:rsidRPr="00A42EDE" w:rsidRDefault="0079230A" w:rsidP="0079230A">
      <w:pPr>
        <w:numPr>
          <w:ilvl w:val="0"/>
          <w:numId w:val="14"/>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Risk assessment;</w:t>
      </w:r>
    </w:p>
    <w:p w14:paraId="57F1150C" w14:textId="77777777" w:rsidR="0079230A" w:rsidRPr="00A42EDE" w:rsidRDefault="0079230A" w:rsidP="0079230A">
      <w:pPr>
        <w:numPr>
          <w:ilvl w:val="0"/>
          <w:numId w:val="14"/>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Health and safety provisions;</w:t>
      </w:r>
    </w:p>
    <w:p w14:paraId="56C15B94" w14:textId="77777777" w:rsidR="0079230A" w:rsidRPr="00A42EDE" w:rsidRDefault="0079230A" w:rsidP="0079230A">
      <w:pPr>
        <w:numPr>
          <w:ilvl w:val="0"/>
          <w:numId w:val="14"/>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Steering committees including organised labour; and</w:t>
      </w:r>
    </w:p>
    <w:p w14:paraId="52E31E06" w14:textId="77777777" w:rsidR="0079230A" w:rsidRPr="00A42EDE" w:rsidRDefault="0079230A" w:rsidP="0079230A">
      <w:pPr>
        <w:numPr>
          <w:ilvl w:val="0"/>
          <w:numId w:val="14"/>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Guidelines, action plans and protocols.</w:t>
      </w:r>
    </w:p>
    <w:p w14:paraId="6E039D2D" w14:textId="77777777" w:rsidR="0079230A" w:rsidRDefault="0079230A" w:rsidP="0079230A">
      <w:pPr>
        <w:spacing w:after="0" w:line="360" w:lineRule="auto"/>
        <w:jc w:val="both"/>
        <w:rPr>
          <w:rFonts w:ascii="Arial" w:hAnsi="Arial" w:cs="Arial"/>
          <w:b/>
          <w:sz w:val="24"/>
          <w:szCs w:val="24"/>
          <w:shd w:val="clear" w:color="auto" w:fill="FFFFFF"/>
        </w:rPr>
      </w:pPr>
    </w:p>
    <w:p w14:paraId="1BB1AEC0" w14:textId="77777777" w:rsidR="0079230A" w:rsidRPr="00A42EDE" w:rsidRDefault="0079230A" w:rsidP="0079230A">
      <w:pPr>
        <w:spacing w:line="360" w:lineRule="auto"/>
        <w:jc w:val="both"/>
        <w:rPr>
          <w:rFonts w:ascii="Arial" w:hAnsi="Arial" w:cs="Arial"/>
          <w:b/>
          <w:sz w:val="24"/>
          <w:szCs w:val="24"/>
          <w:shd w:val="clear" w:color="auto" w:fill="FFFFFF"/>
        </w:rPr>
      </w:pPr>
      <w:r w:rsidRPr="00A42EDE">
        <w:rPr>
          <w:rFonts w:ascii="Arial" w:hAnsi="Arial" w:cs="Arial"/>
          <w:b/>
          <w:sz w:val="24"/>
          <w:szCs w:val="24"/>
          <w:shd w:val="clear" w:color="auto" w:fill="FFFFFF"/>
        </w:rPr>
        <w:t>Circular 18 issued 01/05/2020</w:t>
      </w:r>
    </w:p>
    <w:p w14:paraId="0A89C8B4" w14:textId="77777777" w:rsidR="0079230A" w:rsidRPr="00A42EDE" w:rsidRDefault="0079230A" w:rsidP="0079230A">
      <w:p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Gave guidance to Public Service return to work guidelines after the easing of the national lockdown. The objectives of Circular 18 are to:</w:t>
      </w:r>
    </w:p>
    <w:p w14:paraId="62E569C5" w14:textId="77777777" w:rsidR="0079230A" w:rsidRPr="00A42EDE" w:rsidRDefault="0079230A" w:rsidP="0079230A">
      <w:pPr>
        <w:numPr>
          <w:ilvl w:val="0"/>
          <w:numId w:val="15"/>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Preparation of the workplace in response to the easing of the lockdown;</w:t>
      </w:r>
    </w:p>
    <w:p w14:paraId="1617963E" w14:textId="77777777" w:rsidR="0079230A" w:rsidRPr="00A42EDE" w:rsidRDefault="0079230A" w:rsidP="0079230A">
      <w:pPr>
        <w:numPr>
          <w:ilvl w:val="0"/>
          <w:numId w:val="15"/>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lastRenderedPageBreak/>
        <w:t>Staggered return to work;</w:t>
      </w:r>
    </w:p>
    <w:p w14:paraId="21EB7CAD" w14:textId="77777777" w:rsidR="0079230A" w:rsidRPr="00A42EDE" w:rsidRDefault="0079230A" w:rsidP="0079230A">
      <w:pPr>
        <w:numPr>
          <w:ilvl w:val="0"/>
          <w:numId w:val="15"/>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Remote work arrangements; and</w:t>
      </w:r>
    </w:p>
    <w:p w14:paraId="621ABC82" w14:textId="77777777" w:rsidR="0079230A" w:rsidRPr="00A42EDE" w:rsidRDefault="0079230A" w:rsidP="0079230A">
      <w:pPr>
        <w:numPr>
          <w:ilvl w:val="0"/>
          <w:numId w:val="15"/>
        </w:numPr>
        <w:spacing w:line="360" w:lineRule="auto"/>
        <w:jc w:val="both"/>
        <w:rPr>
          <w:rFonts w:ascii="Arial" w:hAnsi="Arial" w:cs="Arial"/>
          <w:sz w:val="24"/>
          <w:szCs w:val="24"/>
          <w:shd w:val="clear" w:color="auto" w:fill="FFFFFF"/>
        </w:rPr>
      </w:pPr>
      <w:r w:rsidRPr="00A42EDE">
        <w:rPr>
          <w:rFonts w:ascii="Arial" w:hAnsi="Arial" w:cs="Arial"/>
          <w:sz w:val="24"/>
          <w:szCs w:val="24"/>
          <w:shd w:val="clear" w:color="auto" w:fill="FFFFFF"/>
        </w:rPr>
        <w:t>Employees return to work.</w:t>
      </w:r>
    </w:p>
    <w:p w14:paraId="36BEA1E4" w14:textId="77777777" w:rsidR="0079230A" w:rsidRPr="00A42EDE" w:rsidRDefault="0079230A" w:rsidP="0079230A">
      <w:pPr>
        <w:spacing w:line="360" w:lineRule="auto"/>
        <w:jc w:val="both"/>
        <w:rPr>
          <w:rFonts w:ascii="Arial" w:hAnsi="Arial" w:cs="Arial"/>
          <w:sz w:val="24"/>
          <w:szCs w:val="24"/>
        </w:rPr>
      </w:pPr>
      <w:r w:rsidRPr="00A42EDE">
        <w:rPr>
          <w:rFonts w:ascii="Arial" w:hAnsi="Arial" w:cs="Arial"/>
          <w:sz w:val="24"/>
          <w:szCs w:val="24"/>
        </w:rPr>
        <w:t xml:space="preserve">All departments are required to report annually to the </w:t>
      </w:r>
      <w:r w:rsidRPr="00A42EDE">
        <w:rPr>
          <w:rFonts w:ascii="Arial" w:hAnsi="Arial" w:cs="Arial"/>
          <w:sz w:val="24"/>
          <w:szCs w:val="24"/>
          <w:shd w:val="clear" w:color="auto" w:fill="FFFFFF"/>
        </w:rPr>
        <w:t>Department of Public Service and Administration (DPSA) on progress made with implementation of the</w:t>
      </w:r>
      <w:r w:rsidRPr="00A42EDE">
        <w:rPr>
          <w:rFonts w:ascii="Arial" w:hAnsi="Arial" w:cs="Arial"/>
          <w:sz w:val="24"/>
          <w:szCs w:val="24"/>
        </w:rPr>
        <w:t xml:space="preserve"> </w:t>
      </w:r>
      <w:proofErr w:type="spellStart"/>
      <w:r w:rsidRPr="00A42EDE">
        <w:rPr>
          <w:rFonts w:ascii="Arial" w:hAnsi="Arial" w:cs="Arial"/>
          <w:sz w:val="24"/>
          <w:szCs w:val="24"/>
        </w:rPr>
        <w:t>JobACCESS</w:t>
      </w:r>
      <w:proofErr w:type="spellEnd"/>
      <w:r w:rsidRPr="00A42EDE">
        <w:rPr>
          <w:rFonts w:ascii="Arial" w:hAnsi="Arial" w:cs="Arial"/>
          <w:sz w:val="24"/>
          <w:szCs w:val="24"/>
        </w:rPr>
        <w:t xml:space="preserve"> Strategic Framework for the Recruitment, Appointment and Retention of Persons with Disabilities Implementation Plan.  </w:t>
      </w:r>
    </w:p>
    <w:p w14:paraId="456201E0" w14:textId="77777777" w:rsidR="0079230A" w:rsidRDefault="0079230A" w:rsidP="0023090F">
      <w:pPr>
        <w:spacing w:line="240" w:lineRule="auto"/>
        <w:jc w:val="both"/>
        <w:rPr>
          <w:rFonts w:ascii="Arial" w:hAnsi="Arial" w:cs="Arial"/>
        </w:rPr>
      </w:pPr>
    </w:p>
    <w:sectPr w:rsidR="0079230A" w:rsidSect="00D459F1">
      <w:headerReference w:type="even" r:id="rId21"/>
      <w:headerReference w:type="default" r:id="rId22"/>
      <w:footerReference w:type="default" r:id="rId23"/>
      <w:headerReference w:type="first" r:id="rId24"/>
      <w:pgSz w:w="11906" w:h="16838"/>
      <w:pgMar w:top="720" w:right="720" w:bottom="720" w:left="720" w:header="140" w:footer="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25BED" w14:textId="77777777" w:rsidR="00A80AC3" w:rsidRDefault="00A80AC3" w:rsidP="00964904">
      <w:pPr>
        <w:spacing w:after="0" w:line="240" w:lineRule="auto"/>
      </w:pPr>
      <w:r>
        <w:separator/>
      </w:r>
    </w:p>
  </w:endnote>
  <w:endnote w:type="continuationSeparator" w:id="0">
    <w:p w14:paraId="67BB21E2" w14:textId="77777777" w:rsidR="00A80AC3" w:rsidRDefault="00A80AC3" w:rsidP="0096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D15B" w14:textId="147F2718" w:rsidR="00964904" w:rsidRDefault="007723A6" w:rsidP="00511979">
    <w:pPr>
      <w:pStyle w:val="Footer"/>
    </w:pPr>
    <w:r>
      <w:rPr>
        <w:noProof/>
        <w:lang w:val="en-GB" w:eastAsia="en-GB"/>
      </w:rPr>
      <w:drawing>
        <wp:inline distT="0" distB="0" distL="0" distR="0" wp14:anchorId="6D0B7D90" wp14:editId="149688B9">
          <wp:extent cx="6645910" cy="594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594360"/>
                  </a:xfrm>
                  <a:prstGeom prst="rect">
                    <a:avLst/>
                  </a:prstGeom>
                </pic:spPr>
              </pic:pic>
            </a:graphicData>
          </a:graphic>
        </wp:inline>
      </w:drawing>
    </w:r>
    <w:r w:rsidR="00511979">
      <w:rPr>
        <w:noProof/>
        <w:lang w:eastAsia="en-ZA"/>
      </w:rPr>
      <w:t xml:space="preserve">                    </w:t>
    </w:r>
    <w:r w:rsidR="00964904">
      <w:t xml:space="preserve">                      </w:t>
    </w:r>
    <w:r w:rsidR="00511979">
      <w:t xml:space="preserve">                                </w:t>
    </w:r>
    <w:r w:rsidR="00964904">
      <w:t xml:space="preserve">                     </w:t>
    </w:r>
    <w:r w:rsidR="0068179B">
      <w:t xml:space="preserve">            </w:t>
    </w:r>
    <w:r w:rsidR="0096490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91A34" w14:textId="77777777" w:rsidR="00A80AC3" w:rsidRDefault="00A80AC3" w:rsidP="00964904">
      <w:pPr>
        <w:spacing w:after="0" w:line="240" w:lineRule="auto"/>
      </w:pPr>
      <w:r>
        <w:separator/>
      </w:r>
    </w:p>
  </w:footnote>
  <w:footnote w:type="continuationSeparator" w:id="0">
    <w:p w14:paraId="72C7446B" w14:textId="77777777" w:rsidR="00A80AC3" w:rsidRDefault="00A80AC3" w:rsidP="0096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C0C46" w14:textId="58FB784A" w:rsidR="007723A6" w:rsidRDefault="00BF537C">
    <w:pPr>
      <w:pStyle w:val="Header"/>
    </w:pPr>
    <w:r>
      <w:rPr>
        <w:noProof/>
      </w:rPr>
      <w:pict w14:anchorId="42429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26363" o:spid="_x0000_s2051" type="#_x0000_t75" alt="" style="position:absolute;margin-left:0;margin-top:0;width:310pt;height:303.35pt;z-index:-251653120;mso-wrap-edited:f;mso-width-percent:0;mso-height-percent:0;mso-position-horizontal:center;mso-position-horizontal-relative:margin;mso-position-vertical:center;mso-position-vertical-relative:margin;mso-width-percent:0;mso-height-percent:0" o:allowincell="f">
          <v:imagedata r:id="rId1" o:title="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04E2" w14:textId="12101C5D" w:rsidR="008511D1" w:rsidRDefault="00BF537C">
    <w:pPr>
      <w:pStyle w:val="Header"/>
    </w:pPr>
    <w:r>
      <w:rPr>
        <w:rFonts w:ascii="Arial Narrow" w:hAnsi="Arial Narrow"/>
        <w:b/>
        <w:noProof/>
        <w:sz w:val="24"/>
        <w:szCs w:val="24"/>
      </w:rPr>
      <w:pict w14:anchorId="0F1CD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26364" o:spid="_x0000_s2050" type="#_x0000_t75" alt="" style="position:absolute;margin-left:0;margin-top:0;width:310pt;height:303.35pt;z-index:-251650048;mso-wrap-edited:f;mso-width-percent:0;mso-height-percent:0;mso-position-horizontal:center;mso-position-horizontal-relative:margin;mso-position-vertical:center;mso-position-vertical-relative:margin;mso-width-percent:0;mso-height-percent:0" o:allowincell="f">
          <v:imagedata r:id="rId1" o:title="A"/>
          <w10:wrap anchorx="margin" anchory="margin"/>
        </v:shape>
      </w:pict>
    </w:r>
    <w:r w:rsidR="008511D1" w:rsidRPr="000E1E8E">
      <w:rPr>
        <w:rFonts w:ascii="Arial Narrow" w:hAnsi="Arial Narrow"/>
        <w:b/>
        <w:sz w:val="24"/>
        <w:szCs w:val="24"/>
      </w:rPr>
      <w:t xml:space="preserve">   </w:t>
    </w:r>
  </w:p>
  <w:p w14:paraId="7F0B4689" w14:textId="77777777" w:rsidR="008511D1" w:rsidRDefault="008511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B34D" w14:textId="45305C76" w:rsidR="007723A6" w:rsidRDefault="00BF537C">
    <w:pPr>
      <w:pStyle w:val="Header"/>
    </w:pPr>
    <w:r>
      <w:rPr>
        <w:noProof/>
      </w:rPr>
      <w:pict w14:anchorId="6B580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26362" o:spid="_x0000_s2049" type="#_x0000_t75" alt="" style="position:absolute;margin-left:0;margin-top:0;width:310pt;height:303.35pt;z-index:-251656192;mso-wrap-edited:f;mso-width-percent:0;mso-height-percent:0;mso-position-horizontal:center;mso-position-horizontal-relative:margin;mso-position-vertical:center;mso-position-vertical-relative:margin;mso-width-percent:0;mso-height-percent:0" o:allowincell="f">
          <v:imagedata r:id="rId1" o:title="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AF97216"/>
    <w:multiLevelType w:val="hybridMultilevel"/>
    <w:tmpl w:val="F7867A94"/>
    <w:lvl w:ilvl="0" w:tplc="1C090017">
      <w:start w:val="1"/>
      <w:numFmt w:val="lowerLetter"/>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E694F0D"/>
    <w:multiLevelType w:val="multilevel"/>
    <w:tmpl w:val="4EA21964"/>
    <w:lvl w:ilvl="0">
      <w:start w:val="2"/>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23CA3E34"/>
    <w:multiLevelType w:val="hybridMultilevel"/>
    <w:tmpl w:val="EF58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3D0A"/>
    <w:multiLevelType w:val="hybridMultilevel"/>
    <w:tmpl w:val="7DF00728"/>
    <w:lvl w:ilvl="0" w:tplc="5032E8E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94668F2"/>
    <w:multiLevelType w:val="hybridMultilevel"/>
    <w:tmpl w:val="78EC96AE"/>
    <w:lvl w:ilvl="0" w:tplc="50729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32531B"/>
    <w:multiLevelType w:val="hybridMultilevel"/>
    <w:tmpl w:val="1640FCD4"/>
    <w:lvl w:ilvl="0" w:tplc="1C090001">
      <w:start w:val="1"/>
      <w:numFmt w:val="bullet"/>
      <w:lvlText w:val=""/>
      <w:lvlJc w:val="left"/>
      <w:pPr>
        <w:tabs>
          <w:tab w:val="num" w:pos="720"/>
        </w:tabs>
        <w:ind w:left="720" w:hanging="360"/>
      </w:pPr>
      <w:rPr>
        <w:rFonts w:ascii="Symbol" w:hAnsi="Symbol" w:hint="default"/>
      </w:rPr>
    </w:lvl>
    <w:lvl w:ilvl="1" w:tplc="0CE85C72" w:tentative="1">
      <w:start w:val="1"/>
      <w:numFmt w:val="bullet"/>
      <w:lvlText w:val=""/>
      <w:lvlJc w:val="left"/>
      <w:pPr>
        <w:tabs>
          <w:tab w:val="num" w:pos="1440"/>
        </w:tabs>
        <w:ind w:left="1440" w:hanging="360"/>
      </w:pPr>
      <w:rPr>
        <w:rFonts w:ascii="Wingdings" w:hAnsi="Wingdings" w:hint="default"/>
      </w:rPr>
    </w:lvl>
    <w:lvl w:ilvl="2" w:tplc="DF62595E" w:tentative="1">
      <w:start w:val="1"/>
      <w:numFmt w:val="bullet"/>
      <w:lvlText w:val=""/>
      <w:lvlJc w:val="left"/>
      <w:pPr>
        <w:tabs>
          <w:tab w:val="num" w:pos="2160"/>
        </w:tabs>
        <w:ind w:left="2160" w:hanging="360"/>
      </w:pPr>
      <w:rPr>
        <w:rFonts w:ascii="Wingdings" w:hAnsi="Wingdings" w:hint="default"/>
      </w:rPr>
    </w:lvl>
    <w:lvl w:ilvl="3" w:tplc="CD4EA5E2" w:tentative="1">
      <w:start w:val="1"/>
      <w:numFmt w:val="bullet"/>
      <w:lvlText w:val=""/>
      <w:lvlJc w:val="left"/>
      <w:pPr>
        <w:tabs>
          <w:tab w:val="num" w:pos="2880"/>
        </w:tabs>
        <w:ind w:left="2880" w:hanging="360"/>
      </w:pPr>
      <w:rPr>
        <w:rFonts w:ascii="Wingdings" w:hAnsi="Wingdings" w:hint="default"/>
      </w:rPr>
    </w:lvl>
    <w:lvl w:ilvl="4" w:tplc="5CB2992A" w:tentative="1">
      <w:start w:val="1"/>
      <w:numFmt w:val="bullet"/>
      <w:lvlText w:val=""/>
      <w:lvlJc w:val="left"/>
      <w:pPr>
        <w:tabs>
          <w:tab w:val="num" w:pos="3600"/>
        </w:tabs>
        <w:ind w:left="3600" w:hanging="360"/>
      </w:pPr>
      <w:rPr>
        <w:rFonts w:ascii="Wingdings" w:hAnsi="Wingdings" w:hint="default"/>
      </w:rPr>
    </w:lvl>
    <w:lvl w:ilvl="5" w:tplc="779ADD06" w:tentative="1">
      <w:start w:val="1"/>
      <w:numFmt w:val="bullet"/>
      <w:lvlText w:val=""/>
      <w:lvlJc w:val="left"/>
      <w:pPr>
        <w:tabs>
          <w:tab w:val="num" w:pos="4320"/>
        </w:tabs>
        <w:ind w:left="4320" w:hanging="360"/>
      </w:pPr>
      <w:rPr>
        <w:rFonts w:ascii="Wingdings" w:hAnsi="Wingdings" w:hint="default"/>
      </w:rPr>
    </w:lvl>
    <w:lvl w:ilvl="6" w:tplc="E564D090" w:tentative="1">
      <w:start w:val="1"/>
      <w:numFmt w:val="bullet"/>
      <w:lvlText w:val=""/>
      <w:lvlJc w:val="left"/>
      <w:pPr>
        <w:tabs>
          <w:tab w:val="num" w:pos="5040"/>
        </w:tabs>
        <w:ind w:left="5040" w:hanging="360"/>
      </w:pPr>
      <w:rPr>
        <w:rFonts w:ascii="Wingdings" w:hAnsi="Wingdings" w:hint="default"/>
      </w:rPr>
    </w:lvl>
    <w:lvl w:ilvl="7" w:tplc="D050258A" w:tentative="1">
      <w:start w:val="1"/>
      <w:numFmt w:val="bullet"/>
      <w:lvlText w:val=""/>
      <w:lvlJc w:val="left"/>
      <w:pPr>
        <w:tabs>
          <w:tab w:val="num" w:pos="5760"/>
        </w:tabs>
        <w:ind w:left="5760" w:hanging="360"/>
      </w:pPr>
      <w:rPr>
        <w:rFonts w:ascii="Wingdings" w:hAnsi="Wingdings" w:hint="default"/>
      </w:rPr>
    </w:lvl>
    <w:lvl w:ilvl="8" w:tplc="877286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C59BE"/>
    <w:multiLevelType w:val="hybridMultilevel"/>
    <w:tmpl w:val="0016ABFC"/>
    <w:lvl w:ilvl="0" w:tplc="A93A9B6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078E0"/>
    <w:multiLevelType w:val="hybridMultilevel"/>
    <w:tmpl w:val="EBB87C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58F16874"/>
    <w:multiLevelType w:val="hybridMultilevel"/>
    <w:tmpl w:val="0FE2B396"/>
    <w:lvl w:ilvl="0" w:tplc="3896220A">
      <w:start w:val="1"/>
      <w:numFmt w:val="bullet"/>
      <w:lvlText w:val=""/>
      <w:lvlJc w:val="left"/>
      <w:pPr>
        <w:tabs>
          <w:tab w:val="num" w:pos="720"/>
        </w:tabs>
        <w:ind w:left="720" w:hanging="360"/>
      </w:pPr>
      <w:rPr>
        <w:rFonts w:ascii="Wingdings" w:hAnsi="Wingdings" w:hint="default"/>
      </w:rPr>
    </w:lvl>
    <w:lvl w:ilvl="1" w:tplc="49CA2616" w:tentative="1">
      <w:start w:val="1"/>
      <w:numFmt w:val="bullet"/>
      <w:lvlText w:val=""/>
      <w:lvlJc w:val="left"/>
      <w:pPr>
        <w:tabs>
          <w:tab w:val="num" w:pos="1440"/>
        </w:tabs>
        <w:ind w:left="1440" w:hanging="360"/>
      </w:pPr>
      <w:rPr>
        <w:rFonts w:ascii="Wingdings" w:hAnsi="Wingdings" w:hint="default"/>
      </w:rPr>
    </w:lvl>
    <w:lvl w:ilvl="2" w:tplc="64DEEFBC" w:tentative="1">
      <w:start w:val="1"/>
      <w:numFmt w:val="bullet"/>
      <w:lvlText w:val=""/>
      <w:lvlJc w:val="left"/>
      <w:pPr>
        <w:tabs>
          <w:tab w:val="num" w:pos="2160"/>
        </w:tabs>
        <w:ind w:left="2160" w:hanging="360"/>
      </w:pPr>
      <w:rPr>
        <w:rFonts w:ascii="Wingdings" w:hAnsi="Wingdings" w:hint="default"/>
      </w:rPr>
    </w:lvl>
    <w:lvl w:ilvl="3" w:tplc="AE2A039C" w:tentative="1">
      <w:start w:val="1"/>
      <w:numFmt w:val="bullet"/>
      <w:lvlText w:val=""/>
      <w:lvlJc w:val="left"/>
      <w:pPr>
        <w:tabs>
          <w:tab w:val="num" w:pos="2880"/>
        </w:tabs>
        <w:ind w:left="2880" w:hanging="360"/>
      </w:pPr>
      <w:rPr>
        <w:rFonts w:ascii="Wingdings" w:hAnsi="Wingdings" w:hint="default"/>
      </w:rPr>
    </w:lvl>
    <w:lvl w:ilvl="4" w:tplc="C79E938A" w:tentative="1">
      <w:start w:val="1"/>
      <w:numFmt w:val="bullet"/>
      <w:lvlText w:val=""/>
      <w:lvlJc w:val="left"/>
      <w:pPr>
        <w:tabs>
          <w:tab w:val="num" w:pos="3600"/>
        </w:tabs>
        <w:ind w:left="3600" w:hanging="360"/>
      </w:pPr>
      <w:rPr>
        <w:rFonts w:ascii="Wingdings" w:hAnsi="Wingdings" w:hint="default"/>
      </w:rPr>
    </w:lvl>
    <w:lvl w:ilvl="5" w:tplc="B4849E6C" w:tentative="1">
      <w:start w:val="1"/>
      <w:numFmt w:val="bullet"/>
      <w:lvlText w:val=""/>
      <w:lvlJc w:val="left"/>
      <w:pPr>
        <w:tabs>
          <w:tab w:val="num" w:pos="4320"/>
        </w:tabs>
        <w:ind w:left="4320" w:hanging="360"/>
      </w:pPr>
      <w:rPr>
        <w:rFonts w:ascii="Wingdings" w:hAnsi="Wingdings" w:hint="default"/>
      </w:rPr>
    </w:lvl>
    <w:lvl w:ilvl="6" w:tplc="04429CC4" w:tentative="1">
      <w:start w:val="1"/>
      <w:numFmt w:val="bullet"/>
      <w:lvlText w:val=""/>
      <w:lvlJc w:val="left"/>
      <w:pPr>
        <w:tabs>
          <w:tab w:val="num" w:pos="5040"/>
        </w:tabs>
        <w:ind w:left="5040" w:hanging="360"/>
      </w:pPr>
      <w:rPr>
        <w:rFonts w:ascii="Wingdings" w:hAnsi="Wingdings" w:hint="default"/>
      </w:rPr>
    </w:lvl>
    <w:lvl w:ilvl="7" w:tplc="AF0AC72A" w:tentative="1">
      <w:start w:val="1"/>
      <w:numFmt w:val="bullet"/>
      <w:lvlText w:val=""/>
      <w:lvlJc w:val="left"/>
      <w:pPr>
        <w:tabs>
          <w:tab w:val="num" w:pos="5760"/>
        </w:tabs>
        <w:ind w:left="5760" w:hanging="360"/>
      </w:pPr>
      <w:rPr>
        <w:rFonts w:ascii="Wingdings" w:hAnsi="Wingdings" w:hint="default"/>
      </w:rPr>
    </w:lvl>
    <w:lvl w:ilvl="8" w:tplc="1B40D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555BB"/>
    <w:multiLevelType w:val="hybridMultilevel"/>
    <w:tmpl w:val="C67897AA"/>
    <w:lvl w:ilvl="0" w:tplc="23586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41369"/>
    <w:multiLevelType w:val="hybridMultilevel"/>
    <w:tmpl w:val="9AAC64F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61A1288A"/>
    <w:multiLevelType w:val="hybridMultilevel"/>
    <w:tmpl w:val="5A3AF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12"/>
  </w:num>
  <w:num w:numId="6">
    <w:abstractNumId w:val="9"/>
  </w:num>
  <w:num w:numId="7">
    <w:abstractNumId w:val="7"/>
  </w:num>
  <w:num w:numId="8">
    <w:abstractNumId w:val="14"/>
  </w:num>
  <w:num w:numId="9">
    <w:abstractNumId w:val="5"/>
  </w:num>
  <w:num w:numId="10">
    <w:abstractNumId w:val="10"/>
  </w:num>
  <w:num w:numId="11">
    <w:abstractNumId w:val="6"/>
  </w:num>
  <w:num w:numId="12">
    <w:abstractNumId w:val="3"/>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04"/>
    <w:rsid w:val="00003964"/>
    <w:rsid w:val="000366A3"/>
    <w:rsid w:val="000421E7"/>
    <w:rsid w:val="00042445"/>
    <w:rsid w:val="0006539F"/>
    <w:rsid w:val="00070EA4"/>
    <w:rsid w:val="00076312"/>
    <w:rsid w:val="00076BB5"/>
    <w:rsid w:val="0008043A"/>
    <w:rsid w:val="0009577E"/>
    <w:rsid w:val="000B4CA8"/>
    <w:rsid w:val="000E1E8E"/>
    <w:rsid w:val="000F444C"/>
    <w:rsid w:val="000F4CC0"/>
    <w:rsid w:val="00111701"/>
    <w:rsid w:val="00143908"/>
    <w:rsid w:val="00150305"/>
    <w:rsid w:val="001574CB"/>
    <w:rsid w:val="0017369E"/>
    <w:rsid w:val="001910AE"/>
    <w:rsid w:val="001972F1"/>
    <w:rsid w:val="001B61B2"/>
    <w:rsid w:val="001D2F79"/>
    <w:rsid w:val="001E6DFD"/>
    <w:rsid w:val="001F071E"/>
    <w:rsid w:val="001F0FAB"/>
    <w:rsid w:val="001F126A"/>
    <w:rsid w:val="001F4FF9"/>
    <w:rsid w:val="00224527"/>
    <w:rsid w:val="00230699"/>
    <w:rsid w:val="0023090F"/>
    <w:rsid w:val="00243049"/>
    <w:rsid w:val="00246C82"/>
    <w:rsid w:val="00254A9A"/>
    <w:rsid w:val="00257772"/>
    <w:rsid w:val="00285CEB"/>
    <w:rsid w:val="00292885"/>
    <w:rsid w:val="00294FE4"/>
    <w:rsid w:val="002958B0"/>
    <w:rsid w:val="002B371B"/>
    <w:rsid w:val="002D4FE9"/>
    <w:rsid w:val="002E0271"/>
    <w:rsid w:val="002E02E2"/>
    <w:rsid w:val="002E0C65"/>
    <w:rsid w:val="002E370A"/>
    <w:rsid w:val="002E4A88"/>
    <w:rsid w:val="002F187F"/>
    <w:rsid w:val="0031673E"/>
    <w:rsid w:val="00323E2C"/>
    <w:rsid w:val="00335370"/>
    <w:rsid w:val="00353A57"/>
    <w:rsid w:val="003807EE"/>
    <w:rsid w:val="00383578"/>
    <w:rsid w:val="003A733E"/>
    <w:rsid w:val="003B44C7"/>
    <w:rsid w:val="003B5F13"/>
    <w:rsid w:val="003C29FA"/>
    <w:rsid w:val="003F3164"/>
    <w:rsid w:val="003F7BF2"/>
    <w:rsid w:val="004216E2"/>
    <w:rsid w:val="00435F38"/>
    <w:rsid w:val="004553B4"/>
    <w:rsid w:val="00484DE2"/>
    <w:rsid w:val="00490563"/>
    <w:rsid w:val="004B0F57"/>
    <w:rsid w:val="004B2876"/>
    <w:rsid w:val="004C2582"/>
    <w:rsid w:val="004C2C29"/>
    <w:rsid w:val="004C38A6"/>
    <w:rsid w:val="00500A74"/>
    <w:rsid w:val="00507848"/>
    <w:rsid w:val="00510188"/>
    <w:rsid w:val="00511979"/>
    <w:rsid w:val="00514951"/>
    <w:rsid w:val="0053505E"/>
    <w:rsid w:val="00554661"/>
    <w:rsid w:val="00560298"/>
    <w:rsid w:val="005602DD"/>
    <w:rsid w:val="005619E9"/>
    <w:rsid w:val="0056677E"/>
    <w:rsid w:val="00571964"/>
    <w:rsid w:val="00576DBB"/>
    <w:rsid w:val="00585F45"/>
    <w:rsid w:val="00597387"/>
    <w:rsid w:val="005B29B0"/>
    <w:rsid w:val="005D1946"/>
    <w:rsid w:val="005F3D52"/>
    <w:rsid w:val="00622E3A"/>
    <w:rsid w:val="00635771"/>
    <w:rsid w:val="0065066A"/>
    <w:rsid w:val="00665F9D"/>
    <w:rsid w:val="00670551"/>
    <w:rsid w:val="006729AF"/>
    <w:rsid w:val="0068179B"/>
    <w:rsid w:val="00682042"/>
    <w:rsid w:val="006B769F"/>
    <w:rsid w:val="006C761C"/>
    <w:rsid w:val="006D2597"/>
    <w:rsid w:val="006D6E28"/>
    <w:rsid w:val="006E19FC"/>
    <w:rsid w:val="006F73BA"/>
    <w:rsid w:val="007076DF"/>
    <w:rsid w:val="00747463"/>
    <w:rsid w:val="00762A81"/>
    <w:rsid w:val="007723A6"/>
    <w:rsid w:val="007729C3"/>
    <w:rsid w:val="00774C4B"/>
    <w:rsid w:val="00786C1C"/>
    <w:rsid w:val="0079230A"/>
    <w:rsid w:val="007A65A0"/>
    <w:rsid w:val="007B5319"/>
    <w:rsid w:val="007D25B2"/>
    <w:rsid w:val="007E36AB"/>
    <w:rsid w:val="00811565"/>
    <w:rsid w:val="00830B38"/>
    <w:rsid w:val="008511D1"/>
    <w:rsid w:val="00885004"/>
    <w:rsid w:val="00896276"/>
    <w:rsid w:val="008C057C"/>
    <w:rsid w:val="008C34E6"/>
    <w:rsid w:val="008E3893"/>
    <w:rsid w:val="00914184"/>
    <w:rsid w:val="00964904"/>
    <w:rsid w:val="00971856"/>
    <w:rsid w:val="00984DD6"/>
    <w:rsid w:val="009C2608"/>
    <w:rsid w:val="009C29E9"/>
    <w:rsid w:val="009C34DF"/>
    <w:rsid w:val="009D048F"/>
    <w:rsid w:val="009F349D"/>
    <w:rsid w:val="00A001FE"/>
    <w:rsid w:val="00A01087"/>
    <w:rsid w:val="00A06AE9"/>
    <w:rsid w:val="00A17FE6"/>
    <w:rsid w:val="00A3524B"/>
    <w:rsid w:val="00A44091"/>
    <w:rsid w:val="00A80AC3"/>
    <w:rsid w:val="00A95EB8"/>
    <w:rsid w:val="00A96E84"/>
    <w:rsid w:val="00AC5ACA"/>
    <w:rsid w:val="00AC617D"/>
    <w:rsid w:val="00AD1F3B"/>
    <w:rsid w:val="00AD2FAD"/>
    <w:rsid w:val="00AD7065"/>
    <w:rsid w:val="00B02980"/>
    <w:rsid w:val="00B03A9E"/>
    <w:rsid w:val="00B04478"/>
    <w:rsid w:val="00B11631"/>
    <w:rsid w:val="00B12F9C"/>
    <w:rsid w:val="00B2409A"/>
    <w:rsid w:val="00B605C4"/>
    <w:rsid w:val="00B645AB"/>
    <w:rsid w:val="00B9114B"/>
    <w:rsid w:val="00B929DF"/>
    <w:rsid w:val="00BB564E"/>
    <w:rsid w:val="00BD10D4"/>
    <w:rsid w:val="00BE4089"/>
    <w:rsid w:val="00BE6B4D"/>
    <w:rsid w:val="00BF537C"/>
    <w:rsid w:val="00BF7880"/>
    <w:rsid w:val="00C625AE"/>
    <w:rsid w:val="00C64232"/>
    <w:rsid w:val="00C97E54"/>
    <w:rsid w:val="00CA2AE8"/>
    <w:rsid w:val="00CA6B19"/>
    <w:rsid w:val="00CB6590"/>
    <w:rsid w:val="00CE5C85"/>
    <w:rsid w:val="00CF42A6"/>
    <w:rsid w:val="00D020DD"/>
    <w:rsid w:val="00D03399"/>
    <w:rsid w:val="00D137EF"/>
    <w:rsid w:val="00D20FD3"/>
    <w:rsid w:val="00D24DE9"/>
    <w:rsid w:val="00D27438"/>
    <w:rsid w:val="00D422A0"/>
    <w:rsid w:val="00D459F1"/>
    <w:rsid w:val="00D97C4F"/>
    <w:rsid w:val="00DA30E7"/>
    <w:rsid w:val="00DA6EF7"/>
    <w:rsid w:val="00DB4D0A"/>
    <w:rsid w:val="00DD3661"/>
    <w:rsid w:val="00DD66BB"/>
    <w:rsid w:val="00DE1DE5"/>
    <w:rsid w:val="00E33D7D"/>
    <w:rsid w:val="00E431B5"/>
    <w:rsid w:val="00E726FF"/>
    <w:rsid w:val="00E77F05"/>
    <w:rsid w:val="00E8231D"/>
    <w:rsid w:val="00EA15DC"/>
    <w:rsid w:val="00EA7FF2"/>
    <w:rsid w:val="00EF5634"/>
    <w:rsid w:val="00EF5AFC"/>
    <w:rsid w:val="00F050F9"/>
    <w:rsid w:val="00F23DCB"/>
    <w:rsid w:val="00F31536"/>
    <w:rsid w:val="00F34BC8"/>
    <w:rsid w:val="00F455D2"/>
    <w:rsid w:val="00F475F5"/>
    <w:rsid w:val="00F50F7B"/>
    <w:rsid w:val="00F5208C"/>
    <w:rsid w:val="00F55651"/>
    <w:rsid w:val="00F6291E"/>
    <w:rsid w:val="00F810CF"/>
    <w:rsid w:val="00F82D04"/>
    <w:rsid w:val="00F86C6C"/>
    <w:rsid w:val="00F9416A"/>
    <w:rsid w:val="00F951CD"/>
    <w:rsid w:val="00F95F40"/>
    <w:rsid w:val="00FA575F"/>
    <w:rsid w:val="00FC5011"/>
    <w:rsid w:val="00FC6A28"/>
    <w:rsid w:val="00FD0E44"/>
    <w:rsid w:val="00FD607F"/>
    <w:rsid w:val="00FF5A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6C12F"/>
  <w15:docId w15:val="{06B3B0D5-AD7F-49C3-9AF1-B097F60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9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904"/>
    <w:rPr>
      <w:rFonts w:ascii="Tahoma" w:hAnsi="Tahoma" w:cs="Tahoma"/>
      <w:sz w:val="16"/>
      <w:szCs w:val="16"/>
    </w:rPr>
  </w:style>
  <w:style w:type="paragraph" w:styleId="Header">
    <w:name w:val="header"/>
    <w:basedOn w:val="Normal"/>
    <w:link w:val="HeaderChar"/>
    <w:uiPriority w:val="99"/>
    <w:unhideWhenUsed/>
    <w:rsid w:val="0096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904"/>
  </w:style>
  <w:style w:type="paragraph" w:styleId="Footer">
    <w:name w:val="footer"/>
    <w:basedOn w:val="Normal"/>
    <w:link w:val="FooterChar"/>
    <w:uiPriority w:val="99"/>
    <w:unhideWhenUsed/>
    <w:rsid w:val="0096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904"/>
  </w:style>
  <w:style w:type="paragraph" w:styleId="BodyText">
    <w:name w:val="Body Text"/>
    <w:basedOn w:val="Normal"/>
    <w:link w:val="BodyTextChar"/>
    <w:uiPriority w:val="1"/>
    <w:qFormat/>
    <w:rsid w:val="00353A57"/>
    <w:pPr>
      <w:widowControl w:val="0"/>
      <w:autoSpaceDE w:val="0"/>
      <w:autoSpaceDN w:val="0"/>
      <w:adjustRightInd w:val="0"/>
      <w:spacing w:after="0" w:line="240" w:lineRule="auto"/>
      <w:ind w:left="493" w:hanging="361"/>
    </w:pPr>
    <w:rPr>
      <w:rFonts w:ascii="Arial" w:eastAsia="Times New Roman" w:hAnsi="Arial" w:cs="Arial"/>
      <w:lang w:eastAsia="en-ZA"/>
    </w:rPr>
  </w:style>
  <w:style w:type="character" w:customStyle="1" w:styleId="BodyTextChar">
    <w:name w:val="Body Text Char"/>
    <w:link w:val="BodyText"/>
    <w:uiPriority w:val="1"/>
    <w:rsid w:val="00353A57"/>
    <w:rPr>
      <w:rFonts w:ascii="Arial" w:eastAsia="Times New Roman" w:hAnsi="Arial" w:cs="Arial"/>
      <w:sz w:val="22"/>
      <w:szCs w:val="22"/>
    </w:rPr>
  </w:style>
  <w:style w:type="paragraph" w:styleId="ListParagraph">
    <w:name w:val="List Paragraph"/>
    <w:aliases w:val="Indent Paragraph"/>
    <w:basedOn w:val="Normal"/>
    <w:link w:val="ListParagraphChar"/>
    <w:uiPriority w:val="34"/>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paragraph" w:customStyle="1" w:styleId="TableParagraph">
    <w:name w:val="Table Paragraph"/>
    <w:basedOn w:val="Normal"/>
    <w:uiPriority w:val="1"/>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character" w:styleId="Strong">
    <w:name w:val="Strong"/>
    <w:uiPriority w:val="22"/>
    <w:qFormat/>
    <w:rsid w:val="000F444C"/>
    <w:rPr>
      <w:b/>
      <w:bCs/>
    </w:rPr>
  </w:style>
  <w:style w:type="character" w:styleId="Hyperlink">
    <w:name w:val="Hyperlink"/>
    <w:uiPriority w:val="99"/>
    <w:unhideWhenUsed/>
    <w:rsid w:val="00D97C4F"/>
    <w:rPr>
      <w:color w:val="0000FF"/>
      <w:u w:val="single"/>
    </w:rPr>
  </w:style>
  <w:style w:type="paragraph" w:customStyle="1" w:styleId="BasicParagraph">
    <w:name w:val="[Basic Paragraph]"/>
    <w:basedOn w:val="Normal"/>
    <w:uiPriority w:val="99"/>
    <w:rsid w:val="006C761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ListParagraphChar">
    <w:name w:val="List Paragraph Char"/>
    <w:aliases w:val="Indent Paragraph Char"/>
    <w:link w:val="ListParagraph"/>
    <w:uiPriority w:val="34"/>
    <w:rsid w:val="00383578"/>
    <w:rPr>
      <w:rFonts w:ascii="Times New Roman" w:eastAsia="Times New Roman" w:hAnsi="Times New Roman"/>
      <w:sz w:val="24"/>
      <w:szCs w:val="24"/>
      <w:lang w:eastAsia="en-ZA"/>
    </w:rPr>
  </w:style>
  <w:style w:type="paragraph" w:styleId="NoSpacing">
    <w:name w:val="No Spacing"/>
    <w:uiPriority w:val="1"/>
    <w:qFormat/>
    <w:rsid w:val="0023090F"/>
    <w:rPr>
      <w:rFonts w:cs="Arial"/>
      <w:bCs/>
      <w:sz w:val="22"/>
      <w:szCs w:val="22"/>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2238">
      <w:bodyDiv w:val="1"/>
      <w:marLeft w:val="0"/>
      <w:marRight w:val="0"/>
      <w:marTop w:val="0"/>
      <w:marBottom w:val="0"/>
      <w:divBdr>
        <w:top w:val="single" w:sz="18" w:space="15" w:color="206908"/>
        <w:left w:val="none" w:sz="0" w:space="0" w:color="auto"/>
        <w:bottom w:val="none" w:sz="0" w:space="0" w:color="auto"/>
        <w:right w:val="none" w:sz="0" w:space="0" w:color="auto"/>
      </w:divBdr>
      <w:divsChild>
        <w:div w:id="938678601">
          <w:marLeft w:val="0"/>
          <w:marRight w:val="0"/>
          <w:marTop w:val="0"/>
          <w:marBottom w:val="0"/>
          <w:divBdr>
            <w:top w:val="none" w:sz="0" w:space="0" w:color="auto"/>
            <w:left w:val="none" w:sz="0" w:space="0" w:color="auto"/>
            <w:bottom w:val="none" w:sz="0" w:space="0" w:color="auto"/>
            <w:right w:val="none" w:sz="0" w:space="0" w:color="auto"/>
          </w:divBdr>
          <w:divsChild>
            <w:div w:id="1291091615">
              <w:marLeft w:val="0"/>
              <w:marRight w:val="0"/>
              <w:marTop w:val="0"/>
              <w:marBottom w:val="0"/>
              <w:divBdr>
                <w:top w:val="none" w:sz="0" w:space="0" w:color="auto"/>
                <w:left w:val="none" w:sz="0" w:space="0" w:color="auto"/>
                <w:bottom w:val="none" w:sz="0" w:space="0" w:color="auto"/>
                <w:right w:val="none" w:sz="0" w:space="0" w:color="auto"/>
              </w:divBdr>
              <w:divsChild>
                <w:div w:id="1806894659">
                  <w:marLeft w:val="0"/>
                  <w:marRight w:val="0"/>
                  <w:marTop w:val="0"/>
                  <w:marBottom w:val="0"/>
                  <w:divBdr>
                    <w:top w:val="none" w:sz="0" w:space="0" w:color="auto"/>
                    <w:left w:val="none" w:sz="0" w:space="0" w:color="auto"/>
                    <w:bottom w:val="none" w:sz="0" w:space="0" w:color="auto"/>
                    <w:right w:val="none" w:sz="0" w:space="0" w:color="auto"/>
                  </w:divBdr>
                  <w:divsChild>
                    <w:div w:id="751387765">
                      <w:marLeft w:val="0"/>
                      <w:marRight w:val="0"/>
                      <w:marTop w:val="0"/>
                      <w:marBottom w:val="0"/>
                      <w:divBdr>
                        <w:top w:val="none" w:sz="0" w:space="0" w:color="auto"/>
                        <w:left w:val="none" w:sz="0" w:space="0" w:color="auto"/>
                        <w:bottom w:val="none" w:sz="0" w:space="0" w:color="auto"/>
                        <w:right w:val="none" w:sz="0" w:space="0" w:color="auto"/>
                      </w:divBdr>
                      <w:divsChild>
                        <w:div w:id="1824196496">
                          <w:marLeft w:val="0"/>
                          <w:marRight w:val="0"/>
                          <w:marTop w:val="0"/>
                          <w:marBottom w:val="0"/>
                          <w:divBdr>
                            <w:top w:val="none" w:sz="0" w:space="0" w:color="auto"/>
                            <w:left w:val="none" w:sz="0" w:space="0" w:color="auto"/>
                            <w:bottom w:val="none" w:sz="0" w:space="0" w:color="auto"/>
                            <w:right w:val="none" w:sz="0" w:space="0" w:color="auto"/>
                          </w:divBdr>
                          <w:divsChild>
                            <w:div w:id="1060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CE471B-425B-4A83-A4AB-EE0CC6F9EFF5}">
  <ds:schemaRefs>
    <ds:schemaRef ds:uri="http://schemas.openxmlformats.org/officeDocument/2006/bibliography"/>
  </ds:schemaRefs>
</ds:datastoreItem>
</file>

<file path=customXml/itemProps2.xml><?xml version="1.0" encoding="utf-8"?>
<ds:datastoreItem xmlns:ds="http://schemas.openxmlformats.org/officeDocument/2006/customXml" ds:itemID="{DD711DB8-EFB4-4374-BD19-2BCA5C7C4F32}"/>
</file>

<file path=customXml/itemProps3.xml><?xml version="1.0" encoding="utf-8"?>
<ds:datastoreItem xmlns:ds="http://schemas.openxmlformats.org/officeDocument/2006/customXml" ds:itemID="{4ACDD8E9-F979-43E9-B52E-487F2932C92F}"/>
</file>

<file path=customXml/itemProps4.xml><?xml version="1.0" encoding="utf-8"?>
<ds:datastoreItem xmlns:ds="http://schemas.openxmlformats.org/officeDocument/2006/customXml" ds:itemID="{3EABE5C0-7F24-494E-8A64-618B7AA9CDE8}"/>
</file>

<file path=docProps/app.xml><?xml version="1.0" encoding="utf-8"?>
<Properties xmlns="http://schemas.openxmlformats.org/officeDocument/2006/extended-properties" xmlns:vt="http://schemas.openxmlformats.org/officeDocument/2006/docPropsVTypes">
  <Template>Normal.dotm</Template>
  <TotalTime>0</TotalTime>
  <Pages>10</Pages>
  <Words>1635</Words>
  <Characters>9320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10934</CharactersWithSpaces>
  <SharedDoc>false</SharedDoc>
  <HLinks>
    <vt:vector size="12" baseType="variant">
      <vt:variant>
        <vt:i4>1769556</vt:i4>
      </vt:variant>
      <vt:variant>
        <vt:i4>6</vt:i4>
      </vt:variant>
      <vt:variant>
        <vt:i4>0</vt:i4>
      </vt:variant>
      <vt:variant>
        <vt:i4>5</vt:i4>
      </vt:variant>
      <vt:variant>
        <vt:lpwstr>http://www.women.gov.za/</vt:lpwstr>
      </vt:variant>
      <vt:variant>
        <vt:lpwstr/>
      </vt:variant>
      <vt:variant>
        <vt:i4>4063245</vt:i4>
      </vt:variant>
      <vt:variant>
        <vt:i4>3</vt:i4>
      </vt:variant>
      <vt:variant>
        <vt:i4>0</vt:i4>
      </vt:variant>
      <vt:variant>
        <vt:i4>5</vt:i4>
      </vt:variant>
      <vt:variant>
        <vt:lpwstr>mailto:shalen.gajadhar@women.gov.za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Segone</dc:creator>
  <cp:lastModifiedBy>ISKAKOVA Janna</cp:lastModifiedBy>
  <cp:revision>2</cp:revision>
  <cp:lastPrinted>2019-10-01T06:29:00Z</cp:lastPrinted>
  <dcterms:created xsi:type="dcterms:W3CDTF">2021-12-09T10:53:00Z</dcterms:created>
  <dcterms:modified xsi:type="dcterms:W3CDTF">2021-12-09T10:53:00Z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