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68564" w14:textId="7A004BD4" w:rsidR="00CD289A" w:rsidRPr="00883E0C" w:rsidRDefault="00CD289A" w:rsidP="00CD289A">
      <w:pPr>
        <w:pStyle w:val="Heading1"/>
        <w:jc w:val="center"/>
        <w:rPr>
          <w:b/>
          <w:i/>
          <w:color w:val="ED7D31" w:themeColor="accent2"/>
          <w:sz w:val="36"/>
          <w:szCs w:val="36"/>
        </w:rPr>
      </w:pPr>
      <w:r w:rsidRPr="00883E0C">
        <w:rPr>
          <w:b/>
          <w:i/>
          <w:color w:val="ED7D31" w:themeColor="accent2"/>
          <w:sz w:val="38"/>
          <w:szCs w:val="38"/>
        </w:rPr>
        <w:t>Taking action to eliminate gender-based violence against women and girls with disabilities</w:t>
      </w:r>
      <w:r w:rsidR="005B04D5" w:rsidRPr="00883E0C">
        <w:rPr>
          <w:b/>
          <w:i/>
          <w:color w:val="ED7D31" w:themeColor="accent2"/>
          <w:sz w:val="38"/>
          <w:szCs w:val="38"/>
        </w:rPr>
        <w:t>, NOW</w:t>
      </w:r>
      <w:r w:rsidR="00FB40D3" w:rsidRPr="00883E0C">
        <w:rPr>
          <w:rStyle w:val="FootnoteReference"/>
          <w:b/>
          <w:i/>
          <w:color w:val="ED7D31" w:themeColor="accent2"/>
          <w:sz w:val="36"/>
          <w:szCs w:val="36"/>
        </w:rPr>
        <w:footnoteReference w:id="1"/>
      </w:r>
    </w:p>
    <w:p w14:paraId="23A80587" w14:textId="5903EA04" w:rsidR="008A0E2E" w:rsidRPr="00883E0C" w:rsidRDefault="008A0E2E" w:rsidP="00602BB2">
      <w:pPr>
        <w:jc w:val="both"/>
        <w:rPr>
          <w:rFonts w:asciiTheme="minorHAnsi" w:hAnsiTheme="minorHAnsi" w:cstheme="minorHAnsi"/>
        </w:rPr>
      </w:pPr>
    </w:p>
    <w:p w14:paraId="7FE8C85C" w14:textId="67BD6EB5" w:rsidR="002B0C68" w:rsidRPr="00883E0C" w:rsidRDefault="002B0C68" w:rsidP="00966528">
      <w:pPr>
        <w:pStyle w:val="ListParagraph"/>
        <w:ind w:left="0"/>
        <w:jc w:val="center"/>
        <w:rPr>
          <w:rFonts w:asciiTheme="minorHAnsi" w:hAnsiTheme="minorHAnsi" w:cstheme="minorHAnsi"/>
          <w:i/>
        </w:rPr>
      </w:pPr>
      <w:r w:rsidRPr="00883E0C">
        <w:rPr>
          <w:rFonts w:asciiTheme="minorHAnsi" w:hAnsiTheme="minorHAnsi" w:cstheme="minorHAnsi"/>
          <w:i/>
        </w:rPr>
        <w:t>The</w:t>
      </w:r>
      <w:r w:rsidR="00CB0FB3" w:rsidRPr="00883E0C">
        <w:rPr>
          <w:rFonts w:asciiTheme="minorHAnsi" w:hAnsiTheme="minorHAnsi" w:cstheme="minorHAnsi"/>
          <w:i/>
        </w:rPr>
        <w:t xml:space="preserve"> </w:t>
      </w:r>
      <w:hyperlink r:id="rId8" w:history="1">
        <w:r w:rsidR="00CB0FB3" w:rsidRPr="00883E0C">
          <w:rPr>
            <w:rStyle w:val="Hyperlink"/>
            <w:rFonts w:asciiTheme="minorHAnsi" w:hAnsiTheme="minorHAnsi" w:cstheme="minorHAnsi"/>
            <w:i/>
          </w:rPr>
          <w:t>Committee on the Rights of Persons with Disabilities</w:t>
        </w:r>
      </w:hyperlink>
      <w:r w:rsidR="00EA09EE" w:rsidRPr="00883E0C">
        <w:rPr>
          <w:rStyle w:val="Hyperlink"/>
          <w:rFonts w:asciiTheme="minorHAnsi" w:hAnsiTheme="minorHAnsi" w:cstheme="minorHAnsi"/>
          <w:i/>
        </w:rPr>
        <w:t xml:space="preserve">, </w:t>
      </w:r>
      <w:hyperlink r:id="rId9" w:history="1">
        <w:r w:rsidR="00EA09EE" w:rsidRPr="00883E0C">
          <w:rPr>
            <w:rStyle w:val="Hyperlink"/>
            <w:rFonts w:asciiTheme="minorHAnsi" w:hAnsiTheme="minorHAnsi" w:cstheme="minorHAnsi"/>
            <w:i/>
          </w:rPr>
          <w:t>the Committee on the Elimination of Discrimination against Women</w:t>
        </w:r>
      </w:hyperlink>
      <w:r w:rsidR="006A1F77" w:rsidRPr="00883E0C">
        <w:rPr>
          <w:rStyle w:val="Hyperlink"/>
          <w:rFonts w:asciiTheme="minorHAnsi" w:hAnsiTheme="minorHAnsi" w:cstheme="minorHAnsi"/>
          <w:i/>
        </w:rPr>
        <w:t xml:space="preserve">, the </w:t>
      </w:r>
      <w:hyperlink r:id="rId10" w:history="1">
        <w:r w:rsidR="006A1F77" w:rsidRPr="00BC0EE9">
          <w:rPr>
            <w:rStyle w:val="Hyperlink"/>
            <w:rFonts w:asciiTheme="minorHAnsi" w:hAnsiTheme="minorHAnsi" w:cstheme="minorHAnsi"/>
            <w:i/>
          </w:rPr>
          <w:t>Committee on the Rights of the Child</w:t>
        </w:r>
      </w:hyperlink>
      <w:r w:rsidR="006A1F77" w:rsidRPr="00883E0C">
        <w:rPr>
          <w:rStyle w:val="Hyperlink"/>
          <w:rFonts w:asciiTheme="minorHAnsi" w:hAnsiTheme="minorHAnsi" w:cstheme="minorHAnsi"/>
          <w:i/>
        </w:rPr>
        <w:t>,</w:t>
      </w:r>
      <w:r w:rsidR="00A940C0" w:rsidRPr="00883E0C">
        <w:rPr>
          <w:rStyle w:val="Hyperlink"/>
          <w:rFonts w:asciiTheme="minorHAnsi" w:hAnsiTheme="minorHAnsi" w:cstheme="minorHAnsi"/>
          <w:i/>
        </w:rPr>
        <w:t xml:space="preserve"> and the </w:t>
      </w:r>
      <w:hyperlink r:id="rId11" w:history="1">
        <w:r w:rsidR="00A940C0" w:rsidRPr="00883E0C">
          <w:rPr>
            <w:rStyle w:val="Hyperlink"/>
            <w:rFonts w:asciiTheme="minorHAnsi" w:hAnsiTheme="minorHAnsi" w:cstheme="minorHAnsi"/>
            <w:i/>
          </w:rPr>
          <w:t>Special Rapporteur on the Rights of Persons with Disabilities</w:t>
        </w:r>
      </w:hyperlink>
      <w:r w:rsidR="00CB0FB3" w:rsidRPr="00883E0C">
        <w:rPr>
          <w:rFonts w:asciiTheme="minorHAnsi" w:hAnsiTheme="minorHAnsi" w:cstheme="minorHAnsi"/>
          <w:i/>
        </w:rPr>
        <w:t xml:space="preserve"> </w:t>
      </w:r>
      <w:r w:rsidR="006A0E10" w:rsidRPr="00883E0C">
        <w:rPr>
          <w:rFonts w:asciiTheme="minorHAnsi" w:hAnsiTheme="minorHAnsi" w:cstheme="minorHAnsi"/>
          <w:i/>
        </w:rPr>
        <w:t>join the commemoration of the</w:t>
      </w:r>
      <w:r w:rsidR="00CB0FB3" w:rsidRPr="00883E0C">
        <w:rPr>
          <w:rFonts w:asciiTheme="minorHAnsi" w:hAnsiTheme="minorHAnsi" w:cstheme="minorHAnsi"/>
          <w:i/>
        </w:rPr>
        <w:t xml:space="preserve"> </w:t>
      </w:r>
      <w:r w:rsidR="00CB0FB3" w:rsidRPr="00883E0C">
        <w:rPr>
          <w:rFonts w:asciiTheme="minorHAnsi" w:hAnsiTheme="minorHAnsi" w:cstheme="minorHAnsi"/>
          <w:b/>
          <w:i/>
        </w:rPr>
        <w:t>International D</w:t>
      </w:r>
      <w:r w:rsidRPr="00883E0C">
        <w:rPr>
          <w:rFonts w:asciiTheme="minorHAnsi" w:hAnsiTheme="minorHAnsi" w:cstheme="minorHAnsi"/>
          <w:b/>
          <w:i/>
        </w:rPr>
        <w:t xml:space="preserve">ay for the </w:t>
      </w:r>
      <w:r w:rsidR="00CB0FB3" w:rsidRPr="00883E0C">
        <w:rPr>
          <w:rFonts w:asciiTheme="minorHAnsi" w:hAnsiTheme="minorHAnsi" w:cstheme="minorHAnsi"/>
          <w:b/>
          <w:i/>
        </w:rPr>
        <w:t>E</w:t>
      </w:r>
      <w:r w:rsidRPr="00883E0C">
        <w:rPr>
          <w:rFonts w:asciiTheme="minorHAnsi" w:hAnsiTheme="minorHAnsi" w:cstheme="minorHAnsi"/>
          <w:b/>
          <w:i/>
        </w:rPr>
        <w:t xml:space="preserve">limination </w:t>
      </w:r>
      <w:r w:rsidR="00CB0FB3" w:rsidRPr="00883E0C">
        <w:rPr>
          <w:rFonts w:asciiTheme="minorHAnsi" w:hAnsiTheme="minorHAnsi" w:cstheme="minorHAnsi"/>
          <w:b/>
          <w:i/>
        </w:rPr>
        <w:t>of Violence against W</w:t>
      </w:r>
      <w:r w:rsidRPr="00883E0C">
        <w:rPr>
          <w:rFonts w:asciiTheme="minorHAnsi" w:hAnsiTheme="minorHAnsi" w:cstheme="minorHAnsi"/>
          <w:b/>
          <w:i/>
        </w:rPr>
        <w:t>omen</w:t>
      </w:r>
      <w:r w:rsidRPr="00883E0C">
        <w:rPr>
          <w:rFonts w:asciiTheme="minorHAnsi" w:hAnsiTheme="minorHAnsi" w:cstheme="minorHAnsi"/>
          <w:i/>
        </w:rPr>
        <w:t xml:space="preserve"> </w:t>
      </w:r>
      <w:r w:rsidR="006A0E10" w:rsidRPr="00883E0C">
        <w:rPr>
          <w:rFonts w:asciiTheme="minorHAnsi" w:hAnsiTheme="minorHAnsi" w:cstheme="minorHAnsi"/>
          <w:i/>
        </w:rPr>
        <w:t xml:space="preserve">and the </w:t>
      </w:r>
      <w:hyperlink r:id="rId12" w:history="1">
        <w:r w:rsidR="006A0E10" w:rsidRPr="00883E0C">
          <w:rPr>
            <w:rStyle w:val="Hyperlink"/>
            <w:rFonts w:asciiTheme="minorHAnsi" w:hAnsiTheme="minorHAnsi" w:cstheme="minorHAnsi"/>
            <w:i/>
          </w:rPr>
          <w:t>16 Days of Activism against Gender-based Violence</w:t>
        </w:r>
      </w:hyperlink>
      <w:r w:rsidR="006A0E10" w:rsidRPr="00883E0C">
        <w:rPr>
          <w:rFonts w:asciiTheme="minorHAnsi" w:hAnsiTheme="minorHAnsi" w:cstheme="minorHAnsi"/>
          <w:i/>
        </w:rPr>
        <w:t xml:space="preserve">, which </w:t>
      </w:r>
      <w:r w:rsidR="005C3B43" w:rsidRPr="00883E0C">
        <w:rPr>
          <w:rFonts w:asciiTheme="minorHAnsi" w:hAnsiTheme="minorHAnsi" w:cstheme="minorHAnsi"/>
          <w:i/>
        </w:rPr>
        <w:t xml:space="preserve">presents </w:t>
      </w:r>
      <w:r w:rsidR="007C6C3D" w:rsidRPr="00883E0C">
        <w:rPr>
          <w:rFonts w:asciiTheme="minorHAnsi" w:hAnsiTheme="minorHAnsi" w:cstheme="minorHAnsi"/>
          <w:i/>
        </w:rPr>
        <w:t>an</w:t>
      </w:r>
      <w:r w:rsidRPr="00883E0C">
        <w:rPr>
          <w:rFonts w:asciiTheme="minorHAnsi" w:hAnsiTheme="minorHAnsi" w:cstheme="minorHAnsi"/>
          <w:i/>
        </w:rPr>
        <w:t xml:space="preserve"> opportunity to look at the specific and unique forms of gender-based violence against women and girls with disabilities</w:t>
      </w:r>
      <w:r w:rsidR="006A0E10" w:rsidRPr="00883E0C">
        <w:rPr>
          <w:rFonts w:asciiTheme="minorHAnsi" w:hAnsiTheme="minorHAnsi" w:cstheme="minorHAnsi"/>
          <w:i/>
        </w:rPr>
        <w:t xml:space="preserve">. </w:t>
      </w:r>
      <w:r w:rsidR="00EA09EE" w:rsidRPr="00883E0C">
        <w:rPr>
          <w:rFonts w:asciiTheme="minorHAnsi" w:hAnsiTheme="minorHAnsi" w:cstheme="minorHAnsi"/>
          <w:i/>
        </w:rPr>
        <w:t>International experts</w:t>
      </w:r>
      <w:r w:rsidR="006A0E10" w:rsidRPr="00883E0C">
        <w:rPr>
          <w:rFonts w:asciiTheme="minorHAnsi" w:hAnsiTheme="minorHAnsi" w:cstheme="minorHAnsi"/>
          <w:i/>
        </w:rPr>
        <w:t xml:space="preserve"> </w:t>
      </w:r>
      <w:r w:rsidR="00CB0FB3" w:rsidRPr="00883E0C">
        <w:rPr>
          <w:rFonts w:asciiTheme="minorHAnsi" w:hAnsiTheme="minorHAnsi" w:cstheme="minorHAnsi"/>
          <w:i/>
        </w:rPr>
        <w:t xml:space="preserve">call </w:t>
      </w:r>
      <w:hyperlink r:id="rId13" w:history="1">
        <w:r w:rsidR="00EA09EE" w:rsidRPr="00883E0C">
          <w:rPr>
            <w:rStyle w:val="Hyperlink"/>
            <w:rFonts w:asciiTheme="minorHAnsi" w:hAnsiTheme="minorHAnsi" w:cstheme="minorHAnsi"/>
            <w:i/>
          </w:rPr>
          <w:t>States parties to the CEDAW</w:t>
        </w:r>
        <w:r w:rsidR="00BC0EE9">
          <w:rPr>
            <w:rStyle w:val="Hyperlink"/>
            <w:rFonts w:asciiTheme="minorHAnsi" w:hAnsiTheme="minorHAnsi" w:cstheme="minorHAnsi"/>
            <w:i/>
          </w:rPr>
          <w:t>, CRC</w:t>
        </w:r>
        <w:r w:rsidR="00EA09EE" w:rsidRPr="00883E0C">
          <w:rPr>
            <w:rStyle w:val="Hyperlink"/>
            <w:rFonts w:asciiTheme="minorHAnsi" w:hAnsiTheme="minorHAnsi" w:cstheme="minorHAnsi"/>
            <w:i/>
          </w:rPr>
          <w:t xml:space="preserve"> and CRPD Conventions</w:t>
        </w:r>
      </w:hyperlink>
      <w:r w:rsidR="00CB0FB3" w:rsidRPr="00883E0C">
        <w:rPr>
          <w:rFonts w:asciiTheme="minorHAnsi" w:hAnsiTheme="minorHAnsi" w:cstheme="minorHAnsi"/>
          <w:i/>
        </w:rPr>
        <w:t xml:space="preserve"> and all stakeholders to</w:t>
      </w:r>
      <w:r w:rsidRPr="00883E0C">
        <w:rPr>
          <w:rFonts w:asciiTheme="minorHAnsi" w:hAnsiTheme="minorHAnsi" w:cstheme="minorHAnsi"/>
          <w:i/>
        </w:rPr>
        <w:t xml:space="preserve"> take decisive action in preventing and eliminating these forms of violence</w:t>
      </w:r>
      <w:r w:rsidR="00CB0FB3" w:rsidRPr="00883E0C">
        <w:rPr>
          <w:rFonts w:asciiTheme="minorHAnsi" w:hAnsiTheme="minorHAnsi" w:cstheme="minorHAnsi"/>
          <w:i/>
        </w:rPr>
        <w:t>,</w:t>
      </w:r>
      <w:r w:rsidRPr="00883E0C">
        <w:rPr>
          <w:rFonts w:asciiTheme="minorHAnsi" w:hAnsiTheme="minorHAnsi" w:cstheme="minorHAnsi"/>
          <w:i/>
        </w:rPr>
        <w:t xml:space="preserve"> and to ensure that women and girls with disabilities</w:t>
      </w:r>
      <w:r w:rsidR="00D57096" w:rsidRPr="00883E0C">
        <w:rPr>
          <w:rFonts w:asciiTheme="minorHAnsi" w:hAnsiTheme="minorHAnsi" w:cstheme="minorHAnsi"/>
          <w:i/>
        </w:rPr>
        <w:t xml:space="preserve"> and</w:t>
      </w:r>
      <w:r w:rsidR="006A0E10" w:rsidRPr="00883E0C">
        <w:rPr>
          <w:rFonts w:asciiTheme="minorHAnsi" w:hAnsiTheme="minorHAnsi" w:cstheme="minorHAnsi"/>
          <w:i/>
        </w:rPr>
        <w:t xml:space="preserve"> their representative organizations </w:t>
      </w:r>
      <w:r w:rsidRPr="00883E0C">
        <w:rPr>
          <w:rFonts w:asciiTheme="minorHAnsi" w:hAnsiTheme="minorHAnsi" w:cstheme="minorHAnsi"/>
          <w:i/>
        </w:rPr>
        <w:t xml:space="preserve">are </w:t>
      </w:r>
      <w:r w:rsidR="00CB0FB3" w:rsidRPr="00883E0C">
        <w:rPr>
          <w:rFonts w:asciiTheme="minorHAnsi" w:hAnsiTheme="minorHAnsi" w:cstheme="minorHAnsi"/>
          <w:i/>
        </w:rPr>
        <w:t>involved in policies aimed at eliminating gender-based violence</w:t>
      </w:r>
      <w:r w:rsidR="00EA09EE" w:rsidRPr="00883E0C">
        <w:rPr>
          <w:rFonts w:asciiTheme="minorHAnsi" w:hAnsiTheme="minorHAnsi" w:cstheme="minorHAnsi"/>
          <w:i/>
        </w:rPr>
        <w:t xml:space="preserve"> against women</w:t>
      </w:r>
      <w:r w:rsidR="00CB0FB3" w:rsidRPr="00883E0C">
        <w:rPr>
          <w:rFonts w:asciiTheme="minorHAnsi" w:hAnsiTheme="minorHAnsi" w:cstheme="minorHAnsi"/>
          <w:i/>
        </w:rPr>
        <w:t>.</w:t>
      </w:r>
    </w:p>
    <w:p w14:paraId="205B5F3B" w14:textId="77777777" w:rsidR="00540EDD" w:rsidRPr="00883E0C" w:rsidRDefault="00540EDD" w:rsidP="00966528">
      <w:pPr>
        <w:jc w:val="both"/>
        <w:rPr>
          <w:rFonts w:asciiTheme="minorHAnsi" w:hAnsiTheme="minorHAnsi" w:cstheme="minorHAnsi"/>
        </w:rPr>
      </w:pPr>
    </w:p>
    <w:p w14:paraId="6C612895" w14:textId="6F838335" w:rsidR="00540EDD" w:rsidRPr="00883E0C" w:rsidRDefault="00540EDD" w:rsidP="00966528">
      <w:pPr>
        <w:pStyle w:val="ListParagraph"/>
        <w:ind w:left="0"/>
        <w:jc w:val="center"/>
        <w:rPr>
          <w:rFonts w:asciiTheme="minorHAnsi" w:hAnsiTheme="minorHAnsi" w:cstheme="minorHAnsi"/>
          <w:i/>
        </w:rPr>
      </w:pPr>
      <w:r w:rsidRPr="00883E0C">
        <w:rPr>
          <w:rFonts w:asciiTheme="minorHAnsi" w:hAnsiTheme="minorHAnsi" w:cstheme="minorHAnsi"/>
          <w:i/>
        </w:rPr>
        <w:t xml:space="preserve">Women and girls with disabilities are active members of their communities and have widely contributed to bring change in the way society perceives persons with disabilities. Yet, fifteen years after the adoption of the </w:t>
      </w:r>
      <w:hyperlink r:id="rId14" w:history="1">
        <w:r w:rsidR="00EA09EE" w:rsidRPr="00883E0C">
          <w:rPr>
            <w:rStyle w:val="Hyperlink"/>
            <w:rFonts w:asciiTheme="minorHAnsi" w:hAnsiTheme="minorHAnsi" w:cstheme="minorHAnsi"/>
            <w:i/>
          </w:rPr>
          <w:t>C</w:t>
        </w:r>
        <w:r w:rsidR="006A1F77" w:rsidRPr="00883E0C">
          <w:rPr>
            <w:rStyle w:val="Hyperlink"/>
            <w:rFonts w:asciiTheme="minorHAnsi" w:hAnsiTheme="minorHAnsi" w:cstheme="minorHAnsi"/>
            <w:i/>
          </w:rPr>
          <w:t>onvention on the Rights of Persons with Disabilities</w:t>
        </w:r>
      </w:hyperlink>
      <w:r w:rsidRPr="00883E0C">
        <w:rPr>
          <w:rFonts w:asciiTheme="minorHAnsi" w:hAnsiTheme="minorHAnsi" w:cstheme="minorHAnsi"/>
          <w:i/>
        </w:rPr>
        <w:t xml:space="preserve">, they continue to face systemic and structural barriers to participation in society and </w:t>
      </w:r>
      <w:r w:rsidR="005C3B43" w:rsidRPr="00883E0C">
        <w:rPr>
          <w:rFonts w:asciiTheme="minorHAnsi" w:hAnsiTheme="minorHAnsi" w:cstheme="minorHAnsi"/>
          <w:i/>
        </w:rPr>
        <w:t xml:space="preserve">are disproportionately </w:t>
      </w:r>
      <w:r w:rsidRPr="00883E0C">
        <w:rPr>
          <w:rFonts w:asciiTheme="minorHAnsi" w:hAnsiTheme="minorHAnsi" w:cstheme="minorHAnsi"/>
          <w:i/>
        </w:rPr>
        <w:t>represent</w:t>
      </w:r>
      <w:r w:rsidR="005C3B43" w:rsidRPr="00883E0C">
        <w:rPr>
          <w:rFonts w:asciiTheme="minorHAnsi" w:hAnsiTheme="minorHAnsi" w:cstheme="minorHAnsi"/>
          <w:i/>
        </w:rPr>
        <w:t>ed</w:t>
      </w:r>
      <w:r w:rsidRPr="00883E0C">
        <w:rPr>
          <w:rFonts w:asciiTheme="minorHAnsi" w:hAnsiTheme="minorHAnsi" w:cstheme="minorHAnsi"/>
          <w:i/>
        </w:rPr>
        <w:t xml:space="preserve"> in situation</w:t>
      </w:r>
      <w:r w:rsidR="005C3B43" w:rsidRPr="00883E0C">
        <w:rPr>
          <w:rFonts w:asciiTheme="minorHAnsi" w:hAnsiTheme="minorHAnsi" w:cstheme="minorHAnsi"/>
          <w:i/>
        </w:rPr>
        <w:t>s</w:t>
      </w:r>
      <w:r w:rsidRPr="00883E0C">
        <w:rPr>
          <w:rFonts w:asciiTheme="minorHAnsi" w:hAnsiTheme="minorHAnsi" w:cstheme="minorHAnsi"/>
          <w:i/>
        </w:rPr>
        <w:t xml:space="preserve"> of poverty as a consequence of multiple and intersecting forms of discrimination in all spheres of life.</w:t>
      </w:r>
    </w:p>
    <w:p w14:paraId="665EC746" w14:textId="77777777" w:rsidR="00C65A41" w:rsidRPr="00883E0C" w:rsidRDefault="00C65A41" w:rsidP="00966528">
      <w:pPr>
        <w:jc w:val="both"/>
        <w:rPr>
          <w:rFonts w:asciiTheme="minorHAnsi" w:hAnsiTheme="minorHAnsi" w:cstheme="minorHAnsi"/>
        </w:rPr>
      </w:pPr>
    </w:p>
    <w:p w14:paraId="5D0FBF0A" w14:textId="22E82691" w:rsidR="006A0E10" w:rsidRPr="00883E0C" w:rsidRDefault="00807248" w:rsidP="00966528">
      <w:pPr>
        <w:pStyle w:val="ListParagraph"/>
        <w:ind w:left="0"/>
        <w:jc w:val="center"/>
        <w:rPr>
          <w:rFonts w:asciiTheme="minorHAnsi" w:hAnsiTheme="minorHAnsi" w:cstheme="minorHAnsi"/>
          <w:i/>
        </w:rPr>
      </w:pPr>
      <w:r w:rsidRPr="00883E0C">
        <w:rPr>
          <w:rFonts w:asciiTheme="minorHAnsi" w:hAnsiTheme="minorHAnsi" w:cstheme="minorHAnsi"/>
          <w:i/>
        </w:rPr>
        <w:t>International experts</w:t>
      </w:r>
      <w:r w:rsidR="00D57096" w:rsidRPr="00883E0C">
        <w:rPr>
          <w:rFonts w:asciiTheme="minorHAnsi" w:hAnsiTheme="minorHAnsi" w:cstheme="minorHAnsi"/>
          <w:i/>
        </w:rPr>
        <w:t xml:space="preserve"> </w:t>
      </w:r>
      <w:r w:rsidR="00C65A41" w:rsidRPr="00883E0C">
        <w:rPr>
          <w:rFonts w:asciiTheme="minorHAnsi" w:hAnsiTheme="minorHAnsi" w:cstheme="minorHAnsi"/>
          <w:i/>
        </w:rPr>
        <w:t>reaffirm th</w:t>
      </w:r>
      <w:r w:rsidR="008B5116" w:rsidRPr="00883E0C">
        <w:rPr>
          <w:rFonts w:asciiTheme="minorHAnsi" w:hAnsiTheme="minorHAnsi" w:cstheme="minorHAnsi"/>
          <w:i/>
        </w:rPr>
        <w:t>at</w:t>
      </w:r>
      <w:r w:rsidR="00C65A41" w:rsidRPr="00883E0C">
        <w:rPr>
          <w:rFonts w:asciiTheme="minorHAnsi" w:hAnsiTheme="minorHAnsi" w:cstheme="minorHAnsi"/>
          <w:i/>
        </w:rPr>
        <w:t xml:space="preserve"> women and girls with disabilities </w:t>
      </w:r>
      <w:r w:rsidR="006A0E10" w:rsidRPr="00883E0C">
        <w:rPr>
          <w:rFonts w:asciiTheme="minorHAnsi" w:hAnsiTheme="minorHAnsi" w:cstheme="minorHAnsi"/>
          <w:i/>
        </w:rPr>
        <w:t xml:space="preserve">around the world </w:t>
      </w:r>
      <w:r w:rsidR="00F21F97" w:rsidRPr="00883E0C">
        <w:rPr>
          <w:rFonts w:asciiTheme="minorHAnsi" w:hAnsiTheme="minorHAnsi" w:cstheme="minorHAnsi"/>
          <w:i/>
        </w:rPr>
        <w:t xml:space="preserve">should </w:t>
      </w:r>
      <w:r w:rsidR="00C65A41" w:rsidRPr="00883E0C">
        <w:rPr>
          <w:rFonts w:asciiTheme="minorHAnsi" w:hAnsiTheme="minorHAnsi" w:cstheme="minorHAnsi"/>
          <w:i/>
        </w:rPr>
        <w:t xml:space="preserve">be included in the </w:t>
      </w:r>
      <w:r w:rsidR="00B057FF" w:rsidRPr="00883E0C">
        <w:rPr>
          <w:rFonts w:asciiTheme="minorHAnsi" w:hAnsiTheme="minorHAnsi" w:cstheme="minorHAnsi"/>
          <w:i/>
        </w:rPr>
        <w:t>fight</w:t>
      </w:r>
      <w:r w:rsidR="00C65A41" w:rsidRPr="00883E0C">
        <w:rPr>
          <w:rFonts w:asciiTheme="minorHAnsi" w:hAnsiTheme="minorHAnsi" w:cstheme="minorHAnsi"/>
          <w:i/>
        </w:rPr>
        <w:t xml:space="preserve"> </w:t>
      </w:r>
      <w:r w:rsidR="00B057FF" w:rsidRPr="00883E0C">
        <w:rPr>
          <w:rFonts w:asciiTheme="minorHAnsi" w:hAnsiTheme="minorHAnsi" w:cstheme="minorHAnsi"/>
          <w:i/>
        </w:rPr>
        <w:t xml:space="preserve">to advance gender equality and </w:t>
      </w:r>
      <w:r w:rsidR="00C65A41" w:rsidRPr="00883E0C">
        <w:rPr>
          <w:rFonts w:asciiTheme="minorHAnsi" w:hAnsiTheme="minorHAnsi" w:cstheme="minorHAnsi"/>
          <w:i/>
        </w:rPr>
        <w:t xml:space="preserve">women's rights. </w:t>
      </w:r>
      <w:r w:rsidR="004001D5" w:rsidRPr="00883E0C">
        <w:rPr>
          <w:rFonts w:asciiTheme="minorHAnsi" w:hAnsiTheme="minorHAnsi" w:cstheme="minorHAnsi"/>
          <w:i/>
        </w:rPr>
        <w:t xml:space="preserve">They are entitled to all human rights and fundamental freedoms on an equal basis with others and </w:t>
      </w:r>
      <w:r w:rsidR="006A0E10" w:rsidRPr="00883E0C">
        <w:rPr>
          <w:rFonts w:asciiTheme="minorHAnsi" w:hAnsiTheme="minorHAnsi" w:cstheme="minorHAnsi"/>
          <w:i/>
        </w:rPr>
        <w:t>should be</w:t>
      </w:r>
      <w:r w:rsidR="005C3B43" w:rsidRPr="00883E0C">
        <w:rPr>
          <w:rFonts w:asciiTheme="minorHAnsi" w:hAnsiTheme="minorHAnsi" w:cstheme="minorHAnsi"/>
          <w:i/>
        </w:rPr>
        <w:t xml:space="preserve"> actively involved </w:t>
      </w:r>
      <w:r w:rsidR="006A0E10" w:rsidRPr="00883E0C">
        <w:rPr>
          <w:rFonts w:asciiTheme="minorHAnsi" w:hAnsiTheme="minorHAnsi" w:cstheme="minorHAnsi"/>
          <w:i/>
        </w:rPr>
        <w:t>i</w:t>
      </w:r>
      <w:r w:rsidR="00C65A41" w:rsidRPr="00883E0C">
        <w:rPr>
          <w:rFonts w:asciiTheme="minorHAnsi" w:hAnsiTheme="minorHAnsi" w:cstheme="minorHAnsi"/>
          <w:i/>
        </w:rPr>
        <w:t>n all campaigns</w:t>
      </w:r>
      <w:r w:rsidR="005C3B43" w:rsidRPr="00883E0C">
        <w:rPr>
          <w:rFonts w:asciiTheme="minorHAnsi" w:hAnsiTheme="minorHAnsi" w:cstheme="minorHAnsi"/>
          <w:i/>
        </w:rPr>
        <w:t xml:space="preserve"> fighting for</w:t>
      </w:r>
      <w:r w:rsidR="00C65A41" w:rsidRPr="00883E0C">
        <w:rPr>
          <w:rFonts w:asciiTheme="minorHAnsi" w:hAnsiTheme="minorHAnsi" w:cstheme="minorHAnsi"/>
          <w:i/>
        </w:rPr>
        <w:t xml:space="preserve"> women's rights. States parties, civil society, national human rights institutions should continue promoting and empowering women and girls with disabilities</w:t>
      </w:r>
      <w:r w:rsidR="00B057FF" w:rsidRPr="00883E0C">
        <w:rPr>
          <w:rFonts w:asciiTheme="minorHAnsi" w:hAnsiTheme="minorHAnsi" w:cstheme="minorHAnsi"/>
          <w:i/>
        </w:rPr>
        <w:t>’</w:t>
      </w:r>
      <w:r w:rsidR="00C65A41" w:rsidRPr="00883E0C">
        <w:rPr>
          <w:rFonts w:asciiTheme="minorHAnsi" w:hAnsiTheme="minorHAnsi" w:cstheme="minorHAnsi"/>
          <w:i/>
        </w:rPr>
        <w:t xml:space="preserve"> participation</w:t>
      </w:r>
      <w:r w:rsidR="00F22D52" w:rsidRPr="00883E0C">
        <w:rPr>
          <w:rFonts w:asciiTheme="minorHAnsi" w:hAnsiTheme="minorHAnsi" w:cstheme="minorHAnsi"/>
          <w:i/>
        </w:rPr>
        <w:t xml:space="preserve"> in all areas of life.</w:t>
      </w:r>
    </w:p>
    <w:p w14:paraId="4020D114" w14:textId="77777777" w:rsidR="00CB0FB3" w:rsidRPr="00883E0C" w:rsidRDefault="00CB0FB3" w:rsidP="00966528">
      <w:pPr>
        <w:jc w:val="both"/>
        <w:rPr>
          <w:rFonts w:asciiTheme="minorHAnsi" w:hAnsiTheme="minorHAnsi" w:cstheme="minorHAnsi"/>
        </w:rPr>
      </w:pPr>
    </w:p>
    <w:p w14:paraId="4601BC10" w14:textId="77777777" w:rsidR="00B057FF" w:rsidRPr="00883E0C" w:rsidRDefault="00C65A41" w:rsidP="00B057FF">
      <w:pPr>
        <w:pStyle w:val="ListParagraph"/>
        <w:rPr>
          <w:rFonts w:asciiTheme="minorHAnsi" w:hAnsiTheme="minorHAnsi" w:cstheme="minorHAnsi"/>
        </w:rPr>
      </w:pPr>
      <w:r w:rsidRPr="00883E0C">
        <w:rPr>
          <w:rFonts w:asciiTheme="minorHAnsi" w:hAnsiTheme="minorHAnsi" w:cstheme="minorHAnsi"/>
        </w:rPr>
        <w:t xml:space="preserve">                                                           </w:t>
      </w:r>
      <w:r w:rsidR="007C6C3D" w:rsidRPr="00883E0C">
        <w:rPr>
          <w:rFonts w:asciiTheme="minorHAnsi" w:hAnsiTheme="minorHAnsi" w:cstheme="minorHAnsi"/>
        </w:rPr>
        <w:t>* * *</w:t>
      </w:r>
    </w:p>
    <w:p w14:paraId="4B989CCF" w14:textId="77777777" w:rsidR="004C4A22" w:rsidRPr="00883E0C" w:rsidRDefault="004C4A22" w:rsidP="00602BB2">
      <w:pPr>
        <w:jc w:val="both"/>
        <w:rPr>
          <w:rFonts w:asciiTheme="minorHAnsi" w:hAnsiTheme="minorHAnsi" w:cstheme="minorHAnsi"/>
        </w:rPr>
      </w:pPr>
    </w:p>
    <w:p w14:paraId="38C499BA" w14:textId="3F1C600B" w:rsidR="001E23B3" w:rsidRPr="00883E0C" w:rsidRDefault="00F21F97" w:rsidP="00C65A41">
      <w:pPr>
        <w:pStyle w:val="ListParagraph"/>
        <w:numPr>
          <w:ilvl w:val="0"/>
          <w:numId w:val="9"/>
        </w:numPr>
        <w:jc w:val="both"/>
        <w:rPr>
          <w:rFonts w:asciiTheme="minorHAnsi" w:hAnsiTheme="minorHAnsi" w:cstheme="minorHAnsi"/>
        </w:rPr>
      </w:pPr>
      <w:r w:rsidRPr="00883E0C">
        <w:rPr>
          <w:rFonts w:asciiTheme="minorHAnsi" w:hAnsiTheme="minorHAnsi" w:cstheme="minorHAnsi"/>
          <w:b/>
        </w:rPr>
        <w:t xml:space="preserve">Need for a </w:t>
      </w:r>
      <w:r w:rsidR="00D22E64" w:rsidRPr="00883E0C">
        <w:rPr>
          <w:rFonts w:asciiTheme="minorHAnsi" w:hAnsiTheme="minorHAnsi" w:cstheme="minorHAnsi"/>
          <w:b/>
        </w:rPr>
        <w:t xml:space="preserve">stronger international legal and policy framework that recognises the greater risks of violence faced by women and girls with disabilities </w:t>
      </w:r>
    </w:p>
    <w:p w14:paraId="694A36F4" w14:textId="77777777" w:rsidR="00B057FF" w:rsidRPr="00883E0C" w:rsidRDefault="00B057FF" w:rsidP="0075015B">
      <w:pPr>
        <w:jc w:val="both"/>
        <w:rPr>
          <w:rFonts w:asciiTheme="minorHAnsi" w:hAnsiTheme="minorHAnsi" w:cstheme="minorHAnsi"/>
        </w:rPr>
      </w:pPr>
    </w:p>
    <w:p w14:paraId="5F2B2C4B" w14:textId="196CFB0F" w:rsidR="00B64905" w:rsidRPr="00883E0C" w:rsidRDefault="00A82B8B" w:rsidP="0075015B">
      <w:pPr>
        <w:jc w:val="both"/>
        <w:rPr>
          <w:rFonts w:asciiTheme="minorHAnsi" w:hAnsiTheme="minorHAnsi" w:cstheme="minorHAnsi"/>
        </w:rPr>
      </w:pPr>
      <w:r w:rsidRPr="00883E0C">
        <w:rPr>
          <w:rFonts w:asciiTheme="minorHAnsi" w:hAnsiTheme="minorHAnsi" w:cstheme="minorHAnsi"/>
        </w:rPr>
        <w:t>“V</w:t>
      </w:r>
      <w:r w:rsidR="00B64905" w:rsidRPr="00883E0C">
        <w:rPr>
          <w:rFonts w:asciiTheme="minorHAnsi" w:hAnsiTheme="minorHAnsi" w:cstheme="minorHAnsi"/>
        </w:rPr>
        <w:t>iolence against women</w:t>
      </w:r>
      <w:r w:rsidRPr="00883E0C">
        <w:rPr>
          <w:rFonts w:asciiTheme="minorHAnsi" w:hAnsiTheme="minorHAnsi" w:cstheme="minorHAnsi"/>
        </w:rPr>
        <w:t>”</w:t>
      </w:r>
      <w:r w:rsidR="00B64905" w:rsidRPr="00883E0C">
        <w:rPr>
          <w:rFonts w:asciiTheme="minorHAnsi" w:hAnsiTheme="minorHAnsi" w:cstheme="minorHAnsi"/>
        </w:rPr>
        <w:t xml:space="preserve"> constitutes any act of gender-based violence</w:t>
      </w:r>
      <w:r w:rsidRPr="00883E0C">
        <w:rPr>
          <w:rFonts w:asciiTheme="minorHAnsi" w:hAnsiTheme="minorHAnsi" w:cstheme="minorHAnsi"/>
        </w:rPr>
        <w:t xml:space="preserve"> </w:t>
      </w:r>
      <w:r w:rsidR="00B64905" w:rsidRPr="00883E0C">
        <w:rPr>
          <w:rFonts w:asciiTheme="minorHAnsi" w:hAnsiTheme="minorHAnsi" w:cstheme="minorHAnsi"/>
        </w:rPr>
        <w:t>that results in, or is likely to result in, physical, sexual or psychological harm or suffering to women, including threats of such acts, coercion or arbitrary deprivation of liberty, whether occurring in public or in private life</w:t>
      </w:r>
      <w:r w:rsidR="00B057FF" w:rsidRPr="00883E0C">
        <w:rPr>
          <w:rFonts w:asciiTheme="minorHAnsi" w:hAnsiTheme="minorHAnsi" w:cstheme="minorHAnsi"/>
        </w:rPr>
        <w:t>,</w:t>
      </w:r>
      <w:r w:rsidR="00B64905" w:rsidRPr="00883E0C">
        <w:rPr>
          <w:rStyle w:val="FootnoteReference"/>
          <w:rFonts w:asciiTheme="minorHAnsi" w:hAnsiTheme="minorHAnsi" w:cstheme="minorHAnsi"/>
        </w:rPr>
        <w:footnoteReference w:id="2"/>
      </w:r>
      <w:r w:rsidR="00B057FF" w:rsidRPr="00883E0C">
        <w:rPr>
          <w:rFonts w:asciiTheme="minorHAnsi" w:hAnsiTheme="minorHAnsi" w:cstheme="minorHAnsi"/>
        </w:rPr>
        <w:t xml:space="preserve"> </w:t>
      </w:r>
      <w:r w:rsidR="00B64905" w:rsidRPr="00883E0C">
        <w:rPr>
          <w:rFonts w:asciiTheme="minorHAnsi" w:hAnsiTheme="minorHAnsi" w:cstheme="minorHAnsi"/>
        </w:rPr>
        <w:t>and is underpinned by inequality, discrimination and harmful norms</w:t>
      </w:r>
      <w:r w:rsidR="00072BAA" w:rsidRPr="00883E0C">
        <w:rPr>
          <w:rFonts w:asciiTheme="minorHAnsi" w:hAnsiTheme="minorHAnsi" w:cstheme="minorHAnsi"/>
        </w:rPr>
        <w:t xml:space="preserve"> and </w:t>
      </w:r>
      <w:r w:rsidR="00072BAA" w:rsidRPr="00883E0C">
        <w:rPr>
          <w:rFonts w:asciiTheme="minorHAnsi" w:hAnsiTheme="minorHAnsi" w:cstheme="minorHAnsi"/>
        </w:rPr>
        <w:lastRenderedPageBreak/>
        <w:t>practices.</w:t>
      </w:r>
      <w:r w:rsidR="00B64905" w:rsidRPr="00883E0C">
        <w:rPr>
          <w:rStyle w:val="FootnoteReference"/>
          <w:rFonts w:asciiTheme="minorHAnsi" w:hAnsiTheme="minorHAnsi" w:cstheme="minorHAnsi"/>
        </w:rPr>
        <w:footnoteReference w:id="3"/>
      </w:r>
      <w:r w:rsidR="00072BAA" w:rsidRPr="00883E0C">
        <w:rPr>
          <w:rFonts w:asciiTheme="minorHAnsi" w:hAnsiTheme="minorHAnsi" w:cstheme="minorHAnsi"/>
        </w:rPr>
        <w:t xml:space="preserve"> Gender-based violence against women is directed against the woman because she is a woman or that affects women disproportionately</w:t>
      </w:r>
      <w:r w:rsidR="00072BAA" w:rsidRPr="00883E0C">
        <w:rPr>
          <w:rStyle w:val="FootnoteReference"/>
          <w:rFonts w:asciiTheme="minorHAnsi" w:hAnsiTheme="minorHAnsi" w:cstheme="minorHAnsi"/>
        </w:rPr>
        <w:footnoteReference w:id="4"/>
      </w:r>
      <w:r w:rsidR="00072BAA" w:rsidRPr="00883E0C">
        <w:rPr>
          <w:rFonts w:asciiTheme="minorHAnsi" w:hAnsiTheme="minorHAnsi" w:cstheme="minorHAnsi"/>
        </w:rPr>
        <w:t>.</w:t>
      </w:r>
    </w:p>
    <w:p w14:paraId="164F2A8A" w14:textId="77777777" w:rsidR="00B64905" w:rsidRPr="00883E0C" w:rsidRDefault="00B64905" w:rsidP="0075015B">
      <w:pPr>
        <w:jc w:val="both"/>
        <w:rPr>
          <w:rFonts w:asciiTheme="minorHAnsi" w:hAnsiTheme="minorHAnsi" w:cstheme="minorHAnsi"/>
        </w:rPr>
      </w:pPr>
    </w:p>
    <w:p w14:paraId="1ED8D316" w14:textId="2E8E09BD" w:rsidR="00FD07AE" w:rsidRPr="00883E0C" w:rsidRDefault="001E23B3" w:rsidP="004928A6">
      <w:pPr>
        <w:jc w:val="both"/>
        <w:rPr>
          <w:rFonts w:asciiTheme="minorHAnsi" w:hAnsiTheme="minorHAnsi" w:cstheme="minorHAnsi"/>
          <w:bCs/>
          <w:iCs/>
        </w:rPr>
      </w:pPr>
      <w:r w:rsidRPr="00883E0C">
        <w:rPr>
          <w:rFonts w:asciiTheme="minorHAnsi" w:hAnsiTheme="minorHAnsi" w:cstheme="minorHAnsi"/>
          <w:bCs/>
          <w:iCs/>
          <w:lang w:val="en-US"/>
        </w:rPr>
        <w:t>T</w:t>
      </w:r>
      <w:r w:rsidR="009A78D1" w:rsidRPr="00883E0C">
        <w:rPr>
          <w:rFonts w:asciiTheme="minorHAnsi" w:hAnsiTheme="minorHAnsi" w:cstheme="minorHAnsi"/>
          <w:bCs/>
          <w:iCs/>
          <w:lang w:val="en-US"/>
        </w:rPr>
        <w:t xml:space="preserve">he </w:t>
      </w:r>
      <w:hyperlink r:id="rId15" w:history="1">
        <w:r w:rsidR="009A78D1" w:rsidRPr="00883E0C">
          <w:rPr>
            <w:rStyle w:val="Hyperlink"/>
            <w:rFonts w:asciiTheme="minorHAnsi" w:hAnsiTheme="minorHAnsi" w:cstheme="minorHAnsi"/>
            <w:bCs/>
            <w:iCs/>
            <w:lang w:val="en-US"/>
          </w:rPr>
          <w:t>Convention</w:t>
        </w:r>
        <w:r w:rsidRPr="00883E0C">
          <w:rPr>
            <w:rStyle w:val="Hyperlink"/>
            <w:rFonts w:asciiTheme="minorHAnsi" w:hAnsiTheme="minorHAnsi" w:cstheme="minorHAnsi"/>
            <w:bCs/>
            <w:iCs/>
            <w:lang w:val="en-US"/>
          </w:rPr>
          <w:t xml:space="preserve"> on the Rights of Persons with Disabilities</w:t>
        </w:r>
      </w:hyperlink>
      <w:r w:rsidR="00EB7F0C" w:rsidRPr="00883E0C">
        <w:rPr>
          <w:rFonts w:asciiTheme="minorHAnsi" w:hAnsiTheme="minorHAnsi" w:cstheme="minorHAnsi"/>
          <w:bCs/>
          <w:iCs/>
          <w:lang w:val="en-US"/>
        </w:rPr>
        <w:t xml:space="preserve"> recognizes that women and girls with disabilities are often at greater risk</w:t>
      </w:r>
      <w:r w:rsidR="009A78D1" w:rsidRPr="00883E0C">
        <w:rPr>
          <w:rFonts w:asciiTheme="minorHAnsi" w:hAnsiTheme="minorHAnsi" w:cstheme="minorHAnsi"/>
          <w:bCs/>
          <w:iCs/>
          <w:lang w:val="en-US"/>
        </w:rPr>
        <w:t xml:space="preserve"> </w:t>
      </w:r>
      <w:r w:rsidRPr="00883E0C">
        <w:rPr>
          <w:rFonts w:asciiTheme="minorHAnsi" w:hAnsiTheme="minorHAnsi" w:cstheme="minorHAnsi"/>
          <w:bCs/>
          <w:iCs/>
          <w:lang w:val="en-US"/>
        </w:rPr>
        <w:t xml:space="preserve">of violence, injury and abuse </w:t>
      </w:r>
      <w:r w:rsidR="00EB7F0C" w:rsidRPr="00883E0C">
        <w:rPr>
          <w:rFonts w:asciiTheme="minorHAnsi" w:hAnsiTheme="minorHAnsi" w:cstheme="minorHAnsi"/>
          <w:bCs/>
          <w:iCs/>
          <w:lang w:val="en-US"/>
        </w:rPr>
        <w:t xml:space="preserve">and that disability adds another layer of discrimination and deprivation. </w:t>
      </w:r>
      <w:r w:rsidR="00EA09EE" w:rsidRPr="00883E0C">
        <w:rPr>
          <w:rFonts w:asciiTheme="minorHAnsi" w:hAnsiTheme="minorHAnsi" w:cstheme="minorHAnsi"/>
          <w:bCs/>
          <w:iCs/>
          <w:lang w:val="en-US"/>
        </w:rPr>
        <w:t>The CEDAW Committee has also expressed its concern about the aggravated discrimination suffered by women with disabilities and the scarce information on this issue in States parties’ reports.</w:t>
      </w:r>
      <w:r w:rsidR="00EA09EE" w:rsidRPr="00883E0C">
        <w:rPr>
          <w:rStyle w:val="FootnoteReference"/>
          <w:rFonts w:asciiTheme="minorHAnsi" w:hAnsiTheme="minorHAnsi" w:cstheme="minorHAnsi"/>
          <w:bCs/>
          <w:iCs/>
          <w:lang w:val="en-US"/>
        </w:rPr>
        <w:footnoteReference w:id="5"/>
      </w:r>
      <w:r w:rsidR="00EA09EE" w:rsidRPr="00883E0C">
        <w:rPr>
          <w:rFonts w:asciiTheme="minorHAnsi" w:hAnsiTheme="minorHAnsi" w:cstheme="minorHAnsi"/>
          <w:bCs/>
          <w:iCs/>
          <w:lang w:val="en-US"/>
        </w:rPr>
        <w:t xml:space="preserve"> </w:t>
      </w:r>
      <w:r w:rsidR="00EB7F0C" w:rsidRPr="00883E0C">
        <w:rPr>
          <w:rFonts w:asciiTheme="minorHAnsi" w:hAnsiTheme="minorHAnsi" w:cstheme="minorHAnsi"/>
          <w:bCs/>
          <w:iCs/>
          <w:lang w:val="en-US"/>
        </w:rPr>
        <w:t>Disability and gender</w:t>
      </w:r>
      <w:r w:rsidR="000C3A8C" w:rsidRPr="00883E0C">
        <w:rPr>
          <w:rFonts w:asciiTheme="minorHAnsi" w:hAnsiTheme="minorHAnsi" w:cstheme="minorHAnsi"/>
          <w:bCs/>
          <w:iCs/>
          <w:lang w:val="en-US"/>
        </w:rPr>
        <w:t>-based</w:t>
      </w:r>
      <w:r w:rsidR="00EB7F0C" w:rsidRPr="00883E0C">
        <w:rPr>
          <w:rFonts w:asciiTheme="minorHAnsi" w:hAnsiTheme="minorHAnsi" w:cstheme="minorHAnsi"/>
          <w:bCs/>
          <w:iCs/>
          <w:lang w:val="en-US"/>
        </w:rPr>
        <w:t xml:space="preserve"> discrimination may lead to a greater likelihood of poverty, limited access to protective services and resources, and heightened risk of violence and abuse over a lifetime. Hence, </w:t>
      </w:r>
      <w:r w:rsidR="00D6364E" w:rsidRPr="00883E0C">
        <w:rPr>
          <w:rFonts w:asciiTheme="minorHAnsi" w:hAnsiTheme="minorHAnsi" w:cstheme="minorHAnsi"/>
          <w:bCs/>
          <w:iCs/>
          <w:lang w:val="en-US"/>
        </w:rPr>
        <w:t xml:space="preserve">the obligation of </w:t>
      </w:r>
      <w:r w:rsidR="00DD74B6" w:rsidRPr="00883E0C">
        <w:rPr>
          <w:rFonts w:asciiTheme="minorHAnsi" w:hAnsiTheme="minorHAnsi" w:cstheme="minorHAnsi"/>
          <w:bCs/>
          <w:iCs/>
          <w:lang w:val="en-US"/>
        </w:rPr>
        <w:t>States pa</w:t>
      </w:r>
      <w:r w:rsidR="00D6364E" w:rsidRPr="00883E0C">
        <w:rPr>
          <w:rFonts w:asciiTheme="minorHAnsi" w:hAnsiTheme="minorHAnsi" w:cstheme="minorHAnsi"/>
          <w:bCs/>
          <w:iCs/>
          <w:lang w:val="en-US"/>
        </w:rPr>
        <w:t xml:space="preserve">rties under </w:t>
      </w:r>
      <w:hyperlink r:id="rId16" w:anchor="16" w:history="1">
        <w:r w:rsidR="00D6364E" w:rsidRPr="00883E0C">
          <w:rPr>
            <w:rStyle w:val="Hyperlink"/>
            <w:rFonts w:asciiTheme="minorHAnsi" w:hAnsiTheme="minorHAnsi" w:cstheme="minorHAnsi"/>
            <w:bCs/>
            <w:iCs/>
            <w:lang w:val="en-US"/>
          </w:rPr>
          <w:t>article 16 of the C</w:t>
        </w:r>
        <w:r w:rsidR="00EA09EE" w:rsidRPr="00883E0C">
          <w:rPr>
            <w:rStyle w:val="Hyperlink"/>
            <w:rFonts w:asciiTheme="minorHAnsi" w:hAnsiTheme="minorHAnsi" w:cstheme="minorHAnsi"/>
            <w:bCs/>
            <w:iCs/>
            <w:lang w:val="en-US"/>
          </w:rPr>
          <w:t>RPD</w:t>
        </w:r>
      </w:hyperlink>
      <w:r w:rsidR="00D6364E" w:rsidRPr="00883E0C">
        <w:rPr>
          <w:rFonts w:asciiTheme="minorHAnsi" w:hAnsiTheme="minorHAnsi" w:cstheme="minorHAnsi"/>
          <w:bCs/>
          <w:iCs/>
          <w:lang w:val="en-US"/>
        </w:rPr>
        <w:t xml:space="preserve"> to put in place effective</w:t>
      </w:r>
      <w:r w:rsidR="00EB7F0C" w:rsidRPr="00883E0C">
        <w:rPr>
          <w:rFonts w:asciiTheme="minorHAnsi" w:hAnsiTheme="minorHAnsi" w:cstheme="minorHAnsi"/>
          <w:bCs/>
          <w:iCs/>
          <w:lang w:val="en-US"/>
        </w:rPr>
        <w:t xml:space="preserve"> legislation and policies</w:t>
      </w:r>
      <w:r w:rsidR="00D6364E" w:rsidRPr="00883E0C">
        <w:t xml:space="preserve">, </w:t>
      </w:r>
      <w:r w:rsidR="00D6364E" w:rsidRPr="00883E0C">
        <w:rPr>
          <w:rFonts w:asciiTheme="minorHAnsi" w:hAnsiTheme="minorHAnsi" w:cstheme="minorHAnsi"/>
          <w:bCs/>
          <w:iCs/>
          <w:lang w:val="en-US"/>
        </w:rPr>
        <w:t xml:space="preserve">including </w:t>
      </w:r>
      <w:r w:rsidR="005C3B43" w:rsidRPr="00883E0C">
        <w:rPr>
          <w:rFonts w:asciiTheme="minorHAnsi" w:hAnsiTheme="minorHAnsi" w:cstheme="minorHAnsi"/>
          <w:bCs/>
          <w:iCs/>
          <w:lang w:val="en-US"/>
        </w:rPr>
        <w:t>gender</w:t>
      </w:r>
      <w:r w:rsidR="00D6364E" w:rsidRPr="00883E0C">
        <w:rPr>
          <w:rFonts w:asciiTheme="minorHAnsi" w:hAnsiTheme="minorHAnsi" w:cstheme="minorHAnsi"/>
          <w:bCs/>
          <w:iCs/>
          <w:lang w:val="en-US"/>
        </w:rPr>
        <w:t xml:space="preserve"> and child-focused legislation and policies, to ensure that instances of exploitation, violence and abuse against persons with disabilities, are</w:t>
      </w:r>
      <w:r w:rsidR="00EB7F0C" w:rsidRPr="00883E0C">
        <w:rPr>
          <w:rFonts w:asciiTheme="minorHAnsi" w:hAnsiTheme="minorHAnsi" w:cstheme="minorHAnsi"/>
          <w:bCs/>
          <w:iCs/>
          <w:lang w:val="en-US"/>
        </w:rPr>
        <w:t xml:space="preserve"> identified, investigated and, where appropriate, prosecuted.</w:t>
      </w:r>
      <w:r w:rsidR="004928A6" w:rsidRPr="00883E0C">
        <w:rPr>
          <w:rFonts w:asciiTheme="minorHAnsi" w:hAnsiTheme="minorHAnsi" w:cstheme="minorHAnsi"/>
          <w:bCs/>
          <w:iCs/>
          <w:lang w:val="en-US"/>
        </w:rPr>
        <w:t xml:space="preserve"> </w:t>
      </w:r>
      <w:r w:rsidR="00FD07AE" w:rsidRPr="00883E0C">
        <w:rPr>
          <w:rFonts w:asciiTheme="minorHAnsi" w:hAnsiTheme="minorHAnsi" w:cstheme="minorHAnsi"/>
          <w:bCs/>
          <w:iCs/>
          <w:lang w:val="en-US"/>
        </w:rPr>
        <w:t xml:space="preserve">This is complemented by the provisions under the </w:t>
      </w:r>
      <w:hyperlink r:id="rId17" w:history="1">
        <w:r w:rsidR="00FD07AE" w:rsidRPr="00883E0C">
          <w:rPr>
            <w:rStyle w:val="Hyperlink"/>
            <w:rFonts w:asciiTheme="minorHAnsi" w:hAnsiTheme="minorHAnsi" w:cstheme="minorHAnsi"/>
            <w:bCs/>
            <w:iCs/>
          </w:rPr>
          <w:t>Convention on the Rights of the Child</w:t>
        </w:r>
      </w:hyperlink>
      <w:r w:rsidR="00FD07AE" w:rsidRPr="00883E0C">
        <w:rPr>
          <w:rFonts w:asciiTheme="minorHAnsi" w:hAnsiTheme="minorHAnsi" w:cstheme="minorHAnsi"/>
          <w:bCs/>
          <w:iCs/>
        </w:rPr>
        <w:t xml:space="preserve"> (article 19 – right to freedom from violence)</w:t>
      </w:r>
      <w:r w:rsidR="00094816" w:rsidRPr="00883E0C">
        <w:rPr>
          <w:rStyle w:val="FootnoteReference"/>
          <w:rFonts w:asciiTheme="minorHAnsi" w:hAnsiTheme="minorHAnsi" w:cstheme="minorHAnsi"/>
          <w:bCs/>
          <w:iCs/>
        </w:rPr>
        <w:footnoteReference w:id="6"/>
      </w:r>
      <w:r w:rsidR="00094816" w:rsidRPr="00883E0C">
        <w:rPr>
          <w:rFonts w:asciiTheme="minorHAnsi" w:hAnsiTheme="minorHAnsi" w:cstheme="minorHAnsi"/>
          <w:bCs/>
          <w:iCs/>
        </w:rPr>
        <w:t>.</w:t>
      </w:r>
    </w:p>
    <w:p w14:paraId="761FBC2F" w14:textId="2222746A" w:rsidR="004928A6" w:rsidRPr="00883E0C" w:rsidRDefault="00E25E3F" w:rsidP="004928A6">
      <w:pPr>
        <w:jc w:val="both"/>
        <w:rPr>
          <w:rFonts w:asciiTheme="minorHAnsi" w:hAnsiTheme="minorHAnsi" w:cstheme="minorHAnsi"/>
        </w:rPr>
      </w:pPr>
      <w:hyperlink r:id="rId18" w:anchor="25" w:history="1">
        <w:r w:rsidR="0075015B" w:rsidRPr="00883E0C">
          <w:rPr>
            <w:rStyle w:val="Hyperlink"/>
            <w:rFonts w:asciiTheme="minorHAnsi" w:hAnsiTheme="minorHAnsi" w:cstheme="minorHAnsi"/>
            <w:bCs/>
            <w:iCs/>
            <w:lang w:val="en-US"/>
          </w:rPr>
          <w:t>Article 25 of the C</w:t>
        </w:r>
        <w:r w:rsidR="00EA09EE" w:rsidRPr="00883E0C">
          <w:rPr>
            <w:rStyle w:val="Hyperlink"/>
            <w:rFonts w:asciiTheme="minorHAnsi" w:hAnsiTheme="minorHAnsi" w:cstheme="minorHAnsi"/>
            <w:bCs/>
            <w:iCs/>
            <w:lang w:val="en-US"/>
          </w:rPr>
          <w:t>RPD</w:t>
        </w:r>
      </w:hyperlink>
      <w:r w:rsidR="0075015B" w:rsidRPr="00883E0C">
        <w:rPr>
          <w:rFonts w:asciiTheme="minorHAnsi" w:hAnsiTheme="minorHAnsi" w:cstheme="minorHAnsi"/>
          <w:bCs/>
          <w:iCs/>
          <w:lang w:val="en-US"/>
        </w:rPr>
        <w:t xml:space="preserve"> also highlights the importance of access to health care services that are gender-</w:t>
      </w:r>
      <w:r w:rsidR="00F21F97" w:rsidRPr="00883E0C">
        <w:rPr>
          <w:rFonts w:asciiTheme="minorHAnsi" w:hAnsiTheme="minorHAnsi" w:cstheme="minorHAnsi"/>
          <w:bCs/>
          <w:iCs/>
          <w:lang w:val="en-US"/>
        </w:rPr>
        <w:t xml:space="preserve">responsive </w:t>
      </w:r>
      <w:r w:rsidR="0075015B" w:rsidRPr="00883E0C">
        <w:rPr>
          <w:rFonts w:asciiTheme="minorHAnsi" w:hAnsiTheme="minorHAnsi" w:cstheme="minorHAnsi"/>
          <w:bCs/>
          <w:iCs/>
          <w:lang w:val="en-US"/>
        </w:rPr>
        <w:t xml:space="preserve">and </w:t>
      </w:r>
      <w:r w:rsidR="00701469" w:rsidRPr="00883E0C">
        <w:rPr>
          <w:rFonts w:asciiTheme="minorHAnsi" w:hAnsiTheme="minorHAnsi" w:cstheme="minorHAnsi"/>
          <w:bCs/>
          <w:iCs/>
          <w:lang w:val="en-US"/>
        </w:rPr>
        <w:t xml:space="preserve">to </w:t>
      </w:r>
      <w:r w:rsidR="0075015B" w:rsidRPr="00883E0C">
        <w:rPr>
          <w:rFonts w:asciiTheme="minorHAnsi" w:hAnsiTheme="minorHAnsi" w:cstheme="minorHAnsi"/>
          <w:bCs/>
          <w:iCs/>
          <w:lang w:val="en-US"/>
        </w:rPr>
        <w:t>quality reproductive health service</w:t>
      </w:r>
      <w:r w:rsidR="008D4D17" w:rsidRPr="00883E0C">
        <w:rPr>
          <w:rFonts w:asciiTheme="minorHAnsi" w:hAnsiTheme="minorHAnsi" w:cstheme="minorHAnsi"/>
          <w:bCs/>
          <w:iCs/>
          <w:lang w:val="en-US"/>
        </w:rPr>
        <w:t xml:space="preserve">s for persons with disabilities, and the </w:t>
      </w:r>
      <w:hyperlink r:id="rId19" w:history="1">
        <w:r w:rsidR="008D4D17" w:rsidRPr="00883E0C">
          <w:rPr>
            <w:rStyle w:val="Hyperlink"/>
            <w:rFonts w:asciiTheme="minorHAnsi" w:hAnsiTheme="minorHAnsi" w:cstheme="minorHAnsi"/>
            <w:bCs/>
            <w:iCs/>
          </w:rPr>
          <w:t>Convention on the Elimination of All Forms of Discrimination Against Women</w:t>
        </w:r>
      </w:hyperlink>
      <w:r w:rsidR="008D4D17" w:rsidRPr="00883E0C">
        <w:rPr>
          <w:rStyle w:val="Hyperlink"/>
          <w:rFonts w:asciiTheme="minorHAnsi" w:hAnsiTheme="minorHAnsi" w:cstheme="minorHAnsi"/>
          <w:bCs/>
          <w:iCs/>
        </w:rPr>
        <w:t xml:space="preserve"> </w:t>
      </w:r>
      <w:r w:rsidR="008D4D17" w:rsidRPr="00883E0C">
        <w:rPr>
          <w:rFonts w:asciiTheme="minorHAnsi" w:hAnsiTheme="minorHAnsi" w:cstheme="minorHAnsi"/>
          <w:bCs/>
          <w:iCs/>
          <w:lang w:val="en-US"/>
        </w:rPr>
        <w:t xml:space="preserve">calls States parties to eliminate discrimination in the field of health care </w:t>
      </w:r>
      <w:hyperlink r:id="rId20" w:history="1">
        <w:r w:rsidR="008D4D17" w:rsidRPr="00883E0C">
          <w:rPr>
            <w:rStyle w:val="Hyperlink"/>
            <w:rFonts w:asciiTheme="minorHAnsi" w:hAnsiTheme="minorHAnsi" w:cstheme="minorHAnsi"/>
            <w:bCs/>
            <w:iCs/>
            <w:lang w:val="en-US"/>
          </w:rPr>
          <w:t>(article 12)</w:t>
        </w:r>
      </w:hyperlink>
      <w:r w:rsidR="008D4D17" w:rsidRPr="00883E0C">
        <w:rPr>
          <w:rFonts w:asciiTheme="minorHAnsi" w:hAnsiTheme="minorHAnsi" w:cstheme="minorHAnsi"/>
          <w:bCs/>
          <w:iCs/>
          <w:lang w:val="en-US"/>
        </w:rPr>
        <w:t xml:space="preserve">, which includes the recognition of </w:t>
      </w:r>
      <w:hyperlink r:id="rId21" w:history="1">
        <w:r w:rsidR="008D4D17" w:rsidRPr="00883E0C">
          <w:rPr>
            <w:rStyle w:val="Hyperlink"/>
            <w:rFonts w:asciiTheme="minorHAnsi" w:hAnsiTheme="minorHAnsi" w:cstheme="minorHAnsi"/>
            <w:bCs/>
            <w:iCs/>
            <w:lang w:val="en-US"/>
          </w:rPr>
          <w:t>sexual and reproductive rights and health for all women</w:t>
        </w:r>
      </w:hyperlink>
      <w:r w:rsidR="00FE13DB" w:rsidRPr="00883E0C">
        <w:rPr>
          <w:rStyle w:val="FootnoteReference"/>
          <w:rFonts w:asciiTheme="minorHAnsi" w:hAnsiTheme="minorHAnsi" w:cstheme="minorHAnsi"/>
          <w:bCs/>
          <w:iCs/>
          <w:lang w:val="en-US"/>
        </w:rPr>
        <w:footnoteReference w:id="7"/>
      </w:r>
      <w:r w:rsidR="008D4D17" w:rsidRPr="00883E0C">
        <w:rPr>
          <w:rFonts w:asciiTheme="minorHAnsi" w:hAnsiTheme="minorHAnsi" w:cstheme="minorHAnsi"/>
          <w:bCs/>
          <w:iCs/>
          <w:lang w:val="en-US"/>
        </w:rPr>
        <w:t xml:space="preserve">. </w:t>
      </w:r>
      <w:r w:rsidR="00EA09EE" w:rsidRPr="00883E0C">
        <w:rPr>
          <w:rFonts w:asciiTheme="minorHAnsi" w:hAnsiTheme="minorHAnsi" w:cstheme="minorHAnsi"/>
          <w:bCs/>
          <w:iCs/>
          <w:lang w:val="en-US"/>
        </w:rPr>
        <w:t xml:space="preserve"> </w:t>
      </w:r>
    </w:p>
    <w:p w14:paraId="3A833EED" w14:textId="77777777" w:rsidR="00C65A41" w:rsidRPr="00883E0C" w:rsidRDefault="00C65A41" w:rsidP="00602BB2">
      <w:pPr>
        <w:jc w:val="both"/>
        <w:rPr>
          <w:rFonts w:asciiTheme="minorHAnsi" w:hAnsiTheme="minorHAnsi" w:cstheme="minorHAnsi"/>
          <w:bCs/>
          <w:iCs/>
          <w:lang w:val="en-US"/>
        </w:rPr>
      </w:pPr>
    </w:p>
    <w:p w14:paraId="5811DAA5" w14:textId="5A5B4DD5" w:rsidR="00615D71" w:rsidRPr="00883E0C" w:rsidRDefault="0014358C" w:rsidP="00602BB2">
      <w:pPr>
        <w:jc w:val="both"/>
        <w:rPr>
          <w:rFonts w:asciiTheme="minorHAnsi" w:hAnsiTheme="minorHAnsi" w:cstheme="minorHAnsi"/>
          <w:bCs/>
          <w:iCs/>
        </w:rPr>
      </w:pPr>
      <w:r w:rsidRPr="00883E0C">
        <w:rPr>
          <w:rFonts w:asciiTheme="minorHAnsi" w:hAnsiTheme="minorHAnsi" w:cstheme="minorHAnsi"/>
          <w:bCs/>
          <w:iCs/>
          <w:lang w:val="en-US"/>
        </w:rPr>
        <w:t xml:space="preserve">The </w:t>
      </w:r>
      <w:hyperlink r:id="rId22" w:history="1">
        <w:r w:rsidRPr="00883E0C">
          <w:rPr>
            <w:rStyle w:val="Hyperlink"/>
            <w:rFonts w:asciiTheme="minorHAnsi" w:hAnsiTheme="minorHAnsi" w:cstheme="minorHAnsi"/>
            <w:bCs/>
            <w:iCs/>
            <w:lang w:val="en-US"/>
          </w:rPr>
          <w:t>Convention</w:t>
        </w:r>
        <w:r w:rsidR="00097182" w:rsidRPr="00883E0C">
          <w:rPr>
            <w:rStyle w:val="Hyperlink"/>
            <w:rFonts w:asciiTheme="minorHAnsi" w:hAnsiTheme="minorHAnsi" w:cstheme="minorHAnsi"/>
            <w:bCs/>
            <w:iCs/>
            <w:lang w:val="en-US"/>
          </w:rPr>
          <w:t xml:space="preserve"> on the Rights of Persons with Disabilities</w:t>
        </w:r>
      </w:hyperlink>
      <w:r w:rsidR="004928A6" w:rsidRPr="00883E0C">
        <w:rPr>
          <w:rFonts w:asciiTheme="minorHAnsi" w:hAnsiTheme="minorHAnsi" w:cstheme="minorHAnsi"/>
          <w:bCs/>
          <w:iCs/>
          <w:lang w:val="en-US"/>
        </w:rPr>
        <w:t xml:space="preserve"> also</w:t>
      </w:r>
      <w:r w:rsidRPr="00883E0C">
        <w:rPr>
          <w:rFonts w:asciiTheme="minorHAnsi" w:hAnsiTheme="minorHAnsi" w:cstheme="minorHAnsi"/>
          <w:bCs/>
          <w:iCs/>
          <w:lang w:val="en-US"/>
        </w:rPr>
        <w:t xml:space="preserve"> recognizes multiple forms of discrimination faced by women</w:t>
      </w:r>
      <w:r w:rsidR="00542146" w:rsidRPr="00883E0C">
        <w:rPr>
          <w:rFonts w:asciiTheme="minorHAnsi" w:hAnsiTheme="minorHAnsi" w:cstheme="minorHAnsi"/>
          <w:bCs/>
          <w:iCs/>
          <w:lang w:val="en-US"/>
        </w:rPr>
        <w:t xml:space="preserve"> and girls</w:t>
      </w:r>
      <w:r w:rsidRPr="00883E0C">
        <w:rPr>
          <w:rFonts w:asciiTheme="minorHAnsi" w:hAnsiTheme="minorHAnsi" w:cstheme="minorHAnsi"/>
          <w:bCs/>
          <w:iCs/>
          <w:lang w:val="en-US"/>
        </w:rPr>
        <w:t xml:space="preserve"> with disabilities, which </w:t>
      </w:r>
      <w:r w:rsidR="00701469" w:rsidRPr="00883E0C">
        <w:rPr>
          <w:rFonts w:asciiTheme="minorHAnsi" w:hAnsiTheme="minorHAnsi" w:cstheme="minorHAnsi"/>
          <w:bCs/>
          <w:iCs/>
          <w:lang w:val="en-US"/>
        </w:rPr>
        <w:t>means that women</w:t>
      </w:r>
      <w:r w:rsidR="00542146" w:rsidRPr="00883E0C">
        <w:rPr>
          <w:rFonts w:asciiTheme="minorHAnsi" w:hAnsiTheme="minorHAnsi" w:cstheme="minorHAnsi"/>
          <w:bCs/>
          <w:iCs/>
          <w:lang w:val="en-US"/>
        </w:rPr>
        <w:t xml:space="preserve"> and girls</w:t>
      </w:r>
      <w:r w:rsidR="00701469" w:rsidRPr="00883E0C">
        <w:rPr>
          <w:rFonts w:asciiTheme="minorHAnsi" w:hAnsiTheme="minorHAnsi" w:cstheme="minorHAnsi"/>
          <w:bCs/>
          <w:iCs/>
          <w:lang w:val="en-US"/>
        </w:rPr>
        <w:t xml:space="preserve"> with disabilities </w:t>
      </w:r>
      <w:r w:rsidRPr="00883E0C">
        <w:rPr>
          <w:rFonts w:asciiTheme="minorHAnsi" w:hAnsiTheme="minorHAnsi" w:cstheme="minorHAnsi"/>
          <w:bCs/>
          <w:iCs/>
          <w:lang w:val="en-US"/>
        </w:rPr>
        <w:t xml:space="preserve">do not experience </w:t>
      </w:r>
      <w:r w:rsidR="00701469" w:rsidRPr="00883E0C">
        <w:rPr>
          <w:rFonts w:asciiTheme="minorHAnsi" w:hAnsiTheme="minorHAnsi" w:cstheme="minorHAnsi"/>
          <w:bCs/>
          <w:iCs/>
          <w:lang w:val="en-US"/>
        </w:rPr>
        <w:t xml:space="preserve">discrimination </w:t>
      </w:r>
      <w:r w:rsidRPr="00883E0C">
        <w:rPr>
          <w:rFonts w:asciiTheme="minorHAnsi" w:hAnsiTheme="minorHAnsi" w:cstheme="minorHAnsi"/>
          <w:bCs/>
          <w:iCs/>
          <w:lang w:val="en-US"/>
        </w:rPr>
        <w:t>as “a homogenous group but, rather, as individuals with multidimensional layers of identities”</w:t>
      </w:r>
      <w:r w:rsidR="0075553B" w:rsidRPr="00883E0C">
        <w:rPr>
          <w:rFonts w:asciiTheme="minorHAnsi" w:hAnsiTheme="minorHAnsi" w:cstheme="minorHAnsi"/>
          <w:bCs/>
          <w:iCs/>
          <w:lang w:val="en-US"/>
        </w:rPr>
        <w:t>.</w:t>
      </w:r>
      <w:r w:rsidR="0075553B" w:rsidRPr="00883E0C">
        <w:rPr>
          <w:rStyle w:val="FootnoteReference"/>
          <w:rFonts w:asciiTheme="minorHAnsi" w:hAnsiTheme="minorHAnsi" w:cstheme="minorHAnsi"/>
          <w:bCs/>
          <w:iCs/>
          <w:lang w:val="en-US"/>
        </w:rPr>
        <w:footnoteReference w:id="8"/>
      </w:r>
      <w:r w:rsidRPr="00883E0C">
        <w:rPr>
          <w:rFonts w:asciiTheme="minorHAnsi" w:hAnsiTheme="minorHAnsi" w:cstheme="minorHAnsi"/>
          <w:bCs/>
          <w:iCs/>
          <w:lang w:val="en-US"/>
        </w:rPr>
        <w:t xml:space="preserve"> Moreover, </w:t>
      </w:r>
      <w:r w:rsidRPr="00883E0C">
        <w:rPr>
          <w:rFonts w:asciiTheme="minorHAnsi" w:hAnsiTheme="minorHAnsi" w:cstheme="minorHAnsi"/>
          <w:bCs/>
          <w:iCs/>
        </w:rPr>
        <w:t xml:space="preserve">under the </w:t>
      </w:r>
      <w:hyperlink r:id="rId23" w:history="1">
        <w:r w:rsidRPr="00883E0C">
          <w:rPr>
            <w:rStyle w:val="Hyperlink"/>
            <w:rFonts w:asciiTheme="minorHAnsi" w:hAnsiTheme="minorHAnsi" w:cstheme="minorHAnsi"/>
            <w:bCs/>
            <w:iCs/>
          </w:rPr>
          <w:t>Convention on the Elimination of All Forms of Discrimination Against Women</w:t>
        </w:r>
      </w:hyperlink>
      <w:r w:rsidRPr="00883E0C">
        <w:rPr>
          <w:rFonts w:asciiTheme="minorHAnsi" w:hAnsiTheme="minorHAnsi" w:cstheme="minorHAnsi"/>
          <w:bCs/>
          <w:iCs/>
        </w:rPr>
        <w:t>, there is recognition that discrimination against women, including gender-based violence, is shaped by intersecting dimensions of inequality, including disability</w:t>
      </w:r>
      <w:r w:rsidR="0075553B" w:rsidRPr="00883E0C">
        <w:rPr>
          <w:rStyle w:val="FootnoteReference"/>
          <w:rFonts w:asciiTheme="minorHAnsi" w:hAnsiTheme="minorHAnsi" w:cstheme="minorHAnsi"/>
          <w:bCs/>
          <w:iCs/>
        </w:rPr>
        <w:footnoteReference w:id="9"/>
      </w:r>
      <w:r w:rsidRPr="00883E0C">
        <w:rPr>
          <w:rFonts w:asciiTheme="minorHAnsi" w:hAnsiTheme="minorHAnsi" w:cstheme="minorHAnsi"/>
          <w:bCs/>
          <w:iCs/>
        </w:rPr>
        <w:t xml:space="preserve"> </w:t>
      </w:r>
      <w:r w:rsidR="00FD07AE" w:rsidRPr="00883E0C">
        <w:rPr>
          <w:rFonts w:asciiTheme="minorHAnsi" w:hAnsiTheme="minorHAnsi" w:cstheme="minorHAnsi"/>
          <w:bCs/>
          <w:iCs/>
        </w:rPr>
        <w:t>.</w:t>
      </w:r>
      <w:r w:rsidRPr="00883E0C">
        <w:rPr>
          <w:rFonts w:asciiTheme="minorHAnsi" w:hAnsiTheme="minorHAnsi" w:cstheme="minorHAnsi"/>
          <w:bCs/>
          <w:iCs/>
        </w:rPr>
        <w:t xml:space="preserve">The </w:t>
      </w:r>
      <w:hyperlink r:id="rId24" w:history="1">
        <w:r w:rsidRPr="00883E0C">
          <w:rPr>
            <w:rStyle w:val="Hyperlink"/>
            <w:rFonts w:asciiTheme="minorHAnsi" w:hAnsiTheme="minorHAnsi" w:cstheme="minorHAnsi"/>
            <w:bCs/>
            <w:iCs/>
          </w:rPr>
          <w:t>Agenda 2030 for Sustainable Development</w:t>
        </w:r>
      </w:hyperlink>
      <w:r w:rsidRPr="00883E0C">
        <w:rPr>
          <w:rFonts w:asciiTheme="minorHAnsi" w:hAnsiTheme="minorHAnsi" w:cstheme="minorHAnsi"/>
          <w:bCs/>
          <w:iCs/>
        </w:rPr>
        <w:t xml:space="preserve"> also </w:t>
      </w:r>
      <w:r w:rsidR="00701469" w:rsidRPr="00883E0C">
        <w:rPr>
          <w:rFonts w:asciiTheme="minorHAnsi" w:hAnsiTheme="minorHAnsi" w:cstheme="minorHAnsi"/>
          <w:bCs/>
          <w:iCs/>
        </w:rPr>
        <w:t>calls for the elimination of</w:t>
      </w:r>
      <w:r w:rsidRPr="00883E0C">
        <w:rPr>
          <w:rFonts w:asciiTheme="minorHAnsi" w:hAnsiTheme="minorHAnsi" w:cstheme="minorHAnsi"/>
          <w:bCs/>
          <w:iCs/>
        </w:rPr>
        <w:t xml:space="preserve"> </w:t>
      </w:r>
      <w:r w:rsidR="00701469" w:rsidRPr="00883E0C">
        <w:rPr>
          <w:rFonts w:asciiTheme="minorHAnsi" w:hAnsiTheme="minorHAnsi" w:cstheme="minorHAnsi"/>
          <w:bCs/>
          <w:iCs/>
        </w:rPr>
        <w:t>“</w:t>
      </w:r>
      <w:r w:rsidRPr="00883E0C">
        <w:rPr>
          <w:rFonts w:asciiTheme="minorHAnsi" w:hAnsiTheme="minorHAnsi" w:cstheme="minorHAnsi"/>
          <w:bCs/>
          <w:iCs/>
        </w:rPr>
        <w:t>all forms of violence against all women and girls in the public and pr</w:t>
      </w:r>
      <w:r w:rsidR="00EB7F0C" w:rsidRPr="00883E0C">
        <w:rPr>
          <w:rFonts w:asciiTheme="minorHAnsi" w:hAnsiTheme="minorHAnsi" w:cstheme="minorHAnsi"/>
          <w:bCs/>
          <w:iCs/>
        </w:rPr>
        <w:t>ivate spheres”</w:t>
      </w:r>
      <w:r w:rsidR="00F21F97" w:rsidRPr="00883E0C">
        <w:rPr>
          <w:rFonts w:asciiTheme="minorHAnsi" w:hAnsiTheme="minorHAnsi" w:cstheme="minorHAnsi"/>
          <w:bCs/>
          <w:iCs/>
        </w:rPr>
        <w:t xml:space="preserve"> </w:t>
      </w:r>
      <w:hyperlink r:id="rId25" w:anchor="policy" w:history="1">
        <w:r w:rsidR="00F21F97" w:rsidRPr="00883E0C">
          <w:rPr>
            <w:rStyle w:val="Hyperlink"/>
            <w:rFonts w:asciiTheme="minorHAnsi" w:hAnsiTheme="minorHAnsi" w:cstheme="minorHAnsi"/>
            <w:bCs/>
            <w:iCs/>
          </w:rPr>
          <w:t xml:space="preserve">and </w:t>
        </w:r>
        <w:r w:rsidR="00C75B8E" w:rsidRPr="00883E0C">
          <w:rPr>
            <w:rStyle w:val="Hyperlink"/>
            <w:rFonts w:asciiTheme="minorHAnsi" w:hAnsiTheme="minorHAnsi" w:cstheme="minorHAnsi"/>
            <w:bCs/>
            <w:iCs/>
          </w:rPr>
          <w:t xml:space="preserve">making the SDG 5 is inclusive </w:t>
        </w:r>
        <w:r w:rsidR="00F21F97" w:rsidRPr="00883E0C">
          <w:rPr>
            <w:rStyle w:val="Hyperlink"/>
            <w:rFonts w:asciiTheme="minorHAnsi" w:hAnsiTheme="minorHAnsi" w:cstheme="minorHAnsi"/>
            <w:bCs/>
            <w:iCs/>
          </w:rPr>
          <w:t>of women and girls with disabilities</w:t>
        </w:r>
      </w:hyperlink>
      <w:r w:rsidR="00F21F97" w:rsidRPr="00883E0C">
        <w:rPr>
          <w:rStyle w:val="FootnoteReference"/>
          <w:rFonts w:asciiTheme="minorHAnsi" w:hAnsiTheme="minorHAnsi" w:cstheme="minorHAnsi"/>
          <w:bCs/>
          <w:iCs/>
        </w:rPr>
        <w:footnoteReference w:id="10"/>
      </w:r>
      <w:r w:rsidR="00EB7F0C" w:rsidRPr="00883E0C">
        <w:rPr>
          <w:rFonts w:asciiTheme="minorHAnsi" w:hAnsiTheme="minorHAnsi" w:cstheme="minorHAnsi"/>
          <w:bCs/>
          <w:iCs/>
        </w:rPr>
        <w:t xml:space="preserve">. </w:t>
      </w:r>
    </w:p>
    <w:p w14:paraId="3FFDCFE5" w14:textId="77777777" w:rsidR="001C7909" w:rsidRPr="00883E0C" w:rsidRDefault="001C7909" w:rsidP="00602BB2">
      <w:pPr>
        <w:jc w:val="both"/>
        <w:rPr>
          <w:rFonts w:asciiTheme="minorHAnsi" w:hAnsiTheme="minorHAnsi" w:cstheme="minorHAnsi"/>
          <w:bCs/>
          <w:iCs/>
        </w:rPr>
      </w:pPr>
    </w:p>
    <w:p w14:paraId="622C085D" w14:textId="6D6E0BFD" w:rsidR="003963F9" w:rsidRPr="00062AE9" w:rsidRDefault="00701469" w:rsidP="00602BB2">
      <w:pPr>
        <w:jc w:val="both"/>
        <w:rPr>
          <w:rFonts w:asciiTheme="minorHAnsi" w:hAnsiTheme="minorHAnsi" w:cstheme="minorHAnsi"/>
          <w:bCs/>
          <w:iCs/>
        </w:rPr>
      </w:pPr>
      <w:r w:rsidRPr="00883E0C">
        <w:rPr>
          <w:rFonts w:asciiTheme="minorHAnsi" w:hAnsiTheme="minorHAnsi" w:cstheme="minorHAnsi"/>
        </w:rPr>
        <w:t>The prohibition of gender-based violence against women has evolved into a principle of customary international law</w:t>
      </w:r>
      <w:r w:rsidR="005C3B43" w:rsidRPr="00883E0C">
        <w:rPr>
          <w:rStyle w:val="FootnoteReference"/>
          <w:rFonts w:asciiTheme="minorHAnsi" w:hAnsiTheme="minorHAnsi" w:cstheme="minorHAnsi"/>
        </w:rPr>
        <w:footnoteReference w:id="11"/>
      </w:r>
      <w:r w:rsidRPr="00883E0C">
        <w:rPr>
          <w:rFonts w:asciiTheme="minorHAnsi" w:hAnsiTheme="minorHAnsi" w:cstheme="minorHAnsi"/>
        </w:rPr>
        <w:t xml:space="preserve">. </w:t>
      </w:r>
      <w:r w:rsidR="001C7909" w:rsidRPr="00883E0C">
        <w:rPr>
          <w:rFonts w:asciiTheme="minorHAnsi" w:hAnsiTheme="minorHAnsi" w:cstheme="minorHAnsi"/>
          <w:bCs/>
          <w:iCs/>
        </w:rPr>
        <w:t xml:space="preserve">While the international framework has </w:t>
      </w:r>
      <w:r w:rsidRPr="00883E0C">
        <w:rPr>
          <w:rFonts w:asciiTheme="minorHAnsi" w:hAnsiTheme="minorHAnsi" w:cstheme="minorHAnsi"/>
          <w:bCs/>
          <w:iCs/>
        </w:rPr>
        <w:t>developed</w:t>
      </w:r>
      <w:r w:rsidR="001C7909" w:rsidRPr="00883E0C">
        <w:rPr>
          <w:rFonts w:asciiTheme="minorHAnsi" w:hAnsiTheme="minorHAnsi" w:cstheme="minorHAnsi"/>
          <w:bCs/>
          <w:iCs/>
        </w:rPr>
        <w:t xml:space="preserve">, many forms of gender-based violence against women </w:t>
      </w:r>
      <w:r w:rsidRPr="00883E0C">
        <w:rPr>
          <w:rFonts w:asciiTheme="minorHAnsi" w:hAnsiTheme="minorHAnsi" w:cstheme="minorHAnsi"/>
          <w:bCs/>
          <w:iCs/>
        </w:rPr>
        <w:t xml:space="preserve">and girls with disabilities </w:t>
      </w:r>
      <w:r w:rsidR="001C7909" w:rsidRPr="00883E0C">
        <w:rPr>
          <w:rFonts w:asciiTheme="minorHAnsi" w:hAnsiTheme="minorHAnsi" w:cstheme="minorHAnsi"/>
          <w:bCs/>
          <w:iCs/>
        </w:rPr>
        <w:t>continue to be invisi</w:t>
      </w:r>
      <w:r w:rsidR="00F22D52" w:rsidRPr="00883E0C">
        <w:rPr>
          <w:rFonts w:asciiTheme="minorHAnsi" w:hAnsiTheme="minorHAnsi" w:cstheme="minorHAnsi"/>
          <w:bCs/>
          <w:iCs/>
        </w:rPr>
        <w:t>ble to the public and to policy-</w:t>
      </w:r>
      <w:r w:rsidR="001C7909" w:rsidRPr="00883E0C">
        <w:rPr>
          <w:rFonts w:asciiTheme="minorHAnsi" w:hAnsiTheme="minorHAnsi" w:cstheme="minorHAnsi"/>
          <w:bCs/>
          <w:iCs/>
        </w:rPr>
        <w:t xml:space="preserve">makers. </w:t>
      </w:r>
    </w:p>
    <w:p w14:paraId="0E735626" w14:textId="77777777" w:rsidR="00C65A41" w:rsidRPr="00883E0C" w:rsidRDefault="00C65A41" w:rsidP="00C65A41">
      <w:pPr>
        <w:pStyle w:val="ListParagraph"/>
        <w:ind w:left="0"/>
        <w:jc w:val="both"/>
        <w:rPr>
          <w:rFonts w:asciiTheme="minorHAnsi" w:hAnsiTheme="minorHAnsi" w:cstheme="minorHAnsi"/>
          <w:b/>
        </w:rPr>
      </w:pPr>
    </w:p>
    <w:p w14:paraId="79BCA3E0" w14:textId="77777777" w:rsidR="00443D0D" w:rsidRPr="00883E0C" w:rsidRDefault="00C14B27" w:rsidP="00AA5CF5">
      <w:pPr>
        <w:pStyle w:val="ListParagraph"/>
        <w:numPr>
          <w:ilvl w:val="0"/>
          <w:numId w:val="9"/>
        </w:numPr>
        <w:jc w:val="both"/>
        <w:rPr>
          <w:rFonts w:asciiTheme="minorHAnsi" w:hAnsiTheme="minorHAnsi" w:cstheme="minorHAnsi"/>
        </w:rPr>
      </w:pPr>
      <w:r w:rsidRPr="00883E0C">
        <w:rPr>
          <w:rFonts w:asciiTheme="minorHAnsi" w:hAnsiTheme="minorHAnsi" w:cstheme="minorHAnsi"/>
          <w:b/>
        </w:rPr>
        <w:t>Increasing</w:t>
      </w:r>
      <w:r w:rsidR="00D22E64" w:rsidRPr="00883E0C">
        <w:rPr>
          <w:rFonts w:asciiTheme="minorHAnsi" w:hAnsiTheme="minorHAnsi" w:cstheme="minorHAnsi"/>
          <w:b/>
        </w:rPr>
        <w:t xml:space="preserve"> risks of gender-based violence against w</w:t>
      </w:r>
      <w:r w:rsidR="008000FB" w:rsidRPr="00883E0C">
        <w:rPr>
          <w:rFonts w:asciiTheme="minorHAnsi" w:hAnsiTheme="minorHAnsi" w:cstheme="minorHAnsi"/>
          <w:b/>
        </w:rPr>
        <w:t>omen and girls with disabilities</w:t>
      </w:r>
      <w:r w:rsidR="00D22E64" w:rsidRPr="00883E0C">
        <w:rPr>
          <w:rFonts w:asciiTheme="minorHAnsi" w:hAnsiTheme="minorHAnsi" w:cstheme="minorHAnsi"/>
          <w:b/>
        </w:rPr>
        <w:t>, including during the pandemic</w:t>
      </w:r>
      <w:r w:rsidR="008000FB" w:rsidRPr="00883E0C">
        <w:rPr>
          <w:rFonts w:asciiTheme="minorHAnsi" w:hAnsiTheme="minorHAnsi" w:cstheme="minorHAnsi"/>
        </w:rPr>
        <w:t xml:space="preserve"> </w:t>
      </w:r>
    </w:p>
    <w:p w14:paraId="54E7D1CB" w14:textId="77777777" w:rsidR="00540EDD" w:rsidRPr="00883E0C" w:rsidRDefault="00540EDD" w:rsidP="00B64905">
      <w:pPr>
        <w:jc w:val="both"/>
        <w:rPr>
          <w:rFonts w:asciiTheme="minorHAnsi" w:hAnsiTheme="minorHAnsi" w:cstheme="minorHAnsi"/>
          <w:i/>
        </w:rPr>
      </w:pPr>
    </w:p>
    <w:p w14:paraId="5C6837AE" w14:textId="668B2209" w:rsidR="00B64905" w:rsidRPr="00883E0C" w:rsidRDefault="00B64905" w:rsidP="00B64905">
      <w:pPr>
        <w:jc w:val="both"/>
        <w:rPr>
          <w:rFonts w:asciiTheme="minorHAnsi" w:hAnsiTheme="minorHAnsi" w:cstheme="minorHAnsi"/>
        </w:rPr>
      </w:pPr>
      <w:r w:rsidRPr="00883E0C">
        <w:rPr>
          <w:rFonts w:asciiTheme="minorHAnsi" w:hAnsiTheme="minorHAnsi" w:cstheme="minorHAnsi"/>
        </w:rPr>
        <w:t xml:space="preserve">As revealed by </w:t>
      </w:r>
      <w:hyperlink r:id="rId26" w:history="1">
        <w:r w:rsidRPr="00883E0C">
          <w:rPr>
            <w:rStyle w:val="Hyperlink"/>
            <w:rFonts w:asciiTheme="minorHAnsi" w:hAnsiTheme="minorHAnsi" w:cstheme="minorHAnsi"/>
          </w:rPr>
          <w:t>their experiences and testimonies</w:t>
        </w:r>
      </w:hyperlink>
      <w:r w:rsidRPr="00883E0C">
        <w:rPr>
          <w:rFonts w:asciiTheme="minorHAnsi" w:hAnsiTheme="minorHAnsi" w:cstheme="minorHAnsi"/>
        </w:rPr>
        <w:t xml:space="preserve">, women and girls with disabilities, who make up almost one-fifth of the world’s population of women, are at least two to three times more likely than </w:t>
      </w:r>
      <w:r w:rsidR="00CA3578" w:rsidRPr="00883E0C">
        <w:rPr>
          <w:rFonts w:asciiTheme="minorHAnsi" w:hAnsiTheme="minorHAnsi" w:cstheme="minorHAnsi"/>
        </w:rPr>
        <w:t xml:space="preserve">other </w:t>
      </w:r>
      <w:r w:rsidRPr="00883E0C">
        <w:rPr>
          <w:rFonts w:asciiTheme="minorHAnsi" w:hAnsiTheme="minorHAnsi" w:cstheme="minorHAnsi"/>
        </w:rPr>
        <w:t xml:space="preserve">women to experience gender-based violence in the private and public spheres, including at their homes and family settings, schools, psychiatric settings, </w:t>
      </w:r>
      <w:r w:rsidRPr="00883E0C">
        <w:rPr>
          <w:rFonts w:asciiTheme="minorHAnsi" w:hAnsiTheme="minorHAnsi" w:cstheme="minorHAnsi"/>
          <w:bCs/>
          <w:iCs/>
          <w:lang w:val="en-US"/>
        </w:rPr>
        <w:t xml:space="preserve">residential facilities or </w:t>
      </w:r>
      <w:r w:rsidRPr="00883E0C">
        <w:rPr>
          <w:rFonts w:asciiTheme="minorHAnsi" w:hAnsiTheme="minorHAnsi" w:cstheme="minorHAnsi"/>
        </w:rPr>
        <w:t xml:space="preserve">institutions, as well as online and in emergency situations. While they experience both the same forms of gender-based violence as women and girls without disabilities they </w:t>
      </w:r>
      <w:r w:rsidR="004001D5" w:rsidRPr="00883E0C">
        <w:rPr>
          <w:rFonts w:asciiTheme="minorHAnsi" w:hAnsiTheme="minorHAnsi" w:cstheme="minorHAnsi"/>
        </w:rPr>
        <w:t>continue to b</w:t>
      </w:r>
      <w:r w:rsidRPr="00883E0C">
        <w:rPr>
          <w:rFonts w:asciiTheme="minorHAnsi" w:hAnsiTheme="minorHAnsi" w:cstheme="minorHAnsi"/>
        </w:rPr>
        <w:t>e subjected to specific and unique forms of gender-based violence due to gender and impairment, including institutional and structural forms of violence, such as forced treatment, denial of legal and decision-making capacity, and violations of sexual and reproductive rights.</w:t>
      </w:r>
      <w:r w:rsidRPr="00883E0C">
        <w:rPr>
          <w:rStyle w:val="FootnoteReference"/>
          <w:rFonts w:asciiTheme="minorHAnsi" w:hAnsiTheme="minorHAnsi" w:cstheme="minorHAnsi"/>
        </w:rPr>
        <w:footnoteReference w:id="12"/>
      </w:r>
      <w:r w:rsidRPr="00883E0C">
        <w:rPr>
          <w:rFonts w:asciiTheme="minorHAnsi" w:hAnsiTheme="minorHAnsi" w:cstheme="minorHAnsi"/>
        </w:rPr>
        <w:t xml:space="preserve"> </w:t>
      </w:r>
    </w:p>
    <w:p w14:paraId="252CED5F" w14:textId="77777777" w:rsidR="00B64905" w:rsidRPr="00883E0C" w:rsidRDefault="00B64905" w:rsidP="00B64905">
      <w:pPr>
        <w:jc w:val="both"/>
        <w:rPr>
          <w:rFonts w:asciiTheme="minorHAnsi" w:hAnsiTheme="minorHAnsi" w:cstheme="minorHAnsi"/>
        </w:rPr>
      </w:pPr>
    </w:p>
    <w:p w14:paraId="25A2B652" w14:textId="02A5B3C7" w:rsidR="00B64905" w:rsidRPr="00883E0C" w:rsidRDefault="004001D5" w:rsidP="007C6C3D">
      <w:pPr>
        <w:jc w:val="both"/>
        <w:rPr>
          <w:rFonts w:asciiTheme="minorHAnsi" w:hAnsiTheme="minorHAnsi" w:cstheme="minorHAnsi"/>
        </w:rPr>
      </w:pPr>
      <w:r w:rsidRPr="00883E0C">
        <w:rPr>
          <w:rFonts w:asciiTheme="minorHAnsi" w:hAnsiTheme="minorHAnsi" w:cstheme="minorHAnsi"/>
        </w:rPr>
        <w:t>H</w:t>
      </w:r>
      <w:r w:rsidR="00443D0D" w:rsidRPr="00883E0C">
        <w:rPr>
          <w:rFonts w:asciiTheme="minorHAnsi" w:hAnsiTheme="minorHAnsi" w:cstheme="minorHAnsi"/>
        </w:rPr>
        <w:t>armful stereotypes and stigmatization</w:t>
      </w:r>
      <w:r w:rsidR="001F33A4" w:rsidRPr="00883E0C">
        <w:rPr>
          <w:rFonts w:asciiTheme="minorHAnsi" w:hAnsiTheme="minorHAnsi" w:cstheme="minorHAnsi"/>
        </w:rPr>
        <w:t xml:space="preserve"> against women and girls with disabilities</w:t>
      </w:r>
      <w:r w:rsidR="00443D0D" w:rsidRPr="00883E0C">
        <w:rPr>
          <w:rFonts w:asciiTheme="minorHAnsi" w:hAnsiTheme="minorHAnsi" w:cstheme="minorHAnsi"/>
        </w:rPr>
        <w:t xml:space="preserve"> heighten the risk of experiencing violence, as women and girls with disabilities are </w:t>
      </w:r>
      <w:r w:rsidR="00D30EB3" w:rsidRPr="00883E0C">
        <w:rPr>
          <w:rFonts w:asciiTheme="minorHAnsi" w:hAnsiTheme="minorHAnsi" w:cstheme="minorHAnsi"/>
        </w:rPr>
        <w:t>undermined</w:t>
      </w:r>
      <w:r w:rsidR="00CA3578" w:rsidRPr="00883E0C">
        <w:rPr>
          <w:rFonts w:asciiTheme="minorHAnsi" w:hAnsiTheme="minorHAnsi" w:cstheme="minorHAnsi"/>
        </w:rPr>
        <w:t>,</w:t>
      </w:r>
      <w:r w:rsidR="00D30EB3" w:rsidRPr="00883E0C">
        <w:rPr>
          <w:rFonts w:asciiTheme="minorHAnsi" w:hAnsiTheme="minorHAnsi" w:cstheme="minorHAnsi"/>
        </w:rPr>
        <w:t xml:space="preserve"> and considered unable</w:t>
      </w:r>
      <w:r w:rsidR="00CA3578" w:rsidRPr="00883E0C">
        <w:rPr>
          <w:rFonts w:asciiTheme="minorHAnsi" w:hAnsiTheme="minorHAnsi" w:cstheme="minorHAnsi"/>
        </w:rPr>
        <w:t>,</w:t>
      </w:r>
      <w:r w:rsidR="00D30EB3" w:rsidRPr="00883E0C">
        <w:rPr>
          <w:rFonts w:asciiTheme="minorHAnsi" w:hAnsiTheme="minorHAnsi" w:cstheme="minorHAnsi"/>
        </w:rPr>
        <w:t xml:space="preserve"> to make judgment</w:t>
      </w:r>
      <w:r w:rsidR="00F1222D" w:rsidRPr="00883E0C">
        <w:rPr>
          <w:rFonts w:asciiTheme="minorHAnsi" w:hAnsiTheme="minorHAnsi" w:cstheme="minorHAnsi"/>
        </w:rPr>
        <w:t>s</w:t>
      </w:r>
      <w:r w:rsidR="00D30EB3" w:rsidRPr="00883E0C">
        <w:rPr>
          <w:rFonts w:asciiTheme="minorHAnsi" w:hAnsiTheme="minorHAnsi" w:cstheme="minorHAnsi"/>
        </w:rPr>
        <w:t xml:space="preserve"> and decisions</w:t>
      </w:r>
      <w:r w:rsidR="00443D0D" w:rsidRPr="00883E0C">
        <w:rPr>
          <w:rFonts w:asciiTheme="minorHAnsi" w:hAnsiTheme="minorHAnsi" w:cstheme="minorHAnsi"/>
        </w:rPr>
        <w:t xml:space="preserve">. </w:t>
      </w:r>
      <w:r w:rsidR="0044428F" w:rsidRPr="00883E0C">
        <w:rPr>
          <w:rFonts w:asciiTheme="minorHAnsi" w:hAnsiTheme="minorHAnsi" w:cstheme="minorHAnsi"/>
        </w:rPr>
        <w:t>Women and girls with disabilities’ lack of access to high-</w:t>
      </w:r>
      <w:r w:rsidR="00563A53" w:rsidRPr="00883E0C">
        <w:rPr>
          <w:rFonts w:asciiTheme="minorHAnsi" w:hAnsiTheme="minorHAnsi" w:cstheme="minorHAnsi"/>
        </w:rPr>
        <w:t>quality</w:t>
      </w:r>
      <w:r w:rsidR="0044428F" w:rsidRPr="00883E0C">
        <w:rPr>
          <w:rFonts w:asciiTheme="minorHAnsi" w:hAnsiTheme="minorHAnsi" w:cstheme="minorHAnsi"/>
        </w:rPr>
        <w:t xml:space="preserve"> and</w:t>
      </w:r>
      <w:r w:rsidR="00563A53" w:rsidRPr="00883E0C">
        <w:rPr>
          <w:rFonts w:asciiTheme="minorHAnsi" w:hAnsiTheme="minorHAnsi" w:cstheme="minorHAnsi"/>
        </w:rPr>
        <w:t xml:space="preserve"> inclusive education reinforce stereotypes</w:t>
      </w:r>
      <w:r w:rsidR="0044428F" w:rsidRPr="00883E0C">
        <w:rPr>
          <w:rFonts w:asciiTheme="minorHAnsi" w:hAnsiTheme="minorHAnsi" w:cstheme="minorHAnsi"/>
        </w:rPr>
        <w:t>,</w:t>
      </w:r>
      <w:r w:rsidR="00563A53" w:rsidRPr="00883E0C">
        <w:rPr>
          <w:rFonts w:asciiTheme="minorHAnsi" w:hAnsiTheme="minorHAnsi" w:cstheme="minorHAnsi"/>
        </w:rPr>
        <w:t xml:space="preserve"> </w:t>
      </w:r>
      <w:r w:rsidR="0044428F" w:rsidRPr="00883E0C">
        <w:rPr>
          <w:rFonts w:asciiTheme="minorHAnsi" w:hAnsiTheme="minorHAnsi" w:cstheme="minorHAnsi"/>
        </w:rPr>
        <w:t>and curtail control over their health and sexual and reproductive decisions</w:t>
      </w:r>
      <w:r w:rsidR="0044428F" w:rsidRPr="00883E0C">
        <w:rPr>
          <w:rStyle w:val="FootnoteReference"/>
          <w:rFonts w:asciiTheme="minorHAnsi" w:hAnsiTheme="minorHAnsi" w:cstheme="minorHAnsi"/>
        </w:rPr>
        <w:footnoteReference w:id="13"/>
      </w:r>
      <w:r w:rsidR="0044428F" w:rsidRPr="00883E0C">
        <w:rPr>
          <w:rFonts w:asciiTheme="minorHAnsi" w:hAnsiTheme="minorHAnsi" w:cstheme="minorHAnsi"/>
        </w:rPr>
        <w:t xml:space="preserve">, which results in higher risks of violence, including sexual violence, and abuse against them. </w:t>
      </w:r>
      <w:r w:rsidR="00542146" w:rsidRPr="00883E0C">
        <w:rPr>
          <w:rFonts w:asciiTheme="minorHAnsi" w:hAnsiTheme="minorHAnsi" w:cstheme="minorHAnsi"/>
        </w:rPr>
        <w:t>Indigenous women and girls with disabilities and those who are living in remote and rural areas are often subjected to intersecting forms of discrimination</w:t>
      </w:r>
      <w:r w:rsidR="00016DAF" w:rsidRPr="00883E0C">
        <w:rPr>
          <w:rFonts w:asciiTheme="minorHAnsi" w:hAnsiTheme="minorHAnsi" w:cstheme="minorHAnsi"/>
        </w:rPr>
        <w:t xml:space="preserve"> due to gender, ethnicity and disability</w:t>
      </w:r>
      <w:r w:rsidR="00542146" w:rsidRPr="00883E0C">
        <w:rPr>
          <w:rFonts w:asciiTheme="minorHAnsi" w:hAnsiTheme="minorHAnsi" w:cstheme="minorHAnsi"/>
        </w:rPr>
        <w:t xml:space="preserve">, </w:t>
      </w:r>
      <w:r w:rsidR="001425B2" w:rsidRPr="00883E0C">
        <w:rPr>
          <w:rFonts w:asciiTheme="minorHAnsi" w:hAnsiTheme="minorHAnsi" w:cstheme="minorHAnsi"/>
        </w:rPr>
        <w:t xml:space="preserve">particularly </w:t>
      </w:r>
      <w:r w:rsidR="00016DAF" w:rsidRPr="00883E0C">
        <w:rPr>
          <w:rFonts w:asciiTheme="minorHAnsi" w:hAnsiTheme="minorHAnsi" w:cstheme="minorHAnsi"/>
        </w:rPr>
        <w:t>in</w:t>
      </w:r>
      <w:r w:rsidR="001425B2" w:rsidRPr="00883E0C">
        <w:rPr>
          <w:rFonts w:asciiTheme="minorHAnsi" w:hAnsiTheme="minorHAnsi" w:cstheme="minorHAnsi"/>
        </w:rPr>
        <w:t xml:space="preserve"> the</w:t>
      </w:r>
      <w:r w:rsidR="00016DAF" w:rsidRPr="00883E0C">
        <w:rPr>
          <w:rFonts w:asciiTheme="minorHAnsi" w:hAnsiTheme="minorHAnsi" w:cstheme="minorHAnsi"/>
        </w:rPr>
        <w:t xml:space="preserve"> absence of </w:t>
      </w:r>
      <w:r w:rsidR="00F643BC" w:rsidRPr="00883E0C">
        <w:rPr>
          <w:rFonts w:asciiTheme="minorHAnsi" w:hAnsiTheme="minorHAnsi" w:cstheme="minorHAnsi"/>
        </w:rPr>
        <w:t>public awareness</w:t>
      </w:r>
      <w:r w:rsidR="001425B2" w:rsidRPr="00883E0C">
        <w:rPr>
          <w:rFonts w:asciiTheme="minorHAnsi" w:hAnsiTheme="minorHAnsi" w:cstheme="minorHAnsi"/>
        </w:rPr>
        <w:t>-raising</w:t>
      </w:r>
      <w:r w:rsidR="00F643BC" w:rsidRPr="00883E0C">
        <w:rPr>
          <w:rFonts w:asciiTheme="minorHAnsi" w:hAnsiTheme="minorHAnsi" w:cstheme="minorHAnsi"/>
        </w:rPr>
        <w:t xml:space="preserve"> and </w:t>
      </w:r>
      <w:r w:rsidR="00016DAF" w:rsidRPr="00883E0C">
        <w:rPr>
          <w:rFonts w:asciiTheme="minorHAnsi" w:hAnsiTheme="minorHAnsi" w:cstheme="minorHAnsi"/>
        </w:rPr>
        <w:t>strateg</w:t>
      </w:r>
      <w:r w:rsidR="00F643BC" w:rsidRPr="00883E0C">
        <w:rPr>
          <w:rFonts w:asciiTheme="minorHAnsi" w:hAnsiTheme="minorHAnsi" w:cstheme="minorHAnsi"/>
        </w:rPr>
        <w:t>ies to prevent and tackle particular risks of violence affecting them.</w:t>
      </w:r>
      <w:r w:rsidR="005215EC" w:rsidRPr="00883E0C">
        <w:rPr>
          <w:rFonts w:asciiTheme="minorHAnsi" w:hAnsiTheme="minorHAnsi" w:cstheme="minorHAnsi"/>
        </w:rPr>
        <w:t xml:space="preserve"> Older women with disabilities are more likely to be institutionalized and subject to violence, abuse and neglect.</w:t>
      </w:r>
      <w:r w:rsidR="00F643BC" w:rsidRPr="00883E0C">
        <w:rPr>
          <w:rFonts w:asciiTheme="minorHAnsi" w:hAnsiTheme="minorHAnsi" w:cstheme="minorHAnsi"/>
        </w:rPr>
        <w:t xml:space="preserve"> </w:t>
      </w:r>
      <w:r w:rsidR="00542146" w:rsidRPr="00883E0C">
        <w:rPr>
          <w:rFonts w:asciiTheme="minorHAnsi" w:hAnsiTheme="minorHAnsi" w:cstheme="minorHAnsi"/>
        </w:rPr>
        <w:t xml:space="preserve"> </w:t>
      </w:r>
    </w:p>
    <w:p w14:paraId="18DB634D" w14:textId="77777777" w:rsidR="008B5116" w:rsidRPr="00883E0C" w:rsidRDefault="008B5116" w:rsidP="007C6C3D">
      <w:pPr>
        <w:jc w:val="both"/>
        <w:rPr>
          <w:rFonts w:asciiTheme="minorHAnsi" w:hAnsiTheme="minorHAnsi" w:cstheme="minorHAnsi"/>
        </w:rPr>
      </w:pPr>
    </w:p>
    <w:p w14:paraId="05281EDC" w14:textId="29EE7A1D" w:rsidR="001425B2" w:rsidRPr="00883E0C" w:rsidRDefault="00B64905" w:rsidP="004928A6">
      <w:pPr>
        <w:jc w:val="both"/>
        <w:rPr>
          <w:rFonts w:asciiTheme="minorHAnsi" w:hAnsiTheme="minorHAnsi" w:cstheme="minorHAnsi"/>
        </w:rPr>
      </w:pPr>
      <w:r w:rsidRPr="00883E0C">
        <w:rPr>
          <w:rFonts w:asciiTheme="minorHAnsi" w:hAnsiTheme="minorHAnsi" w:cstheme="minorHAnsi"/>
        </w:rPr>
        <w:t>The Committee</w:t>
      </w:r>
      <w:r w:rsidR="00097182" w:rsidRPr="00883E0C">
        <w:rPr>
          <w:rFonts w:asciiTheme="minorHAnsi" w:hAnsiTheme="minorHAnsi" w:cstheme="minorHAnsi"/>
        </w:rPr>
        <w:t>s are</w:t>
      </w:r>
      <w:r w:rsidRPr="00883E0C">
        <w:rPr>
          <w:rFonts w:asciiTheme="minorHAnsi" w:hAnsiTheme="minorHAnsi" w:cstheme="minorHAnsi"/>
        </w:rPr>
        <w:t xml:space="preserve"> </w:t>
      </w:r>
      <w:r w:rsidR="00B76302" w:rsidRPr="00883E0C">
        <w:rPr>
          <w:rFonts w:asciiTheme="minorHAnsi" w:hAnsiTheme="minorHAnsi" w:cstheme="minorHAnsi"/>
        </w:rPr>
        <w:t xml:space="preserve">alarmed </w:t>
      </w:r>
      <w:r w:rsidRPr="00883E0C">
        <w:rPr>
          <w:rFonts w:asciiTheme="minorHAnsi" w:hAnsiTheme="minorHAnsi" w:cstheme="minorHAnsi"/>
        </w:rPr>
        <w:t xml:space="preserve">about the prevalence of </w:t>
      </w:r>
      <w:r w:rsidR="00D30EB3" w:rsidRPr="00883E0C">
        <w:rPr>
          <w:rFonts w:asciiTheme="minorHAnsi" w:hAnsiTheme="minorHAnsi" w:cstheme="minorHAnsi"/>
        </w:rPr>
        <w:t>different forms of gender-based violence against women and girls</w:t>
      </w:r>
      <w:r w:rsidR="005215EC" w:rsidRPr="00883E0C">
        <w:rPr>
          <w:rFonts w:asciiTheme="minorHAnsi" w:hAnsiTheme="minorHAnsi" w:cstheme="minorHAnsi"/>
        </w:rPr>
        <w:t xml:space="preserve"> with disabilities</w:t>
      </w:r>
      <w:r w:rsidR="001425B2" w:rsidRPr="00883E0C">
        <w:rPr>
          <w:rFonts w:asciiTheme="minorHAnsi" w:hAnsiTheme="minorHAnsi" w:cstheme="minorHAnsi"/>
        </w:rPr>
        <w:t>:</w:t>
      </w:r>
    </w:p>
    <w:p w14:paraId="5D06AC81" w14:textId="77777777" w:rsidR="00097182" w:rsidRPr="00883E0C" w:rsidRDefault="00097182" w:rsidP="004928A6">
      <w:pPr>
        <w:jc w:val="both"/>
        <w:rPr>
          <w:rFonts w:asciiTheme="minorHAnsi" w:hAnsiTheme="minorHAnsi" w:cstheme="minorHAnsi"/>
        </w:rPr>
      </w:pPr>
    </w:p>
    <w:p w14:paraId="7FB6D0B4" w14:textId="541D1ED1" w:rsidR="001425B2" w:rsidRPr="00883E0C" w:rsidRDefault="001425B2" w:rsidP="008D4D17">
      <w:pPr>
        <w:pStyle w:val="ListParagraph"/>
        <w:numPr>
          <w:ilvl w:val="0"/>
          <w:numId w:val="14"/>
        </w:numPr>
        <w:jc w:val="both"/>
        <w:rPr>
          <w:rFonts w:asciiTheme="minorHAnsi" w:hAnsiTheme="minorHAnsi" w:cstheme="minorHAnsi"/>
        </w:rPr>
      </w:pPr>
      <w:r w:rsidRPr="00883E0C">
        <w:rPr>
          <w:rFonts w:asciiTheme="minorHAnsi" w:hAnsiTheme="minorHAnsi" w:cstheme="minorHAnsi"/>
        </w:rPr>
        <w:t>R</w:t>
      </w:r>
      <w:r w:rsidR="00542091" w:rsidRPr="00883E0C">
        <w:rPr>
          <w:rFonts w:asciiTheme="minorHAnsi" w:hAnsiTheme="minorHAnsi" w:cstheme="minorHAnsi"/>
        </w:rPr>
        <w:t xml:space="preserve">ape and sexual abuse </w:t>
      </w:r>
      <w:r w:rsidR="00D00B41" w:rsidRPr="00883E0C">
        <w:rPr>
          <w:rFonts w:asciiTheme="minorHAnsi" w:hAnsiTheme="minorHAnsi" w:cstheme="minorHAnsi"/>
        </w:rPr>
        <w:t>across different contexts</w:t>
      </w:r>
      <w:r w:rsidR="00542091" w:rsidRPr="00883E0C">
        <w:rPr>
          <w:rFonts w:asciiTheme="minorHAnsi" w:hAnsiTheme="minorHAnsi" w:cstheme="minorHAnsi"/>
        </w:rPr>
        <w:t>,</w:t>
      </w:r>
      <w:r w:rsidR="00542091" w:rsidRPr="00883E0C">
        <w:t xml:space="preserve"> </w:t>
      </w:r>
      <w:r w:rsidR="00542091" w:rsidRPr="00883E0C">
        <w:rPr>
          <w:rFonts w:asciiTheme="minorHAnsi" w:hAnsiTheme="minorHAnsi" w:cstheme="minorHAnsi"/>
        </w:rPr>
        <w:t xml:space="preserve">within State and non-State institutions and within the family or the community; </w:t>
      </w:r>
    </w:p>
    <w:p w14:paraId="593C660A" w14:textId="73B18859" w:rsidR="001425B2" w:rsidRPr="00883E0C" w:rsidRDefault="001425B2" w:rsidP="008D4D17">
      <w:pPr>
        <w:pStyle w:val="ListParagraph"/>
        <w:numPr>
          <w:ilvl w:val="0"/>
          <w:numId w:val="14"/>
        </w:numPr>
        <w:jc w:val="both"/>
        <w:rPr>
          <w:rFonts w:asciiTheme="minorHAnsi" w:hAnsiTheme="minorHAnsi" w:cstheme="minorHAnsi"/>
        </w:rPr>
      </w:pPr>
      <w:r w:rsidRPr="00883E0C">
        <w:rPr>
          <w:rFonts w:asciiTheme="minorHAnsi" w:hAnsiTheme="minorHAnsi" w:cstheme="minorHAnsi"/>
        </w:rPr>
        <w:t>F</w:t>
      </w:r>
      <w:r w:rsidR="00542091" w:rsidRPr="00883E0C">
        <w:rPr>
          <w:rFonts w:asciiTheme="minorHAnsi" w:hAnsiTheme="minorHAnsi" w:cstheme="minorHAnsi"/>
        </w:rPr>
        <w:t>orced, coerced and otherwise involuntary pregnancy</w:t>
      </w:r>
      <w:r w:rsidR="00D00B41" w:rsidRPr="00883E0C">
        <w:rPr>
          <w:rFonts w:asciiTheme="minorHAnsi" w:hAnsiTheme="minorHAnsi" w:cstheme="minorHAnsi"/>
        </w:rPr>
        <w:t>, contraception, abortion</w:t>
      </w:r>
      <w:r w:rsidR="00542091" w:rsidRPr="00883E0C">
        <w:rPr>
          <w:rFonts w:asciiTheme="minorHAnsi" w:hAnsiTheme="minorHAnsi" w:cstheme="minorHAnsi"/>
        </w:rPr>
        <w:t xml:space="preserve"> or sterilization</w:t>
      </w:r>
      <w:r w:rsidRPr="00883E0C">
        <w:rPr>
          <w:rFonts w:asciiTheme="minorHAnsi" w:hAnsiTheme="minorHAnsi" w:cstheme="minorHAnsi"/>
        </w:rPr>
        <w:t xml:space="preserve"> and</w:t>
      </w:r>
      <w:r w:rsidR="00542091" w:rsidRPr="00883E0C">
        <w:rPr>
          <w:rFonts w:asciiTheme="minorHAnsi" w:hAnsiTheme="minorHAnsi" w:cstheme="minorHAnsi"/>
        </w:rPr>
        <w:t xml:space="preserve"> medical procedure</w:t>
      </w:r>
      <w:r w:rsidR="00F1222D" w:rsidRPr="00883E0C">
        <w:rPr>
          <w:rFonts w:asciiTheme="minorHAnsi" w:hAnsiTheme="minorHAnsi" w:cstheme="minorHAnsi"/>
        </w:rPr>
        <w:t>s</w:t>
      </w:r>
      <w:r w:rsidR="00542091" w:rsidRPr="00883E0C">
        <w:rPr>
          <w:rFonts w:asciiTheme="minorHAnsi" w:hAnsiTheme="minorHAnsi" w:cstheme="minorHAnsi"/>
        </w:rPr>
        <w:t xml:space="preserve"> or intervention</w:t>
      </w:r>
      <w:r w:rsidR="00F1222D" w:rsidRPr="00883E0C">
        <w:rPr>
          <w:rFonts w:asciiTheme="minorHAnsi" w:hAnsiTheme="minorHAnsi" w:cstheme="minorHAnsi"/>
        </w:rPr>
        <w:t>s</w:t>
      </w:r>
      <w:r w:rsidR="00542091" w:rsidRPr="00883E0C">
        <w:rPr>
          <w:rFonts w:asciiTheme="minorHAnsi" w:hAnsiTheme="minorHAnsi" w:cstheme="minorHAnsi"/>
        </w:rPr>
        <w:t xml:space="preserve"> performed without free and informed consent; </w:t>
      </w:r>
    </w:p>
    <w:p w14:paraId="3A5A50BA" w14:textId="7CC8B2B1" w:rsidR="001425B2" w:rsidRPr="00883E0C" w:rsidRDefault="001425B2" w:rsidP="008D4D17">
      <w:pPr>
        <w:pStyle w:val="ListParagraph"/>
        <w:numPr>
          <w:ilvl w:val="0"/>
          <w:numId w:val="14"/>
        </w:numPr>
        <w:jc w:val="both"/>
        <w:rPr>
          <w:rFonts w:asciiTheme="minorHAnsi" w:hAnsiTheme="minorHAnsi" w:cstheme="minorHAnsi"/>
        </w:rPr>
      </w:pPr>
      <w:r w:rsidRPr="00883E0C">
        <w:rPr>
          <w:rFonts w:asciiTheme="minorHAnsi" w:hAnsiTheme="minorHAnsi" w:cstheme="minorHAnsi"/>
        </w:rPr>
        <w:t>I</w:t>
      </w:r>
      <w:r w:rsidR="00542091" w:rsidRPr="00883E0C">
        <w:rPr>
          <w:rFonts w:asciiTheme="minorHAnsi" w:hAnsiTheme="minorHAnsi" w:cstheme="minorHAnsi"/>
        </w:rPr>
        <w:t xml:space="preserve">nvasive and irreversible surgical practices such as psychosurgery, female genital mutilation; </w:t>
      </w:r>
    </w:p>
    <w:p w14:paraId="40F94A0A" w14:textId="1CC8C8E6" w:rsidR="001425B2" w:rsidRPr="00883E0C" w:rsidRDefault="001425B2" w:rsidP="008D4D17">
      <w:pPr>
        <w:pStyle w:val="ListParagraph"/>
        <w:numPr>
          <w:ilvl w:val="0"/>
          <w:numId w:val="14"/>
        </w:numPr>
        <w:jc w:val="both"/>
        <w:rPr>
          <w:rFonts w:asciiTheme="minorHAnsi" w:hAnsiTheme="minorHAnsi" w:cstheme="minorHAnsi"/>
        </w:rPr>
      </w:pPr>
      <w:r w:rsidRPr="00883E0C">
        <w:rPr>
          <w:rFonts w:asciiTheme="minorHAnsi" w:hAnsiTheme="minorHAnsi" w:cstheme="minorHAnsi"/>
        </w:rPr>
        <w:t>A</w:t>
      </w:r>
      <w:r w:rsidR="00443D0D" w:rsidRPr="00883E0C">
        <w:rPr>
          <w:rFonts w:asciiTheme="minorHAnsi" w:hAnsiTheme="minorHAnsi" w:cstheme="minorHAnsi"/>
        </w:rPr>
        <w:t>bandonment</w:t>
      </w:r>
      <w:r w:rsidR="00D00B41" w:rsidRPr="00883E0C">
        <w:rPr>
          <w:rFonts w:asciiTheme="minorHAnsi" w:hAnsiTheme="minorHAnsi" w:cstheme="minorHAnsi"/>
        </w:rPr>
        <w:t xml:space="preserve"> and</w:t>
      </w:r>
      <w:r w:rsidRPr="00883E0C">
        <w:rPr>
          <w:rFonts w:asciiTheme="minorHAnsi" w:hAnsiTheme="minorHAnsi" w:cstheme="minorHAnsi"/>
        </w:rPr>
        <w:t xml:space="preserve"> neglect</w:t>
      </w:r>
      <w:r w:rsidR="00443D0D" w:rsidRPr="00883E0C">
        <w:rPr>
          <w:rFonts w:asciiTheme="minorHAnsi" w:hAnsiTheme="minorHAnsi" w:cstheme="minorHAnsi"/>
        </w:rPr>
        <w:t xml:space="preserve">; </w:t>
      </w:r>
    </w:p>
    <w:p w14:paraId="1B8EE4E4" w14:textId="5DCFD99F" w:rsidR="001425B2" w:rsidRPr="00883E0C" w:rsidRDefault="001425B2" w:rsidP="008D4D17">
      <w:pPr>
        <w:pStyle w:val="ListParagraph"/>
        <w:numPr>
          <w:ilvl w:val="0"/>
          <w:numId w:val="14"/>
        </w:numPr>
        <w:jc w:val="both"/>
        <w:rPr>
          <w:rFonts w:asciiTheme="minorHAnsi" w:hAnsiTheme="minorHAnsi" w:cstheme="minorHAnsi"/>
        </w:rPr>
      </w:pPr>
      <w:r w:rsidRPr="00883E0C">
        <w:rPr>
          <w:rFonts w:asciiTheme="minorHAnsi" w:hAnsiTheme="minorHAnsi" w:cstheme="minorHAnsi"/>
        </w:rPr>
        <w:t>T</w:t>
      </w:r>
      <w:r w:rsidR="00443D0D" w:rsidRPr="00883E0C">
        <w:rPr>
          <w:rFonts w:asciiTheme="minorHAnsi" w:hAnsiTheme="minorHAnsi" w:cstheme="minorHAnsi"/>
        </w:rPr>
        <w:t xml:space="preserve">he removal or control of communication aids and the refusal to assist in communicating; </w:t>
      </w:r>
    </w:p>
    <w:p w14:paraId="5EA2B949" w14:textId="09DCA033" w:rsidR="001425B2" w:rsidRPr="00883E0C" w:rsidRDefault="001425B2" w:rsidP="008D4D17">
      <w:pPr>
        <w:pStyle w:val="ListParagraph"/>
        <w:numPr>
          <w:ilvl w:val="0"/>
          <w:numId w:val="14"/>
        </w:numPr>
        <w:jc w:val="both"/>
        <w:rPr>
          <w:rFonts w:asciiTheme="minorHAnsi" w:hAnsiTheme="minorHAnsi" w:cstheme="minorHAnsi"/>
        </w:rPr>
      </w:pPr>
      <w:r w:rsidRPr="00883E0C">
        <w:rPr>
          <w:rFonts w:asciiTheme="minorHAnsi" w:hAnsiTheme="minorHAnsi" w:cstheme="minorHAnsi"/>
        </w:rPr>
        <w:t>T</w:t>
      </w:r>
      <w:r w:rsidR="00443D0D" w:rsidRPr="00883E0C">
        <w:rPr>
          <w:rFonts w:asciiTheme="minorHAnsi" w:hAnsiTheme="minorHAnsi" w:cstheme="minorHAnsi"/>
        </w:rPr>
        <w:t>he denial of personal mobility and accessibility;</w:t>
      </w:r>
    </w:p>
    <w:p w14:paraId="05E1E390" w14:textId="00D08AE0" w:rsidR="001425B2" w:rsidRPr="00883E0C" w:rsidRDefault="001425B2" w:rsidP="008D4D17">
      <w:pPr>
        <w:pStyle w:val="ListParagraph"/>
        <w:numPr>
          <w:ilvl w:val="0"/>
          <w:numId w:val="14"/>
        </w:numPr>
        <w:jc w:val="both"/>
        <w:rPr>
          <w:rFonts w:asciiTheme="minorHAnsi" w:hAnsiTheme="minorHAnsi" w:cstheme="minorHAnsi"/>
        </w:rPr>
      </w:pPr>
      <w:r w:rsidRPr="00883E0C">
        <w:rPr>
          <w:rFonts w:asciiTheme="minorHAnsi" w:hAnsiTheme="minorHAnsi" w:cstheme="minorHAnsi"/>
        </w:rPr>
        <w:lastRenderedPageBreak/>
        <w:t>T</w:t>
      </w:r>
      <w:r w:rsidR="00443D0D" w:rsidRPr="00883E0C">
        <w:rPr>
          <w:rFonts w:asciiTheme="minorHAnsi" w:hAnsiTheme="minorHAnsi" w:cstheme="minorHAnsi"/>
        </w:rPr>
        <w:t xml:space="preserve">he infliction of fear by intimidation through bullying, verbal abuse and ridicule on the grounds of </w:t>
      </w:r>
      <w:r w:rsidR="00F1222D" w:rsidRPr="00883E0C">
        <w:rPr>
          <w:rFonts w:asciiTheme="minorHAnsi" w:hAnsiTheme="minorHAnsi" w:cstheme="minorHAnsi"/>
        </w:rPr>
        <w:t xml:space="preserve">gender and </w:t>
      </w:r>
      <w:r w:rsidR="00443D0D" w:rsidRPr="00883E0C">
        <w:rPr>
          <w:rFonts w:asciiTheme="minorHAnsi" w:hAnsiTheme="minorHAnsi" w:cstheme="minorHAnsi"/>
        </w:rPr>
        <w:t xml:space="preserve">disability; </w:t>
      </w:r>
      <w:r w:rsidR="00D00B41" w:rsidRPr="00883E0C">
        <w:rPr>
          <w:rFonts w:asciiTheme="minorHAnsi" w:hAnsiTheme="minorHAnsi" w:cstheme="minorHAnsi"/>
        </w:rPr>
        <w:t>threats</w:t>
      </w:r>
      <w:r w:rsidR="00443D0D" w:rsidRPr="00883E0C">
        <w:rPr>
          <w:rFonts w:asciiTheme="minorHAnsi" w:hAnsiTheme="minorHAnsi" w:cstheme="minorHAnsi"/>
        </w:rPr>
        <w:t>; psychological manipulation; and the exercise of control, for example by restricting face-to-face or virtual access to family, friends or others</w:t>
      </w:r>
      <w:r w:rsidRPr="00883E0C">
        <w:rPr>
          <w:rFonts w:asciiTheme="minorHAnsi" w:hAnsiTheme="minorHAnsi" w:cstheme="minorHAnsi"/>
        </w:rPr>
        <w:t xml:space="preserve">; </w:t>
      </w:r>
      <w:r w:rsidR="00007809" w:rsidRPr="00883E0C">
        <w:rPr>
          <w:rFonts w:asciiTheme="minorHAnsi" w:hAnsiTheme="minorHAnsi" w:cstheme="minorHAnsi"/>
        </w:rPr>
        <w:t xml:space="preserve"> </w:t>
      </w:r>
    </w:p>
    <w:p w14:paraId="0D5CC27F" w14:textId="7473B934" w:rsidR="001425B2" w:rsidRPr="00883E0C" w:rsidRDefault="001425B2" w:rsidP="008D4D17">
      <w:pPr>
        <w:pStyle w:val="ListParagraph"/>
        <w:numPr>
          <w:ilvl w:val="0"/>
          <w:numId w:val="14"/>
        </w:numPr>
        <w:jc w:val="both"/>
        <w:rPr>
          <w:rFonts w:asciiTheme="minorHAnsi" w:hAnsiTheme="minorHAnsi" w:cstheme="minorHAnsi"/>
        </w:rPr>
      </w:pPr>
      <w:r w:rsidRPr="00883E0C">
        <w:rPr>
          <w:rFonts w:asciiTheme="minorHAnsi" w:hAnsiTheme="minorHAnsi" w:cstheme="minorHAnsi"/>
        </w:rPr>
        <w:t xml:space="preserve">Surgery or treatment without informed consent on </w:t>
      </w:r>
      <w:r w:rsidR="00542091" w:rsidRPr="00883E0C">
        <w:rPr>
          <w:rFonts w:asciiTheme="minorHAnsi" w:hAnsiTheme="minorHAnsi" w:cstheme="minorHAnsi"/>
        </w:rPr>
        <w:t xml:space="preserve">women and girls with disabilities </w:t>
      </w:r>
      <w:r w:rsidR="005C3B43" w:rsidRPr="00883E0C">
        <w:rPr>
          <w:rFonts w:asciiTheme="minorHAnsi" w:hAnsiTheme="minorHAnsi" w:cstheme="minorHAnsi"/>
        </w:rPr>
        <w:t>and intersex children</w:t>
      </w:r>
      <w:r w:rsidR="000A7166" w:rsidRPr="00883E0C">
        <w:rPr>
          <w:rFonts w:asciiTheme="minorHAnsi" w:hAnsiTheme="minorHAnsi" w:cstheme="minorHAnsi"/>
        </w:rPr>
        <w:t>;</w:t>
      </w:r>
    </w:p>
    <w:p w14:paraId="70E0AD32" w14:textId="7EBCABA6" w:rsidR="001425B2" w:rsidRPr="00883E0C" w:rsidRDefault="001425B2" w:rsidP="008D4D17">
      <w:pPr>
        <w:pStyle w:val="ListParagraph"/>
        <w:numPr>
          <w:ilvl w:val="0"/>
          <w:numId w:val="14"/>
        </w:numPr>
        <w:jc w:val="both"/>
        <w:rPr>
          <w:rFonts w:asciiTheme="minorHAnsi" w:hAnsiTheme="minorHAnsi" w:cstheme="minorHAnsi"/>
        </w:rPr>
      </w:pPr>
      <w:r w:rsidRPr="00883E0C">
        <w:rPr>
          <w:rFonts w:asciiTheme="minorHAnsi" w:hAnsiTheme="minorHAnsi" w:cstheme="minorHAnsi"/>
        </w:rPr>
        <w:t>T</w:t>
      </w:r>
      <w:r w:rsidR="00443D0D" w:rsidRPr="00883E0C">
        <w:rPr>
          <w:rFonts w:asciiTheme="minorHAnsi" w:hAnsiTheme="minorHAnsi" w:cstheme="minorHAnsi"/>
        </w:rPr>
        <w:t>he administration of electroshock treatment and the use of chemical, physical or mechanical restrai</w:t>
      </w:r>
      <w:r w:rsidR="00542091" w:rsidRPr="00883E0C">
        <w:rPr>
          <w:rFonts w:asciiTheme="minorHAnsi" w:hAnsiTheme="minorHAnsi" w:cstheme="minorHAnsi"/>
        </w:rPr>
        <w:t>nts; and isolation or seclusion</w:t>
      </w:r>
      <w:r w:rsidRPr="00883E0C">
        <w:t>;</w:t>
      </w:r>
    </w:p>
    <w:p w14:paraId="6E392A3F" w14:textId="213D4BBB" w:rsidR="00443D0D" w:rsidRPr="00883E0C" w:rsidRDefault="001425B2" w:rsidP="008D4D17">
      <w:pPr>
        <w:pStyle w:val="ListParagraph"/>
        <w:numPr>
          <w:ilvl w:val="0"/>
          <w:numId w:val="14"/>
        </w:numPr>
        <w:jc w:val="both"/>
        <w:rPr>
          <w:rFonts w:asciiTheme="minorHAnsi" w:hAnsiTheme="minorHAnsi" w:cstheme="minorHAnsi"/>
        </w:rPr>
      </w:pPr>
      <w:r w:rsidRPr="00883E0C">
        <w:rPr>
          <w:rFonts w:asciiTheme="minorHAnsi" w:hAnsiTheme="minorHAnsi" w:cstheme="minorHAnsi"/>
        </w:rPr>
        <w:t>Higher risks of violence against o</w:t>
      </w:r>
      <w:r w:rsidR="005215EC" w:rsidRPr="00883E0C">
        <w:rPr>
          <w:rFonts w:asciiTheme="minorHAnsi" w:hAnsiTheme="minorHAnsi"/>
        </w:rPr>
        <w:t>lder women with disabilities both in the community and in institutionalized settings, including hospitals, nursing homes and other residential settings, and include physical, psychological and sexual abuse, caregiver neglect and financial exploitation</w:t>
      </w:r>
      <w:r w:rsidR="00E671A3" w:rsidRPr="00883E0C">
        <w:rPr>
          <w:rFonts w:asciiTheme="minorHAnsi" w:hAnsiTheme="minorHAnsi"/>
        </w:rPr>
        <w:t>.</w:t>
      </w:r>
      <w:r w:rsidR="00E671A3" w:rsidRPr="00883E0C">
        <w:rPr>
          <w:rStyle w:val="FootnoteReference"/>
          <w:rFonts w:asciiTheme="minorHAnsi" w:hAnsiTheme="minorHAnsi"/>
        </w:rPr>
        <w:footnoteReference w:id="14"/>
      </w:r>
    </w:p>
    <w:p w14:paraId="2216B783" w14:textId="77777777" w:rsidR="00443D0D" w:rsidRPr="00883E0C" w:rsidRDefault="00443D0D" w:rsidP="00443D0D">
      <w:pPr>
        <w:pStyle w:val="ListParagraph"/>
        <w:ind w:left="0"/>
        <w:jc w:val="both"/>
        <w:rPr>
          <w:rFonts w:asciiTheme="minorHAnsi" w:hAnsiTheme="minorHAnsi" w:cstheme="minorHAnsi"/>
        </w:rPr>
      </w:pPr>
    </w:p>
    <w:p w14:paraId="5C8AE38C" w14:textId="74AB2D5C" w:rsidR="008C2A79" w:rsidRPr="00883E0C" w:rsidRDefault="00292FB8" w:rsidP="00443D0D">
      <w:pPr>
        <w:pStyle w:val="ListParagraph"/>
        <w:ind w:left="0"/>
        <w:jc w:val="both"/>
        <w:rPr>
          <w:rFonts w:asciiTheme="minorHAnsi" w:hAnsiTheme="minorHAnsi" w:cstheme="minorHAnsi"/>
        </w:rPr>
      </w:pPr>
      <w:r w:rsidRPr="00883E0C">
        <w:rPr>
          <w:rFonts w:asciiTheme="minorHAnsi" w:hAnsiTheme="minorHAnsi" w:cstheme="minorHAnsi"/>
        </w:rPr>
        <w:t>D</w:t>
      </w:r>
      <w:r w:rsidR="002A07AB" w:rsidRPr="00883E0C">
        <w:rPr>
          <w:rFonts w:asciiTheme="minorHAnsi" w:hAnsiTheme="minorHAnsi" w:cstheme="minorHAnsi"/>
        </w:rPr>
        <w:t>uring</w:t>
      </w:r>
      <w:r w:rsidR="008C2A79" w:rsidRPr="00883E0C">
        <w:rPr>
          <w:rFonts w:asciiTheme="minorHAnsi" w:hAnsiTheme="minorHAnsi" w:cstheme="minorHAnsi"/>
        </w:rPr>
        <w:t xml:space="preserve"> t</w:t>
      </w:r>
      <w:r w:rsidR="0061677B" w:rsidRPr="00883E0C">
        <w:rPr>
          <w:rFonts w:asciiTheme="minorHAnsi" w:hAnsiTheme="minorHAnsi" w:cstheme="minorHAnsi"/>
        </w:rPr>
        <w:t>he ongoing coronavirus (COVID-19) pandemic</w:t>
      </w:r>
      <w:r w:rsidR="002A07AB" w:rsidRPr="00883E0C">
        <w:rPr>
          <w:rFonts w:asciiTheme="minorHAnsi" w:hAnsiTheme="minorHAnsi" w:cstheme="minorHAnsi"/>
        </w:rPr>
        <w:t xml:space="preserve">, </w:t>
      </w:r>
      <w:r w:rsidR="00097182" w:rsidRPr="00883E0C">
        <w:rPr>
          <w:rFonts w:asciiTheme="minorHAnsi" w:hAnsiTheme="minorHAnsi" w:cstheme="minorHAnsi"/>
        </w:rPr>
        <w:t>human rights mechanisms, including the CEDAW and CRPD Committees have</w:t>
      </w:r>
      <w:r w:rsidR="002A07AB" w:rsidRPr="00883E0C">
        <w:rPr>
          <w:rFonts w:asciiTheme="minorHAnsi" w:hAnsiTheme="minorHAnsi" w:cstheme="minorHAnsi"/>
        </w:rPr>
        <w:t xml:space="preserve"> received reports about </w:t>
      </w:r>
      <w:r w:rsidR="008C2A79" w:rsidRPr="00883E0C">
        <w:rPr>
          <w:rFonts w:asciiTheme="minorHAnsi" w:hAnsiTheme="minorHAnsi" w:cstheme="minorHAnsi"/>
        </w:rPr>
        <w:t>severe</w:t>
      </w:r>
      <w:r w:rsidR="002A07AB" w:rsidRPr="00883E0C">
        <w:rPr>
          <w:rFonts w:asciiTheme="minorHAnsi" w:hAnsiTheme="minorHAnsi" w:cstheme="minorHAnsi"/>
        </w:rPr>
        <w:t xml:space="preserve"> impacts on </w:t>
      </w:r>
      <w:r w:rsidR="0061677B" w:rsidRPr="00883E0C">
        <w:rPr>
          <w:rFonts w:asciiTheme="minorHAnsi" w:hAnsiTheme="minorHAnsi" w:cstheme="minorHAnsi"/>
        </w:rPr>
        <w:t>women</w:t>
      </w:r>
      <w:r w:rsidR="008C2A79" w:rsidRPr="00883E0C">
        <w:rPr>
          <w:rFonts w:asciiTheme="minorHAnsi" w:hAnsiTheme="minorHAnsi" w:cstheme="minorHAnsi"/>
        </w:rPr>
        <w:t xml:space="preserve"> and girls with disabilities</w:t>
      </w:r>
      <w:r w:rsidR="002A07AB" w:rsidRPr="00883E0C">
        <w:rPr>
          <w:rFonts w:asciiTheme="minorHAnsi" w:hAnsiTheme="minorHAnsi" w:cstheme="minorHAnsi"/>
        </w:rPr>
        <w:t xml:space="preserve">, such as </w:t>
      </w:r>
      <w:r w:rsidR="008C2A79" w:rsidRPr="00883E0C">
        <w:rPr>
          <w:rFonts w:asciiTheme="minorHAnsi" w:hAnsiTheme="minorHAnsi" w:cstheme="minorHAnsi"/>
        </w:rPr>
        <w:t>the increase</w:t>
      </w:r>
      <w:r w:rsidR="001F51DA" w:rsidRPr="00883E0C">
        <w:rPr>
          <w:rFonts w:asciiTheme="minorHAnsi" w:hAnsiTheme="minorHAnsi" w:cstheme="minorHAnsi"/>
        </w:rPr>
        <w:t xml:space="preserve"> in the number of cases</w:t>
      </w:r>
      <w:r w:rsidR="008C2A79" w:rsidRPr="00883E0C">
        <w:rPr>
          <w:rFonts w:asciiTheme="minorHAnsi" w:hAnsiTheme="minorHAnsi" w:cstheme="minorHAnsi"/>
        </w:rPr>
        <w:t xml:space="preserve"> </w:t>
      </w:r>
      <w:r w:rsidRPr="00883E0C">
        <w:rPr>
          <w:rFonts w:asciiTheme="minorHAnsi" w:hAnsiTheme="minorHAnsi" w:cstheme="minorHAnsi"/>
        </w:rPr>
        <w:t>of</w:t>
      </w:r>
      <w:r w:rsidR="008C2A79" w:rsidRPr="00883E0C">
        <w:rPr>
          <w:rFonts w:asciiTheme="minorHAnsi" w:hAnsiTheme="minorHAnsi" w:cstheme="minorHAnsi"/>
        </w:rPr>
        <w:t xml:space="preserve"> gender-based violence </w:t>
      </w:r>
      <w:r w:rsidR="001F51DA" w:rsidRPr="00883E0C">
        <w:rPr>
          <w:rFonts w:asciiTheme="minorHAnsi" w:hAnsiTheme="minorHAnsi" w:cstheme="minorHAnsi"/>
        </w:rPr>
        <w:t xml:space="preserve">against women and girls with disabilities </w:t>
      </w:r>
      <w:r w:rsidR="008C2A79" w:rsidRPr="00883E0C">
        <w:rPr>
          <w:rFonts w:asciiTheme="minorHAnsi" w:hAnsiTheme="minorHAnsi" w:cstheme="minorHAnsi"/>
        </w:rPr>
        <w:t>in the private sphere, including by family members, particularly during confinement.</w:t>
      </w:r>
      <w:r w:rsidR="00443D0D" w:rsidRPr="00883E0C">
        <w:rPr>
          <w:rFonts w:asciiTheme="minorHAnsi" w:hAnsiTheme="minorHAnsi" w:cstheme="minorHAnsi"/>
        </w:rPr>
        <w:t xml:space="preserve"> Furthermore</w:t>
      </w:r>
      <w:r w:rsidR="008C2A79" w:rsidRPr="00883E0C">
        <w:rPr>
          <w:rFonts w:asciiTheme="minorHAnsi" w:hAnsiTheme="minorHAnsi" w:cstheme="minorHAnsi"/>
        </w:rPr>
        <w:t>, institutions and psychiatric</w:t>
      </w:r>
      <w:r w:rsidRPr="00883E0C">
        <w:rPr>
          <w:rFonts w:asciiTheme="minorHAnsi" w:hAnsiTheme="minorHAnsi" w:cstheme="minorHAnsi"/>
        </w:rPr>
        <w:t xml:space="preserve"> </w:t>
      </w:r>
      <w:r w:rsidR="0090575B" w:rsidRPr="00883E0C">
        <w:rPr>
          <w:rFonts w:asciiTheme="minorHAnsi" w:hAnsiTheme="minorHAnsi" w:cstheme="minorHAnsi"/>
        </w:rPr>
        <w:t>facilities</w:t>
      </w:r>
      <w:r w:rsidR="008C2A79" w:rsidRPr="00883E0C">
        <w:rPr>
          <w:rFonts w:asciiTheme="minorHAnsi" w:hAnsiTheme="minorHAnsi" w:cstheme="minorHAnsi"/>
        </w:rPr>
        <w:t xml:space="preserve"> were closed to </w:t>
      </w:r>
      <w:r w:rsidRPr="00883E0C">
        <w:rPr>
          <w:rFonts w:asciiTheme="minorHAnsi" w:hAnsiTheme="minorHAnsi" w:cstheme="minorHAnsi"/>
        </w:rPr>
        <w:t>the community</w:t>
      </w:r>
      <w:r w:rsidR="008C2A79" w:rsidRPr="00883E0C">
        <w:rPr>
          <w:rFonts w:asciiTheme="minorHAnsi" w:hAnsiTheme="minorHAnsi" w:cstheme="minorHAnsi"/>
        </w:rPr>
        <w:t xml:space="preserve">, leading to complete isolation of women and girls </w:t>
      </w:r>
      <w:r w:rsidR="0090575B" w:rsidRPr="00883E0C">
        <w:rPr>
          <w:rFonts w:asciiTheme="minorHAnsi" w:hAnsiTheme="minorHAnsi" w:cstheme="minorHAnsi"/>
        </w:rPr>
        <w:t>with disabilities</w:t>
      </w:r>
      <w:r w:rsidR="00B76302" w:rsidRPr="00883E0C">
        <w:rPr>
          <w:rFonts w:asciiTheme="minorHAnsi" w:hAnsiTheme="minorHAnsi" w:cstheme="minorHAnsi"/>
        </w:rPr>
        <w:t xml:space="preserve"> living still in institutions</w:t>
      </w:r>
      <w:r w:rsidR="0090575B" w:rsidRPr="00883E0C">
        <w:rPr>
          <w:rFonts w:asciiTheme="minorHAnsi" w:hAnsiTheme="minorHAnsi" w:cstheme="minorHAnsi"/>
        </w:rPr>
        <w:t>. The resulting closed environments increased the incidence of gender</w:t>
      </w:r>
      <w:r w:rsidR="00B76302" w:rsidRPr="00883E0C">
        <w:rPr>
          <w:rFonts w:asciiTheme="minorHAnsi" w:hAnsiTheme="minorHAnsi" w:cstheme="minorHAnsi"/>
        </w:rPr>
        <w:t>-</w:t>
      </w:r>
      <w:r w:rsidR="005215EC" w:rsidRPr="00883E0C">
        <w:rPr>
          <w:rFonts w:asciiTheme="minorHAnsi" w:hAnsiTheme="minorHAnsi" w:cstheme="minorHAnsi"/>
        </w:rPr>
        <w:t xml:space="preserve">based violence. </w:t>
      </w:r>
      <w:r w:rsidR="008C2A79" w:rsidRPr="00883E0C">
        <w:rPr>
          <w:rFonts w:asciiTheme="minorHAnsi" w:hAnsiTheme="minorHAnsi" w:cstheme="minorHAnsi"/>
        </w:rPr>
        <w:t>This is particularly concerning as the Committee has observ</w:t>
      </w:r>
      <w:r w:rsidR="0090575B" w:rsidRPr="00883E0C">
        <w:rPr>
          <w:rFonts w:asciiTheme="minorHAnsi" w:hAnsiTheme="minorHAnsi" w:cstheme="minorHAnsi"/>
        </w:rPr>
        <w:t>ed</w:t>
      </w:r>
      <w:r w:rsidR="008C2A79" w:rsidRPr="00883E0C">
        <w:rPr>
          <w:rFonts w:asciiTheme="minorHAnsi" w:hAnsiTheme="minorHAnsi" w:cstheme="minorHAnsi"/>
        </w:rPr>
        <w:t xml:space="preserve"> a pattern of gender-based violence against women and girls with disabilities in institutions and psychiatric</w:t>
      </w:r>
      <w:r w:rsidR="0090575B" w:rsidRPr="00883E0C">
        <w:rPr>
          <w:rFonts w:asciiTheme="minorHAnsi" w:hAnsiTheme="minorHAnsi" w:cstheme="minorHAnsi"/>
        </w:rPr>
        <w:t xml:space="preserve"> facilities</w:t>
      </w:r>
      <w:r w:rsidR="008C2A79" w:rsidRPr="00883E0C">
        <w:rPr>
          <w:rFonts w:asciiTheme="minorHAnsi" w:hAnsiTheme="minorHAnsi" w:cstheme="minorHAnsi"/>
        </w:rPr>
        <w:t xml:space="preserve"> prior to the pandemic. </w:t>
      </w:r>
    </w:p>
    <w:p w14:paraId="595129C7" w14:textId="19BC9D46" w:rsidR="00016DAF" w:rsidRPr="00883E0C" w:rsidRDefault="00016DAF" w:rsidP="00443D0D">
      <w:pPr>
        <w:pStyle w:val="ListParagraph"/>
        <w:ind w:left="0"/>
        <w:jc w:val="both"/>
        <w:rPr>
          <w:rFonts w:asciiTheme="minorHAnsi" w:hAnsiTheme="minorHAnsi" w:cstheme="minorHAnsi"/>
        </w:rPr>
      </w:pPr>
    </w:p>
    <w:p w14:paraId="73EA4212" w14:textId="241DFBAE" w:rsidR="00016DAF" w:rsidRPr="00883E0C" w:rsidRDefault="00016DAF" w:rsidP="00443D0D">
      <w:pPr>
        <w:pStyle w:val="ListParagraph"/>
        <w:ind w:left="0"/>
        <w:jc w:val="both"/>
        <w:rPr>
          <w:rFonts w:asciiTheme="minorHAnsi" w:hAnsiTheme="minorHAnsi" w:cstheme="minorHAnsi"/>
        </w:rPr>
      </w:pPr>
      <w:r w:rsidRPr="00883E0C">
        <w:rPr>
          <w:rFonts w:asciiTheme="minorHAnsi" w:hAnsiTheme="minorHAnsi" w:cstheme="minorHAnsi"/>
          <w:bCs/>
          <w:iCs/>
          <w:lang w:val="en-US"/>
        </w:rPr>
        <w:t xml:space="preserve">Overall </w:t>
      </w:r>
      <w:hyperlink r:id="rId27" w:history="1">
        <w:r w:rsidRPr="00883E0C">
          <w:rPr>
            <w:rStyle w:val="Hyperlink"/>
            <w:rFonts w:asciiTheme="minorHAnsi" w:hAnsiTheme="minorHAnsi" w:cstheme="minorHAnsi"/>
            <w:bCs/>
            <w:iCs/>
            <w:lang w:val="en-US"/>
          </w:rPr>
          <w:t>reports indicate that there is a clear and very worrying higher incidence of violence against women and girls with disabilities</w:t>
        </w:r>
      </w:hyperlink>
      <w:r w:rsidRPr="00883E0C">
        <w:rPr>
          <w:rFonts w:asciiTheme="minorHAnsi" w:hAnsiTheme="minorHAnsi" w:cstheme="minorHAnsi"/>
          <w:bCs/>
          <w:iCs/>
          <w:lang w:val="en-US"/>
        </w:rPr>
        <w:t xml:space="preserve">, </w:t>
      </w:r>
      <w:r w:rsidRPr="00883E0C">
        <w:rPr>
          <w:rFonts w:asciiTheme="minorHAnsi" w:hAnsiTheme="minorHAnsi" w:cstheme="minorHAnsi"/>
        </w:rPr>
        <w:t>however, existing laws, policies and programmes on gender-based violence rarely address the situation of women and girls with disabilities, and it is difficult to find comprehensive data disaggregated by both gender and disability, preventing</w:t>
      </w:r>
      <w:r w:rsidRPr="00883E0C">
        <w:rPr>
          <w:rFonts w:asciiTheme="minorHAnsi" w:hAnsiTheme="minorHAnsi" w:cstheme="minorHAnsi"/>
          <w:bCs/>
          <w:iCs/>
          <w:lang w:val="en-US"/>
        </w:rPr>
        <w:t xml:space="preserve"> an accurate understanding of the magnitude of violence against women and girls with disabilities.</w:t>
      </w:r>
    </w:p>
    <w:p w14:paraId="57484C39" w14:textId="59A4EECA" w:rsidR="00542091" w:rsidRPr="00883E0C" w:rsidRDefault="00542091" w:rsidP="00443D0D">
      <w:pPr>
        <w:pStyle w:val="ListParagraph"/>
        <w:ind w:left="0"/>
        <w:jc w:val="both"/>
        <w:rPr>
          <w:rFonts w:asciiTheme="minorHAnsi" w:hAnsiTheme="minorHAnsi" w:cstheme="minorHAnsi"/>
        </w:rPr>
      </w:pPr>
    </w:p>
    <w:p w14:paraId="27699AEB" w14:textId="77777777" w:rsidR="003963F9" w:rsidRPr="00883E0C" w:rsidRDefault="003963F9" w:rsidP="00443D0D">
      <w:pPr>
        <w:pStyle w:val="ListParagraph"/>
        <w:ind w:left="0"/>
        <w:jc w:val="both"/>
        <w:rPr>
          <w:rFonts w:asciiTheme="minorHAnsi" w:hAnsiTheme="minorHAnsi" w:cstheme="minorHAnsi"/>
        </w:rPr>
      </w:pPr>
    </w:p>
    <w:p w14:paraId="0BA102CC" w14:textId="42EAAA31" w:rsidR="00AA5CF5" w:rsidRPr="00883E0C" w:rsidRDefault="00AA5CF5" w:rsidP="00AA5CF5">
      <w:pPr>
        <w:pStyle w:val="ListParagraph"/>
        <w:numPr>
          <w:ilvl w:val="0"/>
          <w:numId w:val="9"/>
        </w:numPr>
        <w:jc w:val="both"/>
        <w:rPr>
          <w:rFonts w:asciiTheme="minorHAnsi" w:hAnsiTheme="minorHAnsi" w:cstheme="minorHAnsi"/>
          <w:b/>
        </w:rPr>
      </w:pPr>
      <w:r w:rsidRPr="00883E0C">
        <w:rPr>
          <w:rFonts w:asciiTheme="minorHAnsi" w:hAnsiTheme="minorHAnsi" w:cstheme="minorHAnsi"/>
          <w:b/>
        </w:rPr>
        <w:t xml:space="preserve">Challenges to effective access to justice </w:t>
      </w:r>
      <w:r w:rsidR="00A66179" w:rsidRPr="00883E0C">
        <w:rPr>
          <w:rFonts w:asciiTheme="minorHAnsi" w:hAnsiTheme="minorHAnsi" w:cstheme="minorHAnsi"/>
          <w:b/>
        </w:rPr>
        <w:t xml:space="preserve">experienced </w:t>
      </w:r>
      <w:r w:rsidRPr="00883E0C">
        <w:rPr>
          <w:rFonts w:asciiTheme="minorHAnsi" w:hAnsiTheme="minorHAnsi" w:cstheme="minorHAnsi"/>
          <w:b/>
        </w:rPr>
        <w:t>by women and girls with disabilities</w:t>
      </w:r>
    </w:p>
    <w:p w14:paraId="3AF508A7" w14:textId="77777777" w:rsidR="00AA5CF5" w:rsidRPr="00883E0C" w:rsidRDefault="00AA5CF5" w:rsidP="007457F8">
      <w:pPr>
        <w:pStyle w:val="ListParagraph"/>
        <w:ind w:left="0"/>
        <w:jc w:val="both"/>
        <w:rPr>
          <w:rFonts w:asciiTheme="minorHAnsi" w:hAnsiTheme="minorHAnsi" w:cstheme="minorHAnsi"/>
        </w:rPr>
      </w:pPr>
    </w:p>
    <w:p w14:paraId="24575211" w14:textId="223801AC" w:rsidR="009C1AB1" w:rsidRPr="00883E0C" w:rsidRDefault="004928A6" w:rsidP="0012792B">
      <w:pPr>
        <w:pStyle w:val="ListParagraph"/>
        <w:ind w:left="0"/>
        <w:jc w:val="both"/>
        <w:rPr>
          <w:rFonts w:asciiTheme="minorHAnsi" w:hAnsiTheme="minorHAnsi" w:cstheme="minorHAnsi"/>
        </w:rPr>
      </w:pPr>
      <w:r w:rsidRPr="00883E0C">
        <w:rPr>
          <w:rFonts w:asciiTheme="minorHAnsi" w:hAnsiTheme="minorHAnsi" w:cstheme="minorHAnsi"/>
        </w:rPr>
        <w:t>W</w:t>
      </w:r>
      <w:r w:rsidR="007457F8" w:rsidRPr="00883E0C">
        <w:rPr>
          <w:rFonts w:asciiTheme="minorHAnsi" w:hAnsiTheme="minorHAnsi" w:cstheme="minorHAnsi"/>
        </w:rPr>
        <w:t>omen and girls with disabilities</w:t>
      </w:r>
      <w:r w:rsidR="001F33A4" w:rsidRPr="00883E0C">
        <w:rPr>
          <w:rFonts w:asciiTheme="minorHAnsi" w:hAnsiTheme="minorHAnsi" w:cstheme="minorHAnsi"/>
        </w:rPr>
        <w:t xml:space="preserve"> also experience multiple</w:t>
      </w:r>
      <w:r w:rsidR="007457F8" w:rsidRPr="00883E0C">
        <w:rPr>
          <w:rFonts w:asciiTheme="minorHAnsi" w:hAnsiTheme="minorHAnsi" w:cstheme="minorHAnsi"/>
        </w:rPr>
        <w:t xml:space="preserve"> barriers to accessing justice owing to harmful stereotypes, discrimination and lack of procedural and reasonable accommodations, which can lead to their credibility being doubted and their </w:t>
      </w:r>
      <w:r w:rsidR="0090575B" w:rsidRPr="00883E0C">
        <w:rPr>
          <w:rFonts w:asciiTheme="minorHAnsi" w:hAnsiTheme="minorHAnsi" w:cstheme="minorHAnsi"/>
        </w:rPr>
        <w:t xml:space="preserve">evidence </w:t>
      </w:r>
      <w:r w:rsidR="007457F8" w:rsidRPr="00883E0C">
        <w:rPr>
          <w:rFonts w:asciiTheme="minorHAnsi" w:hAnsiTheme="minorHAnsi" w:cstheme="minorHAnsi"/>
        </w:rPr>
        <w:t>being dismissed</w:t>
      </w:r>
      <w:r w:rsidR="005215EC" w:rsidRPr="00883E0C">
        <w:rPr>
          <w:rFonts w:asciiTheme="minorHAnsi" w:hAnsiTheme="minorHAnsi" w:cstheme="minorHAnsi"/>
        </w:rPr>
        <w:t>, such as the case of older women with intellectual disabilities</w:t>
      </w:r>
      <w:r w:rsidR="007457F8" w:rsidRPr="00883E0C">
        <w:rPr>
          <w:rFonts w:asciiTheme="minorHAnsi" w:hAnsiTheme="minorHAnsi" w:cstheme="minorHAnsi"/>
        </w:rPr>
        <w:t xml:space="preserve">. Such barriers include </w:t>
      </w:r>
      <w:r w:rsidR="001F33A4" w:rsidRPr="00883E0C">
        <w:rPr>
          <w:rFonts w:asciiTheme="minorHAnsi" w:hAnsiTheme="minorHAnsi" w:cstheme="minorHAnsi"/>
        </w:rPr>
        <w:t xml:space="preserve">the </w:t>
      </w:r>
      <w:r w:rsidR="00A66179" w:rsidRPr="00883E0C">
        <w:rPr>
          <w:rFonts w:asciiTheme="minorHAnsi" w:hAnsiTheme="minorHAnsi" w:cstheme="minorHAnsi"/>
        </w:rPr>
        <w:t xml:space="preserve">absence </w:t>
      </w:r>
      <w:r w:rsidR="001F33A4" w:rsidRPr="00883E0C">
        <w:rPr>
          <w:rFonts w:asciiTheme="minorHAnsi" w:hAnsiTheme="minorHAnsi" w:cstheme="minorHAnsi"/>
        </w:rPr>
        <w:t>of</w:t>
      </w:r>
      <w:r w:rsidR="0090575B" w:rsidRPr="00883E0C">
        <w:rPr>
          <w:rFonts w:asciiTheme="minorHAnsi" w:hAnsiTheme="minorHAnsi" w:cstheme="minorHAnsi"/>
        </w:rPr>
        <w:t>,</w:t>
      </w:r>
      <w:r w:rsidR="001F33A4" w:rsidRPr="00883E0C">
        <w:rPr>
          <w:rFonts w:asciiTheme="minorHAnsi" w:hAnsiTheme="minorHAnsi" w:cstheme="minorHAnsi"/>
        </w:rPr>
        <w:t xml:space="preserve"> or </w:t>
      </w:r>
      <w:r w:rsidR="007457F8" w:rsidRPr="00883E0C">
        <w:rPr>
          <w:rFonts w:asciiTheme="minorHAnsi" w:hAnsiTheme="minorHAnsi" w:cstheme="minorHAnsi"/>
        </w:rPr>
        <w:t xml:space="preserve">complicated or degrading reporting procedures, the referral of </w:t>
      </w:r>
      <w:r w:rsidR="00A66179" w:rsidRPr="00883E0C">
        <w:rPr>
          <w:rFonts w:asciiTheme="minorHAnsi" w:hAnsiTheme="minorHAnsi" w:cstheme="minorHAnsi"/>
        </w:rPr>
        <w:t xml:space="preserve">survivors </w:t>
      </w:r>
      <w:r w:rsidR="007457F8" w:rsidRPr="00883E0C">
        <w:rPr>
          <w:rFonts w:asciiTheme="minorHAnsi" w:hAnsiTheme="minorHAnsi" w:cstheme="minorHAnsi"/>
        </w:rPr>
        <w:t xml:space="preserve">to social services rather than the provision of legal remedies, </w:t>
      </w:r>
      <w:r w:rsidR="0090575B" w:rsidRPr="00883E0C">
        <w:rPr>
          <w:rFonts w:asciiTheme="minorHAnsi" w:hAnsiTheme="minorHAnsi" w:cstheme="minorHAnsi"/>
        </w:rPr>
        <w:t xml:space="preserve">the </w:t>
      </w:r>
      <w:r w:rsidR="007457F8" w:rsidRPr="00883E0C">
        <w:rPr>
          <w:rFonts w:asciiTheme="minorHAnsi" w:hAnsiTheme="minorHAnsi" w:cstheme="minorHAnsi"/>
        </w:rPr>
        <w:t>inaccessibility of legal information and procedure</w:t>
      </w:r>
      <w:r w:rsidR="0090575B" w:rsidRPr="00883E0C">
        <w:rPr>
          <w:rFonts w:asciiTheme="minorHAnsi" w:hAnsiTheme="minorHAnsi" w:cstheme="minorHAnsi"/>
        </w:rPr>
        <w:t>s</w:t>
      </w:r>
      <w:r w:rsidR="007457F8" w:rsidRPr="00883E0C">
        <w:rPr>
          <w:rFonts w:asciiTheme="minorHAnsi" w:hAnsiTheme="minorHAnsi" w:cstheme="minorHAnsi"/>
        </w:rPr>
        <w:t xml:space="preserve"> to report such violations and abuses</w:t>
      </w:r>
      <w:r w:rsidR="001F33A4" w:rsidRPr="00883E0C">
        <w:rPr>
          <w:rFonts w:asciiTheme="minorHAnsi" w:hAnsiTheme="minorHAnsi" w:cstheme="minorHAnsi"/>
        </w:rPr>
        <w:t xml:space="preserve">, the restrictive procedural </w:t>
      </w:r>
      <w:r w:rsidR="001F33A4" w:rsidRPr="00883E0C">
        <w:rPr>
          <w:rFonts w:asciiTheme="minorHAnsi" w:hAnsiTheme="minorHAnsi" w:cstheme="minorHAnsi"/>
        </w:rPr>
        <w:lastRenderedPageBreak/>
        <w:t xml:space="preserve">rules concerning witnesses and </w:t>
      </w:r>
      <w:r w:rsidR="00A66179" w:rsidRPr="00883E0C">
        <w:rPr>
          <w:rFonts w:asciiTheme="minorHAnsi" w:hAnsiTheme="minorHAnsi" w:cstheme="minorHAnsi"/>
        </w:rPr>
        <w:t>survivors</w:t>
      </w:r>
      <w:r w:rsidR="0090575B" w:rsidRPr="00883E0C">
        <w:rPr>
          <w:rFonts w:asciiTheme="minorHAnsi" w:hAnsiTheme="minorHAnsi" w:cstheme="minorHAnsi"/>
        </w:rPr>
        <w:t>,</w:t>
      </w:r>
      <w:r w:rsidR="001F33A4" w:rsidRPr="00883E0C">
        <w:rPr>
          <w:rFonts w:asciiTheme="minorHAnsi" w:hAnsiTheme="minorHAnsi" w:cstheme="minorHAnsi"/>
        </w:rPr>
        <w:t xml:space="preserve"> and the stigma among the judiciary that affects negatively </w:t>
      </w:r>
      <w:r w:rsidR="00A66179" w:rsidRPr="00883E0C">
        <w:rPr>
          <w:rFonts w:asciiTheme="minorHAnsi" w:hAnsiTheme="minorHAnsi" w:cstheme="minorHAnsi"/>
        </w:rPr>
        <w:t>affects access to justice and access to effective remedies and redress by women</w:t>
      </w:r>
      <w:r w:rsidR="001F33A4" w:rsidRPr="00883E0C">
        <w:rPr>
          <w:rFonts w:asciiTheme="minorHAnsi" w:hAnsiTheme="minorHAnsi" w:cstheme="minorHAnsi"/>
        </w:rPr>
        <w:t>, and in particular women with disabilities</w:t>
      </w:r>
      <w:r w:rsidR="007457F8" w:rsidRPr="00883E0C">
        <w:rPr>
          <w:rFonts w:asciiTheme="minorHAnsi" w:hAnsiTheme="minorHAnsi" w:cstheme="minorHAnsi"/>
        </w:rPr>
        <w:t xml:space="preserve">. </w:t>
      </w:r>
      <w:r w:rsidR="005215EC" w:rsidRPr="00883E0C">
        <w:rPr>
          <w:rFonts w:asciiTheme="minorHAnsi" w:hAnsiTheme="minorHAnsi" w:cstheme="minorHAnsi"/>
        </w:rPr>
        <w:t>For instance, older women with disabilities who are survivors of sexual violence face particular barriers to disclosure and access to justice, resulting in their experiences remaining hidden</w:t>
      </w:r>
      <w:r w:rsidR="005215EC" w:rsidRPr="00883E0C">
        <w:rPr>
          <w:rStyle w:val="FootnoteReference"/>
          <w:rFonts w:asciiTheme="minorHAnsi" w:hAnsiTheme="minorHAnsi" w:cstheme="minorHAnsi"/>
        </w:rPr>
        <w:footnoteReference w:id="15"/>
      </w:r>
      <w:r w:rsidR="005215EC" w:rsidRPr="00883E0C">
        <w:rPr>
          <w:rFonts w:asciiTheme="minorHAnsi" w:hAnsiTheme="minorHAnsi" w:cstheme="minorHAnsi"/>
        </w:rPr>
        <w:t xml:space="preserve">. </w:t>
      </w:r>
      <w:r w:rsidR="007457F8" w:rsidRPr="00883E0C">
        <w:rPr>
          <w:rFonts w:asciiTheme="minorHAnsi" w:hAnsiTheme="minorHAnsi" w:cstheme="minorHAnsi"/>
        </w:rPr>
        <w:t>Moreover, t</w:t>
      </w:r>
      <w:r w:rsidR="00542091" w:rsidRPr="00883E0C">
        <w:rPr>
          <w:rFonts w:asciiTheme="minorHAnsi" w:hAnsiTheme="minorHAnsi" w:cstheme="minorHAnsi"/>
        </w:rPr>
        <w:t>he Committee</w:t>
      </w:r>
      <w:r w:rsidR="00EA09EE" w:rsidRPr="00883E0C">
        <w:rPr>
          <w:rFonts w:asciiTheme="minorHAnsi" w:hAnsiTheme="minorHAnsi" w:cstheme="minorHAnsi"/>
        </w:rPr>
        <w:t>s</w:t>
      </w:r>
      <w:r w:rsidR="00542091" w:rsidRPr="00883E0C">
        <w:rPr>
          <w:rFonts w:asciiTheme="minorHAnsi" w:hAnsiTheme="minorHAnsi" w:cstheme="minorHAnsi"/>
        </w:rPr>
        <w:t xml:space="preserve"> </w:t>
      </w:r>
      <w:r w:rsidR="00AA5CF5" w:rsidRPr="00883E0C">
        <w:rPr>
          <w:rFonts w:asciiTheme="minorHAnsi" w:hAnsiTheme="minorHAnsi" w:cstheme="minorHAnsi"/>
        </w:rPr>
        <w:t xml:space="preserve">is concerned </w:t>
      </w:r>
      <w:r w:rsidR="00542091" w:rsidRPr="00883E0C">
        <w:rPr>
          <w:rFonts w:asciiTheme="minorHAnsi" w:hAnsiTheme="minorHAnsi" w:cstheme="minorHAnsi"/>
        </w:rPr>
        <w:t xml:space="preserve">that women and girls </w:t>
      </w:r>
      <w:r w:rsidR="00AA5CF5" w:rsidRPr="00883E0C">
        <w:rPr>
          <w:rFonts w:asciiTheme="minorHAnsi" w:hAnsiTheme="minorHAnsi" w:cstheme="minorHAnsi"/>
        </w:rPr>
        <w:t xml:space="preserve">with disabilities </w:t>
      </w:r>
      <w:r w:rsidR="00A66179" w:rsidRPr="00883E0C">
        <w:rPr>
          <w:rFonts w:asciiTheme="minorHAnsi" w:hAnsiTheme="minorHAnsi" w:cstheme="minorHAnsi"/>
        </w:rPr>
        <w:t xml:space="preserve">who are subjected to </w:t>
      </w:r>
      <w:r w:rsidR="00542091" w:rsidRPr="00883E0C">
        <w:rPr>
          <w:rFonts w:asciiTheme="minorHAnsi" w:hAnsiTheme="minorHAnsi" w:cstheme="minorHAnsi"/>
        </w:rPr>
        <w:t>gender-based violence are</w:t>
      </w:r>
      <w:r w:rsidR="007457F8" w:rsidRPr="00883E0C">
        <w:rPr>
          <w:rFonts w:asciiTheme="minorHAnsi" w:hAnsiTheme="minorHAnsi" w:cstheme="minorHAnsi"/>
        </w:rPr>
        <w:t xml:space="preserve"> often unaware of their rights and the remedies</w:t>
      </w:r>
      <w:r w:rsidR="00A66179" w:rsidRPr="00883E0C">
        <w:rPr>
          <w:rFonts w:asciiTheme="minorHAnsi" w:hAnsiTheme="minorHAnsi" w:cstheme="minorHAnsi"/>
        </w:rPr>
        <w:t xml:space="preserve"> available to them</w:t>
      </w:r>
      <w:r w:rsidR="007457F8" w:rsidRPr="00883E0C">
        <w:rPr>
          <w:rFonts w:asciiTheme="minorHAnsi" w:hAnsiTheme="minorHAnsi" w:cstheme="minorHAnsi"/>
        </w:rPr>
        <w:t xml:space="preserve">. </w:t>
      </w:r>
    </w:p>
    <w:p w14:paraId="197C8708" w14:textId="5954EF6F" w:rsidR="00EA09EE" w:rsidRPr="00883E0C" w:rsidRDefault="00EA09EE" w:rsidP="0012792B">
      <w:pPr>
        <w:pStyle w:val="ListParagraph"/>
        <w:ind w:left="0"/>
        <w:jc w:val="both"/>
        <w:rPr>
          <w:rFonts w:asciiTheme="minorHAnsi" w:hAnsiTheme="minorHAnsi" w:cstheme="minorHAnsi"/>
        </w:rPr>
      </w:pPr>
    </w:p>
    <w:p w14:paraId="2A7251A3" w14:textId="15A9016D" w:rsidR="00EA09EE" w:rsidRPr="00883E0C" w:rsidRDefault="007A4028" w:rsidP="0012792B">
      <w:pPr>
        <w:pStyle w:val="ListParagraph"/>
        <w:ind w:left="0"/>
        <w:jc w:val="both"/>
        <w:rPr>
          <w:rFonts w:asciiTheme="minorHAnsi" w:hAnsiTheme="minorHAnsi" w:cstheme="minorHAnsi"/>
        </w:rPr>
      </w:pPr>
      <w:r w:rsidRPr="00883E0C">
        <w:rPr>
          <w:rFonts w:asciiTheme="minorHAnsi" w:hAnsiTheme="minorHAnsi" w:cstheme="minorHAnsi"/>
          <w:bCs/>
          <w:iCs/>
          <w:lang w:val="en-US"/>
        </w:rPr>
        <w:t xml:space="preserve">The CEDAW Committee has recommended that States parties </w:t>
      </w:r>
      <w:r w:rsidRPr="00883E0C">
        <w:rPr>
          <w:rFonts w:asciiTheme="minorHAnsi" w:hAnsiTheme="minorHAnsi" w:cstheme="minorHAnsi"/>
        </w:rPr>
        <w:t xml:space="preserve">pay special attention to </w:t>
      </w:r>
      <w:hyperlink r:id="rId28" w:history="1">
        <w:r w:rsidRPr="00883E0C">
          <w:rPr>
            <w:rStyle w:val="Hyperlink"/>
            <w:rFonts w:asciiTheme="minorHAnsi" w:hAnsiTheme="minorHAnsi" w:cstheme="minorHAnsi"/>
          </w:rPr>
          <w:t>access to justice systems for women with disabilities</w:t>
        </w:r>
      </w:hyperlink>
      <w:r w:rsidRPr="00883E0C">
        <w:rPr>
          <w:rStyle w:val="FootnoteReference"/>
          <w:rFonts w:asciiTheme="minorHAnsi" w:hAnsiTheme="minorHAnsi" w:cstheme="minorHAnsi"/>
        </w:rPr>
        <w:footnoteReference w:id="16"/>
      </w:r>
      <w:r w:rsidRPr="00883E0C">
        <w:rPr>
          <w:rFonts w:asciiTheme="minorHAnsi" w:hAnsiTheme="minorHAnsi" w:cstheme="minorHAnsi"/>
        </w:rPr>
        <w:t xml:space="preserve"> as well as to </w:t>
      </w:r>
      <w:r w:rsidR="00EA09EE" w:rsidRPr="00883E0C">
        <w:rPr>
          <w:rFonts w:asciiTheme="minorHAnsi" w:hAnsiTheme="minorHAnsi" w:cstheme="minorHAnsi"/>
          <w:bCs/>
          <w:iCs/>
          <w:lang w:val="en-US"/>
        </w:rPr>
        <w:t>repeal of all laws that prevent or deter women from reporting gender-based violence, such as guardianship laws that deprive women of legal capacity or restrict the ability of women with disabilities to testify in court.</w:t>
      </w:r>
      <w:r w:rsidR="00EA09EE" w:rsidRPr="00883E0C">
        <w:rPr>
          <w:rStyle w:val="FootnoteReference"/>
          <w:rFonts w:asciiTheme="minorHAnsi" w:hAnsiTheme="minorHAnsi" w:cstheme="minorHAnsi"/>
          <w:bCs/>
          <w:iCs/>
          <w:lang w:val="en-US"/>
        </w:rPr>
        <w:footnoteReference w:id="17"/>
      </w:r>
      <w:r w:rsidR="00EA09EE" w:rsidRPr="00883E0C">
        <w:rPr>
          <w:rFonts w:asciiTheme="minorHAnsi" w:hAnsiTheme="minorHAnsi" w:cstheme="minorHAnsi"/>
          <w:bCs/>
          <w:iCs/>
          <w:lang w:val="en-US"/>
        </w:rPr>
        <w:t xml:space="preserve"> </w:t>
      </w:r>
    </w:p>
    <w:p w14:paraId="118C43D7" w14:textId="77777777" w:rsidR="005C3B43" w:rsidRPr="00883E0C" w:rsidRDefault="005C3B43" w:rsidP="00602BB2">
      <w:pPr>
        <w:jc w:val="both"/>
        <w:rPr>
          <w:rFonts w:asciiTheme="minorHAnsi" w:hAnsiTheme="minorHAnsi" w:cstheme="minorHAnsi"/>
          <w:bCs/>
          <w:iCs/>
        </w:rPr>
      </w:pPr>
    </w:p>
    <w:p w14:paraId="44F41DCF" w14:textId="741D59B3" w:rsidR="0018457A" w:rsidRPr="00883E0C" w:rsidRDefault="00673307" w:rsidP="00AA5CF5">
      <w:pPr>
        <w:pStyle w:val="ListParagraph"/>
        <w:ind w:left="1080"/>
        <w:rPr>
          <w:rFonts w:asciiTheme="minorHAnsi" w:hAnsiTheme="minorHAnsi" w:cstheme="minorHAnsi"/>
          <w:b/>
          <w:i/>
        </w:rPr>
      </w:pPr>
      <w:r w:rsidRPr="00883E0C">
        <w:rPr>
          <w:rFonts w:asciiTheme="minorHAnsi" w:hAnsiTheme="minorHAnsi" w:cstheme="minorHAnsi"/>
          <w:b/>
          <w:i/>
        </w:rPr>
        <w:t xml:space="preserve">           </w:t>
      </w:r>
      <w:r w:rsidR="00AA5CF5" w:rsidRPr="00883E0C">
        <w:rPr>
          <w:rFonts w:asciiTheme="minorHAnsi" w:hAnsiTheme="minorHAnsi" w:cstheme="minorHAnsi"/>
          <w:b/>
          <w:i/>
        </w:rPr>
        <w:t>A renewed commitment towards gender equality</w:t>
      </w:r>
      <w:r w:rsidR="00097182" w:rsidRPr="00883E0C">
        <w:rPr>
          <w:rFonts w:asciiTheme="minorHAnsi" w:hAnsiTheme="minorHAnsi" w:cstheme="minorHAnsi"/>
          <w:b/>
          <w:i/>
        </w:rPr>
        <w:t xml:space="preserve"> for women</w:t>
      </w:r>
    </w:p>
    <w:p w14:paraId="64285A8D" w14:textId="77777777" w:rsidR="00BB3CBF" w:rsidRPr="00883E0C" w:rsidRDefault="00BB3CBF" w:rsidP="00602BB2">
      <w:pPr>
        <w:jc w:val="both"/>
        <w:rPr>
          <w:rFonts w:asciiTheme="minorHAnsi" w:hAnsiTheme="minorHAnsi" w:cstheme="minorHAnsi"/>
        </w:rPr>
      </w:pPr>
    </w:p>
    <w:p w14:paraId="7B26B094" w14:textId="3A286335" w:rsidR="00270249" w:rsidRPr="00883E0C" w:rsidRDefault="00B76302" w:rsidP="00270249">
      <w:pPr>
        <w:jc w:val="both"/>
        <w:rPr>
          <w:rFonts w:asciiTheme="minorHAnsi" w:hAnsiTheme="minorHAnsi" w:cstheme="minorHAnsi"/>
        </w:rPr>
      </w:pPr>
      <w:r w:rsidRPr="00883E0C">
        <w:rPr>
          <w:rFonts w:asciiTheme="minorHAnsi" w:hAnsiTheme="minorHAnsi" w:cstheme="minorHAnsi"/>
        </w:rPr>
        <w:t>States should recognize</w:t>
      </w:r>
      <w:r w:rsidR="00DF22AC" w:rsidRPr="00883E0C">
        <w:rPr>
          <w:rFonts w:asciiTheme="minorHAnsi" w:hAnsiTheme="minorHAnsi" w:cstheme="minorHAnsi"/>
        </w:rPr>
        <w:t xml:space="preserve"> women and girls with disabilities as human rights holders, and </w:t>
      </w:r>
      <w:r w:rsidR="000703A0" w:rsidRPr="00883E0C">
        <w:rPr>
          <w:rFonts w:asciiTheme="minorHAnsi" w:hAnsiTheme="minorHAnsi" w:cstheme="minorHAnsi"/>
        </w:rPr>
        <w:t>empower them to participate</w:t>
      </w:r>
      <w:r w:rsidR="00DF22AC" w:rsidRPr="00883E0C">
        <w:rPr>
          <w:rFonts w:asciiTheme="minorHAnsi" w:hAnsiTheme="minorHAnsi" w:cstheme="minorHAnsi"/>
        </w:rPr>
        <w:t xml:space="preserve"> in all initiatives and measures to make gender equality a reality. </w:t>
      </w:r>
      <w:r w:rsidR="001C7909" w:rsidRPr="00883E0C">
        <w:rPr>
          <w:rFonts w:asciiTheme="minorHAnsi" w:hAnsiTheme="minorHAnsi" w:cstheme="minorHAnsi"/>
        </w:rPr>
        <w:t>Today, the Committee calls to all stakeholders to renew and uphold their commitment to combat g</w:t>
      </w:r>
      <w:r w:rsidR="00007809" w:rsidRPr="00883E0C">
        <w:rPr>
          <w:rFonts w:asciiTheme="minorHAnsi" w:hAnsiTheme="minorHAnsi" w:cstheme="minorHAnsi"/>
        </w:rPr>
        <w:t>ender inequality and eliminate</w:t>
      </w:r>
      <w:r w:rsidR="001C7909" w:rsidRPr="00883E0C">
        <w:rPr>
          <w:rFonts w:asciiTheme="minorHAnsi" w:hAnsiTheme="minorHAnsi" w:cstheme="minorHAnsi"/>
        </w:rPr>
        <w:t xml:space="preserve"> </w:t>
      </w:r>
      <w:r w:rsidR="00AA5CF5" w:rsidRPr="00883E0C">
        <w:rPr>
          <w:rFonts w:asciiTheme="minorHAnsi" w:hAnsiTheme="minorHAnsi" w:cstheme="minorHAnsi"/>
        </w:rPr>
        <w:t xml:space="preserve">gender-based </w:t>
      </w:r>
      <w:r w:rsidR="001C7909" w:rsidRPr="00883E0C">
        <w:rPr>
          <w:rFonts w:asciiTheme="minorHAnsi" w:hAnsiTheme="minorHAnsi" w:cstheme="minorHAnsi"/>
        </w:rPr>
        <w:t>violence against women and girls with disabilities</w:t>
      </w:r>
      <w:r w:rsidR="00AA5CF5" w:rsidRPr="00883E0C">
        <w:rPr>
          <w:rFonts w:asciiTheme="minorHAnsi" w:hAnsiTheme="minorHAnsi" w:cstheme="minorHAnsi"/>
        </w:rPr>
        <w:t>.</w:t>
      </w:r>
      <w:r w:rsidR="009C1AB1" w:rsidRPr="00883E0C">
        <w:rPr>
          <w:rFonts w:asciiTheme="minorHAnsi" w:hAnsiTheme="minorHAnsi" w:cstheme="minorHAnsi"/>
        </w:rPr>
        <w:t xml:space="preserve"> </w:t>
      </w:r>
      <w:r w:rsidR="009C1AB1" w:rsidRPr="00883E0C">
        <w:rPr>
          <w:rFonts w:asciiTheme="minorHAnsi" w:hAnsiTheme="minorHAnsi" w:cstheme="minorHAnsi"/>
          <w:b/>
          <w:bCs/>
          <w:i/>
          <w:iCs/>
        </w:rPr>
        <w:t>R</w:t>
      </w:r>
      <w:r w:rsidR="007457F8" w:rsidRPr="00883E0C">
        <w:rPr>
          <w:rFonts w:asciiTheme="minorHAnsi" w:hAnsiTheme="minorHAnsi" w:cstheme="minorHAnsi"/>
          <w:b/>
          <w:bCs/>
          <w:i/>
          <w:iCs/>
        </w:rPr>
        <w:t xml:space="preserve">ecalling the recommendations made in </w:t>
      </w:r>
      <w:r w:rsidR="00097182" w:rsidRPr="00883E0C">
        <w:rPr>
          <w:rFonts w:asciiTheme="minorHAnsi" w:hAnsiTheme="minorHAnsi" w:cstheme="minorHAnsi"/>
          <w:b/>
          <w:bCs/>
          <w:i/>
          <w:iCs/>
        </w:rPr>
        <w:t xml:space="preserve">the CRPD Committee’s </w:t>
      </w:r>
      <w:hyperlink r:id="rId29" w:history="1">
        <w:r w:rsidR="007457F8" w:rsidRPr="00883E0C">
          <w:rPr>
            <w:rStyle w:val="Hyperlink"/>
            <w:rFonts w:asciiTheme="minorHAnsi" w:hAnsiTheme="minorHAnsi" w:cstheme="minorHAnsi"/>
            <w:b/>
            <w:bCs/>
            <w:i/>
            <w:iCs/>
          </w:rPr>
          <w:t>General Comment No. 3 on women and girls with disabilities</w:t>
        </w:r>
      </w:hyperlink>
      <w:r w:rsidR="007457F8" w:rsidRPr="00883E0C">
        <w:rPr>
          <w:rFonts w:asciiTheme="minorHAnsi" w:hAnsiTheme="minorHAnsi" w:cstheme="minorHAnsi"/>
          <w:b/>
          <w:bCs/>
          <w:i/>
          <w:iCs/>
        </w:rPr>
        <w:t>,</w:t>
      </w:r>
      <w:r w:rsidR="00097182" w:rsidRPr="00883E0C">
        <w:rPr>
          <w:rFonts w:asciiTheme="minorHAnsi" w:hAnsiTheme="minorHAnsi" w:cstheme="minorHAnsi"/>
          <w:b/>
          <w:bCs/>
          <w:i/>
          <w:iCs/>
        </w:rPr>
        <w:t xml:space="preserve"> CEDAW Committee General Recommendation No. 18 on disabled women and subsequent jurisprudence,</w:t>
      </w:r>
      <w:r w:rsidR="007457F8" w:rsidRPr="00883E0C">
        <w:rPr>
          <w:rFonts w:asciiTheme="minorHAnsi" w:hAnsiTheme="minorHAnsi" w:cstheme="minorHAnsi"/>
          <w:b/>
          <w:bCs/>
          <w:i/>
          <w:iCs/>
        </w:rPr>
        <w:t xml:space="preserve"> </w:t>
      </w:r>
      <w:r w:rsidR="00062AE9">
        <w:rPr>
          <w:rFonts w:asciiTheme="minorHAnsi" w:hAnsiTheme="minorHAnsi" w:cstheme="minorHAnsi"/>
          <w:b/>
          <w:bCs/>
          <w:i/>
          <w:iCs/>
        </w:rPr>
        <w:t xml:space="preserve">international </w:t>
      </w:r>
      <w:r w:rsidR="00062AE9">
        <w:rPr>
          <w:rFonts w:asciiTheme="minorHAnsi" w:hAnsiTheme="minorHAnsi" w:cstheme="minorHAnsi"/>
          <w:b/>
          <w:i/>
        </w:rPr>
        <w:t>experts</w:t>
      </w:r>
      <w:r w:rsidR="00337D8C" w:rsidRPr="00883E0C">
        <w:rPr>
          <w:rFonts w:asciiTheme="minorHAnsi" w:hAnsiTheme="minorHAnsi" w:cstheme="minorHAnsi"/>
          <w:b/>
          <w:i/>
        </w:rPr>
        <w:t xml:space="preserve"> call </w:t>
      </w:r>
      <w:r w:rsidR="002A07AB" w:rsidRPr="00883E0C">
        <w:rPr>
          <w:rFonts w:asciiTheme="minorHAnsi" w:hAnsiTheme="minorHAnsi" w:cstheme="minorHAnsi"/>
          <w:b/>
          <w:i/>
        </w:rPr>
        <w:t xml:space="preserve">upon </w:t>
      </w:r>
      <w:r w:rsidR="00270249" w:rsidRPr="00883E0C">
        <w:rPr>
          <w:rFonts w:asciiTheme="minorHAnsi" w:hAnsiTheme="minorHAnsi" w:cstheme="minorHAnsi"/>
          <w:b/>
          <w:i/>
        </w:rPr>
        <w:t>States parties to the Convention</w:t>
      </w:r>
      <w:r w:rsidR="00097182" w:rsidRPr="00883E0C">
        <w:rPr>
          <w:rFonts w:asciiTheme="minorHAnsi" w:hAnsiTheme="minorHAnsi" w:cstheme="minorHAnsi"/>
          <w:b/>
          <w:i/>
        </w:rPr>
        <w:t>s</w:t>
      </w:r>
      <w:r w:rsidR="00270249" w:rsidRPr="00883E0C">
        <w:rPr>
          <w:rFonts w:asciiTheme="minorHAnsi" w:hAnsiTheme="minorHAnsi" w:cstheme="minorHAnsi"/>
          <w:b/>
          <w:i/>
        </w:rPr>
        <w:t xml:space="preserve"> and </w:t>
      </w:r>
      <w:r w:rsidR="00337D8C" w:rsidRPr="00883E0C">
        <w:rPr>
          <w:rFonts w:asciiTheme="minorHAnsi" w:hAnsiTheme="minorHAnsi" w:cstheme="minorHAnsi"/>
          <w:b/>
          <w:i/>
        </w:rPr>
        <w:t>stakeholders to</w:t>
      </w:r>
      <w:r w:rsidR="00270249" w:rsidRPr="00883E0C">
        <w:rPr>
          <w:rFonts w:asciiTheme="minorHAnsi" w:hAnsiTheme="minorHAnsi" w:cstheme="minorHAnsi"/>
          <w:b/>
          <w:i/>
        </w:rPr>
        <w:t>:</w:t>
      </w:r>
    </w:p>
    <w:p w14:paraId="16512A69" w14:textId="77777777" w:rsidR="00270249" w:rsidRPr="00883E0C" w:rsidRDefault="00270249" w:rsidP="00270249">
      <w:pPr>
        <w:jc w:val="both"/>
        <w:rPr>
          <w:rFonts w:asciiTheme="minorHAnsi" w:hAnsiTheme="minorHAnsi" w:cstheme="minorHAnsi"/>
          <w:b/>
        </w:rPr>
      </w:pPr>
    </w:p>
    <w:p w14:paraId="42D4AF5F" w14:textId="060A7024" w:rsidR="00007809" w:rsidRPr="00883E0C" w:rsidRDefault="00007809" w:rsidP="00007809">
      <w:pPr>
        <w:ind w:firstLine="720"/>
        <w:jc w:val="both"/>
        <w:rPr>
          <w:rFonts w:asciiTheme="minorHAnsi" w:hAnsiTheme="minorHAnsi" w:cstheme="minorHAnsi"/>
        </w:rPr>
      </w:pPr>
      <w:r w:rsidRPr="00883E0C">
        <w:rPr>
          <w:rFonts w:asciiTheme="minorHAnsi" w:hAnsiTheme="minorHAnsi" w:cstheme="minorHAnsi"/>
        </w:rPr>
        <w:t xml:space="preserve">(a) </w:t>
      </w:r>
      <w:r w:rsidRPr="00883E0C">
        <w:rPr>
          <w:rFonts w:asciiTheme="minorHAnsi" w:hAnsiTheme="minorHAnsi" w:cstheme="minorHAnsi"/>
        </w:rPr>
        <w:tab/>
        <w:t>Adopt compre</w:t>
      </w:r>
      <w:r w:rsidR="00A66179" w:rsidRPr="00883E0C">
        <w:rPr>
          <w:rFonts w:asciiTheme="minorHAnsi" w:hAnsiTheme="minorHAnsi" w:cstheme="minorHAnsi"/>
        </w:rPr>
        <w:t>hen</w:t>
      </w:r>
      <w:r w:rsidRPr="00883E0C">
        <w:rPr>
          <w:rFonts w:asciiTheme="minorHAnsi" w:hAnsiTheme="minorHAnsi" w:cstheme="minorHAnsi"/>
        </w:rPr>
        <w:t xml:space="preserve">sive legal and policy frameworks to combat gender-based violence against women and girls with disabilities, in the private and public spheres, </w:t>
      </w:r>
      <w:r w:rsidR="002A07AB" w:rsidRPr="00883E0C">
        <w:rPr>
          <w:rFonts w:asciiTheme="minorHAnsi" w:hAnsiTheme="minorHAnsi" w:cstheme="minorHAnsi"/>
        </w:rPr>
        <w:t>ensuring that all forms of gender-based violence against women and girls with disabilities are a</w:t>
      </w:r>
      <w:r w:rsidR="00A66179" w:rsidRPr="00883E0C">
        <w:rPr>
          <w:rFonts w:asciiTheme="minorHAnsi" w:hAnsiTheme="minorHAnsi" w:cstheme="minorHAnsi"/>
        </w:rPr>
        <w:t>ppropriately</w:t>
      </w:r>
      <w:r w:rsidR="002A07AB" w:rsidRPr="00883E0C">
        <w:rPr>
          <w:rFonts w:asciiTheme="minorHAnsi" w:hAnsiTheme="minorHAnsi" w:cstheme="minorHAnsi"/>
        </w:rPr>
        <w:t xml:space="preserve"> defined as criminal offenses</w:t>
      </w:r>
      <w:r w:rsidRPr="00883E0C">
        <w:rPr>
          <w:rFonts w:asciiTheme="minorHAnsi" w:hAnsiTheme="minorHAnsi" w:cstheme="minorHAnsi"/>
        </w:rPr>
        <w:t>;</w:t>
      </w:r>
    </w:p>
    <w:p w14:paraId="7458B64F" w14:textId="77777777" w:rsidR="00007809" w:rsidRPr="00883E0C" w:rsidRDefault="00007809" w:rsidP="00007809">
      <w:pPr>
        <w:ind w:firstLine="720"/>
        <w:jc w:val="both"/>
        <w:rPr>
          <w:rFonts w:asciiTheme="minorHAnsi" w:hAnsiTheme="minorHAnsi" w:cstheme="minorHAnsi"/>
        </w:rPr>
      </w:pPr>
    </w:p>
    <w:p w14:paraId="0A56FCFF" w14:textId="597CDA03" w:rsidR="002A07AB" w:rsidRPr="00883E0C" w:rsidRDefault="00007809" w:rsidP="00007809">
      <w:pPr>
        <w:ind w:firstLine="720"/>
        <w:jc w:val="both"/>
        <w:rPr>
          <w:rFonts w:asciiTheme="minorHAnsi" w:hAnsiTheme="minorHAnsi" w:cstheme="minorHAnsi"/>
          <w:b/>
        </w:rPr>
      </w:pPr>
      <w:r w:rsidRPr="00883E0C">
        <w:rPr>
          <w:rFonts w:asciiTheme="minorHAnsi" w:hAnsiTheme="minorHAnsi" w:cstheme="minorHAnsi"/>
        </w:rPr>
        <w:t>(b)</w:t>
      </w:r>
      <w:r w:rsidRPr="00883E0C">
        <w:rPr>
          <w:rFonts w:asciiTheme="minorHAnsi" w:hAnsiTheme="minorHAnsi" w:cstheme="minorHAnsi"/>
        </w:rPr>
        <w:tab/>
        <w:t>Ensure</w:t>
      </w:r>
      <w:r w:rsidR="002A07AB" w:rsidRPr="00883E0C">
        <w:rPr>
          <w:rFonts w:asciiTheme="minorHAnsi" w:hAnsiTheme="minorHAnsi" w:cstheme="minorHAnsi"/>
        </w:rPr>
        <w:t xml:space="preserve"> the </w:t>
      </w:r>
      <w:r w:rsidR="002A07AB" w:rsidRPr="00883E0C">
        <w:rPr>
          <w:rFonts w:asciiTheme="minorHAnsi" w:hAnsiTheme="minorHAnsi" w:cstheme="minorHAnsi"/>
          <w:bCs/>
          <w:iCs/>
        </w:rPr>
        <w:t xml:space="preserve">meaningful participation and involvement of women and girls with disabilities </w:t>
      </w:r>
      <w:r w:rsidR="00A66179" w:rsidRPr="00883E0C">
        <w:rPr>
          <w:rFonts w:asciiTheme="minorHAnsi" w:hAnsiTheme="minorHAnsi" w:cstheme="minorHAnsi"/>
          <w:bCs/>
          <w:iCs/>
        </w:rPr>
        <w:t xml:space="preserve">and their representative organizations </w:t>
      </w:r>
      <w:r w:rsidR="002A07AB" w:rsidRPr="00883E0C">
        <w:rPr>
          <w:rFonts w:asciiTheme="minorHAnsi" w:hAnsiTheme="minorHAnsi" w:cstheme="minorHAnsi"/>
          <w:bCs/>
          <w:iCs/>
        </w:rPr>
        <w:t>in the design of</w:t>
      </w:r>
      <w:r w:rsidR="00A66179" w:rsidRPr="00883E0C">
        <w:rPr>
          <w:rFonts w:asciiTheme="minorHAnsi" w:hAnsiTheme="minorHAnsi" w:cstheme="minorHAnsi"/>
          <w:bCs/>
          <w:iCs/>
        </w:rPr>
        <w:t xml:space="preserve"> laws, policies and</w:t>
      </w:r>
      <w:r w:rsidR="002A07AB" w:rsidRPr="00883E0C">
        <w:rPr>
          <w:rFonts w:asciiTheme="minorHAnsi" w:hAnsiTheme="minorHAnsi" w:cstheme="minorHAnsi"/>
          <w:bCs/>
          <w:iCs/>
        </w:rPr>
        <w:t xml:space="preserve"> strategies to prevent and eliminate all forms of gender-based violence against women</w:t>
      </w:r>
      <w:r w:rsidR="009C1AB1" w:rsidRPr="00883E0C">
        <w:rPr>
          <w:rFonts w:asciiTheme="minorHAnsi" w:hAnsiTheme="minorHAnsi" w:cstheme="minorHAnsi"/>
          <w:bCs/>
          <w:iCs/>
        </w:rPr>
        <w:t>,</w:t>
      </w:r>
      <w:r w:rsidR="002A07AB" w:rsidRPr="00883E0C">
        <w:rPr>
          <w:rFonts w:asciiTheme="minorHAnsi" w:hAnsiTheme="minorHAnsi" w:cstheme="minorHAnsi"/>
          <w:bCs/>
          <w:iCs/>
        </w:rPr>
        <w:t xml:space="preserve"> to provide adequate redress for women and girls with disabilities</w:t>
      </w:r>
      <w:r w:rsidR="00A66179" w:rsidRPr="00883E0C">
        <w:rPr>
          <w:rFonts w:asciiTheme="minorHAnsi" w:hAnsiTheme="minorHAnsi" w:cstheme="minorHAnsi"/>
          <w:bCs/>
          <w:iCs/>
        </w:rPr>
        <w:t>,</w:t>
      </w:r>
      <w:r w:rsidR="002A07AB" w:rsidRPr="00883E0C">
        <w:rPr>
          <w:vertAlign w:val="superscript"/>
        </w:rPr>
        <w:footnoteReference w:id="18"/>
      </w:r>
      <w:r w:rsidRPr="00883E0C">
        <w:rPr>
          <w:rFonts w:asciiTheme="minorHAnsi" w:hAnsiTheme="minorHAnsi" w:cstheme="minorHAnsi"/>
          <w:bCs/>
          <w:iCs/>
        </w:rPr>
        <w:t xml:space="preserve"> and </w:t>
      </w:r>
      <w:r w:rsidRPr="00883E0C">
        <w:rPr>
          <w:rFonts w:asciiTheme="minorHAnsi" w:hAnsiTheme="minorHAnsi" w:cstheme="minorHAnsi"/>
        </w:rPr>
        <w:t xml:space="preserve">conduct awareness </w:t>
      </w:r>
      <w:r w:rsidR="0090575B" w:rsidRPr="00883E0C">
        <w:rPr>
          <w:rFonts w:asciiTheme="minorHAnsi" w:hAnsiTheme="minorHAnsi" w:cstheme="minorHAnsi"/>
        </w:rPr>
        <w:t xml:space="preserve">raising </w:t>
      </w:r>
      <w:r w:rsidRPr="00883E0C">
        <w:rPr>
          <w:rFonts w:asciiTheme="minorHAnsi" w:hAnsiTheme="minorHAnsi" w:cstheme="minorHAnsi"/>
        </w:rPr>
        <w:t>campaigns targeting women and girls with disabilities on gender-based violence and the available remedies;</w:t>
      </w:r>
    </w:p>
    <w:p w14:paraId="463485B3" w14:textId="77777777" w:rsidR="002A07AB" w:rsidRPr="00883E0C" w:rsidRDefault="002A07AB" w:rsidP="002A07AB">
      <w:pPr>
        <w:jc w:val="both"/>
        <w:rPr>
          <w:rFonts w:asciiTheme="minorHAnsi" w:hAnsiTheme="minorHAnsi" w:cstheme="minorHAnsi"/>
          <w:b/>
        </w:rPr>
      </w:pPr>
    </w:p>
    <w:p w14:paraId="04DC65B7" w14:textId="1682D106" w:rsidR="0005023D" w:rsidRPr="00883E0C" w:rsidRDefault="00007809" w:rsidP="00474059">
      <w:pPr>
        <w:ind w:firstLine="720"/>
        <w:jc w:val="both"/>
        <w:rPr>
          <w:rFonts w:asciiTheme="minorHAnsi" w:hAnsiTheme="minorHAnsi" w:cstheme="minorHAnsi"/>
          <w:lang w:val="en-US"/>
        </w:rPr>
      </w:pPr>
      <w:r w:rsidRPr="00883E0C">
        <w:rPr>
          <w:rFonts w:asciiTheme="minorHAnsi" w:hAnsiTheme="minorHAnsi" w:cstheme="minorHAnsi"/>
          <w:bCs/>
          <w:iCs/>
          <w:lang w:val="en-US"/>
        </w:rPr>
        <w:lastRenderedPageBreak/>
        <w:t>(c</w:t>
      </w:r>
      <w:r w:rsidR="00270249" w:rsidRPr="00883E0C">
        <w:rPr>
          <w:rFonts w:asciiTheme="minorHAnsi" w:hAnsiTheme="minorHAnsi" w:cstheme="minorHAnsi"/>
          <w:bCs/>
          <w:iCs/>
          <w:lang w:val="en-US"/>
        </w:rPr>
        <w:t xml:space="preserve">) </w:t>
      </w:r>
      <w:r w:rsidRPr="00883E0C">
        <w:rPr>
          <w:rFonts w:asciiTheme="minorHAnsi" w:hAnsiTheme="minorHAnsi" w:cstheme="minorHAnsi"/>
          <w:bCs/>
          <w:iCs/>
          <w:lang w:val="en-US"/>
        </w:rPr>
        <w:tab/>
      </w:r>
      <w:r w:rsidR="0005023D" w:rsidRPr="00883E0C">
        <w:rPr>
          <w:rFonts w:asciiTheme="minorHAnsi" w:hAnsiTheme="minorHAnsi" w:cstheme="minorHAnsi"/>
          <w:bCs/>
          <w:iCs/>
          <w:lang w:val="en-US"/>
        </w:rPr>
        <w:t>Mainstream</w:t>
      </w:r>
      <w:r w:rsidR="002A07AB" w:rsidRPr="00883E0C">
        <w:rPr>
          <w:rFonts w:asciiTheme="minorHAnsi" w:hAnsiTheme="minorHAnsi" w:cstheme="minorHAnsi"/>
          <w:bCs/>
          <w:iCs/>
          <w:lang w:val="en-US"/>
        </w:rPr>
        <w:t xml:space="preserve"> gender perspective in all </w:t>
      </w:r>
      <w:r w:rsidR="0005023D" w:rsidRPr="00883E0C">
        <w:rPr>
          <w:rFonts w:asciiTheme="minorHAnsi" w:hAnsiTheme="minorHAnsi" w:cstheme="minorHAnsi"/>
          <w:bCs/>
          <w:iCs/>
          <w:lang w:val="en-US"/>
        </w:rPr>
        <w:t xml:space="preserve">general </w:t>
      </w:r>
      <w:r w:rsidR="002A07AB" w:rsidRPr="00883E0C">
        <w:rPr>
          <w:rFonts w:asciiTheme="minorHAnsi" w:hAnsiTheme="minorHAnsi" w:cstheme="minorHAnsi"/>
          <w:bCs/>
          <w:iCs/>
          <w:lang w:val="en-US"/>
        </w:rPr>
        <w:t>legislation, public policies and programmes</w:t>
      </w:r>
      <w:r w:rsidR="0005023D" w:rsidRPr="00883E0C">
        <w:rPr>
          <w:rFonts w:asciiTheme="minorHAnsi" w:hAnsiTheme="minorHAnsi" w:cstheme="minorHAnsi"/>
          <w:bCs/>
          <w:iCs/>
          <w:lang w:val="en-US"/>
        </w:rPr>
        <w:t>,</w:t>
      </w:r>
      <w:r w:rsidR="002A07AB" w:rsidRPr="00883E0C">
        <w:rPr>
          <w:rFonts w:asciiTheme="minorHAnsi" w:hAnsiTheme="minorHAnsi" w:cstheme="minorHAnsi"/>
          <w:bCs/>
          <w:iCs/>
          <w:lang w:val="en-US"/>
        </w:rPr>
        <w:t xml:space="preserve"> and in all </w:t>
      </w:r>
      <w:r w:rsidR="00610E7D" w:rsidRPr="00883E0C">
        <w:rPr>
          <w:rFonts w:asciiTheme="minorHAnsi" w:hAnsiTheme="minorHAnsi" w:cstheme="minorHAnsi"/>
          <w:bCs/>
          <w:iCs/>
          <w:lang w:val="en-US"/>
        </w:rPr>
        <w:t>frameworks</w:t>
      </w:r>
      <w:r w:rsidR="002A07AB" w:rsidRPr="00883E0C">
        <w:rPr>
          <w:rFonts w:asciiTheme="minorHAnsi" w:hAnsiTheme="minorHAnsi" w:cstheme="minorHAnsi"/>
          <w:bCs/>
          <w:iCs/>
          <w:lang w:val="en-US"/>
        </w:rPr>
        <w:t xml:space="preserve"> to promote the full enjoyment of human rights and fundamental freedoms by persons with disabilities</w:t>
      </w:r>
      <w:r w:rsidR="0005023D" w:rsidRPr="00883E0C">
        <w:rPr>
          <w:rFonts w:asciiTheme="minorHAnsi" w:hAnsiTheme="minorHAnsi" w:cstheme="minorHAnsi"/>
          <w:lang w:val="en-US"/>
        </w:rPr>
        <w:t>;</w:t>
      </w:r>
    </w:p>
    <w:p w14:paraId="5EE9AF0A" w14:textId="26846D8A" w:rsidR="00474059" w:rsidRPr="00883E0C" w:rsidRDefault="00474059" w:rsidP="00474059">
      <w:pPr>
        <w:ind w:firstLine="720"/>
        <w:jc w:val="both"/>
        <w:rPr>
          <w:rFonts w:asciiTheme="minorHAnsi" w:hAnsiTheme="minorHAnsi" w:cstheme="minorHAnsi"/>
          <w:lang w:val="en-US"/>
        </w:rPr>
      </w:pPr>
    </w:p>
    <w:p w14:paraId="67F9ED4E" w14:textId="5FD44F66" w:rsidR="006018FF" w:rsidRPr="00883E0C" w:rsidRDefault="0005023D" w:rsidP="0005023D">
      <w:pPr>
        <w:ind w:firstLine="720"/>
        <w:jc w:val="both"/>
        <w:rPr>
          <w:rFonts w:asciiTheme="minorHAnsi" w:hAnsiTheme="minorHAnsi" w:cstheme="minorHAnsi"/>
        </w:rPr>
      </w:pPr>
      <w:r w:rsidRPr="00883E0C">
        <w:rPr>
          <w:rFonts w:asciiTheme="minorHAnsi" w:hAnsiTheme="minorHAnsi" w:cstheme="minorHAnsi"/>
          <w:lang w:val="en-US"/>
        </w:rPr>
        <w:t xml:space="preserve">(d) </w:t>
      </w:r>
      <w:r w:rsidRPr="00883E0C">
        <w:rPr>
          <w:rFonts w:asciiTheme="minorHAnsi" w:hAnsiTheme="minorHAnsi" w:cstheme="minorHAnsi"/>
          <w:lang w:val="en-US"/>
        </w:rPr>
        <w:tab/>
        <w:t xml:space="preserve">Recognize </w:t>
      </w:r>
      <w:r w:rsidR="00474059" w:rsidRPr="00883E0C">
        <w:rPr>
          <w:rFonts w:asciiTheme="minorHAnsi" w:hAnsiTheme="minorHAnsi" w:cstheme="minorHAnsi"/>
          <w:lang w:val="en-US"/>
        </w:rPr>
        <w:t xml:space="preserve">and </w:t>
      </w:r>
      <w:r w:rsidR="00A66179" w:rsidRPr="00883E0C">
        <w:rPr>
          <w:rFonts w:asciiTheme="minorHAnsi" w:hAnsiTheme="minorHAnsi" w:cstheme="minorHAnsi"/>
          <w:lang w:val="en-US"/>
        </w:rPr>
        <w:t xml:space="preserve">actively </w:t>
      </w:r>
      <w:r w:rsidR="00474059" w:rsidRPr="00883E0C">
        <w:rPr>
          <w:rFonts w:asciiTheme="minorHAnsi" w:hAnsiTheme="minorHAnsi" w:cstheme="minorHAnsi"/>
          <w:lang w:val="en-US"/>
        </w:rPr>
        <w:t>include women and girls with disabiliti</w:t>
      </w:r>
      <w:r w:rsidRPr="00883E0C">
        <w:rPr>
          <w:rFonts w:asciiTheme="minorHAnsi" w:hAnsiTheme="minorHAnsi" w:cstheme="minorHAnsi"/>
          <w:lang w:val="en-US"/>
        </w:rPr>
        <w:t>es and their representative organizations in strategies towards gender equality and</w:t>
      </w:r>
      <w:r w:rsidR="00097182" w:rsidRPr="00883E0C">
        <w:rPr>
          <w:rFonts w:asciiTheme="minorHAnsi" w:hAnsiTheme="minorHAnsi" w:cstheme="minorHAnsi"/>
          <w:lang w:val="en-US"/>
        </w:rPr>
        <w:t xml:space="preserve"> women’s rights and </w:t>
      </w:r>
      <w:r w:rsidRPr="00883E0C">
        <w:rPr>
          <w:rFonts w:asciiTheme="minorHAnsi" w:hAnsiTheme="minorHAnsi" w:cstheme="minorHAnsi"/>
          <w:lang w:val="en-US"/>
        </w:rPr>
        <w:t xml:space="preserve">the elimination of all forms of violence against women, including </w:t>
      </w:r>
      <w:r w:rsidR="00F30932" w:rsidRPr="00883E0C">
        <w:rPr>
          <w:rFonts w:asciiTheme="minorHAnsi" w:hAnsiTheme="minorHAnsi" w:cstheme="minorHAnsi"/>
          <w:lang w:val="en-US"/>
        </w:rPr>
        <w:t xml:space="preserve">in </w:t>
      </w:r>
      <w:r w:rsidRPr="00883E0C">
        <w:rPr>
          <w:rFonts w:asciiTheme="minorHAnsi" w:hAnsiTheme="minorHAnsi" w:cstheme="minorHAnsi"/>
          <w:lang w:val="en-US"/>
        </w:rPr>
        <w:t>civil society initiatives;</w:t>
      </w:r>
    </w:p>
    <w:p w14:paraId="7A11BBE6" w14:textId="77777777" w:rsidR="00270249" w:rsidRPr="00883E0C" w:rsidRDefault="00270249" w:rsidP="006018FF">
      <w:pPr>
        <w:ind w:firstLine="720"/>
        <w:jc w:val="both"/>
        <w:rPr>
          <w:rFonts w:asciiTheme="minorHAnsi" w:hAnsiTheme="minorHAnsi" w:cstheme="minorHAnsi"/>
        </w:rPr>
      </w:pPr>
    </w:p>
    <w:p w14:paraId="1B07DC05" w14:textId="25C48320" w:rsidR="00F30932" w:rsidRPr="00883E0C" w:rsidRDefault="00F30932" w:rsidP="00FB40D3">
      <w:pPr>
        <w:ind w:firstLine="720"/>
        <w:jc w:val="both"/>
        <w:rPr>
          <w:rFonts w:asciiTheme="minorHAnsi" w:hAnsiTheme="minorHAnsi" w:cstheme="minorHAnsi"/>
        </w:rPr>
      </w:pPr>
      <w:r w:rsidRPr="00883E0C">
        <w:rPr>
          <w:rFonts w:asciiTheme="minorHAnsi" w:hAnsiTheme="minorHAnsi" w:cstheme="minorHAnsi"/>
        </w:rPr>
        <w:t>(e)</w:t>
      </w:r>
      <w:r w:rsidRPr="00883E0C">
        <w:rPr>
          <w:rFonts w:asciiTheme="minorHAnsi" w:hAnsiTheme="minorHAnsi" w:cstheme="minorHAnsi"/>
        </w:rPr>
        <w:tab/>
      </w:r>
      <w:r w:rsidR="00DA229E" w:rsidRPr="00883E0C">
        <w:rPr>
          <w:rFonts w:asciiTheme="minorHAnsi" w:hAnsiTheme="minorHAnsi" w:cstheme="minorHAnsi"/>
        </w:rPr>
        <w:t>T</w:t>
      </w:r>
      <w:r w:rsidR="00245FFC" w:rsidRPr="00883E0C">
        <w:rPr>
          <w:rFonts w:asciiTheme="minorHAnsi" w:hAnsiTheme="minorHAnsi" w:cstheme="minorHAnsi"/>
        </w:rPr>
        <w:t xml:space="preserve">ake steps to </w:t>
      </w:r>
      <w:r w:rsidR="00A66179" w:rsidRPr="00883E0C">
        <w:rPr>
          <w:rFonts w:asciiTheme="minorHAnsi" w:hAnsiTheme="minorHAnsi" w:cstheme="minorHAnsi"/>
        </w:rPr>
        <w:t>combat stereotypes, raise awareness</w:t>
      </w:r>
      <w:r w:rsidR="00245FFC" w:rsidRPr="00883E0C">
        <w:rPr>
          <w:rFonts w:asciiTheme="minorHAnsi" w:hAnsiTheme="minorHAnsi" w:cstheme="minorHAnsi"/>
        </w:rPr>
        <w:t xml:space="preserve"> and</w:t>
      </w:r>
      <w:r w:rsidR="00A66179" w:rsidRPr="00883E0C">
        <w:rPr>
          <w:rFonts w:asciiTheme="minorHAnsi" w:hAnsiTheme="minorHAnsi" w:cstheme="minorHAnsi"/>
        </w:rPr>
        <w:t xml:space="preserve"> change perceptions and</w:t>
      </w:r>
      <w:r w:rsidR="00245FFC" w:rsidRPr="00883E0C">
        <w:rPr>
          <w:rFonts w:asciiTheme="minorHAnsi" w:hAnsiTheme="minorHAnsi" w:cstheme="minorHAnsi"/>
        </w:rPr>
        <w:t xml:space="preserve"> attitudes among teachers, </w:t>
      </w:r>
      <w:r w:rsidR="00A66179" w:rsidRPr="00883E0C">
        <w:rPr>
          <w:rFonts w:asciiTheme="minorHAnsi" w:hAnsiTheme="minorHAnsi" w:cstheme="minorHAnsi"/>
        </w:rPr>
        <w:t>community and social services</w:t>
      </w:r>
      <w:r w:rsidR="00E02D4F" w:rsidRPr="00883E0C">
        <w:rPr>
          <w:rFonts w:asciiTheme="minorHAnsi" w:hAnsiTheme="minorHAnsi" w:cstheme="minorHAnsi"/>
        </w:rPr>
        <w:t xml:space="preserve">, legal and health </w:t>
      </w:r>
      <w:r w:rsidR="00245FFC" w:rsidRPr="00883E0C">
        <w:rPr>
          <w:rFonts w:asciiTheme="minorHAnsi" w:hAnsiTheme="minorHAnsi" w:cstheme="minorHAnsi"/>
        </w:rPr>
        <w:t xml:space="preserve">professionals and family members of </w:t>
      </w:r>
      <w:r w:rsidR="00DA229E" w:rsidRPr="00883E0C">
        <w:rPr>
          <w:rFonts w:asciiTheme="minorHAnsi" w:hAnsiTheme="minorHAnsi" w:cstheme="minorHAnsi"/>
        </w:rPr>
        <w:t xml:space="preserve">women and </w:t>
      </w:r>
      <w:r w:rsidR="00245FFC" w:rsidRPr="00883E0C">
        <w:rPr>
          <w:rFonts w:asciiTheme="minorHAnsi" w:hAnsiTheme="minorHAnsi" w:cstheme="minorHAnsi"/>
        </w:rPr>
        <w:t xml:space="preserve">girls with disabilities, to create a supportive environment, and to promote openness and knowledge in the field of </w:t>
      </w:r>
      <w:r w:rsidR="00DA229E" w:rsidRPr="00883E0C">
        <w:rPr>
          <w:rFonts w:asciiTheme="minorHAnsi" w:hAnsiTheme="minorHAnsi" w:cstheme="minorHAnsi"/>
        </w:rPr>
        <w:t xml:space="preserve">sexual and reproductive rights, ensuring that counselling services, education, information about sexual and reproductive rights in the community, are made available and accessible for women and girls with disabilities; </w:t>
      </w:r>
    </w:p>
    <w:p w14:paraId="5D43C9D8" w14:textId="77777777" w:rsidR="00F30932" w:rsidRPr="00883E0C" w:rsidRDefault="00F30932" w:rsidP="006018FF">
      <w:pPr>
        <w:ind w:firstLine="720"/>
        <w:jc w:val="both"/>
        <w:rPr>
          <w:rFonts w:asciiTheme="minorHAnsi" w:hAnsiTheme="minorHAnsi" w:cstheme="minorHAnsi"/>
        </w:rPr>
      </w:pPr>
    </w:p>
    <w:p w14:paraId="15625C58" w14:textId="07CB159F" w:rsidR="006018FF" w:rsidRPr="00883E0C" w:rsidRDefault="00007809" w:rsidP="006018FF">
      <w:pPr>
        <w:ind w:firstLine="720"/>
        <w:jc w:val="both"/>
        <w:rPr>
          <w:rFonts w:asciiTheme="minorHAnsi" w:hAnsiTheme="minorHAnsi" w:cstheme="minorHAnsi"/>
        </w:rPr>
      </w:pPr>
      <w:r w:rsidRPr="00883E0C">
        <w:rPr>
          <w:rFonts w:asciiTheme="minorHAnsi" w:hAnsiTheme="minorHAnsi" w:cstheme="minorHAnsi"/>
        </w:rPr>
        <w:t>(</w:t>
      </w:r>
      <w:r w:rsidR="00F30932" w:rsidRPr="00883E0C">
        <w:rPr>
          <w:rFonts w:asciiTheme="minorHAnsi" w:hAnsiTheme="minorHAnsi" w:cstheme="minorHAnsi"/>
        </w:rPr>
        <w:t>f</w:t>
      </w:r>
      <w:r w:rsidR="006018FF" w:rsidRPr="00883E0C">
        <w:rPr>
          <w:rFonts w:asciiTheme="minorHAnsi" w:hAnsiTheme="minorHAnsi" w:cstheme="minorHAnsi"/>
        </w:rPr>
        <w:t xml:space="preserve">) </w:t>
      </w:r>
      <w:r w:rsidR="006018FF" w:rsidRPr="00883E0C">
        <w:rPr>
          <w:rFonts w:asciiTheme="minorHAnsi" w:hAnsiTheme="minorHAnsi" w:cstheme="minorHAnsi"/>
        </w:rPr>
        <w:tab/>
      </w:r>
      <w:r w:rsidR="00DA229E" w:rsidRPr="00883E0C">
        <w:rPr>
          <w:rFonts w:asciiTheme="minorHAnsi" w:hAnsiTheme="minorHAnsi" w:cstheme="minorHAnsi"/>
        </w:rPr>
        <w:t>Eliminate gender</w:t>
      </w:r>
      <w:r w:rsidR="00E02D4F" w:rsidRPr="00883E0C">
        <w:rPr>
          <w:rFonts w:asciiTheme="minorHAnsi" w:hAnsiTheme="minorHAnsi" w:cstheme="minorHAnsi"/>
        </w:rPr>
        <w:t>, age</w:t>
      </w:r>
      <w:r w:rsidR="00DA229E" w:rsidRPr="00883E0C">
        <w:rPr>
          <w:rFonts w:asciiTheme="minorHAnsi" w:hAnsiTheme="minorHAnsi" w:cstheme="minorHAnsi"/>
        </w:rPr>
        <w:t xml:space="preserve"> and disability-related stigma and stereotypes,</w:t>
      </w:r>
      <w:r w:rsidR="00E02D4F" w:rsidRPr="00883E0C">
        <w:rPr>
          <w:rFonts w:asciiTheme="minorHAnsi" w:hAnsiTheme="minorHAnsi" w:cstheme="minorHAnsi"/>
        </w:rPr>
        <w:t xml:space="preserve"> prejudices and harmful practices in society, </w:t>
      </w:r>
      <w:r w:rsidR="00DA229E" w:rsidRPr="00883E0C">
        <w:rPr>
          <w:rFonts w:asciiTheme="minorHAnsi" w:hAnsiTheme="minorHAnsi" w:cstheme="minorHAnsi"/>
        </w:rPr>
        <w:t xml:space="preserve">which lead to violence against women, ensuring the involvement of women and girls with disabilities and their </w:t>
      </w:r>
      <w:r w:rsidR="00E02D4F" w:rsidRPr="00883E0C">
        <w:rPr>
          <w:rFonts w:asciiTheme="minorHAnsi" w:hAnsiTheme="minorHAnsi" w:cstheme="minorHAnsi"/>
        </w:rPr>
        <w:t xml:space="preserve">representative </w:t>
      </w:r>
      <w:r w:rsidR="00DA229E" w:rsidRPr="00883E0C">
        <w:rPr>
          <w:rFonts w:asciiTheme="minorHAnsi" w:hAnsiTheme="minorHAnsi" w:cstheme="minorHAnsi"/>
        </w:rPr>
        <w:t xml:space="preserve">organizations in all initiatives </w:t>
      </w:r>
      <w:r w:rsidR="00E02D4F" w:rsidRPr="00883E0C">
        <w:rPr>
          <w:rFonts w:asciiTheme="minorHAnsi" w:hAnsiTheme="minorHAnsi" w:cstheme="minorHAnsi"/>
        </w:rPr>
        <w:t>and reaching out to the wider public</w:t>
      </w:r>
      <w:r w:rsidR="006018FF" w:rsidRPr="00883E0C">
        <w:rPr>
          <w:rFonts w:asciiTheme="minorHAnsi" w:hAnsiTheme="minorHAnsi" w:cstheme="minorHAnsi"/>
        </w:rPr>
        <w:t xml:space="preserve">; </w:t>
      </w:r>
    </w:p>
    <w:p w14:paraId="797D641F" w14:textId="77777777" w:rsidR="00270249" w:rsidRPr="00883E0C" w:rsidRDefault="00270249" w:rsidP="00F434EA">
      <w:pPr>
        <w:ind w:firstLine="720"/>
        <w:jc w:val="both"/>
        <w:rPr>
          <w:rFonts w:asciiTheme="minorHAnsi" w:hAnsiTheme="minorHAnsi" w:cstheme="minorHAnsi"/>
        </w:rPr>
      </w:pPr>
    </w:p>
    <w:p w14:paraId="5A76F664" w14:textId="150931AE" w:rsidR="006018FF" w:rsidRPr="00883E0C" w:rsidRDefault="006018FF" w:rsidP="00F434EA">
      <w:pPr>
        <w:ind w:firstLine="720"/>
        <w:jc w:val="both"/>
        <w:rPr>
          <w:rFonts w:asciiTheme="minorHAnsi" w:hAnsiTheme="minorHAnsi" w:cstheme="minorHAnsi"/>
        </w:rPr>
      </w:pPr>
      <w:r w:rsidRPr="00883E0C">
        <w:rPr>
          <w:rFonts w:asciiTheme="minorHAnsi" w:hAnsiTheme="minorHAnsi" w:cstheme="minorHAnsi"/>
        </w:rPr>
        <w:t>(</w:t>
      </w:r>
      <w:r w:rsidR="00F30932" w:rsidRPr="00883E0C">
        <w:rPr>
          <w:rFonts w:asciiTheme="minorHAnsi" w:hAnsiTheme="minorHAnsi" w:cstheme="minorHAnsi"/>
        </w:rPr>
        <w:t>g</w:t>
      </w:r>
      <w:r w:rsidRPr="00883E0C">
        <w:rPr>
          <w:rFonts w:asciiTheme="minorHAnsi" w:hAnsiTheme="minorHAnsi" w:cstheme="minorHAnsi"/>
        </w:rPr>
        <w:t xml:space="preserve">) </w:t>
      </w:r>
      <w:r w:rsidRPr="00883E0C">
        <w:rPr>
          <w:rFonts w:asciiTheme="minorHAnsi" w:hAnsiTheme="minorHAnsi" w:cstheme="minorHAnsi"/>
        </w:rPr>
        <w:tab/>
        <w:t>Adopt measures to ensure effective access to justice for women and girls with disabilities</w:t>
      </w:r>
      <w:r w:rsidR="00097182" w:rsidRPr="00883E0C">
        <w:rPr>
          <w:rFonts w:asciiTheme="minorHAnsi" w:hAnsiTheme="minorHAnsi" w:cstheme="minorHAnsi"/>
        </w:rPr>
        <w:t>. including those whose legal capacity has been withdrawn or limited,</w:t>
      </w:r>
      <w:r w:rsidRPr="00883E0C">
        <w:rPr>
          <w:rFonts w:asciiTheme="minorHAnsi" w:hAnsiTheme="minorHAnsi" w:cstheme="minorHAnsi"/>
        </w:rPr>
        <w:t xml:space="preserve"> without discrimination, and</w:t>
      </w:r>
      <w:r w:rsidR="00E02D4F" w:rsidRPr="00883E0C">
        <w:rPr>
          <w:rFonts w:asciiTheme="minorHAnsi" w:hAnsiTheme="minorHAnsi" w:cstheme="minorHAnsi"/>
        </w:rPr>
        <w:t xml:space="preserve"> the provision of</w:t>
      </w:r>
      <w:r w:rsidRPr="00883E0C">
        <w:rPr>
          <w:rFonts w:asciiTheme="minorHAnsi" w:hAnsiTheme="minorHAnsi" w:cstheme="minorHAnsi"/>
        </w:rPr>
        <w:t xml:space="preserve"> procedural, age-appropriate and gender-</w:t>
      </w:r>
      <w:r w:rsidR="00E02D4F" w:rsidRPr="00883E0C">
        <w:rPr>
          <w:rFonts w:asciiTheme="minorHAnsi" w:hAnsiTheme="minorHAnsi" w:cstheme="minorHAnsi"/>
        </w:rPr>
        <w:t>responsive</w:t>
      </w:r>
      <w:r w:rsidRPr="00883E0C">
        <w:rPr>
          <w:rFonts w:asciiTheme="minorHAnsi" w:hAnsiTheme="minorHAnsi" w:cstheme="minorHAnsi"/>
        </w:rPr>
        <w:t xml:space="preserve"> accommodations in complaint mechanisms and the justice system, in all areas of law</w:t>
      </w:r>
      <w:r w:rsidR="00F434EA" w:rsidRPr="00883E0C">
        <w:rPr>
          <w:rFonts w:asciiTheme="minorHAnsi" w:hAnsiTheme="minorHAnsi" w:cstheme="minorHAnsi"/>
        </w:rPr>
        <w:t xml:space="preserve">, and provide systematic training and capacity-building programs targeting judges, public prosecutors and law enforcement on gender-based violence against women </w:t>
      </w:r>
      <w:r w:rsidR="00E02D4F" w:rsidRPr="00883E0C">
        <w:rPr>
          <w:rFonts w:asciiTheme="minorHAnsi" w:hAnsiTheme="minorHAnsi" w:cstheme="minorHAnsi"/>
        </w:rPr>
        <w:t xml:space="preserve">and girls </w:t>
      </w:r>
      <w:r w:rsidR="00F434EA" w:rsidRPr="00883E0C">
        <w:rPr>
          <w:rFonts w:asciiTheme="minorHAnsi" w:hAnsiTheme="minorHAnsi" w:cstheme="minorHAnsi"/>
        </w:rPr>
        <w:t>with disabilities</w:t>
      </w:r>
      <w:r w:rsidRPr="00883E0C">
        <w:rPr>
          <w:rFonts w:asciiTheme="minorHAnsi" w:hAnsiTheme="minorHAnsi" w:cstheme="minorHAnsi"/>
        </w:rPr>
        <w:t>;</w:t>
      </w:r>
    </w:p>
    <w:p w14:paraId="733A8175" w14:textId="77777777" w:rsidR="00DA229E" w:rsidRPr="00883E0C" w:rsidRDefault="00DA229E" w:rsidP="00F434EA">
      <w:pPr>
        <w:ind w:firstLine="720"/>
        <w:jc w:val="both"/>
        <w:rPr>
          <w:rFonts w:asciiTheme="minorHAnsi" w:hAnsiTheme="minorHAnsi" w:cstheme="minorHAnsi"/>
        </w:rPr>
      </w:pPr>
    </w:p>
    <w:p w14:paraId="13CE0E65" w14:textId="01A28CD8" w:rsidR="00270249" w:rsidRPr="00883E0C" w:rsidRDefault="006F75C3" w:rsidP="007E53AF">
      <w:pPr>
        <w:ind w:firstLine="720"/>
        <w:jc w:val="both"/>
        <w:rPr>
          <w:rFonts w:asciiTheme="minorHAnsi" w:hAnsiTheme="minorHAnsi" w:cstheme="minorHAnsi"/>
        </w:rPr>
      </w:pPr>
      <w:r w:rsidRPr="00883E0C">
        <w:rPr>
          <w:rFonts w:asciiTheme="minorHAnsi" w:hAnsiTheme="minorHAnsi" w:cstheme="minorHAnsi"/>
        </w:rPr>
        <w:t>(h)</w:t>
      </w:r>
      <w:r w:rsidRPr="00883E0C">
        <w:rPr>
          <w:rFonts w:asciiTheme="minorHAnsi" w:hAnsiTheme="minorHAnsi" w:cstheme="minorHAnsi"/>
        </w:rPr>
        <w:tab/>
        <w:t>Bring perpetrators of gender-based violence against women</w:t>
      </w:r>
      <w:r w:rsidR="00097182" w:rsidRPr="00883E0C">
        <w:rPr>
          <w:rFonts w:asciiTheme="minorHAnsi" w:hAnsiTheme="minorHAnsi" w:cstheme="minorHAnsi"/>
        </w:rPr>
        <w:t xml:space="preserve"> and girls with disabilities</w:t>
      </w:r>
      <w:r w:rsidRPr="00883E0C">
        <w:rPr>
          <w:rFonts w:asciiTheme="minorHAnsi" w:hAnsiTheme="minorHAnsi" w:cstheme="minorHAnsi"/>
        </w:rPr>
        <w:t xml:space="preserve"> accountable to justice, and take measures to avoid repetition of these acts; </w:t>
      </w:r>
    </w:p>
    <w:p w14:paraId="001EA8EC" w14:textId="77777777" w:rsidR="007E53AF" w:rsidRPr="00883E0C" w:rsidRDefault="007E53AF" w:rsidP="00DA229E">
      <w:pPr>
        <w:jc w:val="both"/>
        <w:rPr>
          <w:rFonts w:asciiTheme="minorHAnsi" w:hAnsiTheme="minorHAnsi" w:cstheme="minorHAnsi"/>
        </w:rPr>
      </w:pPr>
    </w:p>
    <w:p w14:paraId="630AFC33" w14:textId="55C5A523" w:rsidR="00F434EA" w:rsidRPr="00883E0C" w:rsidRDefault="006018FF" w:rsidP="009C1AB1">
      <w:pPr>
        <w:ind w:firstLine="720"/>
        <w:jc w:val="both"/>
        <w:rPr>
          <w:rFonts w:asciiTheme="minorHAnsi" w:hAnsiTheme="minorHAnsi" w:cstheme="minorHAnsi"/>
        </w:rPr>
      </w:pPr>
      <w:r w:rsidRPr="00883E0C">
        <w:rPr>
          <w:rFonts w:asciiTheme="minorHAnsi" w:hAnsiTheme="minorHAnsi" w:cstheme="minorHAnsi"/>
        </w:rPr>
        <w:t>(</w:t>
      </w:r>
      <w:r w:rsidR="006F75C3" w:rsidRPr="00883E0C">
        <w:rPr>
          <w:rFonts w:asciiTheme="minorHAnsi" w:hAnsiTheme="minorHAnsi" w:cstheme="minorHAnsi"/>
        </w:rPr>
        <w:t>j</w:t>
      </w:r>
      <w:r w:rsidRPr="00883E0C">
        <w:rPr>
          <w:rFonts w:asciiTheme="minorHAnsi" w:hAnsiTheme="minorHAnsi" w:cstheme="minorHAnsi"/>
        </w:rPr>
        <w:t xml:space="preserve">) </w:t>
      </w:r>
      <w:r w:rsidRPr="00883E0C">
        <w:rPr>
          <w:rFonts w:asciiTheme="minorHAnsi" w:hAnsiTheme="minorHAnsi" w:cstheme="minorHAnsi"/>
        </w:rPr>
        <w:tab/>
        <w:t>Collect systematically disaggregated data on violence against women and girls with disabilities to identify all instances of gender-based violence against women and girls with disabilities, in the private and public spheres</w:t>
      </w:r>
      <w:r w:rsidR="009C1AB1" w:rsidRPr="00883E0C">
        <w:rPr>
          <w:rFonts w:asciiTheme="minorHAnsi" w:hAnsiTheme="minorHAnsi" w:cstheme="minorHAnsi"/>
        </w:rPr>
        <w:t>.</w:t>
      </w:r>
    </w:p>
    <w:p w14:paraId="377A239E" w14:textId="77777777" w:rsidR="00270249" w:rsidRPr="00883E0C" w:rsidRDefault="00F434EA" w:rsidP="009C1AB1">
      <w:pPr>
        <w:ind w:firstLine="720"/>
        <w:jc w:val="both"/>
        <w:rPr>
          <w:rFonts w:asciiTheme="minorHAnsi" w:hAnsiTheme="minorHAnsi" w:cstheme="minorHAnsi"/>
        </w:rPr>
      </w:pPr>
      <w:r w:rsidRPr="00883E0C">
        <w:rPr>
          <w:rFonts w:asciiTheme="minorHAnsi" w:hAnsiTheme="minorHAnsi" w:cstheme="minorHAnsi"/>
        </w:rPr>
        <w:t xml:space="preserve"> </w:t>
      </w:r>
    </w:p>
    <w:p w14:paraId="3B217BD5" w14:textId="1CC3AD8A" w:rsidR="00337D8C" w:rsidRPr="002623E2" w:rsidRDefault="00270249" w:rsidP="008D4D17">
      <w:pPr>
        <w:jc w:val="center"/>
        <w:rPr>
          <w:rFonts w:asciiTheme="minorHAnsi" w:hAnsiTheme="minorHAnsi" w:cstheme="minorHAnsi"/>
        </w:rPr>
      </w:pPr>
      <w:r w:rsidRPr="00883E0C">
        <w:rPr>
          <w:rFonts w:asciiTheme="minorHAnsi" w:hAnsiTheme="minorHAnsi" w:cstheme="minorHAnsi"/>
        </w:rPr>
        <w:t>_____________</w:t>
      </w:r>
    </w:p>
    <w:sectPr w:rsidR="00337D8C" w:rsidRPr="002623E2">
      <w:footerReference w:type="default" r:id="rId3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77742" w16cex:dateUtc="2021-11-23T03:20:00Z"/>
  <w16cex:commentExtensible w16cex:durableId="254777C3" w16cex:dateUtc="2021-11-23T03:22:00Z"/>
  <w16cex:commentExtensible w16cex:durableId="2547788B" w16cex:dateUtc="2021-11-23T03:26:00Z"/>
  <w16cex:commentExtensible w16cex:durableId="25477981" w16cex:dateUtc="2021-11-23T03:30:00Z"/>
  <w16cex:commentExtensible w16cex:durableId="25477C82" w16cex:dateUtc="2021-11-23T03:43:00Z"/>
  <w16cex:commentExtensible w16cex:durableId="254779A6" w16cex:dateUtc="2021-11-23T03:31:00Z"/>
  <w16cex:commentExtensible w16cex:durableId="25477A2E" w16cex:dateUtc="2021-11-23T03:33:00Z"/>
  <w16cex:commentExtensible w16cex:durableId="25477BC9" w16cex:dateUtc="2021-11-23T03:31:00Z"/>
  <w16cex:commentExtensible w16cex:durableId="25477D56" w16cex:dateUtc="2021-11-23T03:46:00Z"/>
  <w16cex:commentExtensible w16cex:durableId="25477FF5" w16cex:dateUtc="2021-11-23T0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379235" w16cid:durableId="25477742"/>
  <w16cid:commentId w16cid:paraId="447225CF" w16cid:durableId="254777C3"/>
  <w16cid:commentId w16cid:paraId="29553676" w16cid:durableId="2547788B"/>
  <w16cid:commentId w16cid:paraId="07CCDD64" w16cid:durableId="25477981"/>
  <w16cid:commentId w16cid:paraId="70038753" w16cid:durableId="25477C82"/>
  <w16cid:commentId w16cid:paraId="6DD24102" w16cid:durableId="254779A6"/>
  <w16cid:commentId w16cid:paraId="6BC161DF" w16cid:durableId="25477A2E"/>
  <w16cid:commentId w16cid:paraId="0E2AF7DD" w16cid:durableId="25477BC9"/>
  <w16cid:commentId w16cid:paraId="15E451B1" w16cid:durableId="25477D56"/>
  <w16cid:commentId w16cid:paraId="6F393CCE" w16cid:durableId="25477F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42A4C" w14:textId="77777777" w:rsidR="00B917D3" w:rsidRDefault="00B917D3" w:rsidP="008000FB">
      <w:r>
        <w:separator/>
      </w:r>
    </w:p>
  </w:endnote>
  <w:endnote w:type="continuationSeparator" w:id="0">
    <w:p w14:paraId="5AB9AAB3" w14:textId="77777777" w:rsidR="00B917D3" w:rsidRDefault="00B917D3" w:rsidP="0080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Cuerpo en alfa">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2B018" w14:textId="27537E40" w:rsidR="001C0F2A" w:rsidRDefault="001C0F2A">
    <w:pPr>
      <w:pStyle w:val="Footer"/>
    </w:pPr>
    <w:r>
      <w:rPr>
        <w:noProof/>
      </w:rPr>
      <w:drawing>
        <wp:anchor distT="0" distB="0" distL="114300" distR="114300" simplePos="0" relativeHeight="251658240" behindDoc="1" locked="0" layoutInCell="1" allowOverlap="1" wp14:anchorId="244C666A" wp14:editId="5778B5B8">
          <wp:simplePos x="0" y="0"/>
          <wp:positionH relativeFrom="column">
            <wp:posOffset>5168096</wp:posOffset>
          </wp:positionH>
          <wp:positionV relativeFrom="paragraph">
            <wp:posOffset>-807318</wp:posOffset>
          </wp:positionV>
          <wp:extent cx="1408430" cy="1371600"/>
          <wp:effectExtent l="0" t="0" r="1270" b="0"/>
          <wp:wrapTight wrapText="bothSides">
            <wp:wrapPolygon edited="0">
              <wp:start x="0" y="0"/>
              <wp:lineTo x="0" y="21300"/>
              <wp:lineTo x="21327" y="21300"/>
              <wp:lineTo x="213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430" cy="137160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6536F" w14:textId="77777777" w:rsidR="00B917D3" w:rsidRDefault="00B917D3" w:rsidP="008000FB">
      <w:r>
        <w:separator/>
      </w:r>
    </w:p>
  </w:footnote>
  <w:footnote w:type="continuationSeparator" w:id="0">
    <w:p w14:paraId="3CAE71E1" w14:textId="77777777" w:rsidR="00B917D3" w:rsidRDefault="00B917D3" w:rsidP="008000FB">
      <w:r>
        <w:continuationSeparator/>
      </w:r>
    </w:p>
  </w:footnote>
  <w:footnote w:id="1">
    <w:p w14:paraId="7869FCDF" w14:textId="4AE065BD" w:rsidR="00FB40D3" w:rsidRPr="000A7166" w:rsidRDefault="00FB40D3" w:rsidP="00843046">
      <w:pPr>
        <w:pStyle w:val="FootnoteText"/>
        <w:rPr>
          <w:sz w:val="18"/>
          <w:szCs w:val="18"/>
        </w:rPr>
      </w:pPr>
      <w:r w:rsidRPr="00062AE9">
        <w:rPr>
          <w:rStyle w:val="FootnoteReference"/>
          <w:sz w:val="18"/>
          <w:szCs w:val="18"/>
        </w:rPr>
        <w:footnoteRef/>
      </w:r>
      <w:r w:rsidRPr="00062AE9">
        <w:rPr>
          <w:sz w:val="18"/>
          <w:szCs w:val="18"/>
        </w:rPr>
        <w:t xml:space="preserve"> This statement is</w:t>
      </w:r>
      <w:r w:rsidR="00A82B8B" w:rsidRPr="00062AE9">
        <w:rPr>
          <w:sz w:val="18"/>
          <w:szCs w:val="18"/>
        </w:rPr>
        <w:t xml:space="preserve"> joined and/or </w:t>
      </w:r>
      <w:r w:rsidRPr="00062AE9">
        <w:rPr>
          <w:sz w:val="18"/>
          <w:szCs w:val="18"/>
        </w:rPr>
        <w:t>endorsed by</w:t>
      </w:r>
      <w:r w:rsidR="00843046" w:rsidRPr="00062AE9">
        <w:rPr>
          <w:sz w:val="18"/>
          <w:szCs w:val="18"/>
        </w:rPr>
        <w:t xml:space="preserve"> </w:t>
      </w:r>
      <w:r w:rsidR="00FF6104" w:rsidRPr="00062AE9">
        <w:rPr>
          <w:sz w:val="18"/>
          <w:szCs w:val="18"/>
        </w:rPr>
        <w:t xml:space="preserve">the </w:t>
      </w:r>
      <w:r w:rsidR="00843046" w:rsidRPr="00062AE9">
        <w:rPr>
          <w:b/>
          <w:bCs/>
          <w:sz w:val="18"/>
          <w:szCs w:val="18"/>
        </w:rPr>
        <w:t>Committee on the Elimination of Discrimination against Women (CEDAW)</w:t>
      </w:r>
      <w:r w:rsidR="00843046" w:rsidRPr="00062AE9">
        <w:rPr>
          <w:sz w:val="18"/>
          <w:szCs w:val="18"/>
        </w:rPr>
        <w:t>;</w:t>
      </w:r>
      <w:r w:rsidRPr="00062AE9">
        <w:rPr>
          <w:sz w:val="18"/>
          <w:szCs w:val="18"/>
        </w:rPr>
        <w:t xml:space="preserve"> </w:t>
      </w:r>
      <w:r w:rsidR="00FF6104" w:rsidRPr="00062AE9">
        <w:rPr>
          <w:sz w:val="18"/>
          <w:szCs w:val="18"/>
        </w:rPr>
        <w:t xml:space="preserve">the </w:t>
      </w:r>
      <w:r w:rsidR="00FF6104" w:rsidRPr="00062AE9">
        <w:rPr>
          <w:b/>
          <w:sz w:val="18"/>
          <w:szCs w:val="18"/>
        </w:rPr>
        <w:t>Committee on the Rights of the Child</w:t>
      </w:r>
      <w:r w:rsidR="00FF6104" w:rsidRPr="00062AE9">
        <w:rPr>
          <w:sz w:val="18"/>
          <w:szCs w:val="18"/>
        </w:rPr>
        <w:t xml:space="preserve"> </w:t>
      </w:r>
      <w:r w:rsidR="00FF6104" w:rsidRPr="00062AE9">
        <w:rPr>
          <w:b/>
          <w:sz w:val="18"/>
          <w:szCs w:val="18"/>
        </w:rPr>
        <w:t>(CRC)</w:t>
      </w:r>
      <w:r w:rsidR="00FF6104" w:rsidRPr="00062AE9">
        <w:rPr>
          <w:sz w:val="18"/>
          <w:szCs w:val="18"/>
        </w:rPr>
        <w:t>; and t</w:t>
      </w:r>
      <w:r w:rsidR="00936D9E" w:rsidRPr="00062AE9">
        <w:rPr>
          <w:sz w:val="18"/>
          <w:szCs w:val="18"/>
        </w:rPr>
        <w:t xml:space="preserve">he </w:t>
      </w:r>
      <w:bookmarkStart w:id="0" w:name="_GoBack"/>
      <w:bookmarkEnd w:id="0"/>
      <w:r w:rsidRPr="00BC0EE9">
        <w:rPr>
          <w:b/>
          <w:bCs/>
          <w:sz w:val="18"/>
          <w:szCs w:val="18"/>
        </w:rPr>
        <w:t>Special Rapporteur on the rights of persons with disabilities</w:t>
      </w:r>
      <w:r w:rsidR="00843046" w:rsidRPr="00062AE9">
        <w:rPr>
          <w:sz w:val="18"/>
          <w:szCs w:val="18"/>
        </w:rPr>
        <w:t>,</w:t>
      </w:r>
      <w:r w:rsidR="00843046" w:rsidRPr="00062AE9">
        <w:rPr>
          <w:b/>
          <w:bCs/>
          <w:sz w:val="18"/>
          <w:szCs w:val="18"/>
        </w:rPr>
        <w:t xml:space="preserve"> Gerard Quinn</w:t>
      </w:r>
      <w:r w:rsidR="00FF6104" w:rsidRPr="00062AE9">
        <w:rPr>
          <w:sz w:val="18"/>
          <w:szCs w:val="18"/>
        </w:rPr>
        <w:t>.</w:t>
      </w:r>
      <w:r w:rsidRPr="000A7166">
        <w:rPr>
          <w:sz w:val="18"/>
          <w:szCs w:val="18"/>
        </w:rPr>
        <w:t xml:space="preserve"> </w:t>
      </w:r>
    </w:p>
  </w:footnote>
  <w:footnote w:id="2">
    <w:p w14:paraId="7B6371D9" w14:textId="77777777" w:rsidR="00B64905" w:rsidRPr="000A7166" w:rsidRDefault="00B64905" w:rsidP="00B64905">
      <w:pPr>
        <w:pStyle w:val="FootnoteText"/>
        <w:rPr>
          <w:sz w:val="18"/>
          <w:szCs w:val="18"/>
        </w:rPr>
      </w:pPr>
      <w:r w:rsidRPr="000A7166">
        <w:rPr>
          <w:rStyle w:val="FootnoteReference"/>
          <w:sz w:val="18"/>
          <w:szCs w:val="18"/>
        </w:rPr>
        <w:footnoteRef/>
      </w:r>
      <w:r w:rsidRPr="000A7166">
        <w:rPr>
          <w:sz w:val="18"/>
          <w:szCs w:val="18"/>
        </w:rPr>
        <w:t xml:space="preserve"> Declaration on the Elimination of Violence against Women, </w:t>
      </w:r>
      <w:hyperlink r:id="rId1" w:history="1">
        <w:r w:rsidRPr="000A7166">
          <w:rPr>
            <w:rStyle w:val="Hyperlink"/>
            <w:sz w:val="18"/>
            <w:szCs w:val="18"/>
          </w:rPr>
          <w:t>https://www.ohchr.org/en/professionalinterest/pages/violenceagainstwomen.aspx</w:t>
        </w:r>
      </w:hyperlink>
      <w:r w:rsidRPr="000A7166">
        <w:rPr>
          <w:sz w:val="18"/>
          <w:szCs w:val="18"/>
        </w:rPr>
        <w:t xml:space="preserve"> </w:t>
      </w:r>
    </w:p>
  </w:footnote>
  <w:footnote w:id="3">
    <w:p w14:paraId="31139602" w14:textId="01DCED6E" w:rsidR="00B64905" w:rsidRPr="003E03DD" w:rsidRDefault="00B64905" w:rsidP="00843046">
      <w:pPr>
        <w:pStyle w:val="FootnoteText"/>
        <w:rPr>
          <w:sz w:val="18"/>
          <w:szCs w:val="18"/>
          <w:lang w:val="en-US"/>
        </w:rPr>
      </w:pPr>
      <w:r w:rsidRPr="000A7166">
        <w:rPr>
          <w:rStyle w:val="FootnoteReference"/>
          <w:sz w:val="18"/>
          <w:szCs w:val="18"/>
        </w:rPr>
        <w:footnoteRef/>
      </w:r>
      <w:r w:rsidRPr="000A7166">
        <w:rPr>
          <w:sz w:val="18"/>
          <w:szCs w:val="18"/>
        </w:rPr>
        <w:t xml:space="preserve"> </w:t>
      </w:r>
      <w:r w:rsidR="00843046" w:rsidRPr="000A7166">
        <w:rPr>
          <w:sz w:val="18"/>
          <w:szCs w:val="18"/>
        </w:rPr>
        <w:t>CEDAW</w:t>
      </w:r>
      <w:r w:rsidR="00BD4D8D" w:rsidRPr="000A7166">
        <w:rPr>
          <w:sz w:val="18"/>
          <w:szCs w:val="18"/>
        </w:rPr>
        <w:t>, General Recommendation No. 35 on gender-based violence against women, updating general recommendation No. 19, 26 July 2017, UN Doc. CEDAW/C/GC/35</w:t>
      </w:r>
      <w:r w:rsidR="0060453E" w:rsidRPr="000A7166">
        <w:rPr>
          <w:sz w:val="18"/>
          <w:szCs w:val="18"/>
        </w:rPr>
        <w:t>,</w:t>
      </w:r>
      <w:r w:rsidR="00BD4D8D" w:rsidRPr="000A7166">
        <w:rPr>
          <w:sz w:val="18"/>
          <w:szCs w:val="18"/>
        </w:rPr>
        <w:t xml:space="preserve"> paras</w:t>
      </w:r>
      <w:r w:rsidR="0060453E" w:rsidRPr="000A7166">
        <w:rPr>
          <w:sz w:val="18"/>
          <w:szCs w:val="18"/>
        </w:rPr>
        <w:t>.</w:t>
      </w:r>
      <w:r w:rsidR="00BD4D8D" w:rsidRPr="000A7166">
        <w:rPr>
          <w:sz w:val="18"/>
          <w:szCs w:val="18"/>
        </w:rPr>
        <w:t xml:space="preserve"> 10 – 20</w:t>
      </w:r>
      <w:r w:rsidRPr="000A7166">
        <w:rPr>
          <w:sz w:val="18"/>
          <w:szCs w:val="18"/>
        </w:rPr>
        <w:t>.</w:t>
      </w:r>
      <w:r w:rsidRPr="003E03DD">
        <w:rPr>
          <w:sz w:val="18"/>
          <w:szCs w:val="18"/>
        </w:rPr>
        <w:t xml:space="preserve"> </w:t>
      </w:r>
    </w:p>
  </w:footnote>
  <w:footnote w:id="4">
    <w:p w14:paraId="272570AF" w14:textId="5C3286DF" w:rsidR="00072BAA" w:rsidRDefault="00072BAA">
      <w:pPr>
        <w:pStyle w:val="FootnoteText"/>
      </w:pPr>
      <w:r>
        <w:rPr>
          <w:rStyle w:val="FootnoteReference"/>
        </w:rPr>
        <w:footnoteRef/>
      </w:r>
      <w:r w:rsidRPr="00072BAA">
        <w:rPr>
          <w:sz w:val="18"/>
          <w:szCs w:val="18"/>
        </w:rPr>
        <w:t xml:space="preserve"> Ibid, para. 1</w:t>
      </w:r>
    </w:p>
  </w:footnote>
  <w:footnote w:id="5">
    <w:p w14:paraId="3FE8BAB0" w14:textId="0998A742" w:rsidR="00EA09EE" w:rsidRPr="000A7166" w:rsidRDefault="00EA09EE" w:rsidP="00EA09EE">
      <w:pPr>
        <w:pStyle w:val="FootnoteText"/>
        <w:rPr>
          <w:sz w:val="18"/>
          <w:szCs w:val="18"/>
        </w:rPr>
      </w:pPr>
      <w:r w:rsidRPr="000A7166">
        <w:rPr>
          <w:rStyle w:val="FootnoteReference"/>
          <w:sz w:val="18"/>
          <w:szCs w:val="18"/>
        </w:rPr>
        <w:footnoteRef/>
      </w:r>
      <w:r w:rsidRPr="000A7166">
        <w:rPr>
          <w:sz w:val="18"/>
          <w:szCs w:val="18"/>
        </w:rPr>
        <w:t xml:space="preserve"> </w:t>
      </w:r>
      <w:r w:rsidR="00764485" w:rsidRPr="000A7166">
        <w:rPr>
          <w:sz w:val="18"/>
          <w:szCs w:val="18"/>
        </w:rPr>
        <w:t>C</w:t>
      </w:r>
      <w:r w:rsidR="003963F9">
        <w:rPr>
          <w:sz w:val="18"/>
          <w:szCs w:val="18"/>
        </w:rPr>
        <w:t>DAW, General R</w:t>
      </w:r>
      <w:r w:rsidR="00764485" w:rsidRPr="000A7166">
        <w:rPr>
          <w:sz w:val="18"/>
          <w:szCs w:val="18"/>
        </w:rPr>
        <w:t xml:space="preserve">ecommendation </w:t>
      </w:r>
      <w:r w:rsidRPr="000A7166">
        <w:rPr>
          <w:sz w:val="18"/>
          <w:szCs w:val="18"/>
        </w:rPr>
        <w:t>No</w:t>
      </w:r>
      <w:r w:rsidR="00764485" w:rsidRPr="000A7166">
        <w:rPr>
          <w:sz w:val="18"/>
          <w:szCs w:val="18"/>
        </w:rPr>
        <w:t xml:space="preserve">. 18 (1991) disabled women. </w:t>
      </w:r>
      <w:r w:rsidRPr="000A7166">
        <w:rPr>
          <w:sz w:val="18"/>
          <w:szCs w:val="18"/>
        </w:rPr>
        <w:t xml:space="preserve"> </w:t>
      </w:r>
    </w:p>
  </w:footnote>
  <w:footnote w:id="6">
    <w:p w14:paraId="139D6CF6" w14:textId="782EC07A" w:rsidR="00094816" w:rsidRDefault="00094816">
      <w:pPr>
        <w:pStyle w:val="FootnoteText"/>
      </w:pPr>
      <w:r>
        <w:rPr>
          <w:rStyle w:val="FootnoteReference"/>
        </w:rPr>
        <w:footnoteRef/>
      </w:r>
      <w:r>
        <w:t xml:space="preserve"> </w:t>
      </w:r>
      <w:r w:rsidRPr="00094816">
        <w:rPr>
          <w:sz w:val="18"/>
          <w:szCs w:val="18"/>
        </w:rPr>
        <w:t xml:space="preserve">CRC, General comment No. 13 (2011) </w:t>
      </w:r>
      <w:r>
        <w:rPr>
          <w:bCs/>
          <w:iCs/>
          <w:sz w:val="18"/>
          <w:szCs w:val="18"/>
        </w:rPr>
        <w:t>on t</w:t>
      </w:r>
      <w:r w:rsidRPr="00094816">
        <w:rPr>
          <w:bCs/>
          <w:iCs/>
          <w:sz w:val="18"/>
          <w:szCs w:val="18"/>
        </w:rPr>
        <w:t>he right of the child to freedom from all forms of violence</w:t>
      </w:r>
    </w:p>
  </w:footnote>
  <w:footnote w:id="7">
    <w:p w14:paraId="0466EA4F" w14:textId="2FD15068" w:rsidR="00FE13DB" w:rsidRPr="000A7166" w:rsidRDefault="00FE13DB">
      <w:pPr>
        <w:pStyle w:val="FootnoteText"/>
        <w:rPr>
          <w:sz w:val="18"/>
          <w:szCs w:val="18"/>
        </w:rPr>
      </w:pPr>
      <w:r w:rsidRPr="000A7166">
        <w:rPr>
          <w:rStyle w:val="FootnoteReference"/>
          <w:sz w:val="18"/>
          <w:szCs w:val="18"/>
        </w:rPr>
        <w:footnoteRef/>
      </w:r>
      <w:r w:rsidRPr="000A7166">
        <w:rPr>
          <w:sz w:val="18"/>
          <w:szCs w:val="18"/>
        </w:rPr>
        <w:t xml:space="preserve"> </w:t>
      </w:r>
      <w:r w:rsidR="003963F9">
        <w:rPr>
          <w:sz w:val="18"/>
          <w:szCs w:val="18"/>
        </w:rPr>
        <w:t xml:space="preserve">CEDAW, </w:t>
      </w:r>
      <w:r w:rsidR="000A7166" w:rsidRPr="000A7166">
        <w:rPr>
          <w:sz w:val="18"/>
          <w:szCs w:val="18"/>
        </w:rPr>
        <w:t>General R</w:t>
      </w:r>
      <w:r w:rsidRPr="000A7166">
        <w:rPr>
          <w:sz w:val="18"/>
          <w:szCs w:val="18"/>
        </w:rPr>
        <w:t>ecommendation No. 24</w:t>
      </w:r>
      <w:r w:rsidR="00764485" w:rsidRPr="000A7166">
        <w:rPr>
          <w:sz w:val="18"/>
          <w:szCs w:val="18"/>
        </w:rPr>
        <w:t xml:space="preserve"> (1999) article 12 women and health. </w:t>
      </w:r>
    </w:p>
  </w:footnote>
  <w:footnote w:id="8">
    <w:p w14:paraId="474DC725" w14:textId="77777777" w:rsidR="0075553B" w:rsidRPr="000A7166" w:rsidRDefault="0075553B">
      <w:pPr>
        <w:pStyle w:val="FootnoteText"/>
        <w:rPr>
          <w:sz w:val="18"/>
          <w:szCs w:val="18"/>
        </w:rPr>
      </w:pPr>
      <w:r w:rsidRPr="000A7166">
        <w:rPr>
          <w:rStyle w:val="FootnoteReference"/>
          <w:sz w:val="18"/>
          <w:szCs w:val="18"/>
        </w:rPr>
        <w:footnoteRef/>
      </w:r>
      <w:r w:rsidRPr="000A7166">
        <w:rPr>
          <w:sz w:val="18"/>
          <w:szCs w:val="18"/>
        </w:rPr>
        <w:t xml:space="preserve"> Committee on the Rights of Persons with Disabilities, General comment No. 3 (2016), 25 November 2016, UN Doc. CRPD/C/GC/3, para. 16</w:t>
      </w:r>
    </w:p>
  </w:footnote>
  <w:footnote w:id="9">
    <w:p w14:paraId="0DDDB887" w14:textId="77777777" w:rsidR="0075553B" w:rsidRPr="000A7166" w:rsidRDefault="0075553B">
      <w:pPr>
        <w:pStyle w:val="FootnoteText"/>
        <w:rPr>
          <w:sz w:val="18"/>
          <w:szCs w:val="18"/>
          <w:lang w:val="en-US"/>
        </w:rPr>
      </w:pPr>
      <w:r w:rsidRPr="000A7166">
        <w:rPr>
          <w:rStyle w:val="FootnoteReference"/>
          <w:sz w:val="18"/>
          <w:szCs w:val="18"/>
        </w:rPr>
        <w:footnoteRef/>
      </w:r>
      <w:r w:rsidRPr="000A7166">
        <w:rPr>
          <w:sz w:val="18"/>
          <w:szCs w:val="18"/>
        </w:rPr>
        <w:t xml:space="preserve"> </w:t>
      </w:r>
      <w:r w:rsidRPr="000A7166">
        <w:rPr>
          <w:sz w:val="18"/>
          <w:szCs w:val="18"/>
          <w:lang w:val="en-US"/>
        </w:rPr>
        <w:t>See for example CEDAW, GR No. 18 (1991), GR No. 28 (2010), GR No. 33 (2015) and GR No. 35 (2017)</w:t>
      </w:r>
    </w:p>
  </w:footnote>
  <w:footnote w:id="10">
    <w:p w14:paraId="14BB3D96" w14:textId="191DE2E8" w:rsidR="00F21F97" w:rsidRPr="000A7166" w:rsidRDefault="00F21F97">
      <w:pPr>
        <w:pStyle w:val="FootnoteText"/>
        <w:rPr>
          <w:sz w:val="18"/>
          <w:szCs w:val="18"/>
        </w:rPr>
      </w:pPr>
      <w:r w:rsidRPr="000A7166">
        <w:rPr>
          <w:rStyle w:val="FootnoteReference"/>
          <w:sz w:val="18"/>
          <w:szCs w:val="18"/>
        </w:rPr>
        <w:footnoteRef/>
      </w:r>
      <w:r w:rsidRPr="000A7166">
        <w:rPr>
          <w:sz w:val="18"/>
          <w:szCs w:val="18"/>
        </w:rPr>
        <w:t xml:space="preserve">  https://www.ohchr.org/EN/Issues/Disability/Pages/SDG-CRPD-Resource.aspx#policy</w:t>
      </w:r>
    </w:p>
  </w:footnote>
  <w:footnote w:id="11">
    <w:p w14:paraId="23561931" w14:textId="2BA6BC90" w:rsidR="005C3B43" w:rsidRPr="000A7166" w:rsidRDefault="005C3B43" w:rsidP="005C3B43">
      <w:pPr>
        <w:pStyle w:val="FootnoteText"/>
        <w:rPr>
          <w:sz w:val="18"/>
          <w:szCs w:val="18"/>
        </w:rPr>
      </w:pPr>
      <w:r w:rsidRPr="000A7166">
        <w:rPr>
          <w:rStyle w:val="FootnoteReference"/>
          <w:sz w:val="18"/>
          <w:szCs w:val="18"/>
        </w:rPr>
        <w:footnoteRef/>
      </w:r>
      <w:r w:rsidRPr="000A7166">
        <w:rPr>
          <w:sz w:val="18"/>
          <w:szCs w:val="18"/>
        </w:rPr>
        <w:t xml:space="preserve"> </w:t>
      </w:r>
      <w:r w:rsidR="001F51DA" w:rsidRPr="000A7166">
        <w:rPr>
          <w:sz w:val="18"/>
          <w:szCs w:val="18"/>
        </w:rPr>
        <w:t>CEDAW, General Recommendation No. 35 on gender-based violence against women, updating general recommendation No. 19, para. 2</w:t>
      </w:r>
      <w:r w:rsidR="008C5620" w:rsidRPr="000A7166">
        <w:rPr>
          <w:sz w:val="18"/>
          <w:szCs w:val="18"/>
        </w:rPr>
        <w:t>)</w:t>
      </w:r>
      <w:r w:rsidRPr="000A7166">
        <w:rPr>
          <w:sz w:val="18"/>
          <w:szCs w:val="18"/>
        </w:rPr>
        <w:t xml:space="preserve"> </w:t>
      </w:r>
    </w:p>
  </w:footnote>
  <w:footnote w:id="12">
    <w:p w14:paraId="0DFCBD9B" w14:textId="46D5EA1D" w:rsidR="00B64905" w:rsidRPr="000A7166" w:rsidRDefault="00B64905" w:rsidP="00B64905">
      <w:pPr>
        <w:pStyle w:val="FootnoteText"/>
        <w:rPr>
          <w:sz w:val="18"/>
          <w:szCs w:val="18"/>
        </w:rPr>
      </w:pPr>
      <w:r w:rsidRPr="000A7166">
        <w:rPr>
          <w:rStyle w:val="FootnoteReference"/>
          <w:sz w:val="18"/>
          <w:szCs w:val="18"/>
        </w:rPr>
        <w:footnoteRef/>
      </w:r>
      <w:r w:rsidRPr="000A7166">
        <w:rPr>
          <w:sz w:val="18"/>
          <w:szCs w:val="18"/>
        </w:rPr>
        <w:t xml:space="preserve"> </w:t>
      </w:r>
      <w:r w:rsidR="001F51DA" w:rsidRPr="000A7166">
        <w:rPr>
          <w:sz w:val="18"/>
          <w:szCs w:val="18"/>
        </w:rPr>
        <w:t>Committee on the Rights of Persons with Disabilities, General comment No. 3 (2016), paras 29–37</w:t>
      </w:r>
      <w:r w:rsidRPr="000A7166">
        <w:rPr>
          <w:sz w:val="18"/>
          <w:szCs w:val="18"/>
        </w:rPr>
        <w:t>.</w:t>
      </w:r>
    </w:p>
  </w:footnote>
  <w:footnote w:id="13">
    <w:p w14:paraId="5FC75964" w14:textId="7CF53E63" w:rsidR="0044428F" w:rsidRDefault="0044428F">
      <w:pPr>
        <w:pStyle w:val="FootnoteText"/>
      </w:pPr>
      <w:r w:rsidRPr="000A7166">
        <w:rPr>
          <w:rStyle w:val="FootnoteReference"/>
          <w:sz w:val="18"/>
          <w:szCs w:val="18"/>
        </w:rPr>
        <w:footnoteRef/>
      </w:r>
      <w:r w:rsidR="000A7166" w:rsidRPr="000A7166">
        <w:rPr>
          <w:sz w:val="18"/>
          <w:szCs w:val="18"/>
        </w:rPr>
        <w:t xml:space="preserve"> Committee on the E</w:t>
      </w:r>
      <w:r w:rsidRPr="000A7166">
        <w:rPr>
          <w:sz w:val="18"/>
          <w:szCs w:val="18"/>
        </w:rPr>
        <w:t>limination of Discrimination against Women, General Recommendation No. 36 (2017) on the right of girls and women to education</w:t>
      </w:r>
      <w:r w:rsidR="003963F9">
        <w:rPr>
          <w:sz w:val="18"/>
          <w:szCs w:val="18"/>
        </w:rPr>
        <w:t>. 27 November 2017 (para. 28).</w:t>
      </w:r>
    </w:p>
  </w:footnote>
  <w:footnote w:id="14">
    <w:p w14:paraId="213362C6" w14:textId="2E4EA6A1" w:rsidR="00E671A3" w:rsidRDefault="00E671A3">
      <w:pPr>
        <w:pStyle w:val="FootnoteText"/>
      </w:pPr>
      <w:r>
        <w:rPr>
          <w:rStyle w:val="FootnoteReference"/>
        </w:rPr>
        <w:footnoteRef/>
      </w:r>
      <w:r>
        <w:t xml:space="preserve"> </w:t>
      </w:r>
      <w:r w:rsidRPr="000A7166">
        <w:rPr>
          <w:sz w:val="18"/>
          <w:szCs w:val="18"/>
        </w:rPr>
        <w:t>Special Rapporteur on the Rights of Persons with Disabilities. Older persons with disabilities, 17 July 2019. (para. 37</w:t>
      </w:r>
      <w:r>
        <w:rPr>
          <w:sz w:val="18"/>
          <w:szCs w:val="18"/>
        </w:rPr>
        <w:t>).</w:t>
      </w:r>
    </w:p>
  </w:footnote>
  <w:footnote w:id="15">
    <w:p w14:paraId="1401C5D7" w14:textId="2ABF6B96" w:rsidR="005215EC" w:rsidRPr="000A7166" w:rsidRDefault="005215EC">
      <w:pPr>
        <w:pStyle w:val="FootnoteText"/>
        <w:rPr>
          <w:sz w:val="18"/>
          <w:szCs w:val="18"/>
        </w:rPr>
      </w:pPr>
      <w:r w:rsidRPr="000A7166">
        <w:rPr>
          <w:rStyle w:val="FootnoteReference"/>
          <w:sz w:val="18"/>
          <w:szCs w:val="18"/>
        </w:rPr>
        <w:footnoteRef/>
      </w:r>
      <w:r w:rsidRPr="000A7166">
        <w:rPr>
          <w:sz w:val="18"/>
          <w:szCs w:val="18"/>
        </w:rPr>
        <w:t xml:space="preserve"> </w:t>
      </w:r>
      <w:r w:rsidR="00E671A3">
        <w:rPr>
          <w:sz w:val="18"/>
          <w:szCs w:val="18"/>
        </w:rPr>
        <w:t xml:space="preserve">Ibid, </w:t>
      </w:r>
      <w:r w:rsidR="00C946CD" w:rsidRPr="000A7166">
        <w:rPr>
          <w:sz w:val="18"/>
          <w:szCs w:val="18"/>
        </w:rPr>
        <w:t>Older persons with disabilities, 17 July 2019. (para. 37)</w:t>
      </w:r>
    </w:p>
  </w:footnote>
  <w:footnote w:id="16">
    <w:p w14:paraId="45212E93" w14:textId="0DD040A7" w:rsidR="007A4028" w:rsidRPr="000A7166" w:rsidRDefault="007A4028" w:rsidP="007A4028">
      <w:pPr>
        <w:pStyle w:val="FootnoteText"/>
        <w:rPr>
          <w:sz w:val="18"/>
          <w:szCs w:val="18"/>
        </w:rPr>
      </w:pPr>
      <w:r w:rsidRPr="000A7166">
        <w:rPr>
          <w:rStyle w:val="FootnoteReference"/>
          <w:sz w:val="18"/>
          <w:szCs w:val="18"/>
        </w:rPr>
        <w:footnoteRef/>
      </w:r>
      <w:r w:rsidRPr="000A7166">
        <w:rPr>
          <w:sz w:val="18"/>
          <w:szCs w:val="18"/>
        </w:rPr>
        <w:t xml:space="preserve"> </w:t>
      </w:r>
      <w:r w:rsidR="000A7166" w:rsidRPr="000A7166">
        <w:rPr>
          <w:sz w:val="18"/>
          <w:szCs w:val="18"/>
        </w:rPr>
        <w:t xml:space="preserve">Committee on the Elimination of Discrimination against Women, General Recommendation No. </w:t>
      </w:r>
      <w:r w:rsidRPr="000A7166">
        <w:rPr>
          <w:sz w:val="18"/>
          <w:szCs w:val="18"/>
        </w:rPr>
        <w:t>33</w:t>
      </w:r>
      <w:r w:rsidR="000A7166" w:rsidRPr="000A7166">
        <w:rPr>
          <w:sz w:val="18"/>
          <w:szCs w:val="18"/>
        </w:rPr>
        <w:t xml:space="preserve"> (2015)</w:t>
      </w:r>
      <w:r w:rsidRPr="000A7166">
        <w:rPr>
          <w:sz w:val="18"/>
          <w:szCs w:val="18"/>
        </w:rPr>
        <w:t xml:space="preserve"> </w:t>
      </w:r>
      <w:r w:rsidR="000A7166" w:rsidRPr="000A7166">
        <w:rPr>
          <w:sz w:val="18"/>
          <w:szCs w:val="18"/>
        </w:rPr>
        <w:t>W</w:t>
      </w:r>
      <w:r w:rsidRPr="000A7166">
        <w:rPr>
          <w:sz w:val="18"/>
          <w:szCs w:val="18"/>
        </w:rPr>
        <w:t>omen’s access</w:t>
      </w:r>
      <w:r w:rsidR="000A7166" w:rsidRPr="000A7166">
        <w:rPr>
          <w:sz w:val="18"/>
          <w:szCs w:val="18"/>
        </w:rPr>
        <w:t xml:space="preserve"> to justice.</w:t>
      </w:r>
      <w:r w:rsidRPr="000A7166">
        <w:rPr>
          <w:sz w:val="18"/>
          <w:szCs w:val="18"/>
        </w:rPr>
        <w:t xml:space="preserve"> </w:t>
      </w:r>
    </w:p>
  </w:footnote>
  <w:footnote w:id="17">
    <w:p w14:paraId="1CB5EE44" w14:textId="312A0C83" w:rsidR="00EA09EE" w:rsidRPr="00E671A3" w:rsidRDefault="00EA09EE" w:rsidP="00EA09EE">
      <w:pPr>
        <w:pStyle w:val="FootnoteText"/>
        <w:rPr>
          <w:sz w:val="18"/>
          <w:szCs w:val="18"/>
        </w:rPr>
      </w:pPr>
      <w:r w:rsidRPr="00E671A3">
        <w:rPr>
          <w:rStyle w:val="FootnoteReference"/>
          <w:sz w:val="18"/>
          <w:szCs w:val="18"/>
        </w:rPr>
        <w:footnoteRef/>
      </w:r>
      <w:r w:rsidRPr="00E671A3">
        <w:rPr>
          <w:sz w:val="18"/>
          <w:szCs w:val="18"/>
        </w:rPr>
        <w:t xml:space="preserve"> </w:t>
      </w:r>
      <w:bookmarkStart w:id="1" w:name="_Hlk88670733"/>
      <w:r w:rsidR="000A7166" w:rsidRPr="00E671A3">
        <w:rPr>
          <w:sz w:val="18"/>
          <w:szCs w:val="18"/>
        </w:rPr>
        <w:t>Ibid, General R</w:t>
      </w:r>
      <w:r w:rsidRPr="00E671A3">
        <w:rPr>
          <w:sz w:val="18"/>
          <w:szCs w:val="18"/>
        </w:rPr>
        <w:t>ecommendation No</w:t>
      </w:r>
      <w:bookmarkEnd w:id="1"/>
      <w:r w:rsidRPr="00E671A3">
        <w:rPr>
          <w:sz w:val="18"/>
          <w:szCs w:val="18"/>
        </w:rPr>
        <w:t>. 35 on gender-based violence</w:t>
      </w:r>
      <w:r w:rsidR="000A7166" w:rsidRPr="00E671A3">
        <w:rPr>
          <w:sz w:val="18"/>
          <w:szCs w:val="18"/>
        </w:rPr>
        <w:t xml:space="preserve"> </w:t>
      </w:r>
      <w:r w:rsidRPr="00E671A3">
        <w:rPr>
          <w:sz w:val="18"/>
          <w:szCs w:val="18"/>
        </w:rPr>
        <w:t>against women, updating</w:t>
      </w:r>
      <w:r w:rsidR="000A7166" w:rsidRPr="00E671A3">
        <w:rPr>
          <w:sz w:val="18"/>
          <w:szCs w:val="18"/>
        </w:rPr>
        <w:t xml:space="preserve"> general recommendation No. 19.</w:t>
      </w:r>
    </w:p>
  </w:footnote>
  <w:footnote w:id="18">
    <w:p w14:paraId="635C634F" w14:textId="77777777" w:rsidR="002A07AB" w:rsidRPr="004D108D" w:rsidRDefault="002A07AB" w:rsidP="002A07AB">
      <w:pPr>
        <w:pStyle w:val="FootnoteText"/>
        <w:rPr>
          <w:sz w:val="18"/>
          <w:szCs w:val="18"/>
          <w:lang w:val="en-US"/>
        </w:rPr>
      </w:pPr>
      <w:r w:rsidRPr="000A7166">
        <w:rPr>
          <w:rStyle w:val="FootnoteReference"/>
          <w:sz w:val="18"/>
          <w:szCs w:val="18"/>
        </w:rPr>
        <w:footnoteRef/>
      </w:r>
      <w:r w:rsidRPr="000A7166">
        <w:rPr>
          <w:sz w:val="18"/>
          <w:szCs w:val="18"/>
          <w:lang w:val="en-US"/>
        </w:rPr>
        <w:t xml:space="preserve"> Committee on the Rights of Persons with Disabilities General Comment No. 7 (2018), 9 November 2018, UN Doc. CRPD/C/GC/7, paras 11 and 12(e).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F65B0"/>
    <w:multiLevelType w:val="hybridMultilevel"/>
    <w:tmpl w:val="AB0EC728"/>
    <w:lvl w:ilvl="0" w:tplc="F0F483E0">
      <w:start w:val="3"/>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919ED"/>
    <w:multiLevelType w:val="hybridMultilevel"/>
    <w:tmpl w:val="389AFE10"/>
    <w:lvl w:ilvl="0" w:tplc="52666C0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517895"/>
    <w:multiLevelType w:val="hybridMultilevel"/>
    <w:tmpl w:val="180E0F70"/>
    <w:lvl w:ilvl="0" w:tplc="B73AB21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EC2091B"/>
    <w:multiLevelType w:val="hybridMultilevel"/>
    <w:tmpl w:val="5C8A87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530E32"/>
    <w:multiLevelType w:val="hybridMultilevel"/>
    <w:tmpl w:val="AEA22054"/>
    <w:lvl w:ilvl="0" w:tplc="E96C5ABE">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31B21"/>
    <w:multiLevelType w:val="hybridMultilevel"/>
    <w:tmpl w:val="CE426C5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4C0726C"/>
    <w:multiLevelType w:val="hybridMultilevel"/>
    <w:tmpl w:val="7608763E"/>
    <w:lvl w:ilvl="0" w:tplc="9566D02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81511F3"/>
    <w:multiLevelType w:val="hybridMultilevel"/>
    <w:tmpl w:val="42342BA4"/>
    <w:lvl w:ilvl="0" w:tplc="132E3B7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8D67F16"/>
    <w:multiLevelType w:val="hybridMultilevel"/>
    <w:tmpl w:val="0AFCB1B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236EFA"/>
    <w:multiLevelType w:val="hybridMultilevel"/>
    <w:tmpl w:val="7A7E93A6"/>
    <w:lvl w:ilvl="0" w:tplc="CAC6AA94">
      <w:start w:val="1"/>
      <w:numFmt w:val="upperRoman"/>
      <w:lvlText w:val="%1."/>
      <w:lvlJc w:val="left"/>
      <w:pPr>
        <w:ind w:left="1080" w:hanging="72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63578C"/>
    <w:multiLevelType w:val="hybridMultilevel"/>
    <w:tmpl w:val="998AC0A8"/>
    <w:lvl w:ilvl="0" w:tplc="CCF0A162">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8A1E4A"/>
    <w:multiLevelType w:val="hybridMultilevel"/>
    <w:tmpl w:val="14AEC70E"/>
    <w:lvl w:ilvl="0" w:tplc="E440164E">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254016"/>
    <w:multiLevelType w:val="hybridMultilevel"/>
    <w:tmpl w:val="8D3826FE"/>
    <w:lvl w:ilvl="0" w:tplc="E5D497C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FAD5B96"/>
    <w:multiLevelType w:val="hybridMultilevel"/>
    <w:tmpl w:val="E6B8B0FA"/>
    <w:lvl w:ilvl="0" w:tplc="81EE0C80">
      <w:start w:val="1"/>
      <w:numFmt w:val="upperRoman"/>
      <w:lvlText w:val="%1."/>
      <w:lvlJc w:val="left"/>
      <w:pPr>
        <w:ind w:left="1080" w:hanging="72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3"/>
  </w:num>
  <w:num w:numId="3">
    <w:abstractNumId w:val="4"/>
  </w:num>
  <w:num w:numId="4">
    <w:abstractNumId w:val="6"/>
  </w:num>
  <w:num w:numId="5">
    <w:abstractNumId w:val="9"/>
  </w:num>
  <w:num w:numId="6">
    <w:abstractNumId w:val="8"/>
  </w:num>
  <w:num w:numId="7">
    <w:abstractNumId w:val="10"/>
  </w:num>
  <w:num w:numId="8">
    <w:abstractNumId w:val="0"/>
  </w:num>
  <w:num w:numId="9">
    <w:abstractNumId w:val="11"/>
  </w:num>
  <w:num w:numId="10">
    <w:abstractNumId w:val="7"/>
  </w:num>
  <w:num w:numId="11">
    <w:abstractNumId w:val="2"/>
  </w:num>
  <w:num w:numId="12">
    <w:abstractNumId w:val="1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57A"/>
    <w:rsid w:val="00007809"/>
    <w:rsid w:val="00016DAF"/>
    <w:rsid w:val="00036708"/>
    <w:rsid w:val="0005023D"/>
    <w:rsid w:val="00062AE9"/>
    <w:rsid w:val="000703A0"/>
    <w:rsid w:val="00072BAA"/>
    <w:rsid w:val="00094816"/>
    <w:rsid w:val="00097182"/>
    <w:rsid w:val="000A7166"/>
    <w:rsid w:val="000C3A8C"/>
    <w:rsid w:val="000C7E06"/>
    <w:rsid w:val="000D167B"/>
    <w:rsid w:val="000D272F"/>
    <w:rsid w:val="000F33AD"/>
    <w:rsid w:val="001242B9"/>
    <w:rsid w:val="0012792B"/>
    <w:rsid w:val="0014207B"/>
    <w:rsid w:val="001425B2"/>
    <w:rsid w:val="0014358C"/>
    <w:rsid w:val="00144D68"/>
    <w:rsid w:val="001523F5"/>
    <w:rsid w:val="00170C3B"/>
    <w:rsid w:val="0018457A"/>
    <w:rsid w:val="00191210"/>
    <w:rsid w:val="001C0F2A"/>
    <w:rsid w:val="001C7909"/>
    <w:rsid w:val="001E23B3"/>
    <w:rsid w:val="001F33A4"/>
    <w:rsid w:val="001F51DA"/>
    <w:rsid w:val="00245FFC"/>
    <w:rsid w:val="00251993"/>
    <w:rsid w:val="00260C06"/>
    <w:rsid w:val="002623E2"/>
    <w:rsid w:val="00270249"/>
    <w:rsid w:val="0028147A"/>
    <w:rsid w:val="00292FB8"/>
    <w:rsid w:val="002A07AB"/>
    <w:rsid w:val="002B0C68"/>
    <w:rsid w:val="002F72B6"/>
    <w:rsid w:val="0032799F"/>
    <w:rsid w:val="00337D8C"/>
    <w:rsid w:val="00383825"/>
    <w:rsid w:val="003963F9"/>
    <w:rsid w:val="003A2CB2"/>
    <w:rsid w:val="003C3039"/>
    <w:rsid w:val="003E03DD"/>
    <w:rsid w:val="004001D5"/>
    <w:rsid w:val="00443D0D"/>
    <w:rsid w:val="0044428F"/>
    <w:rsid w:val="0046680B"/>
    <w:rsid w:val="00474059"/>
    <w:rsid w:val="00474347"/>
    <w:rsid w:val="0048472B"/>
    <w:rsid w:val="004928A6"/>
    <w:rsid w:val="004B049B"/>
    <w:rsid w:val="004C4A22"/>
    <w:rsid w:val="004D108D"/>
    <w:rsid w:val="005215EC"/>
    <w:rsid w:val="00540EDD"/>
    <w:rsid w:val="00542091"/>
    <w:rsid w:val="00542146"/>
    <w:rsid w:val="005436E1"/>
    <w:rsid w:val="00552522"/>
    <w:rsid w:val="00562C2D"/>
    <w:rsid w:val="00563A53"/>
    <w:rsid w:val="00593D1C"/>
    <w:rsid w:val="005B04D5"/>
    <w:rsid w:val="005C3B43"/>
    <w:rsid w:val="005C7C8B"/>
    <w:rsid w:val="006018FF"/>
    <w:rsid w:val="00602BB2"/>
    <w:rsid w:val="0060453E"/>
    <w:rsid w:val="00605768"/>
    <w:rsid w:val="00610E7D"/>
    <w:rsid w:val="00615D71"/>
    <w:rsid w:val="0061677B"/>
    <w:rsid w:val="00635DB2"/>
    <w:rsid w:val="00673307"/>
    <w:rsid w:val="006A0E10"/>
    <w:rsid w:val="006A1F77"/>
    <w:rsid w:val="006E4A41"/>
    <w:rsid w:val="006F75C3"/>
    <w:rsid w:val="00701469"/>
    <w:rsid w:val="007457F8"/>
    <w:rsid w:val="0075015B"/>
    <w:rsid w:val="0075553B"/>
    <w:rsid w:val="00764485"/>
    <w:rsid w:val="007A4028"/>
    <w:rsid w:val="007C35A2"/>
    <w:rsid w:val="007C465A"/>
    <w:rsid w:val="007C6C3D"/>
    <w:rsid w:val="007E53AF"/>
    <w:rsid w:val="007E6D84"/>
    <w:rsid w:val="008000FB"/>
    <w:rsid w:val="00807248"/>
    <w:rsid w:val="00817028"/>
    <w:rsid w:val="00843046"/>
    <w:rsid w:val="00880834"/>
    <w:rsid w:val="00883E0C"/>
    <w:rsid w:val="008A0E2E"/>
    <w:rsid w:val="008A5372"/>
    <w:rsid w:val="008B5116"/>
    <w:rsid w:val="008C12F8"/>
    <w:rsid w:val="008C2A79"/>
    <w:rsid w:val="008C5620"/>
    <w:rsid w:val="008D4D17"/>
    <w:rsid w:val="0090575B"/>
    <w:rsid w:val="00920071"/>
    <w:rsid w:val="00936D9E"/>
    <w:rsid w:val="009435E7"/>
    <w:rsid w:val="0096337D"/>
    <w:rsid w:val="00966528"/>
    <w:rsid w:val="00971B28"/>
    <w:rsid w:val="00996936"/>
    <w:rsid w:val="009A78D1"/>
    <w:rsid w:val="009C1AB1"/>
    <w:rsid w:val="009E2EF9"/>
    <w:rsid w:val="00A040B5"/>
    <w:rsid w:val="00A66179"/>
    <w:rsid w:val="00A82B8B"/>
    <w:rsid w:val="00A940C0"/>
    <w:rsid w:val="00A97519"/>
    <w:rsid w:val="00AA5CF5"/>
    <w:rsid w:val="00AC2B11"/>
    <w:rsid w:val="00AC3F4C"/>
    <w:rsid w:val="00B057FF"/>
    <w:rsid w:val="00B10821"/>
    <w:rsid w:val="00B64905"/>
    <w:rsid w:val="00B76302"/>
    <w:rsid w:val="00B917D3"/>
    <w:rsid w:val="00BB3CBF"/>
    <w:rsid w:val="00BB707A"/>
    <w:rsid w:val="00BC0EE9"/>
    <w:rsid w:val="00BD4D8D"/>
    <w:rsid w:val="00C14B27"/>
    <w:rsid w:val="00C65A41"/>
    <w:rsid w:val="00C71F66"/>
    <w:rsid w:val="00C75B8E"/>
    <w:rsid w:val="00C81BCD"/>
    <w:rsid w:val="00C87ED6"/>
    <w:rsid w:val="00C946CD"/>
    <w:rsid w:val="00CA3578"/>
    <w:rsid w:val="00CB0FB3"/>
    <w:rsid w:val="00CD289A"/>
    <w:rsid w:val="00CD725E"/>
    <w:rsid w:val="00CF6335"/>
    <w:rsid w:val="00CF6D43"/>
    <w:rsid w:val="00D00B41"/>
    <w:rsid w:val="00D07D9A"/>
    <w:rsid w:val="00D22E64"/>
    <w:rsid w:val="00D30EB3"/>
    <w:rsid w:val="00D51F51"/>
    <w:rsid w:val="00D57096"/>
    <w:rsid w:val="00D6364E"/>
    <w:rsid w:val="00D97C1F"/>
    <w:rsid w:val="00DA229E"/>
    <w:rsid w:val="00DD74B6"/>
    <w:rsid w:val="00DE247E"/>
    <w:rsid w:val="00DF22AC"/>
    <w:rsid w:val="00E02D4F"/>
    <w:rsid w:val="00E45DCD"/>
    <w:rsid w:val="00E671A3"/>
    <w:rsid w:val="00E7337D"/>
    <w:rsid w:val="00E76117"/>
    <w:rsid w:val="00E92C00"/>
    <w:rsid w:val="00EA09EE"/>
    <w:rsid w:val="00EB7F0C"/>
    <w:rsid w:val="00EC5EC6"/>
    <w:rsid w:val="00F1222D"/>
    <w:rsid w:val="00F17A93"/>
    <w:rsid w:val="00F21F97"/>
    <w:rsid w:val="00F22D52"/>
    <w:rsid w:val="00F30932"/>
    <w:rsid w:val="00F434EA"/>
    <w:rsid w:val="00F643BC"/>
    <w:rsid w:val="00F758C4"/>
    <w:rsid w:val="00F92246"/>
    <w:rsid w:val="00FB40D3"/>
    <w:rsid w:val="00FB5077"/>
    <w:rsid w:val="00FD07AE"/>
    <w:rsid w:val="00FE13DB"/>
    <w:rsid w:val="00FF4E85"/>
    <w:rsid w:val="00FF61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065043"/>
  <w15:chartTrackingRefBased/>
  <w15:docId w15:val="{FA02EAF4-52FF-43D2-A4C1-65DD1176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57A"/>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CD289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57A"/>
    <w:pPr>
      <w:ind w:left="720"/>
      <w:contextualSpacing/>
    </w:pPr>
  </w:style>
  <w:style w:type="paragraph" w:styleId="FootnoteText">
    <w:name w:val="footnote text"/>
    <w:basedOn w:val="Normal"/>
    <w:link w:val="FootnoteTextChar"/>
    <w:uiPriority w:val="99"/>
    <w:semiHidden/>
    <w:unhideWhenUsed/>
    <w:rsid w:val="008000FB"/>
    <w:rPr>
      <w:sz w:val="20"/>
      <w:szCs w:val="20"/>
    </w:rPr>
  </w:style>
  <w:style w:type="character" w:customStyle="1" w:styleId="FootnoteTextChar">
    <w:name w:val="Footnote Text Char"/>
    <w:basedOn w:val="DefaultParagraphFont"/>
    <w:link w:val="FootnoteText"/>
    <w:uiPriority w:val="99"/>
    <w:semiHidden/>
    <w:rsid w:val="008000FB"/>
    <w:rPr>
      <w:rFonts w:ascii="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8000FB"/>
    <w:rPr>
      <w:vertAlign w:val="superscript"/>
    </w:rPr>
  </w:style>
  <w:style w:type="character" w:styleId="Hyperlink">
    <w:name w:val="Hyperlink"/>
    <w:basedOn w:val="DefaultParagraphFont"/>
    <w:uiPriority w:val="99"/>
    <w:unhideWhenUsed/>
    <w:rsid w:val="008000FB"/>
    <w:rPr>
      <w:color w:val="0563C1" w:themeColor="hyperlink"/>
      <w:u w:val="single"/>
    </w:rPr>
  </w:style>
  <w:style w:type="character" w:customStyle="1" w:styleId="Heading1Char">
    <w:name w:val="Heading 1 Char"/>
    <w:basedOn w:val="DefaultParagraphFont"/>
    <w:link w:val="Heading1"/>
    <w:uiPriority w:val="9"/>
    <w:rsid w:val="00CD289A"/>
    <w:rPr>
      <w:rFonts w:asciiTheme="majorHAnsi" w:eastAsiaTheme="majorEastAsia" w:hAnsiTheme="majorHAnsi" w:cstheme="majorBidi"/>
      <w:color w:val="2E74B5" w:themeColor="accent1" w:themeShade="BF"/>
      <w:sz w:val="32"/>
      <w:szCs w:val="32"/>
      <w:lang w:eastAsia="en-GB"/>
    </w:rPr>
  </w:style>
  <w:style w:type="character" w:styleId="CommentReference">
    <w:name w:val="annotation reference"/>
    <w:basedOn w:val="DefaultParagraphFont"/>
    <w:uiPriority w:val="99"/>
    <w:semiHidden/>
    <w:unhideWhenUsed/>
    <w:rsid w:val="0096337D"/>
    <w:rPr>
      <w:sz w:val="16"/>
      <w:szCs w:val="16"/>
    </w:rPr>
  </w:style>
  <w:style w:type="paragraph" w:styleId="CommentText">
    <w:name w:val="annotation text"/>
    <w:basedOn w:val="Normal"/>
    <w:link w:val="CommentTextChar"/>
    <w:uiPriority w:val="99"/>
    <w:unhideWhenUsed/>
    <w:rsid w:val="0096337D"/>
    <w:rPr>
      <w:rFonts w:asciiTheme="minorHAnsi" w:hAnsiTheme="minorHAnsi" w:cs="Times New Roman (Cuerpo en alfa"/>
      <w:bCs/>
      <w:iCs/>
      <w:sz w:val="20"/>
      <w:szCs w:val="20"/>
      <w:lang w:val="es-PA" w:eastAsia="en-US"/>
    </w:rPr>
  </w:style>
  <w:style w:type="character" w:customStyle="1" w:styleId="CommentTextChar">
    <w:name w:val="Comment Text Char"/>
    <w:basedOn w:val="DefaultParagraphFont"/>
    <w:link w:val="CommentText"/>
    <w:uiPriority w:val="99"/>
    <w:rsid w:val="0096337D"/>
    <w:rPr>
      <w:rFonts w:cs="Times New Roman (Cuerpo en alfa"/>
      <w:bCs/>
      <w:iCs/>
      <w:sz w:val="20"/>
      <w:szCs w:val="20"/>
      <w:lang w:val="es-PA"/>
    </w:rPr>
  </w:style>
  <w:style w:type="paragraph" w:styleId="BalloonText">
    <w:name w:val="Balloon Text"/>
    <w:basedOn w:val="Normal"/>
    <w:link w:val="BalloonTextChar"/>
    <w:uiPriority w:val="99"/>
    <w:semiHidden/>
    <w:unhideWhenUsed/>
    <w:rsid w:val="009633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337D"/>
    <w:rPr>
      <w:rFonts w:ascii="Segoe UI" w:hAnsi="Segoe UI" w:cs="Segoe UI"/>
      <w:sz w:val="18"/>
      <w:szCs w:val="18"/>
      <w:lang w:eastAsia="en-GB"/>
    </w:rPr>
  </w:style>
  <w:style w:type="paragraph" w:styleId="Revision">
    <w:name w:val="Revision"/>
    <w:hidden/>
    <w:uiPriority w:val="99"/>
    <w:semiHidden/>
    <w:rsid w:val="00F17A93"/>
    <w:pPr>
      <w:spacing w:after="0" w:line="240" w:lineRule="auto"/>
    </w:pPr>
    <w:rPr>
      <w:rFonts w:ascii="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2F72B6"/>
    <w:rPr>
      <w:rFonts w:ascii="Times New Roman" w:hAnsi="Times New Roman" w:cs="Times New Roman"/>
      <w:b/>
      <w:iCs w:val="0"/>
      <w:lang w:val="en-GB" w:eastAsia="en-GB"/>
    </w:rPr>
  </w:style>
  <w:style w:type="character" w:customStyle="1" w:styleId="CommentSubjectChar">
    <w:name w:val="Comment Subject Char"/>
    <w:basedOn w:val="CommentTextChar"/>
    <w:link w:val="CommentSubject"/>
    <w:uiPriority w:val="99"/>
    <w:semiHidden/>
    <w:rsid w:val="002F72B6"/>
    <w:rPr>
      <w:rFonts w:ascii="Times New Roman" w:hAnsi="Times New Roman" w:cs="Times New Roman"/>
      <w:b/>
      <w:bCs/>
      <w:iCs w:val="0"/>
      <w:sz w:val="20"/>
      <w:szCs w:val="20"/>
      <w:lang w:val="es-PA" w:eastAsia="en-GB"/>
    </w:rPr>
  </w:style>
  <w:style w:type="paragraph" w:styleId="Header">
    <w:name w:val="header"/>
    <w:basedOn w:val="Normal"/>
    <w:link w:val="HeaderChar"/>
    <w:uiPriority w:val="99"/>
    <w:unhideWhenUsed/>
    <w:rsid w:val="001C0F2A"/>
    <w:pPr>
      <w:tabs>
        <w:tab w:val="center" w:pos="4513"/>
        <w:tab w:val="right" w:pos="9026"/>
      </w:tabs>
    </w:pPr>
  </w:style>
  <w:style w:type="character" w:customStyle="1" w:styleId="HeaderChar">
    <w:name w:val="Header Char"/>
    <w:basedOn w:val="DefaultParagraphFont"/>
    <w:link w:val="Header"/>
    <w:uiPriority w:val="99"/>
    <w:rsid w:val="001C0F2A"/>
    <w:rPr>
      <w:rFonts w:ascii="Times New Roman" w:hAnsi="Times New Roman" w:cs="Times New Roman"/>
      <w:sz w:val="24"/>
      <w:szCs w:val="24"/>
      <w:lang w:eastAsia="en-GB"/>
    </w:rPr>
  </w:style>
  <w:style w:type="paragraph" w:styleId="Footer">
    <w:name w:val="footer"/>
    <w:basedOn w:val="Normal"/>
    <w:link w:val="FooterChar"/>
    <w:uiPriority w:val="99"/>
    <w:unhideWhenUsed/>
    <w:rsid w:val="001C0F2A"/>
    <w:pPr>
      <w:tabs>
        <w:tab w:val="center" w:pos="4513"/>
        <w:tab w:val="right" w:pos="9026"/>
      </w:tabs>
    </w:pPr>
  </w:style>
  <w:style w:type="character" w:customStyle="1" w:styleId="FooterChar">
    <w:name w:val="Footer Char"/>
    <w:basedOn w:val="DefaultParagraphFont"/>
    <w:link w:val="Footer"/>
    <w:uiPriority w:val="99"/>
    <w:rsid w:val="001C0F2A"/>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911739">
      <w:bodyDiv w:val="1"/>
      <w:marLeft w:val="0"/>
      <w:marRight w:val="0"/>
      <w:marTop w:val="0"/>
      <w:marBottom w:val="0"/>
      <w:divBdr>
        <w:top w:val="none" w:sz="0" w:space="0" w:color="auto"/>
        <w:left w:val="none" w:sz="0" w:space="0" w:color="auto"/>
        <w:bottom w:val="none" w:sz="0" w:space="0" w:color="auto"/>
        <w:right w:val="none" w:sz="0" w:space="0" w:color="auto"/>
      </w:divBdr>
    </w:div>
    <w:div w:id="736979325">
      <w:bodyDiv w:val="1"/>
      <w:marLeft w:val="0"/>
      <w:marRight w:val="0"/>
      <w:marTop w:val="0"/>
      <w:marBottom w:val="0"/>
      <w:divBdr>
        <w:top w:val="none" w:sz="0" w:space="0" w:color="auto"/>
        <w:left w:val="none" w:sz="0" w:space="0" w:color="auto"/>
        <w:bottom w:val="none" w:sz="0" w:space="0" w:color="auto"/>
        <w:right w:val="none" w:sz="0" w:space="0" w:color="auto"/>
      </w:divBdr>
    </w:div>
    <w:div w:id="777262164">
      <w:bodyDiv w:val="1"/>
      <w:marLeft w:val="0"/>
      <w:marRight w:val="0"/>
      <w:marTop w:val="0"/>
      <w:marBottom w:val="0"/>
      <w:divBdr>
        <w:top w:val="none" w:sz="0" w:space="0" w:color="auto"/>
        <w:left w:val="none" w:sz="0" w:space="0" w:color="auto"/>
        <w:bottom w:val="none" w:sz="0" w:space="0" w:color="auto"/>
        <w:right w:val="none" w:sz="0" w:space="0" w:color="auto"/>
      </w:divBdr>
    </w:div>
    <w:div w:id="874076459">
      <w:bodyDiv w:val="1"/>
      <w:marLeft w:val="0"/>
      <w:marRight w:val="0"/>
      <w:marTop w:val="0"/>
      <w:marBottom w:val="0"/>
      <w:divBdr>
        <w:top w:val="none" w:sz="0" w:space="0" w:color="auto"/>
        <w:left w:val="none" w:sz="0" w:space="0" w:color="auto"/>
        <w:bottom w:val="none" w:sz="0" w:space="0" w:color="auto"/>
        <w:right w:val="none" w:sz="0" w:space="0" w:color="auto"/>
      </w:divBdr>
    </w:div>
    <w:div w:id="1366521702">
      <w:bodyDiv w:val="1"/>
      <w:marLeft w:val="0"/>
      <w:marRight w:val="0"/>
      <w:marTop w:val="0"/>
      <w:marBottom w:val="0"/>
      <w:divBdr>
        <w:top w:val="none" w:sz="0" w:space="0" w:color="auto"/>
        <w:left w:val="none" w:sz="0" w:space="0" w:color="auto"/>
        <w:bottom w:val="none" w:sz="0" w:space="0" w:color="auto"/>
        <w:right w:val="none" w:sz="0" w:space="0" w:color="auto"/>
      </w:divBdr>
    </w:div>
    <w:div w:id="1605579674">
      <w:bodyDiv w:val="1"/>
      <w:marLeft w:val="0"/>
      <w:marRight w:val="0"/>
      <w:marTop w:val="0"/>
      <w:marBottom w:val="0"/>
      <w:divBdr>
        <w:top w:val="none" w:sz="0" w:space="0" w:color="auto"/>
        <w:left w:val="none" w:sz="0" w:space="0" w:color="auto"/>
        <w:bottom w:val="none" w:sz="0" w:space="0" w:color="auto"/>
        <w:right w:val="none" w:sz="0" w:space="0" w:color="auto"/>
      </w:divBdr>
    </w:div>
    <w:div w:id="1909419456">
      <w:bodyDiv w:val="1"/>
      <w:marLeft w:val="0"/>
      <w:marRight w:val="0"/>
      <w:marTop w:val="0"/>
      <w:marBottom w:val="0"/>
      <w:divBdr>
        <w:top w:val="none" w:sz="0" w:space="0" w:color="auto"/>
        <w:left w:val="none" w:sz="0" w:space="0" w:color="auto"/>
        <w:bottom w:val="none" w:sz="0" w:space="0" w:color="auto"/>
        <w:right w:val="none" w:sz="0" w:space="0" w:color="auto"/>
      </w:divBdr>
    </w:div>
    <w:div w:id="200500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eaties.un.org/Pages/Treaties.aspx?id=4&amp;subid=A&amp;clang=_en" TargetMode="External"/><Relationship Id="rId18" Type="http://schemas.openxmlformats.org/officeDocument/2006/relationships/hyperlink" Target="https://www.ohchr.org/EN/HRBodies/CRPD/Pages/ConventionRightsPersonsWithDisabilities.aspx" TargetMode="External"/><Relationship Id="rId26" Type="http://schemas.openxmlformats.org/officeDocument/2006/relationships/hyperlink" Target="https://womenenabled.org/reports/wei-fact-sheet-gbv/" TargetMode="External"/><Relationship Id="rId21" Type="http://schemas.openxmlformats.org/officeDocument/2006/relationships/hyperlink" Target="https://tbinternet.ohchr.org/_layouts/15/treatybodyexternal/Download.aspx?symbolno=INT/CEDAW/GEC/4738&amp;Lang=en" TargetMode="Externa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file:///\\fshq.ad.ohchr.org\redirected$\Catherinne.Pedreros\My%20Documents\1)%20CRPD\Working%20Group%20Women%20and%20Girls%20with%20Disabilities\The%2016%20Days%20of%20Activism%20against%20Gender-Based%20Violence" TargetMode="External"/><Relationship Id="rId17" Type="http://schemas.openxmlformats.org/officeDocument/2006/relationships/hyperlink" Target="https://www.ohchr.org/EN/HRBodies/CRC/Pages/CRCIndex.aspx" TargetMode="External"/><Relationship Id="rId25" Type="http://schemas.openxmlformats.org/officeDocument/2006/relationships/hyperlink" Target="https://www.ohchr.org/EN/Issues/Disability/Pages/SDG-CRPD-Resource.aspx" TargetMode="Externa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ohchr.org/EN/HRBodies/CRPD/Pages/ConventionRightsPersonsWithDisabilities.aspx" TargetMode="External"/><Relationship Id="rId20" Type="http://schemas.openxmlformats.org/officeDocument/2006/relationships/hyperlink" Target="https://www.ohchr.org/EN/ProfessionalInterest/Pages/CEDAW.aspx" TargetMode="External"/><Relationship Id="rId29" Type="http://schemas.openxmlformats.org/officeDocument/2006/relationships/hyperlink" Target="https://tbinternet.ohchr.org/_layouts/15/treatybodyexternal/Download.aspx?symbolno=CRPD/C/GC/3&amp;Lang=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EN/Issues/Disability/SRDisabilities/Pages/SRDisabilitiesIndex.aspx" TargetMode="External"/><Relationship Id="rId24" Type="http://schemas.openxmlformats.org/officeDocument/2006/relationships/hyperlink" Target="https://sdgs.un.org/" TargetMode="External"/><Relationship Id="rId32" Type="http://schemas.openxmlformats.org/officeDocument/2006/relationships/theme" Target="theme/theme1.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ohchr.org/EN/HRBodies/CRPD/Pages/ConventionRightsPersonsWithDisabilities.aspx" TargetMode="External"/><Relationship Id="rId23" Type="http://schemas.openxmlformats.org/officeDocument/2006/relationships/hyperlink" Target="https://www.ohchr.org/EN/ProfessionalInterest/Pages/CEDAW.aspx" TargetMode="External"/><Relationship Id="rId28" Type="http://schemas.openxmlformats.org/officeDocument/2006/relationships/hyperlink" Target="https://tbinternet.ohchr.org/_layouts/15/treatybodyexternal/Download.aspx?symbolno=CEDAW/C/GC/33&amp;Lang=en" TargetMode="External"/><Relationship Id="rId36" Type="http://schemas.openxmlformats.org/officeDocument/2006/relationships/customXml" Target="../customXml/item3.xml"/><Relationship Id="rId10" Type="http://schemas.openxmlformats.org/officeDocument/2006/relationships/hyperlink" Target="https://www.ohchr.org/EN/HRBodies/CRC/Pages/CRCIndex.aspx" TargetMode="External"/><Relationship Id="rId19" Type="http://schemas.openxmlformats.org/officeDocument/2006/relationships/hyperlink" Target="https://www.ohchr.org/EN/ProfessionalInterest/Pages/CEDAW.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hchr.org/EN/HRBodies/CEDAW/pages/cedawindex.aspx" TargetMode="External"/><Relationship Id="rId14" Type="http://schemas.openxmlformats.org/officeDocument/2006/relationships/hyperlink" Target="https://www.ohchr.org/EN/HRBodies/CRPD/Pages/ConventionRightsPersonsWithDisabilities.aspx" TargetMode="External"/><Relationship Id="rId22" Type="http://schemas.openxmlformats.org/officeDocument/2006/relationships/hyperlink" Target="https://www.ohchr.org/EN/HRBodies/CRPD/Pages/ConventionRightsPersonsWithDisabilities.aspx" TargetMode="External"/><Relationship Id="rId27" Type="http://schemas.openxmlformats.org/officeDocument/2006/relationships/hyperlink" Target="https://undocs.org/en/A/72/133" TargetMode="External"/><Relationship Id="rId30" Type="http://schemas.openxmlformats.org/officeDocument/2006/relationships/footer" Target="footer1.xml"/><Relationship Id="rId35" Type="http://schemas.openxmlformats.org/officeDocument/2006/relationships/customXml" Target="../customXml/item2.xml"/><Relationship Id="rId8" Type="http://schemas.openxmlformats.org/officeDocument/2006/relationships/hyperlink" Target="https://www.ohchr.org/EN/HRBodies/CRPD/Pages/CRPDIndex.aspx"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professionalinterest/pages/violenceagainstwome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B8926E-D9C3-4595-BE8C-0D5EF738CB1B}">
  <ds:schemaRefs>
    <ds:schemaRef ds:uri="http://schemas.openxmlformats.org/officeDocument/2006/bibliography"/>
  </ds:schemaRefs>
</ds:datastoreItem>
</file>

<file path=customXml/itemProps2.xml><?xml version="1.0" encoding="utf-8"?>
<ds:datastoreItem xmlns:ds="http://schemas.openxmlformats.org/officeDocument/2006/customXml" ds:itemID="{D1F913DF-867B-4F9B-9EB7-0A29717B0B8F}"/>
</file>

<file path=customXml/itemProps3.xml><?xml version="1.0" encoding="utf-8"?>
<ds:datastoreItem xmlns:ds="http://schemas.openxmlformats.org/officeDocument/2006/customXml" ds:itemID="{93169238-0A1A-452F-848E-E3794B0BE93D}"/>
</file>

<file path=customXml/itemProps4.xml><?xml version="1.0" encoding="utf-8"?>
<ds:datastoreItem xmlns:ds="http://schemas.openxmlformats.org/officeDocument/2006/customXml" ds:itemID="{736701E1-2329-4A0D-B6A3-88340CD6D684}"/>
</file>

<file path=docProps/app.xml><?xml version="1.0" encoding="utf-8"?>
<Properties xmlns="http://schemas.openxmlformats.org/officeDocument/2006/extended-properties" xmlns:vt="http://schemas.openxmlformats.org/officeDocument/2006/docPropsVTypes">
  <Template>Normal.dotm</Template>
  <TotalTime>1</TotalTime>
  <Pages>6</Pages>
  <Words>2670</Words>
  <Characters>15224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Catherinne Ivonne Pedreros Puentes</dc:creator>
  <cp:keywords/>
  <dc:description/>
  <cp:lastModifiedBy>Catherinne Ivonne Pedreros Puentes</cp:lastModifiedBy>
  <cp:revision>2</cp:revision>
  <dcterms:created xsi:type="dcterms:W3CDTF">2021-11-25T10:52:00Z</dcterms:created>
  <dcterms:modified xsi:type="dcterms:W3CDTF">2021-11-25T10:52:00Z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