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46D6A" w14:textId="4A0D25A5" w:rsidR="002A23D6" w:rsidRPr="00555453" w:rsidRDefault="002A23D6" w:rsidP="002A23D6">
      <w:pPr>
        <w:tabs>
          <w:tab w:val="left" w:pos="3540"/>
        </w:tabs>
        <w:rPr>
          <w:rFonts w:ascii="Times New Roman" w:hAnsi="Times New Roman" w:cs="Times New Roman"/>
          <w:b/>
          <w:bCs/>
          <w:sz w:val="20"/>
          <w:szCs w:val="20"/>
        </w:rPr>
      </w:pPr>
      <w:bookmarkStart w:id="0" w:name="_GoBack"/>
      <w:bookmarkEnd w:id="0"/>
      <w:r w:rsidRPr="00555453">
        <w:rPr>
          <w:rFonts w:ascii="Times New Roman" w:hAnsi="Times New Roman" w:cs="Times New Roman"/>
          <w:b/>
          <w:bCs/>
          <w:sz w:val="20"/>
          <w:szCs w:val="20"/>
        </w:rPr>
        <w:t xml:space="preserve">MINISTERE DE LA JUSTICE ET </w:t>
      </w:r>
      <w:r w:rsidRPr="00555453">
        <w:rPr>
          <w:rFonts w:ascii="Times New Roman" w:hAnsi="Times New Roman" w:cs="Times New Roman"/>
          <w:b/>
          <w:bCs/>
          <w:sz w:val="20"/>
          <w:szCs w:val="20"/>
        </w:rPr>
        <w:tab/>
        <w:t xml:space="preserve">                                </w:t>
      </w:r>
      <w:r w:rsidR="00555453">
        <w:rPr>
          <w:rFonts w:ascii="Times New Roman" w:hAnsi="Times New Roman" w:cs="Times New Roman"/>
          <w:b/>
          <w:bCs/>
          <w:sz w:val="20"/>
          <w:szCs w:val="20"/>
        </w:rPr>
        <w:t xml:space="preserve">            </w:t>
      </w:r>
      <w:r w:rsidRPr="00555453">
        <w:rPr>
          <w:rFonts w:ascii="Times New Roman" w:hAnsi="Times New Roman" w:cs="Times New Roman"/>
          <w:b/>
          <w:bCs/>
          <w:sz w:val="20"/>
          <w:szCs w:val="20"/>
        </w:rPr>
        <w:t xml:space="preserve">           REPUBLIQUE DU MALI</w:t>
      </w:r>
    </w:p>
    <w:p w14:paraId="36E34E62" w14:textId="5ADFE9BB" w:rsidR="002944BF" w:rsidRPr="00555453" w:rsidRDefault="002A23D6" w:rsidP="002A23D6">
      <w:pPr>
        <w:tabs>
          <w:tab w:val="center" w:pos="4536"/>
        </w:tabs>
        <w:rPr>
          <w:rFonts w:ascii="Times New Roman" w:hAnsi="Times New Roman" w:cs="Times New Roman"/>
          <w:b/>
          <w:bCs/>
          <w:sz w:val="20"/>
          <w:szCs w:val="20"/>
        </w:rPr>
      </w:pPr>
      <w:r w:rsidRPr="00555453">
        <w:rPr>
          <w:rFonts w:ascii="Times New Roman" w:hAnsi="Times New Roman" w:cs="Times New Roman"/>
          <w:b/>
          <w:bCs/>
          <w:sz w:val="20"/>
          <w:szCs w:val="20"/>
        </w:rPr>
        <w:t>DES DROITS DE L’HOMME</w:t>
      </w:r>
      <w:r w:rsidRPr="00555453">
        <w:rPr>
          <w:rFonts w:ascii="Times New Roman" w:hAnsi="Times New Roman" w:cs="Times New Roman"/>
          <w:b/>
          <w:bCs/>
          <w:sz w:val="20"/>
          <w:szCs w:val="20"/>
        </w:rPr>
        <w:tab/>
        <w:t xml:space="preserve">                                                                   UN PEUPLE – UN BUT – UNE FOI</w:t>
      </w:r>
    </w:p>
    <w:p w14:paraId="24663087" w14:textId="0DE5D6D6" w:rsidR="002944BF" w:rsidRPr="00555453" w:rsidRDefault="00555453">
      <w:pPr>
        <w:rPr>
          <w:rFonts w:ascii="Times New Roman" w:hAnsi="Times New Roman" w:cs="Times New Roman"/>
          <w:b/>
          <w:bCs/>
          <w:sz w:val="20"/>
          <w:szCs w:val="20"/>
        </w:rPr>
      </w:pPr>
      <w:r>
        <w:rPr>
          <w:rFonts w:ascii="Times New Roman" w:hAnsi="Times New Roman" w:cs="Times New Roman"/>
          <w:b/>
          <w:bCs/>
          <w:sz w:val="20"/>
          <w:szCs w:val="20"/>
        </w:rPr>
        <w:t xml:space="preserve">               </w:t>
      </w:r>
      <w:r w:rsidR="002A23D6" w:rsidRPr="0055545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2A23D6" w:rsidRPr="00555453">
        <w:rPr>
          <w:rFonts w:ascii="Times New Roman" w:hAnsi="Times New Roman" w:cs="Times New Roman"/>
          <w:b/>
          <w:bCs/>
          <w:sz w:val="20"/>
          <w:szCs w:val="20"/>
        </w:rPr>
        <w:t>---------------------------</w:t>
      </w:r>
    </w:p>
    <w:p w14:paraId="52F862D6" w14:textId="77777777" w:rsidR="002A23D6" w:rsidRPr="00555453" w:rsidRDefault="002A23D6">
      <w:pPr>
        <w:rPr>
          <w:rFonts w:ascii="Times New Roman" w:hAnsi="Times New Roman" w:cs="Times New Roman"/>
          <w:b/>
          <w:bCs/>
          <w:sz w:val="20"/>
          <w:szCs w:val="20"/>
        </w:rPr>
      </w:pPr>
      <w:r w:rsidRPr="00555453">
        <w:rPr>
          <w:rFonts w:ascii="Times New Roman" w:hAnsi="Times New Roman" w:cs="Times New Roman"/>
          <w:b/>
          <w:bCs/>
          <w:sz w:val="20"/>
          <w:szCs w:val="20"/>
        </w:rPr>
        <w:t xml:space="preserve">DIRECTION NATIONALE </w:t>
      </w:r>
    </w:p>
    <w:p w14:paraId="58B49485" w14:textId="6A762F10" w:rsidR="002A23D6" w:rsidRPr="00555453" w:rsidRDefault="002A23D6">
      <w:pPr>
        <w:rPr>
          <w:rFonts w:ascii="Times New Roman" w:hAnsi="Times New Roman" w:cs="Times New Roman"/>
          <w:b/>
          <w:bCs/>
          <w:sz w:val="20"/>
          <w:szCs w:val="20"/>
        </w:rPr>
      </w:pPr>
      <w:r w:rsidRPr="00555453">
        <w:rPr>
          <w:rFonts w:ascii="Times New Roman" w:hAnsi="Times New Roman" w:cs="Times New Roman"/>
          <w:b/>
          <w:bCs/>
          <w:sz w:val="20"/>
          <w:szCs w:val="20"/>
        </w:rPr>
        <w:t>DES AFFAIRES JUDICIAIRES ET DU SCEAU</w:t>
      </w:r>
    </w:p>
    <w:p w14:paraId="32ABDCBC" w14:textId="275D0ECF" w:rsidR="002944BF" w:rsidRDefault="00555453">
      <w:pPr>
        <w:rPr>
          <w:rFonts w:ascii="Times New Roman" w:hAnsi="Times New Roman" w:cs="Times New Roman"/>
          <w:sz w:val="24"/>
          <w:szCs w:val="24"/>
        </w:rPr>
      </w:pPr>
      <w:r>
        <w:rPr>
          <w:rFonts w:ascii="Times New Roman" w:hAnsi="Times New Roman" w:cs="Times New Roman"/>
          <w:sz w:val="24"/>
          <w:szCs w:val="24"/>
        </w:rPr>
        <w:t xml:space="preserve">                 </w:t>
      </w:r>
      <w:r w:rsidR="002A23D6" w:rsidRPr="00555453">
        <w:rPr>
          <w:rFonts w:ascii="Times New Roman" w:hAnsi="Times New Roman" w:cs="Times New Roman"/>
          <w:sz w:val="24"/>
          <w:szCs w:val="24"/>
        </w:rPr>
        <w:t>--------------------------</w:t>
      </w:r>
    </w:p>
    <w:p w14:paraId="380DDABD" w14:textId="068D5FB4" w:rsidR="00555453" w:rsidRDefault="00555453">
      <w:pPr>
        <w:rPr>
          <w:rFonts w:ascii="Times New Roman" w:hAnsi="Times New Roman" w:cs="Times New Roman"/>
          <w:sz w:val="24"/>
          <w:szCs w:val="24"/>
        </w:rPr>
      </w:pPr>
    </w:p>
    <w:p w14:paraId="789D2419" w14:textId="77777777" w:rsidR="00555453" w:rsidRPr="00555453" w:rsidRDefault="0055545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7942BA" w:rsidRPr="00555453" w14:paraId="1E5F47A8" w14:textId="77777777" w:rsidTr="007942BA">
        <w:tc>
          <w:tcPr>
            <w:tcW w:w="9062" w:type="dxa"/>
          </w:tcPr>
          <w:p w14:paraId="5F1AB359" w14:textId="301ED755" w:rsidR="00B33511" w:rsidRPr="00555453" w:rsidRDefault="00555453" w:rsidP="008A0AB1">
            <w:pPr>
              <w:tabs>
                <w:tab w:val="left" w:pos="3375"/>
              </w:tabs>
              <w:spacing w:line="360" w:lineRule="auto"/>
              <w:jc w:val="center"/>
              <w:rPr>
                <w:rFonts w:ascii="Times New Roman" w:hAnsi="Times New Roman" w:cs="Times New Roman"/>
                <w:b/>
                <w:bCs/>
                <w:sz w:val="24"/>
                <w:szCs w:val="24"/>
              </w:rPr>
            </w:pPr>
            <w:r w:rsidRPr="008A0AB1">
              <w:rPr>
                <w:rFonts w:ascii="Times New Roman" w:hAnsi="Times New Roman" w:cs="Times New Roman"/>
                <w:b/>
                <w:bCs/>
                <w:sz w:val="28"/>
                <w:szCs w:val="28"/>
              </w:rPr>
              <w:t>ELEMENTS DE CONTRIBUTION DE L’ETAT DU MALI DANS LE CADRE</w:t>
            </w:r>
            <w:r w:rsidR="008A0AB1">
              <w:rPr>
                <w:rFonts w:ascii="Times New Roman" w:hAnsi="Times New Roman" w:cs="Times New Roman"/>
                <w:b/>
                <w:bCs/>
                <w:sz w:val="28"/>
                <w:szCs w:val="28"/>
              </w:rPr>
              <w:t xml:space="preserve"> </w:t>
            </w:r>
            <w:r w:rsidR="008A0AB1" w:rsidRPr="008A0AB1">
              <w:rPr>
                <w:rFonts w:ascii="Times New Roman" w:hAnsi="Times New Roman" w:cs="Times New Roman"/>
                <w:b/>
                <w:bCs/>
                <w:sz w:val="28"/>
                <w:szCs w:val="28"/>
              </w:rPr>
              <w:t>DE LA MISE EN ŒUVRE DE LA RESOLUTION A/HRC/43/L.34 DU CONSEIL DES DROITS DE L’HOMME SUR LES DROITS DES PERSONNES HANDICAPEES</w:t>
            </w:r>
            <w:r w:rsidR="00B33511" w:rsidRPr="008A0AB1">
              <w:rPr>
                <w:rFonts w:ascii="Times New Roman" w:hAnsi="Times New Roman" w:cs="Times New Roman"/>
                <w:b/>
                <w:bCs/>
                <w:sz w:val="28"/>
                <w:szCs w:val="28"/>
              </w:rPr>
              <w:t>.</w:t>
            </w:r>
          </w:p>
        </w:tc>
      </w:tr>
    </w:tbl>
    <w:p w14:paraId="2C6E5BDB" w14:textId="77777777" w:rsidR="007942BA" w:rsidRPr="00555453" w:rsidRDefault="007942BA" w:rsidP="002A23D6">
      <w:pPr>
        <w:tabs>
          <w:tab w:val="left" w:pos="3375"/>
        </w:tabs>
        <w:rPr>
          <w:rFonts w:ascii="Times New Roman" w:hAnsi="Times New Roman" w:cs="Times New Roman"/>
          <w:b/>
          <w:bCs/>
          <w:sz w:val="24"/>
          <w:szCs w:val="24"/>
        </w:rPr>
      </w:pPr>
    </w:p>
    <w:p w14:paraId="7F1B3891" w14:textId="77777777" w:rsidR="007942BA" w:rsidRPr="00555453" w:rsidRDefault="007942BA" w:rsidP="002A23D6">
      <w:pPr>
        <w:tabs>
          <w:tab w:val="left" w:pos="3375"/>
        </w:tabs>
        <w:rPr>
          <w:rFonts w:ascii="Times New Roman" w:hAnsi="Times New Roman" w:cs="Times New Roman"/>
          <w:b/>
          <w:bCs/>
          <w:sz w:val="24"/>
          <w:szCs w:val="24"/>
        </w:rPr>
      </w:pPr>
    </w:p>
    <w:p w14:paraId="47B25B01" w14:textId="77777777" w:rsidR="007942BA" w:rsidRPr="00555453" w:rsidRDefault="007942BA" w:rsidP="002A23D6">
      <w:pPr>
        <w:tabs>
          <w:tab w:val="left" w:pos="3375"/>
        </w:tabs>
        <w:rPr>
          <w:rFonts w:ascii="Times New Roman" w:hAnsi="Times New Roman" w:cs="Times New Roman"/>
          <w:b/>
          <w:bCs/>
          <w:sz w:val="24"/>
          <w:szCs w:val="24"/>
        </w:rPr>
      </w:pPr>
    </w:p>
    <w:p w14:paraId="21690406" w14:textId="77777777" w:rsidR="007942BA" w:rsidRPr="00555453" w:rsidRDefault="007942BA" w:rsidP="002A23D6">
      <w:pPr>
        <w:tabs>
          <w:tab w:val="left" w:pos="3375"/>
        </w:tabs>
        <w:rPr>
          <w:rFonts w:ascii="Times New Roman" w:hAnsi="Times New Roman" w:cs="Times New Roman"/>
          <w:b/>
          <w:bCs/>
          <w:sz w:val="24"/>
          <w:szCs w:val="24"/>
        </w:rPr>
      </w:pPr>
    </w:p>
    <w:p w14:paraId="19652AB0" w14:textId="592373FC" w:rsidR="008F53CA" w:rsidRPr="00555453" w:rsidRDefault="008F53CA" w:rsidP="002A23D6">
      <w:pPr>
        <w:tabs>
          <w:tab w:val="left" w:pos="3375"/>
        </w:tabs>
        <w:rPr>
          <w:rFonts w:ascii="Times New Roman" w:hAnsi="Times New Roman" w:cs="Times New Roman"/>
          <w:sz w:val="24"/>
          <w:szCs w:val="24"/>
        </w:rPr>
      </w:pPr>
    </w:p>
    <w:p w14:paraId="4025606A" w14:textId="629FD5FF" w:rsidR="008F53CA" w:rsidRPr="00555453" w:rsidRDefault="008F53CA" w:rsidP="002A23D6">
      <w:pPr>
        <w:tabs>
          <w:tab w:val="left" w:pos="3375"/>
        </w:tabs>
        <w:rPr>
          <w:rFonts w:ascii="Times New Roman" w:hAnsi="Times New Roman" w:cs="Times New Roman"/>
          <w:sz w:val="24"/>
          <w:szCs w:val="24"/>
        </w:rPr>
      </w:pPr>
    </w:p>
    <w:p w14:paraId="252C8F69" w14:textId="398663AC" w:rsidR="00155CDA" w:rsidRPr="00555453" w:rsidRDefault="00155CDA" w:rsidP="002A23D6">
      <w:pPr>
        <w:tabs>
          <w:tab w:val="left" w:pos="3375"/>
        </w:tabs>
        <w:rPr>
          <w:rFonts w:ascii="Times New Roman" w:hAnsi="Times New Roman" w:cs="Times New Roman"/>
          <w:sz w:val="24"/>
          <w:szCs w:val="24"/>
        </w:rPr>
      </w:pPr>
    </w:p>
    <w:p w14:paraId="73AA7D9F" w14:textId="77777777" w:rsidR="00155CDA" w:rsidRPr="00555453" w:rsidRDefault="00155CDA" w:rsidP="002A23D6">
      <w:pPr>
        <w:tabs>
          <w:tab w:val="left" w:pos="3375"/>
        </w:tabs>
        <w:rPr>
          <w:rFonts w:ascii="Times New Roman" w:hAnsi="Times New Roman" w:cs="Times New Roman"/>
          <w:sz w:val="24"/>
          <w:szCs w:val="24"/>
        </w:rPr>
      </w:pPr>
    </w:p>
    <w:p w14:paraId="5E12C39E" w14:textId="77777777" w:rsidR="00155CDA" w:rsidRPr="00555453" w:rsidRDefault="00155CDA" w:rsidP="007942BA">
      <w:pPr>
        <w:tabs>
          <w:tab w:val="left" w:pos="3375"/>
        </w:tabs>
        <w:jc w:val="right"/>
        <w:rPr>
          <w:rFonts w:ascii="Times New Roman" w:hAnsi="Times New Roman" w:cs="Times New Roman"/>
          <w:sz w:val="24"/>
          <w:szCs w:val="24"/>
        </w:rPr>
      </w:pPr>
    </w:p>
    <w:p w14:paraId="4E968966" w14:textId="6EA2292E" w:rsidR="008F53CA" w:rsidRPr="00555453" w:rsidRDefault="00B33511" w:rsidP="007942BA">
      <w:pPr>
        <w:tabs>
          <w:tab w:val="left" w:pos="3375"/>
        </w:tabs>
        <w:jc w:val="right"/>
        <w:rPr>
          <w:rFonts w:ascii="Times New Roman" w:hAnsi="Times New Roman" w:cs="Times New Roman"/>
          <w:sz w:val="24"/>
          <w:szCs w:val="24"/>
        </w:rPr>
      </w:pPr>
      <w:r w:rsidRPr="00555453">
        <w:rPr>
          <w:rFonts w:ascii="Times New Roman" w:hAnsi="Times New Roman" w:cs="Times New Roman"/>
          <w:sz w:val="24"/>
          <w:szCs w:val="24"/>
        </w:rPr>
        <w:t xml:space="preserve">29 </w:t>
      </w:r>
      <w:r w:rsidR="007942BA" w:rsidRPr="00555453">
        <w:rPr>
          <w:rFonts w:ascii="Times New Roman" w:hAnsi="Times New Roman" w:cs="Times New Roman"/>
          <w:sz w:val="24"/>
          <w:szCs w:val="24"/>
        </w:rPr>
        <w:t>septembre 2021</w:t>
      </w:r>
    </w:p>
    <w:p w14:paraId="26263B0A" w14:textId="3BB8BE87" w:rsidR="007942BA" w:rsidRPr="00555453" w:rsidRDefault="007942BA" w:rsidP="002A23D6">
      <w:pPr>
        <w:tabs>
          <w:tab w:val="left" w:pos="3375"/>
        </w:tabs>
        <w:rPr>
          <w:rFonts w:ascii="Times New Roman" w:hAnsi="Times New Roman" w:cs="Times New Roman"/>
          <w:b/>
          <w:bCs/>
          <w:sz w:val="24"/>
          <w:szCs w:val="24"/>
          <w:u w:val="single"/>
        </w:rPr>
      </w:pPr>
    </w:p>
    <w:p w14:paraId="39721C02" w14:textId="69A93FD5" w:rsidR="00B33511" w:rsidRPr="00555453" w:rsidRDefault="00B33511" w:rsidP="002A23D6">
      <w:pPr>
        <w:tabs>
          <w:tab w:val="left" w:pos="3375"/>
        </w:tabs>
        <w:rPr>
          <w:rFonts w:ascii="Times New Roman" w:hAnsi="Times New Roman" w:cs="Times New Roman"/>
          <w:b/>
          <w:bCs/>
          <w:sz w:val="24"/>
          <w:szCs w:val="24"/>
          <w:u w:val="single"/>
        </w:rPr>
      </w:pPr>
    </w:p>
    <w:p w14:paraId="4FF9CDBD" w14:textId="77777777" w:rsidR="00B33511" w:rsidRPr="00555453" w:rsidRDefault="00B33511" w:rsidP="002A23D6">
      <w:pPr>
        <w:tabs>
          <w:tab w:val="left" w:pos="3375"/>
        </w:tabs>
        <w:rPr>
          <w:rFonts w:ascii="Times New Roman" w:hAnsi="Times New Roman" w:cs="Times New Roman"/>
          <w:b/>
          <w:bCs/>
          <w:sz w:val="24"/>
          <w:szCs w:val="24"/>
          <w:u w:val="single"/>
        </w:rPr>
      </w:pPr>
    </w:p>
    <w:p w14:paraId="0110F081" w14:textId="77777777" w:rsidR="00555453" w:rsidRDefault="00555453" w:rsidP="00C95E19">
      <w:pPr>
        <w:suppressAutoHyphens/>
        <w:autoSpaceDN w:val="0"/>
        <w:spacing w:line="244" w:lineRule="auto"/>
        <w:jc w:val="both"/>
        <w:textAlignment w:val="baseline"/>
        <w:rPr>
          <w:rFonts w:ascii="Times New Roman" w:eastAsia="Calibri" w:hAnsi="Times New Roman" w:cs="Times New Roman"/>
          <w:b/>
          <w:bCs/>
          <w:sz w:val="24"/>
          <w:szCs w:val="24"/>
          <w:u w:val="single"/>
        </w:rPr>
      </w:pPr>
    </w:p>
    <w:p w14:paraId="1C2A4D25" w14:textId="77777777" w:rsidR="00555453" w:rsidRDefault="00555453" w:rsidP="00C95E19">
      <w:pPr>
        <w:suppressAutoHyphens/>
        <w:autoSpaceDN w:val="0"/>
        <w:spacing w:line="244" w:lineRule="auto"/>
        <w:jc w:val="both"/>
        <w:textAlignment w:val="baseline"/>
        <w:rPr>
          <w:rFonts w:ascii="Times New Roman" w:eastAsia="Calibri" w:hAnsi="Times New Roman" w:cs="Times New Roman"/>
          <w:b/>
          <w:bCs/>
          <w:sz w:val="24"/>
          <w:szCs w:val="24"/>
          <w:u w:val="single"/>
        </w:rPr>
      </w:pPr>
    </w:p>
    <w:p w14:paraId="7584C9E3" w14:textId="77777777" w:rsidR="00555453" w:rsidRDefault="00555453" w:rsidP="00C95E19">
      <w:pPr>
        <w:suppressAutoHyphens/>
        <w:autoSpaceDN w:val="0"/>
        <w:spacing w:line="244" w:lineRule="auto"/>
        <w:jc w:val="both"/>
        <w:textAlignment w:val="baseline"/>
        <w:rPr>
          <w:rFonts w:ascii="Times New Roman" w:eastAsia="Calibri" w:hAnsi="Times New Roman" w:cs="Times New Roman"/>
          <w:b/>
          <w:bCs/>
          <w:sz w:val="24"/>
          <w:szCs w:val="24"/>
          <w:u w:val="single"/>
        </w:rPr>
      </w:pPr>
    </w:p>
    <w:p w14:paraId="3BD9D6FD" w14:textId="77777777" w:rsidR="00555453" w:rsidRDefault="00555453" w:rsidP="00C95E19">
      <w:pPr>
        <w:suppressAutoHyphens/>
        <w:autoSpaceDN w:val="0"/>
        <w:spacing w:line="244" w:lineRule="auto"/>
        <w:jc w:val="both"/>
        <w:textAlignment w:val="baseline"/>
        <w:rPr>
          <w:rFonts w:ascii="Times New Roman" w:eastAsia="Calibri" w:hAnsi="Times New Roman" w:cs="Times New Roman"/>
          <w:b/>
          <w:bCs/>
          <w:sz w:val="24"/>
          <w:szCs w:val="24"/>
          <w:u w:val="single"/>
        </w:rPr>
      </w:pPr>
    </w:p>
    <w:p w14:paraId="6FCCA32A" w14:textId="77777777" w:rsidR="008A0AB1" w:rsidRDefault="008A0AB1" w:rsidP="00C95E19">
      <w:pPr>
        <w:suppressAutoHyphens/>
        <w:autoSpaceDN w:val="0"/>
        <w:spacing w:line="244" w:lineRule="auto"/>
        <w:jc w:val="both"/>
        <w:textAlignment w:val="baseline"/>
        <w:rPr>
          <w:rFonts w:ascii="Times New Roman" w:eastAsia="Calibri" w:hAnsi="Times New Roman" w:cs="Times New Roman"/>
          <w:b/>
          <w:bCs/>
          <w:sz w:val="24"/>
          <w:szCs w:val="24"/>
          <w:u w:val="single"/>
        </w:rPr>
      </w:pPr>
    </w:p>
    <w:p w14:paraId="42B6AF1F" w14:textId="77777777" w:rsidR="008A0AB1" w:rsidRDefault="008A0AB1" w:rsidP="00C95E19">
      <w:pPr>
        <w:suppressAutoHyphens/>
        <w:autoSpaceDN w:val="0"/>
        <w:spacing w:line="244" w:lineRule="auto"/>
        <w:jc w:val="both"/>
        <w:textAlignment w:val="baseline"/>
        <w:rPr>
          <w:rFonts w:ascii="Times New Roman" w:eastAsia="Calibri" w:hAnsi="Times New Roman" w:cs="Times New Roman"/>
          <w:b/>
          <w:bCs/>
          <w:sz w:val="24"/>
          <w:szCs w:val="24"/>
          <w:u w:val="single"/>
        </w:rPr>
      </w:pPr>
    </w:p>
    <w:p w14:paraId="74F71492" w14:textId="189C640B" w:rsidR="00024CCB" w:rsidRPr="00555453" w:rsidRDefault="00024CCB" w:rsidP="00C95E19">
      <w:pPr>
        <w:suppressAutoHyphens/>
        <w:autoSpaceDN w:val="0"/>
        <w:spacing w:line="244" w:lineRule="auto"/>
        <w:jc w:val="both"/>
        <w:textAlignment w:val="baseline"/>
        <w:rPr>
          <w:rFonts w:ascii="Times New Roman" w:eastAsia="Calibri" w:hAnsi="Times New Roman" w:cs="Times New Roman"/>
          <w:b/>
          <w:bCs/>
          <w:sz w:val="24"/>
          <w:szCs w:val="24"/>
          <w:u w:val="single"/>
        </w:rPr>
      </w:pPr>
      <w:r w:rsidRPr="00555453">
        <w:rPr>
          <w:rFonts w:ascii="Times New Roman" w:eastAsia="Calibri" w:hAnsi="Times New Roman" w:cs="Times New Roman"/>
          <w:b/>
          <w:bCs/>
          <w:sz w:val="24"/>
          <w:szCs w:val="24"/>
          <w:u w:val="single"/>
        </w:rPr>
        <w:lastRenderedPageBreak/>
        <w:t>I-SAISINE :</w:t>
      </w:r>
    </w:p>
    <w:p w14:paraId="45DD1CED" w14:textId="0DEA5E5E" w:rsidR="00024CCB" w:rsidRPr="00555453" w:rsidRDefault="00024CCB" w:rsidP="00C95E19">
      <w:pPr>
        <w:suppressAutoHyphens/>
        <w:autoSpaceDN w:val="0"/>
        <w:spacing w:line="244" w:lineRule="auto"/>
        <w:jc w:val="both"/>
        <w:textAlignment w:val="baseline"/>
        <w:rPr>
          <w:rFonts w:ascii="Times New Roman" w:eastAsia="Calibri" w:hAnsi="Times New Roman" w:cs="Times New Roman"/>
          <w:sz w:val="24"/>
          <w:szCs w:val="24"/>
        </w:rPr>
      </w:pPr>
      <w:r w:rsidRPr="00555453">
        <w:rPr>
          <w:rFonts w:ascii="Times New Roman" w:eastAsia="Calibri" w:hAnsi="Times New Roman" w:cs="Times New Roman"/>
          <w:sz w:val="24"/>
          <w:szCs w:val="24"/>
        </w:rPr>
        <w:t>Bordereau d’Envoi N°</w:t>
      </w:r>
      <w:r w:rsidR="00F15FC0" w:rsidRPr="00555453">
        <w:rPr>
          <w:rFonts w:ascii="Times New Roman" w:eastAsia="Calibri" w:hAnsi="Times New Roman" w:cs="Times New Roman"/>
          <w:sz w:val="24"/>
          <w:szCs w:val="24"/>
        </w:rPr>
        <w:t>2073</w:t>
      </w:r>
      <w:r w:rsidRPr="00555453">
        <w:rPr>
          <w:rFonts w:ascii="Times New Roman" w:eastAsia="Calibri" w:hAnsi="Times New Roman" w:cs="Times New Roman"/>
          <w:sz w:val="24"/>
          <w:szCs w:val="24"/>
        </w:rPr>
        <w:t xml:space="preserve">/MJDH-SG en date du </w:t>
      </w:r>
      <w:r w:rsidR="00F15FC0" w:rsidRPr="00555453">
        <w:rPr>
          <w:rFonts w:ascii="Times New Roman" w:eastAsia="Calibri" w:hAnsi="Times New Roman" w:cs="Times New Roman"/>
          <w:sz w:val="24"/>
          <w:szCs w:val="24"/>
        </w:rPr>
        <w:t>1</w:t>
      </w:r>
      <w:r w:rsidR="0021512F" w:rsidRPr="00555453">
        <w:rPr>
          <w:rFonts w:ascii="Times New Roman" w:eastAsia="Calibri" w:hAnsi="Times New Roman" w:cs="Times New Roman"/>
          <w:sz w:val="24"/>
          <w:szCs w:val="24"/>
        </w:rPr>
        <w:t>7</w:t>
      </w:r>
      <w:r w:rsidRPr="00555453">
        <w:rPr>
          <w:rFonts w:ascii="Times New Roman" w:eastAsia="Calibri" w:hAnsi="Times New Roman" w:cs="Times New Roman"/>
          <w:sz w:val="24"/>
          <w:szCs w:val="24"/>
        </w:rPr>
        <w:t xml:space="preserve"> </w:t>
      </w:r>
      <w:r w:rsidR="00F15FC0" w:rsidRPr="00555453">
        <w:rPr>
          <w:rFonts w:ascii="Times New Roman" w:eastAsia="Calibri" w:hAnsi="Times New Roman" w:cs="Times New Roman"/>
          <w:sz w:val="24"/>
          <w:szCs w:val="24"/>
        </w:rPr>
        <w:t>septembre</w:t>
      </w:r>
      <w:r w:rsidRPr="00555453">
        <w:rPr>
          <w:rFonts w:ascii="Times New Roman" w:eastAsia="Calibri" w:hAnsi="Times New Roman" w:cs="Times New Roman"/>
          <w:sz w:val="24"/>
          <w:szCs w:val="24"/>
        </w:rPr>
        <w:t xml:space="preserve"> 2021, transmettant à la Direction Nationale des Affaires Judiciaires et du Sceau l</w:t>
      </w:r>
      <w:r w:rsidR="00F15FC0" w:rsidRPr="00555453">
        <w:rPr>
          <w:rFonts w:ascii="Times New Roman" w:eastAsia="Calibri" w:hAnsi="Times New Roman" w:cs="Times New Roman"/>
          <w:sz w:val="24"/>
          <w:szCs w:val="24"/>
        </w:rPr>
        <w:t>e BE</w:t>
      </w:r>
      <w:r w:rsidRPr="00555453">
        <w:rPr>
          <w:rFonts w:ascii="Times New Roman" w:eastAsia="Calibri" w:hAnsi="Times New Roman" w:cs="Times New Roman"/>
          <w:sz w:val="24"/>
          <w:szCs w:val="24"/>
        </w:rPr>
        <w:t xml:space="preserve"> N°0</w:t>
      </w:r>
      <w:r w:rsidR="00F15FC0" w:rsidRPr="00555453">
        <w:rPr>
          <w:rFonts w:ascii="Times New Roman" w:eastAsia="Calibri" w:hAnsi="Times New Roman" w:cs="Times New Roman"/>
          <w:sz w:val="24"/>
          <w:szCs w:val="24"/>
        </w:rPr>
        <w:t>03128</w:t>
      </w:r>
      <w:r w:rsidRPr="00555453">
        <w:rPr>
          <w:rFonts w:ascii="Times New Roman" w:eastAsia="Calibri" w:hAnsi="Times New Roman" w:cs="Times New Roman"/>
          <w:sz w:val="24"/>
          <w:szCs w:val="24"/>
        </w:rPr>
        <w:t>/MAECI/D</w:t>
      </w:r>
      <w:r w:rsidR="00F15FC0" w:rsidRPr="00555453">
        <w:rPr>
          <w:rFonts w:ascii="Times New Roman" w:eastAsia="Calibri" w:hAnsi="Times New Roman" w:cs="Times New Roman"/>
          <w:sz w:val="24"/>
          <w:szCs w:val="24"/>
        </w:rPr>
        <w:t>AJ</w:t>
      </w:r>
      <w:r w:rsidRPr="00555453">
        <w:rPr>
          <w:rFonts w:ascii="Times New Roman" w:eastAsia="Calibri" w:hAnsi="Times New Roman" w:cs="Times New Roman"/>
          <w:sz w:val="24"/>
          <w:szCs w:val="24"/>
        </w:rPr>
        <w:t>-D</w:t>
      </w:r>
      <w:r w:rsidR="00F15FC0" w:rsidRPr="00555453">
        <w:rPr>
          <w:rFonts w:ascii="Times New Roman" w:eastAsia="Calibri" w:hAnsi="Times New Roman" w:cs="Times New Roman"/>
          <w:sz w:val="24"/>
          <w:szCs w:val="24"/>
        </w:rPr>
        <w:t>REG-SL</w:t>
      </w:r>
      <w:r w:rsidRPr="00555453">
        <w:rPr>
          <w:rFonts w:ascii="Times New Roman" w:eastAsia="Calibri" w:hAnsi="Times New Roman" w:cs="Times New Roman"/>
          <w:sz w:val="24"/>
          <w:szCs w:val="24"/>
        </w:rPr>
        <w:t xml:space="preserve"> du </w:t>
      </w:r>
      <w:r w:rsidR="00F15FC0" w:rsidRPr="00555453">
        <w:rPr>
          <w:rFonts w:ascii="Times New Roman" w:eastAsia="Calibri" w:hAnsi="Times New Roman" w:cs="Times New Roman"/>
          <w:sz w:val="24"/>
          <w:szCs w:val="24"/>
        </w:rPr>
        <w:t>15</w:t>
      </w:r>
      <w:r w:rsidRPr="00555453">
        <w:rPr>
          <w:rFonts w:ascii="Times New Roman" w:eastAsia="Calibri" w:hAnsi="Times New Roman" w:cs="Times New Roman"/>
          <w:sz w:val="24"/>
          <w:szCs w:val="24"/>
        </w:rPr>
        <w:t xml:space="preserve"> </w:t>
      </w:r>
      <w:r w:rsidR="00F15FC0" w:rsidRPr="00555453">
        <w:rPr>
          <w:rFonts w:ascii="Times New Roman" w:eastAsia="Calibri" w:hAnsi="Times New Roman" w:cs="Times New Roman"/>
          <w:sz w:val="24"/>
          <w:szCs w:val="24"/>
        </w:rPr>
        <w:t>septembre</w:t>
      </w:r>
      <w:r w:rsidRPr="00555453">
        <w:rPr>
          <w:rFonts w:ascii="Times New Roman" w:eastAsia="Calibri" w:hAnsi="Times New Roman" w:cs="Times New Roman"/>
          <w:sz w:val="24"/>
          <w:szCs w:val="24"/>
        </w:rPr>
        <w:t xml:space="preserve"> 2021 </w:t>
      </w:r>
      <w:r w:rsidR="00F15FC0" w:rsidRPr="00555453">
        <w:rPr>
          <w:rFonts w:ascii="Times New Roman" w:eastAsia="Calibri" w:hAnsi="Times New Roman" w:cs="Times New Roman"/>
          <w:sz w:val="24"/>
          <w:szCs w:val="24"/>
        </w:rPr>
        <w:t>transmettant la note verbale du Haut-Commissariat des Nations Unies aux Droits de l’Homme (HCDH), sollicitant les contributions des Etats membres dans le cadre de la mise en œuvre de la Résolution A/HRC/43/L.34 du Conseil de droits de l’Homme sur les droits des personnes handicapées.</w:t>
      </w:r>
    </w:p>
    <w:p w14:paraId="4EAB7B8D" w14:textId="77777777" w:rsidR="00024CCB" w:rsidRPr="00555453" w:rsidRDefault="00024CCB" w:rsidP="00C95E19">
      <w:pPr>
        <w:suppressAutoHyphens/>
        <w:autoSpaceDN w:val="0"/>
        <w:spacing w:line="244" w:lineRule="auto"/>
        <w:jc w:val="both"/>
        <w:textAlignment w:val="baseline"/>
        <w:rPr>
          <w:rFonts w:ascii="Times New Roman" w:eastAsia="Calibri" w:hAnsi="Times New Roman" w:cs="Times New Roman"/>
          <w:sz w:val="24"/>
          <w:szCs w:val="24"/>
        </w:rPr>
      </w:pPr>
      <w:r w:rsidRPr="00555453">
        <w:rPr>
          <w:rFonts w:ascii="Times New Roman" w:eastAsia="Calibri" w:hAnsi="Times New Roman" w:cs="Times New Roman"/>
          <w:b/>
          <w:bCs/>
          <w:sz w:val="24"/>
          <w:szCs w:val="24"/>
        </w:rPr>
        <w:t xml:space="preserve">II- </w:t>
      </w:r>
      <w:r w:rsidRPr="00555453">
        <w:rPr>
          <w:rFonts w:ascii="Times New Roman" w:eastAsia="Calibri" w:hAnsi="Times New Roman" w:cs="Times New Roman"/>
          <w:b/>
          <w:bCs/>
          <w:sz w:val="24"/>
          <w:szCs w:val="24"/>
          <w:u w:val="single"/>
        </w:rPr>
        <w:t>OBJET</w:t>
      </w:r>
      <w:r w:rsidRPr="00555453">
        <w:rPr>
          <w:rFonts w:ascii="Times New Roman" w:eastAsia="Calibri" w:hAnsi="Times New Roman" w:cs="Times New Roman"/>
          <w:b/>
          <w:bCs/>
          <w:sz w:val="24"/>
          <w:szCs w:val="24"/>
        </w:rPr>
        <w:t> :</w:t>
      </w:r>
    </w:p>
    <w:p w14:paraId="23AFA6B1" w14:textId="2D43FEB1" w:rsidR="00024CCB" w:rsidRPr="00555453" w:rsidRDefault="00024CCB" w:rsidP="00C95E19">
      <w:pPr>
        <w:suppressAutoHyphens/>
        <w:autoSpaceDN w:val="0"/>
        <w:spacing w:line="244" w:lineRule="auto"/>
        <w:jc w:val="both"/>
        <w:textAlignment w:val="baseline"/>
        <w:rPr>
          <w:rFonts w:ascii="Times New Roman" w:eastAsia="Calibri" w:hAnsi="Times New Roman" w:cs="Times New Roman"/>
          <w:sz w:val="24"/>
          <w:szCs w:val="24"/>
        </w:rPr>
      </w:pPr>
      <w:r w:rsidRPr="00555453">
        <w:rPr>
          <w:rFonts w:ascii="Times New Roman" w:eastAsia="Calibri" w:hAnsi="Times New Roman" w:cs="Times New Roman"/>
          <w:sz w:val="24"/>
          <w:szCs w:val="24"/>
        </w:rPr>
        <w:t xml:space="preserve">Pour </w:t>
      </w:r>
      <w:r w:rsidR="0021512F" w:rsidRPr="00555453">
        <w:rPr>
          <w:rFonts w:ascii="Times New Roman" w:eastAsia="Calibri" w:hAnsi="Times New Roman" w:cs="Times New Roman"/>
          <w:sz w:val="24"/>
          <w:szCs w:val="24"/>
        </w:rPr>
        <w:t>attribution</w:t>
      </w:r>
      <w:r w:rsidRPr="00555453">
        <w:rPr>
          <w:rFonts w:ascii="Times New Roman" w:eastAsia="Calibri" w:hAnsi="Times New Roman" w:cs="Times New Roman"/>
          <w:sz w:val="24"/>
          <w:szCs w:val="24"/>
        </w:rPr>
        <w:t xml:space="preserve">. </w:t>
      </w:r>
    </w:p>
    <w:p w14:paraId="249A9F4E" w14:textId="1A63094B" w:rsidR="00024CCB" w:rsidRPr="00555453" w:rsidRDefault="00024CCB" w:rsidP="00C95E19">
      <w:pPr>
        <w:suppressAutoHyphens/>
        <w:autoSpaceDN w:val="0"/>
        <w:spacing w:line="244" w:lineRule="auto"/>
        <w:jc w:val="both"/>
        <w:textAlignment w:val="baseline"/>
        <w:rPr>
          <w:rFonts w:ascii="Times New Roman" w:eastAsia="Calibri" w:hAnsi="Times New Roman" w:cs="Times New Roman"/>
          <w:sz w:val="24"/>
          <w:szCs w:val="24"/>
        </w:rPr>
      </w:pPr>
      <w:r w:rsidRPr="00555453">
        <w:rPr>
          <w:rFonts w:ascii="Times New Roman" w:eastAsia="Calibri" w:hAnsi="Times New Roman" w:cs="Times New Roman"/>
          <w:sz w:val="24"/>
          <w:szCs w:val="24"/>
        </w:rPr>
        <w:t xml:space="preserve">Dans cette optique, le DNAJS désigna le Magistrat Dramane DIARRA, en fonction audit service pour </w:t>
      </w:r>
      <w:r w:rsidR="0021512F" w:rsidRPr="00555453">
        <w:rPr>
          <w:rFonts w:ascii="Times New Roman" w:eastAsia="Calibri" w:hAnsi="Times New Roman" w:cs="Times New Roman"/>
          <w:sz w:val="24"/>
          <w:szCs w:val="24"/>
        </w:rPr>
        <w:t>éléments de contribution</w:t>
      </w:r>
      <w:r w:rsidRPr="00555453">
        <w:rPr>
          <w:rFonts w:ascii="Times New Roman" w:eastAsia="Calibri" w:hAnsi="Times New Roman" w:cs="Times New Roman"/>
          <w:sz w:val="24"/>
          <w:szCs w:val="24"/>
        </w:rPr>
        <w:t>.</w:t>
      </w:r>
    </w:p>
    <w:p w14:paraId="3FEE405C" w14:textId="565805FB" w:rsidR="007942BA" w:rsidRPr="00555453" w:rsidRDefault="00024CCB" w:rsidP="00C95E19">
      <w:pPr>
        <w:tabs>
          <w:tab w:val="left" w:pos="3375"/>
        </w:tabs>
        <w:jc w:val="both"/>
        <w:rPr>
          <w:rFonts w:ascii="Times New Roman" w:hAnsi="Times New Roman" w:cs="Times New Roman"/>
          <w:b/>
          <w:bCs/>
          <w:sz w:val="24"/>
          <w:szCs w:val="24"/>
          <w:u w:val="single"/>
        </w:rPr>
      </w:pPr>
      <w:r w:rsidRPr="00555453">
        <w:rPr>
          <w:rFonts w:ascii="Times New Roman" w:hAnsi="Times New Roman" w:cs="Times New Roman"/>
          <w:b/>
          <w:bCs/>
          <w:sz w:val="24"/>
          <w:szCs w:val="24"/>
        </w:rPr>
        <w:t xml:space="preserve">III- </w:t>
      </w:r>
      <w:r w:rsidR="007942BA" w:rsidRPr="00555453">
        <w:rPr>
          <w:rFonts w:ascii="Times New Roman" w:hAnsi="Times New Roman" w:cs="Times New Roman"/>
          <w:b/>
          <w:bCs/>
          <w:sz w:val="24"/>
          <w:szCs w:val="24"/>
          <w:u w:val="single"/>
        </w:rPr>
        <w:t>INTRODUCTION :</w:t>
      </w:r>
    </w:p>
    <w:p w14:paraId="132C5440" w14:textId="29568399" w:rsidR="00775FEB" w:rsidRPr="00555453" w:rsidRDefault="00A91AD5" w:rsidP="00C95E19">
      <w:pPr>
        <w:tabs>
          <w:tab w:val="left" w:pos="3375"/>
        </w:tabs>
        <w:jc w:val="both"/>
        <w:rPr>
          <w:rFonts w:ascii="Times New Roman" w:hAnsi="Times New Roman" w:cs="Times New Roman"/>
          <w:sz w:val="24"/>
          <w:szCs w:val="24"/>
        </w:rPr>
      </w:pPr>
      <w:bookmarkStart w:id="1" w:name="_Hlk83885324"/>
      <w:r w:rsidRPr="00555453">
        <w:rPr>
          <w:rFonts w:ascii="Times New Roman" w:hAnsi="Times New Roman" w:cs="Times New Roman"/>
          <w:sz w:val="24"/>
          <w:szCs w:val="24"/>
        </w:rPr>
        <w:t>Le Mali a ratifié en 2007 la convention des Nations Unies relative aux droits des personnes handicapées</w:t>
      </w:r>
      <w:r w:rsidR="00214E30" w:rsidRPr="00555453">
        <w:rPr>
          <w:rFonts w:ascii="Times New Roman" w:hAnsi="Times New Roman" w:cs="Times New Roman"/>
          <w:sz w:val="24"/>
          <w:szCs w:val="24"/>
        </w:rPr>
        <w:t xml:space="preserve"> avant de se doter d’une législation spécifique </w:t>
      </w:r>
      <w:r w:rsidR="006C68DA" w:rsidRPr="00555453">
        <w:rPr>
          <w:rFonts w:ascii="Times New Roman" w:hAnsi="Times New Roman" w:cs="Times New Roman"/>
          <w:sz w:val="24"/>
          <w:szCs w:val="24"/>
        </w:rPr>
        <w:t>relative aux droits des personnes vivant avec un handicap (loi N°2018-027 du 12 juin 2018).</w:t>
      </w:r>
      <w:r w:rsidR="00A7040B" w:rsidRPr="00555453">
        <w:rPr>
          <w:rFonts w:ascii="Times New Roman" w:hAnsi="Times New Roman" w:cs="Times New Roman"/>
          <w:sz w:val="24"/>
          <w:szCs w:val="24"/>
        </w:rPr>
        <w:t xml:space="preserve"> </w:t>
      </w:r>
      <w:r w:rsidR="009C085B" w:rsidRPr="00555453">
        <w:rPr>
          <w:rFonts w:ascii="Times New Roman" w:hAnsi="Times New Roman" w:cs="Times New Roman"/>
          <w:sz w:val="24"/>
          <w:szCs w:val="24"/>
        </w:rPr>
        <w:t>Mais l’article 28 de cette loi dit que : « les modalités d’application de la présente loi sont fixées par Décret pris en Conseil des Ministres. »</w:t>
      </w:r>
      <w:r w:rsidR="00775FEB" w:rsidRPr="00555453">
        <w:rPr>
          <w:rFonts w:ascii="Times New Roman" w:hAnsi="Times New Roman" w:cs="Times New Roman"/>
          <w:sz w:val="24"/>
          <w:szCs w:val="24"/>
        </w:rPr>
        <w:t xml:space="preserve"> Et ce Décret est intervenu il y’a environ un mois (le 1</w:t>
      </w:r>
      <w:r w:rsidR="00775FEB" w:rsidRPr="00555453">
        <w:rPr>
          <w:rFonts w:ascii="Times New Roman" w:hAnsi="Times New Roman" w:cs="Times New Roman"/>
          <w:sz w:val="24"/>
          <w:szCs w:val="24"/>
          <w:vertAlign w:val="superscript"/>
        </w:rPr>
        <w:t>er</w:t>
      </w:r>
      <w:r w:rsidR="00775FEB" w:rsidRPr="00555453">
        <w:rPr>
          <w:rFonts w:ascii="Times New Roman" w:hAnsi="Times New Roman" w:cs="Times New Roman"/>
          <w:sz w:val="24"/>
          <w:szCs w:val="24"/>
        </w:rPr>
        <w:t xml:space="preserve"> septembre 2021).</w:t>
      </w:r>
      <w:bookmarkEnd w:id="1"/>
    </w:p>
    <w:p w14:paraId="1C09CBB8" w14:textId="3375235B" w:rsidR="00730F50" w:rsidRPr="00555453" w:rsidRDefault="00730F50" w:rsidP="00C95E19">
      <w:pPr>
        <w:tabs>
          <w:tab w:val="left" w:pos="3375"/>
        </w:tabs>
        <w:jc w:val="both"/>
        <w:rPr>
          <w:rFonts w:ascii="Times New Roman" w:hAnsi="Times New Roman" w:cs="Times New Roman"/>
          <w:sz w:val="24"/>
          <w:szCs w:val="24"/>
        </w:rPr>
      </w:pPr>
      <w:r w:rsidRPr="00555453">
        <w:rPr>
          <w:rFonts w:ascii="Times New Roman" w:hAnsi="Times New Roman" w:cs="Times New Roman"/>
          <w:b/>
          <w:bCs/>
          <w:sz w:val="24"/>
          <w:szCs w:val="24"/>
        </w:rPr>
        <w:t>I</w:t>
      </w:r>
      <w:r w:rsidR="00024CCB" w:rsidRPr="00555453">
        <w:rPr>
          <w:rFonts w:ascii="Times New Roman" w:hAnsi="Times New Roman" w:cs="Times New Roman"/>
          <w:b/>
          <w:bCs/>
          <w:sz w:val="24"/>
          <w:szCs w:val="24"/>
        </w:rPr>
        <w:t>V</w:t>
      </w:r>
      <w:r w:rsidRPr="00555453">
        <w:rPr>
          <w:rFonts w:ascii="Times New Roman" w:hAnsi="Times New Roman" w:cs="Times New Roman"/>
          <w:b/>
          <w:bCs/>
          <w:sz w:val="24"/>
          <w:szCs w:val="24"/>
        </w:rPr>
        <w:t>-</w:t>
      </w:r>
      <w:r w:rsidRPr="00555453">
        <w:rPr>
          <w:rFonts w:ascii="Times New Roman" w:hAnsi="Times New Roman" w:cs="Times New Roman"/>
          <w:b/>
          <w:bCs/>
          <w:sz w:val="24"/>
          <w:szCs w:val="24"/>
          <w:u w:val="single"/>
        </w:rPr>
        <w:t xml:space="preserve"> </w:t>
      </w:r>
      <w:r w:rsidR="003D67B5" w:rsidRPr="00555453">
        <w:rPr>
          <w:rFonts w:ascii="Times New Roman" w:hAnsi="Times New Roman" w:cs="Times New Roman"/>
          <w:b/>
          <w:bCs/>
          <w:sz w:val="24"/>
          <w:szCs w:val="24"/>
          <w:u w:val="single"/>
        </w:rPr>
        <w:t>Analyse de la situation</w:t>
      </w:r>
      <w:r w:rsidR="00B86459" w:rsidRPr="00555453">
        <w:rPr>
          <w:rFonts w:ascii="Times New Roman" w:hAnsi="Times New Roman" w:cs="Times New Roman"/>
          <w:b/>
          <w:bCs/>
          <w:sz w:val="24"/>
          <w:szCs w:val="24"/>
        </w:rPr>
        <w:t xml:space="preserve"> </w:t>
      </w:r>
      <w:r w:rsidRPr="00555453">
        <w:rPr>
          <w:rFonts w:ascii="Times New Roman" w:hAnsi="Times New Roman" w:cs="Times New Roman"/>
          <w:sz w:val="24"/>
          <w:szCs w:val="24"/>
        </w:rPr>
        <w:t>:</w:t>
      </w:r>
    </w:p>
    <w:p w14:paraId="5BFA5AC1" w14:textId="77777777" w:rsidR="003D67B5" w:rsidRPr="00555453" w:rsidRDefault="003D67B5" w:rsidP="00C95E19">
      <w:pPr>
        <w:tabs>
          <w:tab w:val="left" w:pos="3375"/>
        </w:tabs>
        <w:jc w:val="both"/>
        <w:rPr>
          <w:rFonts w:ascii="Times New Roman" w:hAnsi="Times New Roman" w:cs="Times New Roman"/>
          <w:sz w:val="24"/>
          <w:szCs w:val="24"/>
        </w:rPr>
      </w:pPr>
      <w:r w:rsidRPr="00555453">
        <w:rPr>
          <w:rFonts w:ascii="Times New Roman" w:hAnsi="Times New Roman" w:cs="Times New Roman"/>
          <w:sz w:val="24"/>
          <w:szCs w:val="24"/>
        </w:rPr>
        <w:t>Le Haut-Commissariat des nations Unies aux droits de l’Homme (HCDH) attire l’attention des Etats membres sur la résolution 43-L.34 (A/HRC/43/L.34) du Conseil des droits de l’Homme sur les droits des personnes handicapées.</w:t>
      </w:r>
    </w:p>
    <w:p w14:paraId="3096F2C6" w14:textId="77777777" w:rsidR="00AE36DC" w:rsidRPr="00555453" w:rsidRDefault="003D67B5" w:rsidP="00C95E19">
      <w:pPr>
        <w:tabs>
          <w:tab w:val="left" w:pos="3375"/>
        </w:tabs>
        <w:jc w:val="both"/>
        <w:rPr>
          <w:rFonts w:ascii="Times New Roman" w:hAnsi="Times New Roman" w:cs="Times New Roman"/>
          <w:sz w:val="24"/>
          <w:szCs w:val="24"/>
        </w:rPr>
      </w:pPr>
      <w:r w:rsidRPr="00555453">
        <w:rPr>
          <w:rFonts w:ascii="Times New Roman" w:hAnsi="Times New Roman" w:cs="Times New Roman"/>
          <w:sz w:val="24"/>
          <w:szCs w:val="24"/>
        </w:rPr>
        <w:t>Cette résolution demande au HCDH « de consacrer sa prochaine étude annuelle […] aux statistiques et à la collecte des données, qui font l’objet de l’article 31</w:t>
      </w:r>
      <w:r w:rsidR="00AE36DC" w:rsidRPr="00555453">
        <w:rPr>
          <w:rFonts w:ascii="Times New Roman" w:hAnsi="Times New Roman" w:cs="Times New Roman"/>
          <w:sz w:val="24"/>
          <w:szCs w:val="24"/>
        </w:rPr>
        <w:t xml:space="preserve"> de la Convention, en consultation avec les Etats et les autres parties prenantes  intéressées, les organisations régionales, la rapporteuse spéciale sur les droits des personnes handicapées, les organisations de la société civile, y compris les organisations des personnes handicapées, et les institutions nationales des droits de l’homme, en exigeant que les contributions de parties prenantes soient communiquées dans un format accessible, et demande que ces contributions, ainsi que les études proprement dites et leur version en langue facile  à lire et à comprendre, soient mises à disposition sur le site Web » du HCDH, dans un format accessible, avant la quarante-neuvième session du Conseil des droits de l’homme.</w:t>
      </w:r>
    </w:p>
    <w:p w14:paraId="0D0014B1" w14:textId="450DDF65" w:rsidR="00B85D51" w:rsidRPr="00555453" w:rsidRDefault="00AE36DC" w:rsidP="00C95E19">
      <w:pPr>
        <w:tabs>
          <w:tab w:val="left" w:pos="3375"/>
        </w:tabs>
        <w:jc w:val="both"/>
        <w:rPr>
          <w:rFonts w:ascii="Times New Roman" w:hAnsi="Times New Roman" w:cs="Times New Roman"/>
          <w:sz w:val="24"/>
          <w:szCs w:val="24"/>
        </w:rPr>
      </w:pPr>
      <w:r w:rsidRPr="00555453">
        <w:rPr>
          <w:rFonts w:ascii="Times New Roman" w:hAnsi="Times New Roman" w:cs="Times New Roman"/>
          <w:sz w:val="24"/>
          <w:szCs w:val="24"/>
        </w:rPr>
        <w:t xml:space="preserve">Ainsi, le HCDH a demandé, par cette initiative, et pour la préparation de l’étude, tout renseignement pertinent, en particulier, des informations et des avis sur les points suivants : 1 (a). Votre </w:t>
      </w:r>
      <w:r w:rsidR="00B85D51" w:rsidRPr="00555453">
        <w:rPr>
          <w:rFonts w:ascii="Times New Roman" w:hAnsi="Times New Roman" w:cs="Times New Roman"/>
          <w:sz w:val="24"/>
          <w:szCs w:val="24"/>
        </w:rPr>
        <w:t>pays a-t-il adopté des lois, des politiques, des plans, des stratégies ou des lignes directrices à tout niveau de gouvernement concernant les statistiques et la collecte de données sur les personnes handicapées ? En particulier, […] 1(b). Quels sont les défis rencontrés dans la mise en œuvre de ce qui précède ? 2(a). Quelles mesures législatives et politiques sont prises dans votre pays pour assurer la protection des données et la mise en œuvre de garanties pour assurer la protection de la confidentialité et le respect de la vie privée des personnes handicapées ? 2(b). En particulier, veuillez décrire comment la collecte, la gestion et l’utilisation des données sur les personnes handicapées respectent des principes communs.</w:t>
      </w:r>
    </w:p>
    <w:p w14:paraId="4BC1F387" w14:textId="65581D65" w:rsidR="00F870C8" w:rsidRPr="00555453" w:rsidRDefault="00B85D51" w:rsidP="00C95E19">
      <w:pPr>
        <w:tabs>
          <w:tab w:val="left" w:pos="3375"/>
        </w:tabs>
        <w:jc w:val="both"/>
        <w:rPr>
          <w:rFonts w:ascii="Times New Roman" w:hAnsi="Times New Roman" w:cs="Times New Roman"/>
          <w:sz w:val="24"/>
          <w:szCs w:val="24"/>
        </w:rPr>
      </w:pPr>
      <w:r w:rsidRPr="00555453">
        <w:rPr>
          <w:rFonts w:ascii="Times New Roman" w:hAnsi="Times New Roman" w:cs="Times New Roman"/>
          <w:sz w:val="24"/>
          <w:szCs w:val="24"/>
        </w:rPr>
        <w:lastRenderedPageBreak/>
        <w:t xml:space="preserve">Au-delà de la recherche documentaire, des échanges avec madame Guikiné Hatouma GAKOU, présidente des associations des personnes handicapées, et membre actuellement du Conseil National de Transition, ont été réalisés. </w:t>
      </w:r>
    </w:p>
    <w:p w14:paraId="5B017A6E" w14:textId="32F92B57" w:rsidR="00F870C8" w:rsidRPr="00555453" w:rsidRDefault="00024CCB" w:rsidP="00C95E19">
      <w:pPr>
        <w:tabs>
          <w:tab w:val="left" w:pos="3375"/>
        </w:tabs>
        <w:jc w:val="both"/>
        <w:rPr>
          <w:rFonts w:ascii="Times New Roman" w:hAnsi="Times New Roman" w:cs="Times New Roman"/>
          <w:b/>
          <w:bCs/>
          <w:sz w:val="24"/>
          <w:szCs w:val="24"/>
          <w:u w:val="single"/>
        </w:rPr>
      </w:pPr>
      <w:r w:rsidRPr="00555453">
        <w:rPr>
          <w:rFonts w:ascii="Times New Roman" w:hAnsi="Times New Roman" w:cs="Times New Roman"/>
          <w:b/>
          <w:bCs/>
          <w:sz w:val="24"/>
          <w:szCs w:val="24"/>
        </w:rPr>
        <w:t>V</w:t>
      </w:r>
      <w:r w:rsidR="00757047" w:rsidRPr="00555453">
        <w:rPr>
          <w:rFonts w:ascii="Times New Roman" w:hAnsi="Times New Roman" w:cs="Times New Roman"/>
          <w:b/>
          <w:bCs/>
          <w:sz w:val="24"/>
          <w:szCs w:val="24"/>
        </w:rPr>
        <w:t>-</w:t>
      </w:r>
      <w:r w:rsidR="00757047" w:rsidRPr="00555453">
        <w:rPr>
          <w:rFonts w:ascii="Times New Roman" w:hAnsi="Times New Roman" w:cs="Times New Roman"/>
          <w:b/>
          <w:bCs/>
          <w:sz w:val="24"/>
          <w:szCs w:val="24"/>
          <w:u w:val="single"/>
        </w:rPr>
        <w:t xml:space="preserve"> </w:t>
      </w:r>
      <w:r w:rsidR="00775952" w:rsidRPr="00555453">
        <w:rPr>
          <w:rFonts w:ascii="Times New Roman" w:hAnsi="Times New Roman" w:cs="Times New Roman"/>
          <w:b/>
          <w:bCs/>
          <w:sz w:val="24"/>
          <w:szCs w:val="24"/>
          <w:u w:val="single"/>
        </w:rPr>
        <w:t>Informations et avis</w:t>
      </w:r>
      <w:r w:rsidR="00F870C8" w:rsidRPr="00555453">
        <w:rPr>
          <w:rFonts w:ascii="Times New Roman" w:hAnsi="Times New Roman" w:cs="Times New Roman"/>
          <w:b/>
          <w:bCs/>
          <w:sz w:val="24"/>
          <w:szCs w:val="24"/>
          <w:u w:val="single"/>
        </w:rPr>
        <w:t> :</w:t>
      </w:r>
    </w:p>
    <w:p w14:paraId="5B77FBDA" w14:textId="295F1E04" w:rsidR="000D4AE4" w:rsidRPr="00555453" w:rsidRDefault="00775952" w:rsidP="00C95E19">
      <w:pPr>
        <w:tabs>
          <w:tab w:val="left" w:pos="1395"/>
        </w:tabs>
        <w:ind w:left="360"/>
        <w:jc w:val="both"/>
        <w:rPr>
          <w:rFonts w:ascii="Times New Roman" w:hAnsi="Times New Roman" w:cs="Times New Roman"/>
          <w:sz w:val="24"/>
          <w:szCs w:val="24"/>
        </w:rPr>
      </w:pPr>
      <w:r w:rsidRPr="00555453">
        <w:rPr>
          <w:rFonts w:ascii="Times New Roman" w:hAnsi="Times New Roman" w:cs="Times New Roman"/>
          <w:sz w:val="24"/>
          <w:szCs w:val="24"/>
        </w:rPr>
        <w:t xml:space="preserve">Le recensement général des populations au Mali se fait chaque dix (10) ans. Le dernier recensement général remonte à 2009 et n’a pas tenu compte de la situation d’handicap. Il a plutôt tenu compte de la situation d’indigence établie à 99.000 personnes. Même ce chiffre est estimé en </w:t>
      </w:r>
      <w:r w:rsidR="000D4AE4" w:rsidRPr="00555453">
        <w:rPr>
          <w:rFonts w:ascii="Times New Roman" w:hAnsi="Times New Roman" w:cs="Times New Roman"/>
          <w:sz w:val="24"/>
          <w:szCs w:val="24"/>
        </w:rPr>
        <w:t>deçà</w:t>
      </w:r>
      <w:r w:rsidRPr="00555453">
        <w:rPr>
          <w:rFonts w:ascii="Times New Roman" w:hAnsi="Times New Roman" w:cs="Times New Roman"/>
          <w:sz w:val="24"/>
          <w:szCs w:val="24"/>
        </w:rPr>
        <w:t xml:space="preserve"> des réalités</w:t>
      </w:r>
      <w:r w:rsidR="000D4AE4" w:rsidRPr="00555453">
        <w:rPr>
          <w:rFonts w:ascii="Times New Roman" w:hAnsi="Times New Roman" w:cs="Times New Roman"/>
          <w:sz w:val="24"/>
          <w:szCs w:val="24"/>
        </w:rPr>
        <w:t>. En ce moment, la banque mondiale avait estimé le nombre des personnes handicapées à 15,16% de la population.</w:t>
      </w:r>
    </w:p>
    <w:p w14:paraId="036C0510" w14:textId="77777777" w:rsidR="000D4AE4" w:rsidRPr="00555453" w:rsidRDefault="000D4AE4" w:rsidP="00C95E19">
      <w:pPr>
        <w:tabs>
          <w:tab w:val="left" w:pos="1395"/>
        </w:tabs>
        <w:ind w:left="360"/>
        <w:jc w:val="both"/>
        <w:rPr>
          <w:rFonts w:ascii="Times New Roman" w:hAnsi="Times New Roman" w:cs="Times New Roman"/>
          <w:sz w:val="24"/>
          <w:szCs w:val="24"/>
        </w:rPr>
      </w:pPr>
      <w:r w:rsidRPr="00555453">
        <w:rPr>
          <w:rFonts w:ascii="Times New Roman" w:hAnsi="Times New Roman" w:cs="Times New Roman"/>
          <w:sz w:val="24"/>
          <w:szCs w:val="24"/>
        </w:rPr>
        <w:t xml:space="preserve">En 2011, le nombre des personnes vivant avec un handicap a été estimé à deux million (2.000.000). </w:t>
      </w:r>
    </w:p>
    <w:p w14:paraId="0B8D35A6" w14:textId="029EFC34" w:rsidR="000D4AE4" w:rsidRPr="00555453" w:rsidRDefault="000D4AE4" w:rsidP="00C95E19">
      <w:pPr>
        <w:tabs>
          <w:tab w:val="left" w:pos="1395"/>
        </w:tabs>
        <w:ind w:left="360"/>
        <w:jc w:val="both"/>
        <w:rPr>
          <w:rFonts w:ascii="Times New Roman" w:hAnsi="Times New Roman" w:cs="Times New Roman"/>
          <w:sz w:val="24"/>
          <w:szCs w:val="24"/>
        </w:rPr>
      </w:pPr>
      <w:r w:rsidRPr="00555453">
        <w:rPr>
          <w:rFonts w:ascii="Times New Roman" w:hAnsi="Times New Roman" w:cs="Times New Roman"/>
          <w:sz w:val="24"/>
          <w:szCs w:val="24"/>
        </w:rPr>
        <w:t xml:space="preserve">A ce jour, les associations des personnes vivant avec un handicap travaillent beaucoup avec l’Insat (Institut de la statistique) dans le cadre du prochain recensement général prévu d’ici la fin de cette année 2021. Ainsi, on espère que la situation des personnes handicapées sera mieux prise en charge. </w:t>
      </w:r>
    </w:p>
    <w:p w14:paraId="283E0EDD" w14:textId="1DFC0A2F" w:rsidR="000D4AE4" w:rsidRPr="00555453" w:rsidRDefault="000D4AE4" w:rsidP="00C95E19">
      <w:pPr>
        <w:tabs>
          <w:tab w:val="left" w:pos="1395"/>
        </w:tabs>
        <w:ind w:left="360"/>
        <w:jc w:val="both"/>
        <w:rPr>
          <w:rFonts w:ascii="Times New Roman" w:hAnsi="Times New Roman" w:cs="Times New Roman"/>
          <w:sz w:val="24"/>
          <w:szCs w:val="24"/>
        </w:rPr>
      </w:pPr>
      <w:r w:rsidRPr="00555453">
        <w:rPr>
          <w:rFonts w:ascii="Times New Roman" w:hAnsi="Times New Roman" w:cs="Times New Roman"/>
          <w:sz w:val="24"/>
          <w:szCs w:val="24"/>
        </w:rPr>
        <w:t xml:space="preserve">Par ailleurs un plan stratégique 2015-2024 </w:t>
      </w:r>
      <w:r w:rsidR="00C93812" w:rsidRPr="00555453">
        <w:rPr>
          <w:rFonts w:ascii="Times New Roman" w:hAnsi="Times New Roman" w:cs="Times New Roman"/>
          <w:sz w:val="24"/>
          <w:szCs w:val="24"/>
        </w:rPr>
        <w:t xml:space="preserve">pour l’indépendance des personnes vivant avec un handicap, assorti d’un plan d’action, élaboré par le Département en charge du développement social, </w:t>
      </w:r>
      <w:r w:rsidRPr="00555453">
        <w:rPr>
          <w:rFonts w:ascii="Times New Roman" w:hAnsi="Times New Roman" w:cs="Times New Roman"/>
          <w:sz w:val="24"/>
          <w:szCs w:val="24"/>
        </w:rPr>
        <w:t>existe</w:t>
      </w:r>
      <w:r w:rsidR="00C93812" w:rsidRPr="00555453">
        <w:rPr>
          <w:rFonts w:ascii="Times New Roman" w:hAnsi="Times New Roman" w:cs="Times New Roman"/>
          <w:sz w:val="24"/>
          <w:szCs w:val="24"/>
        </w:rPr>
        <w:t>. Cependant, encore en 2021, rien n’est pas dans le cadre de sa mise en œuvre réel.</w:t>
      </w:r>
      <w:r w:rsidRPr="00555453">
        <w:rPr>
          <w:rFonts w:ascii="Times New Roman" w:hAnsi="Times New Roman" w:cs="Times New Roman"/>
          <w:sz w:val="24"/>
          <w:szCs w:val="24"/>
        </w:rPr>
        <w:t xml:space="preserve"> </w:t>
      </w:r>
    </w:p>
    <w:p w14:paraId="15E0C531" w14:textId="37F0B469" w:rsidR="00C93812" w:rsidRPr="00555453" w:rsidRDefault="000D4AE4" w:rsidP="00C95E19">
      <w:pPr>
        <w:tabs>
          <w:tab w:val="left" w:pos="3375"/>
        </w:tabs>
        <w:jc w:val="both"/>
        <w:rPr>
          <w:rFonts w:ascii="Times New Roman" w:hAnsi="Times New Roman" w:cs="Times New Roman"/>
          <w:sz w:val="24"/>
          <w:szCs w:val="24"/>
        </w:rPr>
      </w:pPr>
      <w:r w:rsidRPr="00555453">
        <w:rPr>
          <w:rFonts w:ascii="Times New Roman" w:hAnsi="Times New Roman" w:cs="Times New Roman"/>
          <w:sz w:val="24"/>
          <w:szCs w:val="24"/>
        </w:rPr>
        <w:t xml:space="preserve">En ce qui concerne les défis, pas de données, ou données fiables, pas de développement en matière de santé, d’éducation, en matière d’emploi, d’accessibilité. Aussi la volonté politique est un défi majeur. </w:t>
      </w:r>
      <w:r w:rsidR="00C93812" w:rsidRPr="00555453">
        <w:rPr>
          <w:rFonts w:ascii="Times New Roman" w:hAnsi="Times New Roman" w:cs="Times New Roman"/>
          <w:sz w:val="24"/>
          <w:szCs w:val="24"/>
        </w:rPr>
        <w:t>Cette volonté politique est permanente au Mali et semble entrer dans sa phase de croisière avec les mesures rappelées dans l’introduction : 1- ratification en 2007 par le Mali de la convention des Nations Unies relative aux droits des personnes handicapées ; 2- Adoption d’une loi spécifique relative aux droits des personnes vivant avec un handicap (loi N°2018-027 du 12 juin 2018) ; 3- Le Décret d’application de la loi adopté il y’a environ un mois (le 1</w:t>
      </w:r>
      <w:r w:rsidR="00C93812" w:rsidRPr="00555453">
        <w:rPr>
          <w:rFonts w:ascii="Times New Roman" w:hAnsi="Times New Roman" w:cs="Times New Roman"/>
          <w:sz w:val="24"/>
          <w:szCs w:val="24"/>
          <w:vertAlign w:val="superscript"/>
        </w:rPr>
        <w:t>er</w:t>
      </w:r>
      <w:r w:rsidR="00C93812" w:rsidRPr="00555453">
        <w:rPr>
          <w:rFonts w:ascii="Times New Roman" w:hAnsi="Times New Roman" w:cs="Times New Roman"/>
          <w:sz w:val="24"/>
          <w:szCs w:val="24"/>
        </w:rPr>
        <w:t xml:space="preserve"> septembre 2021).</w:t>
      </w:r>
    </w:p>
    <w:p w14:paraId="3A9BFF0C" w14:textId="75C0821B" w:rsidR="005C530B" w:rsidRPr="00555453" w:rsidRDefault="0042277E" w:rsidP="00C95E19">
      <w:pPr>
        <w:tabs>
          <w:tab w:val="left" w:pos="1395"/>
        </w:tabs>
        <w:ind w:left="360"/>
        <w:jc w:val="both"/>
        <w:rPr>
          <w:rFonts w:ascii="Times New Roman" w:hAnsi="Times New Roman" w:cs="Times New Roman"/>
          <w:sz w:val="24"/>
          <w:szCs w:val="24"/>
        </w:rPr>
      </w:pPr>
      <w:r w:rsidRPr="00555453">
        <w:rPr>
          <w:rFonts w:ascii="Times New Roman" w:hAnsi="Times New Roman" w:cs="Times New Roman"/>
          <w:sz w:val="24"/>
          <w:szCs w:val="24"/>
        </w:rPr>
        <w:t>Avec ce cadre légal et règlementaire plus que favorable, la situation des personnes vivant avec un handicap au Mali sera fortement améliorée, y compris</w:t>
      </w:r>
      <w:r w:rsidR="00C93812" w:rsidRPr="00555453">
        <w:rPr>
          <w:rFonts w:ascii="Times New Roman" w:hAnsi="Times New Roman" w:cs="Times New Roman"/>
          <w:sz w:val="24"/>
          <w:szCs w:val="24"/>
        </w:rPr>
        <w:t xml:space="preserve"> </w:t>
      </w:r>
      <w:r w:rsidRPr="00555453">
        <w:rPr>
          <w:rFonts w:ascii="Times New Roman" w:hAnsi="Times New Roman" w:cs="Times New Roman"/>
          <w:sz w:val="24"/>
          <w:szCs w:val="24"/>
        </w:rPr>
        <w:t>en matière de collecte et d’utilisation de données les concernant.</w:t>
      </w:r>
      <w:r w:rsidR="005C530B" w:rsidRPr="00555453">
        <w:rPr>
          <w:rFonts w:ascii="Times New Roman" w:hAnsi="Times New Roman" w:cs="Times New Roman"/>
          <w:sz w:val="24"/>
          <w:szCs w:val="24"/>
        </w:rPr>
        <w:t xml:space="preserve"> </w:t>
      </w:r>
    </w:p>
    <w:p w14:paraId="754C464F" w14:textId="0A323253" w:rsidR="00830980" w:rsidRPr="00555453" w:rsidRDefault="00830980" w:rsidP="00C95E19">
      <w:pPr>
        <w:tabs>
          <w:tab w:val="left" w:pos="1395"/>
        </w:tabs>
        <w:ind w:left="360"/>
        <w:jc w:val="both"/>
        <w:rPr>
          <w:rFonts w:ascii="Times New Roman" w:hAnsi="Times New Roman" w:cs="Times New Roman"/>
          <w:sz w:val="24"/>
          <w:szCs w:val="24"/>
        </w:rPr>
      </w:pPr>
    </w:p>
    <w:p w14:paraId="42C143BD" w14:textId="1B59CC51" w:rsidR="00830980" w:rsidRPr="00555453" w:rsidRDefault="00830980" w:rsidP="00C95E19">
      <w:pPr>
        <w:tabs>
          <w:tab w:val="left" w:pos="1395"/>
        </w:tabs>
        <w:ind w:left="360"/>
        <w:jc w:val="both"/>
        <w:rPr>
          <w:rFonts w:ascii="Times New Roman" w:hAnsi="Times New Roman" w:cs="Times New Roman"/>
          <w:sz w:val="24"/>
          <w:szCs w:val="24"/>
        </w:rPr>
      </w:pPr>
      <w:r w:rsidRPr="00555453">
        <w:rPr>
          <w:rFonts w:ascii="Times New Roman" w:hAnsi="Times New Roman" w:cs="Times New Roman"/>
          <w:b/>
          <w:bCs/>
          <w:sz w:val="24"/>
          <w:szCs w:val="24"/>
          <w:u w:val="single"/>
        </w:rPr>
        <w:t>NB </w:t>
      </w:r>
      <w:r w:rsidRPr="00555453">
        <w:rPr>
          <w:rFonts w:ascii="Times New Roman" w:hAnsi="Times New Roman" w:cs="Times New Roman"/>
          <w:sz w:val="24"/>
          <w:szCs w:val="24"/>
        </w:rPr>
        <w:t>: Ce document a été envoyé ce jour 30 septembre 2021 à 9 heures 25 minutes, conformément au souhait exprimé par le HCDH « avant le 1</w:t>
      </w:r>
      <w:r w:rsidRPr="00555453">
        <w:rPr>
          <w:rFonts w:ascii="Times New Roman" w:hAnsi="Times New Roman" w:cs="Times New Roman"/>
          <w:sz w:val="24"/>
          <w:szCs w:val="24"/>
          <w:vertAlign w:val="superscript"/>
        </w:rPr>
        <w:t>er</w:t>
      </w:r>
      <w:r w:rsidRPr="00555453">
        <w:rPr>
          <w:rFonts w:ascii="Times New Roman" w:hAnsi="Times New Roman" w:cs="Times New Roman"/>
          <w:sz w:val="24"/>
          <w:szCs w:val="24"/>
        </w:rPr>
        <w:t xml:space="preserve"> octobre 2021 à l’adresse mail : registry@ohchr.org »</w:t>
      </w:r>
    </w:p>
    <w:p w14:paraId="0335B7E2" w14:textId="2F5BF486" w:rsidR="00830980" w:rsidRPr="00555453" w:rsidRDefault="004A4858" w:rsidP="00C95E19">
      <w:pPr>
        <w:tabs>
          <w:tab w:val="left" w:pos="6270"/>
        </w:tabs>
        <w:jc w:val="both"/>
        <w:rPr>
          <w:rFonts w:ascii="Times New Roman" w:hAnsi="Times New Roman" w:cs="Times New Roman"/>
          <w:sz w:val="24"/>
          <w:szCs w:val="24"/>
        </w:rPr>
      </w:pPr>
      <w:r w:rsidRPr="00555453">
        <w:rPr>
          <w:rFonts w:ascii="Times New Roman" w:hAnsi="Times New Roman" w:cs="Times New Roman"/>
          <w:sz w:val="24"/>
          <w:szCs w:val="24"/>
        </w:rPr>
        <w:t xml:space="preserve">     </w:t>
      </w:r>
    </w:p>
    <w:p w14:paraId="782E4C3F" w14:textId="28B0017C" w:rsidR="008F53CA" w:rsidRPr="00555453" w:rsidRDefault="004A4858" w:rsidP="00C95E19">
      <w:pPr>
        <w:tabs>
          <w:tab w:val="left" w:pos="6270"/>
        </w:tabs>
        <w:jc w:val="both"/>
        <w:rPr>
          <w:rFonts w:ascii="Times New Roman" w:hAnsi="Times New Roman" w:cs="Times New Roman"/>
          <w:sz w:val="24"/>
          <w:szCs w:val="24"/>
        </w:rPr>
      </w:pPr>
      <w:r w:rsidRPr="00555453">
        <w:rPr>
          <w:rFonts w:ascii="Times New Roman" w:hAnsi="Times New Roman" w:cs="Times New Roman"/>
          <w:sz w:val="24"/>
          <w:szCs w:val="24"/>
        </w:rPr>
        <w:t xml:space="preserve">                                                            </w:t>
      </w:r>
      <w:r w:rsidR="00757047" w:rsidRPr="00555453">
        <w:rPr>
          <w:rFonts w:ascii="Times New Roman" w:hAnsi="Times New Roman" w:cs="Times New Roman"/>
          <w:sz w:val="24"/>
          <w:szCs w:val="24"/>
        </w:rPr>
        <w:t xml:space="preserve">Bamako le </w:t>
      </w:r>
      <w:r w:rsidR="00B23BA6" w:rsidRPr="00555453">
        <w:rPr>
          <w:rFonts w:ascii="Times New Roman" w:hAnsi="Times New Roman" w:cs="Times New Roman"/>
          <w:sz w:val="24"/>
          <w:szCs w:val="24"/>
        </w:rPr>
        <w:t>30</w:t>
      </w:r>
      <w:r w:rsidR="00757047" w:rsidRPr="00555453">
        <w:rPr>
          <w:rFonts w:ascii="Times New Roman" w:hAnsi="Times New Roman" w:cs="Times New Roman"/>
          <w:sz w:val="24"/>
          <w:szCs w:val="24"/>
        </w:rPr>
        <w:t xml:space="preserve"> septembre 2021</w:t>
      </w:r>
    </w:p>
    <w:p w14:paraId="07028B34" w14:textId="07A30D7B" w:rsidR="008F53CA" w:rsidRPr="00555453" w:rsidRDefault="008F53CA" w:rsidP="00C95E19">
      <w:pPr>
        <w:tabs>
          <w:tab w:val="left" w:pos="3375"/>
        </w:tabs>
        <w:jc w:val="both"/>
        <w:rPr>
          <w:rFonts w:ascii="Times New Roman" w:hAnsi="Times New Roman" w:cs="Times New Roman"/>
          <w:b/>
          <w:bCs/>
          <w:sz w:val="24"/>
          <w:szCs w:val="24"/>
        </w:rPr>
      </w:pPr>
    </w:p>
    <w:p w14:paraId="1548D505" w14:textId="270549C8" w:rsidR="008F53CA" w:rsidRPr="00555453" w:rsidRDefault="004A4858" w:rsidP="00C95E19">
      <w:pPr>
        <w:tabs>
          <w:tab w:val="left" w:pos="3375"/>
        </w:tabs>
        <w:jc w:val="both"/>
        <w:rPr>
          <w:rFonts w:ascii="Times New Roman" w:hAnsi="Times New Roman" w:cs="Times New Roman"/>
          <w:b/>
          <w:bCs/>
          <w:sz w:val="24"/>
          <w:szCs w:val="24"/>
          <w:u w:val="single"/>
        </w:rPr>
      </w:pPr>
      <w:r w:rsidRPr="00555453">
        <w:rPr>
          <w:rFonts w:ascii="Times New Roman" w:hAnsi="Times New Roman" w:cs="Times New Roman"/>
          <w:b/>
          <w:bCs/>
          <w:sz w:val="24"/>
          <w:szCs w:val="24"/>
          <w:u w:val="single"/>
        </w:rPr>
        <w:t>Dramane DIARRA</w:t>
      </w:r>
    </w:p>
    <w:p w14:paraId="36BE0ABA" w14:textId="59A92F79" w:rsidR="00210ECC" w:rsidRPr="00555453" w:rsidRDefault="004A4858" w:rsidP="008A0AB1">
      <w:pPr>
        <w:tabs>
          <w:tab w:val="left" w:pos="3375"/>
        </w:tabs>
        <w:jc w:val="both"/>
        <w:rPr>
          <w:rFonts w:ascii="Times New Roman" w:hAnsi="Times New Roman" w:cs="Times New Roman"/>
          <w:sz w:val="24"/>
          <w:szCs w:val="24"/>
        </w:rPr>
      </w:pPr>
      <w:r w:rsidRPr="00555453">
        <w:rPr>
          <w:rFonts w:ascii="Times New Roman" w:hAnsi="Times New Roman" w:cs="Times New Roman"/>
          <w:b/>
          <w:bCs/>
          <w:sz w:val="24"/>
          <w:szCs w:val="24"/>
        </w:rPr>
        <w:t>Magistrat (DNAJS)</w:t>
      </w:r>
    </w:p>
    <w:sectPr w:rsidR="00210ECC" w:rsidRPr="0055545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613C" w14:textId="77777777" w:rsidR="00F04A04" w:rsidRDefault="00F04A04" w:rsidP="00915042">
      <w:pPr>
        <w:spacing w:after="0" w:line="240" w:lineRule="auto"/>
      </w:pPr>
      <w:r>
        <w:separator/>
      </w:r>
    </w:p>
  </w:endnote>
  <w:endnote w:type="continuationSeparator" w:id="0">
    <w:p w14:paraId="211163DA" w14:textId="77777777" w:rsidR="00F04A04" w:rsidRDefault="00F04A04" w:rsidP="0091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314549"/>
      <w:docPartObj>
        <w:docPartGallery w:val="Page Numbers (Bottom of Page)"/>
        <w:docPartUnique/>
      </w:docPartObj>
    </w:sdtPr>
    <w:sdtEndPr/>
    <w:sdtContent>
      <w:p w14:paraId="6A8918DA" w14:textId="365EEA46" w:rsidR="00915042" w:rsidRDefault="00915042">
        <w:pPr>
          <w:pStyle w:val="Footer"/>
        </w:pPr>
        <w:r>
          <w:rPr>
            <w:noProof/>
            <w:lang w:val="en-GB" w:eastAsia="en-GB"/>
          </w:rPr>
          <mc:AlternateContent>
            <mc:Choice Requires="wps">
              <w:drawing>
                <wp:anchor distT="0" distB="0" distL="114300" distR="114300" simplePos="0" relativeHeight="251659264" behindDoc="0" locked="0" layoutInCell="0" allowOverlap="1" wp14:anchorId="0F2752F7" wp14:editId="4DD167C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2A68613" w14:textId="02B95103" w:rsidR="00915042" w:rsidRDefault="00915042">
                              <w:pPr>
                                <w:jc w:val="center"/>
                              </w:pPr>
                              <w:r>
                                <w:fldChar w:fldCharType="begin"/>
                              </w:r>
                              <w:r>
                                <w:instrText>PAGE    \* MERGEFORMAT</w:instrText>
                              </w:r>
                              <w:r>
                                <w:fldChar w:fldCharType="separate"/>
                              </w:r>
                              <w:r w:rsidR="003111C2" w:rsidRPr="003111C2">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752F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14:paraId="72A68613" w14:textId="02B95103" w:rsidR="00915042" w:rsidRDefault="00915042">
                        <w:pPr>
                          <w:jc w:val="center"/>
                        </w:pPr>
                        <w:r>
                          <w:fldChar w:fldCharType="begin"/>
                        </w:r>
                        <w:r>
                          <w:instrText>PAGE    \* MERGEFORMAT</w:instrText>
                        </w:r>
                        <w:r>
                          <w:fldChar w:fldCharType="separate"/>
                        </w:r>
                        <w:r w:rsidR="003111C2" w:rsidRPr="003111C2">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8393" w14:textId="77777777" w:rsidR="00F04A04" w:rsidRDefault="00F04A04" w:rsidP="00915042">
      <w:pPr>
        <w:spacing w:after="0" w:line="240" w:lineRule="auto"/>
      </w:pPr>
      <w:r>
        <w:separator/>
      </w:r>
    </w:p>
  </w:footnote>
  <w:footnote w:type="continuationSeparator" w:id="0">
    <w:p w14:paraId="77D9F685" w14:textId="77777777" w:rsidR="00F04A04" w:rsidRDefault="00F04A04" w:rsidP="00915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69C0"/>
    <w:multiLevelType w:val="hybridMultilevel"/>
    <w:tmpl w:val="E6E6C202"/>
    <w:lvl w:ilvl="0" w:tplc="BF604C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F8247C"/>
    <w:multiLevelType w:val="hybridMultilevel"/>
    <w:tmpl w:val="DCF084FC"/>
    <w:lvl w:ilvl="0" w:tplc="9BB28E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841C84"/>
    <w:multiLevelType w:val="hybridMultilevel"/>
    <w:tmpl w:val="248EE25E"/>
    <w:lvl w:ilvl="0" w:tplc="1E2E0C6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A90275"/>
    <w:multiLevelType w:val="hybridMultilevel"/>
    <w:tmpl w:val="A836B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DE34B6"/>
    <w:multiLevelType w:val="hybridMultilevel"/>
    <w:tmpl w:val="DFC66AB2"/>
    <w:lvl w:ilvl="0" w:tplc="592077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9B1E93"/>
    <w:multiLevelType w:val="hybridMultilevel"/>
    <w:tmpl w:val="F75E9C86"/>
    <w:lvl w:ilvl="0" w:tplc="616CC86A">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305DBB"/>
    <w:multiLevelType w:val="hybridMultilevel"/>
    <w:tmpl w:val="EBAA723E"/>
    <w:lvl w:ilvl="0" w:tplc="B9EC3F18">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1C941AC"/>
    <w:multiLevelType w:val="hybridMultilevel"/>
    <w:tmpl w:val="E7B24D82"/>
    <w:lvl w:ilvl="0" w:tplc="963AC3FA">
      <w:start w:val="3"/>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8" w15:restartNumberingAfterBreak="0">
    <w:nsid w:val="6B2F2831"/>
    <w:multiLevelType w:val="hybridMultilevel"/>
    <w:tmpl w:val="4CF4B5EA"/>
    <w:lvl w:ilvl="0" w:tplc="45C60E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09835E6"/>
    <w:multiLevelType w:val="hybridMultilevel"/>
    <w:tmpl w:val="BAB68984"/>
    <w:lvl w:ilvl="0" w:tplc="EF9A8E6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1"/>
  </w:num>
  <w:num w:numId="6">
    <w:abstractNumId w:val="5"/>
  </w:num>
  <w:num w:numId="7">
    <w:abstractNumId w:val="2"/>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13"/>
    <w:rsid w:val="00024CCB"/>
    <w:rsid w:val="00050868"/>
    <w:rsid w:val="00083549"/>
    <w:rsid w:val="00084438"/>
    <w:rsid w:val="00097EDB"/>
    <w:rsid w:val="000B360C"/>
    <w:rsid w:val="000C05CA"/>
    <w:rsid w:val="000D4AE4"/>
    <w:rsid w:val="000E03DC"/>
    <w:rsid w:val="00155CDA"/>
    <w:rsid w:val="001859D5"/>
    <w:rsid w:val="001A0300"/>
    <w:rsid w:val="001A2B1B"/>
    <w:rsid w:val="001A646B"/>
    <w:rsid w:val="001C40DF"/>
    <w:rsid w:val="001C7CB1"/>
    <w:rsid w:val="001D497C"/>
    <w:rsid w:val="00200302"/>
    <w:rsid w:val="00210ECC"/>
    <w:rsid w:val="00214E30"/>
    <w:rsid w:val="0021512F"/>
    <w:rsid w:val="00231C1A"/>
    <w:rsid w:val="00272AD2"/>
    <w:rsid w:val="002944BF"/>
    <w:rsid w:val="002A23D6"/>
    <w:rsid w:val="002A394E"/>
    <w:rsid w:val="002D6B84"/>
    <w:rsid w:val="003111C2"/>
    <w:rsid w:val="00316844"/>
    <w:rsid w:val="003D67B5"/>
    <w:rsid w:val="004108C2"/>
    <w:rsid w:val="0042277E"/>
    <w:rsid w:val="004230FD"/>
    <w:rsid w:val="004332E5"/>
    <w:rsid w:val="004A4858"/>
    <w:rsid w:val="004B018E"/>
    <w:rsid w:val="004F4C1E"/>
    <w:rsid w:val="004F7CE1"/>
    <w:rsid w:val="005345A8"/>
    <w:rsid w:val="005459C3"/>
    <w:rsid w:val="00555453"/>
    <w:rsid w:val="005A0BDC"/>
    <w:rsid w:val="005A7ADD"/>
    <w:rsid w:val="005C530B"/>
    <w:rsid w:val="005E43F8"/>
    <w:rsid w:val="006025EF"/>
    <w:rsid w:val="006355A9"/>
    <w:rsid w:val="006636B7"/>
    <w:rsid w:val="006B5CB3"/>
    <w:rsid w:val="006C68DA"/>
    <w:rsid w:val="006F2339"/>
    <w:rsid w:val="00723407"/>
    <w:rsid w:val="00730F50"/>
    <w:rsid w:val="00740D8D"/>
    <w:rsid w:val="00751452"/>
    <w:rsid w:val="00757047"/>
    <w:rsid w:val="00775952"/>
    <w:rsid w:val="00775FEB"/>
    <w:rsid w:val="007942BA"/>
    <w:rsid w:val="00797502"/>
    <w:rsid w:val="007B6AE3"/>
    <w:rsid w:val="007C07B4"/>
    <w:rsid w:val="00805CDC"/>
    <w:rsid w:val="00806BDD"/>
    <w:rsid w:val="00830980"/>
    <w:rsid w:val="00834E2D"/>
    <w:rsid w:val="0084353A"/>
    <w:rsid w:val="00844B37"/>
    <w:rsid w:val="0085162B"/>
    <w:rsid w:val="00866477"/>
    <w:rsid w:val="008758A8"/>
    <w:rsid w:val="008A0AB1"/>
    <w:rsid w:val="008A55B1"/>
    <w:rsid w:val="008B5F76"/>
    <w:rsid w:val="008D2A7C"/>
    <w:rsid w:val="008F27E4"/>
    <w:rsid w:val="008F53CA"/>
    <w:rsid w:val="00915042"/>
    <w:rsid w:val="00993C25"/>
    <w:rsid w:val="009A3686"/>
    <w:rsid w:val="009C085B"/>
    <w:rsid w:val="009F6DFC"/>
    <w:rsid w:val="00A7040B"/>
    <w:rsid w:val="00A91AD5"/>
    <w:rsid w:val="00A96483"/>
    <w:rsid w:val="00AC5E4C"/>
    <w:rsid w:val="00AE34FC"/>
    <w:rsid w:val="00AE36DC"/>
    <w:rsid w:val="00AE783E"/>
    <w:rsid w:val="00B047C2"/>
    <w:rsid w:val="00B23BA6"/>
    <w:rsid w:val="00B27D7F"/>
    <w:rsid w:val="00B33511"/>
    <w:rsid w:val="00B47439"/>
    <w:rsid w:val="00B85D51"/>
    <w:rsid w:val="00B86459"/>
    <w:rsid w:val="00BA190E"/>
    <w:rsid w:val="00BB4A97"/>
    <w:rsid w:val="00BF321E"/>
    <w:rsid w:val="00C11074"/>
    <w:rsid w:val="00C46B13"/>
    <w:rsid w:val="00C60FC8"/>
    <w:rsid w:val="00C70B9F"/>
    <w:rsid w:val="00C72B0E"/>
    <w:rsid w:val="00C93812"/>
    <w:rsid w:val="00C94FC3"/>
    <w:rsid w:val="00C95E19"/>
    <w:rsid w:val="00CA5629"/>
    <w:rsid w:val="00CA7167"/>
    <w:rsid w:val="00CC6BDA"/>
    <w:rsid w:val="00D60B60"/>
    <w:rsid w:val="00D70541"/>
    <w:rsid w:val="00D80344"/>
    <w:rsid w:val="00DD5205"/>
    <w:rsid w:val="00DF7C0E"/>
    <w:rsid w:val="00E20A1A"/>
    <w:rsid w:val="00E40E11"/>
    <w:rsid w:val="00E460DB"/>
    <w:rsid w:val="00E9154D"/>
    <w:rsid w:val="00EC1F3D"/>
    <w:rsid w:val="00EC57F3"/>
    <w:rsid w:val="00ED6B88"/>
    <w:rsid w:val="00F04A04"/>
    <w:rsid w:val="00F15FC0"/>
    <w:rsid w:val="00F870C8"/>
    <w:rsid w:val="00F920FA"/>
    <w:rsid w:val="00FF0469"/>
    <w:rsid w:val="00FF4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5FB0D"/>
  <w15:chartTrackingRefBased/>
  <w15:docId w15:val="{B570EC22-8ACB-4B53-B5FA-2290B8BB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E3"/>
    <w:pPr>
      <w:ind w:left="720"/>
      <w:contextualSpacing/>
    </w:pPr>
  </w:style>
  <w:style w:type="paragraph" w:styleId="Header">
    <w:name w:val="header"/>
    <w:basedOn w:val="Normal"/>
    <w:link w:val="HeaderChar"/>
    <w:uiPriority w:val="99"/>
    <w:unhideWhenUsed/>
    <w:rsid w:val="009150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5042"/>
  </w:style>
  <w:style w:type="paragraph" w:styleId="Footer">
    <w:name w:val="footer"/>
    <w:basedOn w:val="Normal"/>
    <w:link w:val="FooterChar"/>
    <w:uiPriority w:val="99"/>
    <w:unhideWhenUsed/>
    <w:rsid w:val="009150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5042"/>
  </w:style>
  <w:style w:type="table" w:styleId="TableGrid">
    <w:name w:val="Table Grid"/>
    <w:basedOn w:val="TableNormal"/>
    <w:uiPriority w:val="39"/>
    <w:rsid w:val="0079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CCFD4-4908-412A-BB80-F2A7520C0AE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9040124-3724-453e-9e0f-d53a96d17322"/>
    <ds:schemaRef ds:uri="http://www.w3.org/XML/1998/namespace"/>
    <ds:schemaRef ds:uri="http://purl.org/dc/terms/"/>
  </ds:schemaRefs>
</ds:datastoreItem>
</file>

<file path=customXml/itemProps2.xml><?xml version="1.0" encoding="utf-8"?>
<ds:datastoreItem xmlns:ds="http://schemas.openxmlformats.org/officeDocument/2006/customXml" ds:itemID="{BA546E90-94F4-43E8-BD4C-488469099205}">
  <ds:schemaRefs>
    <ds:schemaRef ds:uri="http://schemas.microsoft.com/sharepoint/v3/contenttype/forms"/>
  </ds:schemaRefs>
</ds:datastoreItem>
</file>

<file path=customXml/itemProps3.xml><?xml version="1.0" encoding="utf-8"?>
<ds:datastoreItem xmlns:ds="http://schemas.openxmlformats.org/officeDocument/2006/customXml" ds:itemID="{4A055F48-15DF-42B1-8E4C-BD0DB9F2EEE7}"/>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Dramane Diarra</dc:creator>
  <cp:keywords/>
  <dc:description/>
  <cp:lastModifiedBy>MYTNIK Valerie</cp:lastModifiedBy>
  <cp:revision>2</cp:revision>
  <dcterms:created xsi:type="dcterms:W3CDTF">2021-12-03T17:00:00Z</dcterms:created>
  <dcterms:modified xsi:type="dcterms:W3CDTF">2021-12-03T17:00:00Z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