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8464AF">
        <w:rPr>
          <w:lang w:val="fr-CH"/>
        </w:rPr>
        <w:t>Zimbabwe</w:t>
      </w:r>
    </w:p>
    <w:p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A22DB">
        <w:rPr>
          <w:b w:val="0"/>
          <w:sz w:val="18"/>
          <w:szCs w:val="18"/>
          <w:vertAlign w:val="superscript"/>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rsidTr="008B4D7D">
        <w:tc>
          <w:tcPr>
            <w:tcW w:w="2409"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rsidTr="008B4D7D">
        <w:trPr>
          <w:trHeight w:hRule="exact" w:val="113"/>
        </w:trPr>
        <w:tc>
          <w:tcPr>
            <w:tcW w:w="2409"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r>
      <w:tr w:rsidR="00A02BFB" w:rsidRPr="00A02BFB" w:rsidTr="008B4D7D">
        <w:tc>
          <w:tcPr>
            <w:tcW w:w="2409" w:type="dxa"/>
            <w:shd w:val="clear" w:color="auto" w:fill="auto"/>
          </w:tcPr>
          <w:p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rsidR="00A02BFB" w:rsidRPr="004E2FC2" w:rsidRDefault="00A02BFB" w:rsidP="008B4D7D">
            <w:pPr>
              <w:spacing w:before="40" w:after="120"/>
              <w:ind w:right="113"/>
            </w:pPr>
            <w:r w:rsidRPr="004E2FC2">
              <w:t>ICERD (</w:t>
            </w:r>
            <w:r w:rsidR="008464AF" w:rsidRPr="004E2FC2">
              <w:t>1991</w:t>
            </w:r>
            <w:r w:rsidRPr="004E2FC2">
              <w:t>)</w:t>
            </w:r>
          </w:p>
          <w:p w:rsidR="00A02BFB" w:rsidRPr="004E2FC2" w:rsidRDefault="00A02BFB" w:rsidP="008B4D7D">
            <w:pPr>
              <w:spacing w:before="40" w:after="120"/>
              <w:ind w:right="113"/>
            </w:pPr>
            <w:r w:rsidRPr="004E2FC2">
              <w:t>ICESCR (</w:t>
            </w:r>
            <w:r w:rsidR="008464AF" w:rsidRPr="004E2FC2">
              <w:t>1991</w:t>
            </w:r>
            <w:r w:rsidRPr="004E2FC2">
              <w:t>)</w:t>
            </w:r>
          </w:p>
          <w:p w:rsidR="00296EB7" w:rsidRPr="004E2FC2" w:rsidRDefault="00296EB7" w:rsidP="008B4D7D">
            <w:pPr>
              <w:spacing w:before="40" w:after="120"/>
              <w:ind w:right="113"/>
            </w:pPr>
            <w:r w:rsidRPr="004E2FC2">
              <w:t>ICCPR (</w:t>
            </w:r>
            <w:r w:rsidR="008464AF" w:rsidRPr="004E2FC2">
              <w:t>1991</w:t>
            </w:r>
            <w:r w:rsidRPr="004E2FC2">
              <w:t>)</w:t>
            </w:r>
          </w:p>
          <w:p w:rsidR="00A02BFB" w:rsidRPr="004E2FC2" w:rsidRDefault="00A02BFB" w:rsidP="008B4D7D">
            <w:pPr>
              <w:spacing w:before="40" w:after="120"/>
              <w:ind w:right="113"/>
            </w:pPr>
            <w:r w:rsidRPr="004E2FC2">
              <w:t>CEDAW (</w:t>
            </w:r>
            <w:r w:rsidR="008464AF" w:rsidRPr="004E2FC2">
              <w:t>1991</w:t>
            </w:r>
            <w:r w:rsidRPr="004E2FC2">
              <w:t>)</w:t>
            </w:r>
          </w:p>
          <w:p w:rsidR="00A02BFB" w:rsidRPr="004E2FC2" w:rsidRDefault="00A02BFB" w:rsidP="008B4D7D">
            <w:pPr>
              <w:spacing w:before="40" w:after="120"/>
              <w:ind w:right="113"/>
            </w:pPr>
            <w:r w:rsidRPr="004E2FC2">
              <w:t>CRC (</w:t>
            </w:r>
            <w:r w:rsidR="008464AF" w:rsidRPr="004E2FC2">
              <w:t>1990</w:t>
            </w:r>
            <w:r w:rsidRPr="004E2FC2">
              <w:t>)</w:t>
            </w:r>
          </w:p>
          <w:p w:rsidR="00A02BFB" w:rsidRPr="004E2FC2" w:rsidRDefault="00A02BFB" w:rsidP="008B4D7D">
            <w:pPr>
              <w:spacing w:before="40" w:after="120"/>
              <w:ind w:right="113"/>
            </w:pPr>
            <w:r w:rsidRPr="004E2FC2">
              <w:t>OP-CRC-AC (</w:t>
            </w:r>
            <w:r w:rsidR="008464AF" w:rsidRPr="004E2FC2">
              <w:t>2013</w:t>
            </w:r>
            <w:r w:rsidRPr="004E2FC2">
              <w:t>)</w:t>
            </w:r>
          </w:p>
          <w:p w:rsidR="00A02BFB" w:rsidRPr="004E2FC2" w:rsidRDefault="00A02BFB" w:rsidP="008B4D7D">
            <w:pPr>
              <w:spacing w:before="40" w:after="120"/>
              <w:ind w:right="113"/>
            </w:pPr>
            <w:r w:rsidRPr="004E2FC2">
              <w:t>OP-CRC-SC (</w:t>
            </w:r>
            <w:r w:rsidR="008464AF" w:rsidRPr="004E2FC2">
              <w:t>2012</w:t>
            </w:r>
            <w:r w:rsidRPr="004E2FC2">
              <w:t>)</w:t>
            </w:r>
          </w:p>
          <w:p w:rsidR="00A02BFB" w:rsidRPr="004E2FC2" w:rsidRDefault="00A02BFB" w:rsidP="008464AF">
            <w:pPr>
              <w:spacing w:before="40" w:after="120"/>
              <w:ind w:right="113"/>
            </w:pPr>
            <w:r w:rsidRPr="004E2FC2">
              <w:t>CRPD (</w:t>
            </w:r>
            <w:r w:rsidR="008464AF" w:rsidRPr="004E2FC2">
              <w:t>2013</w:t>
            </w:r>
            <w:r w:rsidRPr="004E2FC2">
              <w:t>)</w:t>
            </w:r>
          </w:p>
        </w:tc>
        <w:tc>
          <w:tcPr>
            <w:tcW w:w="2409" w:type="dxa"/>
            <w:shd w:val="clear" w:color="auto" w:fill="auto"/>
          </w:tcPr>
          <w:p w:rsidR="00A02BFB" w:rsidRPr="004E2FC2" w:rsidRDefault="008464AF" w:rsidP="008B4D7D">
            <w:pPr>
              <w:spacing w:before="40" w:after="120"/>
              <w:ind w:right="113"/>
            </w:pPr>
            <w:r w:rsidRPr="004E2FC2">
              <w:t>--</w:t>
            </w:r>
          </w:p>
        </w:tc>
        <w:tc>
          <w:tcPr>
            <w:tcW w:w="2410" w:type="dxa"/>
            <w:shd w:val="clear" w:color="auto" w:fill="auto"/>
          </w:tcPr>
          <w:p w:rsidR="008464AF" w:rsidRPr="004E2FC2" w:rsidRDefault="008464AF" w:rsidP="008464AF">
            <w:pPr>
              <w:spacing w:before="40" w:after="120"/>
              <w:ind w:right="113"/>
            </w:pPr>
            <w:r w:rsidRPr="004E2FC2">
              <w:t>ICCPR-OP 2</w:t>
            </w:r>
          </w:p>
          <w:p w:rsidR="008464AF" w:rsidRPr="004E2FC2" w:rsidRDefault="008464AF" w:rsidP="008464AF">
            <w:pPr>
              <w:spacing w:before="40" w:after="120"/>
              <w:ind w:right="113"/>
            </w:pPr>
            <w:r w:rsidRPr="004E2FC2">
              <w:t xml:space="preserve">CAT </w:t>
            </w:r>
          </w:p>
          <w:p w:rsidR="00A02BFB" w:rsidRPr="004E2FC2" w:rsidRDefault="008464AF" w:rsidP="008464AF">
            <w:pPr>
              <w:spacing w:before="40" w:after="120"/>
              <w:ind w:right="113"/>
            </w:pPr>
            <w:r w:rsidRPr="004E2FC2">
              <w:t>OP-CAT</w:t>
            </w:r>
          </w:p>
          <w:p w:rsidR="008464AF" w:rsidRPr="004E2FC2" w:rsidRDefault="008464AF" w:rsidP="008464AF">
            <w:pPr>
              <w:spacing w:before="40" w:after="120"/>
              <w:ind w:right="113"/>
            </w:pPr>
            <w:r w:rsidRPr="004E2FC2">
              <w:t>ICRMW</w:t>
            </w:r>
          </w:p>
          <w:p w:rsidR="008464AF" w:rsidRPr="004E2FC2" w:rsidRDefault="008464AF" w:rsidP="008464AF">
            <w:pPr>
              <w:spacing w:before="40" w:after="120"/>
              <w:ind w:right="113"/>
            </w:pPr>
            <w:r w:rsidRPr="004E2FC2">
              <w:t>ICPPED</w:t>
            </w:r>
          </w:p>
        </w:tc>
      </w:tr>
      <w:tr w:rsidR="00A02BFB" w:rsidRPr="00A02BFB" w:rsidTr="008B4D7D">
        <w:tc>
          <w:tcPr>
            <w:tcW w:w="2409" w:type="dxa"/>
            <w:tcBorders>
              <w:bottom w:val="single" w:sz="12" w:space="0" w:color="auto"/>
            </w:tcBorders>
            <w:shd w:val="clear" w:color="auto" w:fill="auto"/>
          </w:tcPr>
          <w:p w:rsidR="00A02BFB" w:rsidRPr="00A02BFB" w:rsidRDefault="00A02BFB" w:rsidP="008B4D7D">
            <w:pPr>
              <w:spacing w:before="40" w:after="120"/>
              <w:ind w:right="113"/>
            </w:pPr>
            <w:r w:rsidRPr="008B4D7D">
              <w:rPr>
                <w:i/>
              </w:rPr>
              <w:t xml:space="preserve">Complaints procedures, inquiries and </w:t>
            </w:r>
            <w:r w:rsidRPr="008B4D7D">
              <w:rPr>
                <w:i/>
              </w:rPr>
              <w:br/>
              <w:t>urgent action</w:t>
            </w:r>
            <w:r w:rsidR="00C81253" w:rsidRPr="0061444B">
              <w:rPr>
                <w:rStyle w:val="EndnoteReference"/>
              </w:rPr>
              <w:endnoteReference w:id="4"/>
            </w:r>
          </w:p>
        </w:tc>
        <w:tc>
          <w:tcPr>
            <w:tcW w:w="2409" w:type="dxa"/>
            <w:tcBorders>
              <w:bottom w:val="single" w:sz="12" w:space="0" w:color="auto"/>
            </w:tcBorders>
            <w:shd w:val="clear" w:color="auto" w:fill="auto"/>
          </w:tcPr>
          <w:p w:rsidR="00A02BFB" w:rsidRPr="004E2FC2" w:rsidRDefault="00A02BFB" w:rsidP="008B4D7D">
            <w:pPr>
              <w:spacing w:before="40" w:after="120"/>
              <w:ind w:right="113"/>
            </w:pPr>
            <w:r w:rsidRPr="004E2FC2">
              <w:t>ICCPR, art. 41 (</w:t>
            </w:r>
            <w:r w:rsidR="008464AF" w:rsidRPr="004E2FC2">
              <w:t>1991</w:t>
            </w:r>
            <w:r w:rsidRPr="004E2FC2">
              <w:t>)</w:t>
            </w:r>
          </w:p>
          <w:p w:rsidR="00A02BFB" w:rsidRPr="004E2FC2" w:rsidRDefault="00A02BFB" w:rsidP="008B4D7D">
            <w:pPr>
              <w:spacing w:before="40" w:after="120"/>
              <w:ind w:right="113"/>
            </w:pPr>
            <w:r w:rsidRPr="004E2FC2">
              <w:t>OP-CRPD, art. 6 (</w:t>
            </w:r>
            <w:r w:rsidR="008464AF" w:rsidRPr="004E2FC2">
              <w:t>2013</w:t>
            </w:r>
            <w:r w:rsidRPr="004E2FC2">
              <w:t>)</w:t>
            </w:r>
          </w:p>
        </w:tc>
        <w:tc>
          <w:tcPr>
            <w:tcW w:w="2409" w:type="dxa"/>
            <w:tcBorders>
              <w:bottom w:val="single" w:sz="12" w:space="0" w:color="auto"/>
            </w:tcBorders>
            <w:shd w:val="clear" w:color="auto" w:fill="auto"/>
          </w:tcPr>
          <w:p w:rsidR="00A02BFB" w:rsidRPr="004E2FC2" w:rsidRDefault="008464AF" w:rsidP="008B4D7D">
            <w:pPr>
              <w:spacing w:before="40" w:after="120"/>
              <w:ind w:right="113"/>
            </w:pPr>
            <w:r w:rsidRPr="004E2FC2">
              <w:t>--</w:t>
            </w:r>
          </w:p>
        </w:tc>
        <w:tc>
          <w:tcPr>
            <w:tcW w:w="2410" w:type="dxa"/>
            <w:tcBorders>
              <w:bottom w:val="single" w:sz="12" w:space="0" w:color="auto"/>
            </w:tcBorders>
            <w:shd w:val="clear" w:color="auto" w:fill="auto"/>
          </w:tcPr>
          <w:p w:rsidR="00A02BFB" w:rsidRPr="004E2FC2" w:rsidRDefault="008464AF" w:rsidP="008B4D7D">
            <w:pPr>
              <w:spacing w:before="40" w:after="120"/>
              <w:ind w:right="113"/>
            </w:pPr>
            <w:r w:rsidRPr="004E2FC2">
              <w:t>ICERD, art. 14</w:t>
            </w:r>
          </w:p>
          <w:p w:rsidR="008464AF" w:rsidRPr="004E2FC2" w:rsidRDefault="008464AF" w:rsidP="008B4D7D">
            <w:pPr>
              <w:spacing w:before="40" w:after="120"/>
              <w:ind w:right="113"/>
            </w:pPr>
            <w:r w:rsidRPr="004E2FC2">
              <w:t>OP-ICESCR</w:t>
            </w:r>
          </w:p>
          <w:p w:rsidR="008464AF" w:rsidRPr="004E2FC2" w:rsidRDefault="008464AF" w:rsidP="008B4D7D">
            <w:pPr>
              <w:spacing w:before="40" w:after="120"/>
              <w:ind w:right="113"/>
            </w:pPr>
            <w:r w:rsidRPr="004E2FC2">
              <w:t>ICCPR-OP 1</w:t>
            </w:r>
          </w:p>
          <w:p w:rsidR="008464AF" w:rsidRPr="004E2FC2" w:rsidRDefault="008464AF" w:rsidP="008B4D7D">
            <w:pPr>
              <w:spacing w:before="40" w:after="120"/>
              <w:ind w:right="113"/>
            </w:pPr>
            <w:r w:rsidRPr="004E2FC2">
              <w:t>OP-CEDAW</w:t>
            </w:r>
          </w:p>
          <w:p w:rsidR="008464AF" w:rsidRPr="004E2FC2" w:rsidRDefault="008464AF" w:rsidP="008B4D7D">
            <w:pPr>
              <w:spacing w:before="40" w:after="120"/>
              <w:ind w:right="113"/>
            </w:pPr>
            <w:r w:rsidRPr="004E2FC2">
              <w:t>CAT</w:t>
            </w:r>
          </w:p>
          <w:p w:rsidR="008464AF" w:rsidRPr="004E2FC2" w:rsidRDefault="008464AF" w:rsidP="008B4D7D">
            <w:pPr>
              <w:spacing w:before="40" w:after="120"/>
              <w:ind w:right="113"/>
            </w:pPr>
            <w:r w:rsidRPr="004E2FC2">
              <w:t>OP-CRC-IC</w:t>
            </w:r>
          </w:p>
          <w:p w:rsidR="008464AF" w:rsidRPr="004E2FC2" w:rsidRDefault="008464AF" w:rsidP="008B4D7D">
            <w:pPr>
              <w:spacing w:before="40" w:after="120"/>
              <w:ind w:right="113"/>
            </w:pPr>
            <w:r w:rsidRPr="004E2FC2">
              <w:t>ICRMW</w:t>
            </w:r>
          </w:p>
          <w:p w:rsidR="008464AF" w:rsidRPr="004E2FC2" w:rsidRDefault="008464AF" w:rsidP="008B4D7D">
            <w:pPr>
              <w:spacing w:before="40" w:after="120"/>
              <w:ind w:right="113"/>
            </w:pPr>
            <w:r w:rsidRPr="004E2FC2">
              <w:t>ICPPED</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rsidTr="008B4D7D">
        <w:tc>
          <w:tcPr>
            <w:tcW w:w="2409" w:type="dxa"/>
            <w:tcBorders>
              <w:top w:val="single" w:sz="4" w:space="0" w:color="auto"/>
              <w:bottom w:val="single" w:sz="12" w:space="0" w:color="auto"/>
            </w:tcBorders>
            <w:shd w:val="clear" w:color="auto" w:fill="auto"/>
          </w:tcPr>
          <w:p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rsidTr="008B4D7D">
        <w:trPr>
          <w:trHeight w:hRule="exact" w:val="113"/>
        </w:trPr>
        <w:tc>
          <w:tcPr>
            <w:tcW w:w="2409" w:type="dxa"/>
            <w:tcBorders>
              <w:top w:val="single" w:sz="12" w:space="0" w:color="auto"/>
            </w:tcBorders>
            <w:shd w:val="clear" w:color="auto" w:fill="auto"/>
          </w:tcPr>
          <w:p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r>
      <w:tr w:rsidR="00A02BFB" w:rsidRPr="00A02BFB" w:rsidTr="008B4D7D">
        <w:tc>
          <w:tcPr>
            <w:tcW w:w="2409" w:type="dxa"/>
            <w:tcBorders>
              <w:bottom w:val="single" w:sz="12" w:space="0" w:color="auto"/>
            </w:tcBorders>
            <w:shd w:val="clear" w:color="auto" w:fill="auto"/>
          </w:tcPr>
          <w:p w:rsidR="00A02BFB" w:rsidRPr="00A02BFB" w:rsidRDefault="00A02BFB" w:rsidP="008464AF">
            <w:pPr>
              <w:spacing w:before="40" w:after="120"/>
              <w:ind w:right="113"/>
              <w:jc w:val="both"/>
            </w:pPr>
          </w:p>
        </w:tc>
        <w:tc>
          <w:tcPr>
            <w:tcW w:w="2409" w:type="dxa"/>
            <w:tcBorders>
              <w:bottom w:val="single" w:sz="12" w:space="0" w:color="auto"/>
            </w:tcBorders>
            <w:shd w:val="clear" w:color="auto" w:fill="auto"/>
          </w:tcPr>
          <w:p w:rsidR="00A02BFB" w:rsidRPr="004E2FC2" w:rsidRDefault="008464AF" w:rsidP="008464AF">
            <w:pPr>
              <w:spacing w:before="40" w:after="120"/>
              <w:ind w:right="113"/>
              <w:jc w:val="both"/>
            </w:pPr>
            <w:r w:rsidRPr="004E2FC2">
              <w:t xml:space="preserve">OP-CRC-AC (Declaration, art. 3(2), minimum age of </w:t>
            </w:r>
            <w:r w:rsidR="004E2FC2" w:rsidRPr="0061444B">
              <w:t xml:space="preserve">voluntary </w:t>
            </w:r>
            <w:r w:rsidRPr="004E2FC2">
              <w:t>recruitment at 18 years, 2013)</w:t>
            </w:r>
          </w:p>
        </w:tc>
        <w:tc>
          <w:tcPr>
            <w:tcW w:w="2409" w:type="dxa"/>
            <w:tcBorders>
              <w:bottom w:val="single" w:sz="12" w:space="0" w:color="auto"/>
            </w:tcBorders>
            <w:shd w:val="clear" w:color="auto" w:fill="auto"/>
          </w:tcPr>
          <w:p w:rsidR="00A02BFB" w:rsidRPr="001D5A52" w:rsidRDefault="008464AF" w:rsidP="008464AF">
            <w:pPr>
              <w:spacing w:before="40" w:after="120"/>
              <w:ind w:right="113"/>
              <w:jc w:val="both"/>
            </w:pPr>
            <w:r w:rsidRPr="001D5A52">
              <w:t>--</w:t>
            </w:r>
          </w:p>
        </w:tc>
        <w:tc>
          <w:tcPr>
            <w:tcW w:w="2410" w:type="dxa"/>
            <w:tcBorders>
              <w:bottom w:val="single" w:sz="12" w:space="0" w:color="auto"/>
            </w:tcBorders>
            <w:shd w:val="clear" w:color="auto" w:fill="auto"/>
          </w:tcPr>
          <w:p w:rsidR="00A02BFB" w:rsidRPr="004E2FC2" w:rsidRDefault="008464AF" w:rsidP="008464AF">
            <w:pPr>
              <w:spacing w:before="40" w:after="120"/>
              <w:ind w:right="113"/>
              <w:jc w:val="both"/>
            </w:pPr>
            <w:r w:rsidRPr="004E2FC2">
              <w:t xml:space="preserve">OP-CRC-AC (Declaration, art. 3(2), minimum age of </w:t>
            </w:r>
            <w:r w:rsidR="004E2FC2" w:rsidRPr="0061444B">
              <w:t xml:space="preserve">voluntary </w:t>
            </w:r>
            <w:r w:rsidRPr="004E2FC2">
              <w:t>recruitment at 18 years)</w:t>
            </w:r>
          </w:p>
        </w:tc>
      </w:tr>
    </w:tbl>
    <w:p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rsidTr="008B4D7D">
        <w:tc>
          <w:tcPr>
            <w:tcW w:w="2409"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rsidTr="008B4D7D">
        <w:trPr>
          <w:trHeight w:hRule="exact" w:val="113"/>
        </w:trPr>
        <w:tc>
          <w:tcPr>
            <w:tcW w:w="2409" w:type="dxa"/>
            <w:shd w:val="clear" w:color="auto" w:fill="auto"/>
            <w:vAlign w:val="bottom"/>
          </w:tcPr>
          <w:p w:rsidR="00A02BFB" w:rsidRPr="008B4D7D" w:rsidRDefault="00A02BFB" w:rsidP="008B4D7D">
            <w:pPr>
              <w:spacing w:before="80" w:after="80" w:line="200" w:lineRule="exact"/>
              <w:ind w:right="113"/>
              <w:rPr>
                <w:i/>
                <w:sz w:val="16"/>
              </w:rPr>
            </w:pPr>
          </w:p>
        </w:tc>
        <w:tc>
          <w:tcPr>
            <w:tcW w:w="2409" w:type="dxa"/>
            <w:shd w:val="clear" w:color="auto" w:fill="auto"/>
            <w:vAlign w:val="bottom"/>
          </w:tcPr>
          <w:p w:rsidR="00A02BFB" w:rsidRPr="008B4D7D" w:rsidRDefault="00A02BFB" w:rsidP="008B4D7D">
            <w:pPr>
              <w:spacing w:before="80" w:after="80" w:line="200" w:lineRule="exact"/>
              <w:ind w:right="113"/>
              <w:rPr>
                <w:i/>
                <w:sz w:val="16"/>
              </w:rPr>
            </w:pPr>
          </w:p>
        </w:tc>
        <w:tc>
          <w:tcPr>
            <w:tcW w:w="2409" w:type="dxa"/>
            <w:shd w:val="clear" w:color="auto" w:fill="auto"/>
            <w:vAlign w:val="bottom"/>
          </w:tcPr>
          <w:p w:rsidR="00A02BFB" w:rsidRPr="008B4D7D" w:rsidRDefault="00A02BFB" w:rsidP="008B4D7D">
            <w:pPr>
              <w:spacing w:before="80" w:after="80" w:line="200" w:lineRule="exact"/>
              <w:ind w:right="113"/>
              <w:rPr>
                <w:i/>
                <w:sz w:val="16"/>
              </w:rPr>
            </w:pPr>
          </w:p>
        </w:tc>
        <w:tc>
          <w:tcPr>
            <w:tcW w:w="2410" w:type="dxa"/>
            <w:shd w:val="clear" w:color="auto" w:fill="auto"/>
            <w:vAlign w:val="bottom"/>
          </w:tcPr>
          <w:p w:rsidR="00A02BFB" w:rsidRPr="008B4D7D" w:rsidRDefault="00A02BFB" w:rsidP="008B4D7D">
            <w:pPr>
              <w:spacing w:before="80" w:after="80" w:line="200" w:lineRule="exact"/>
              <w:ind w:right="113"/>
              <w:rPr>
                <w:i/>
                <w:sz w:val="16"/>
              </w:rPr>
            </w:pPr>
          </w:p>
        </w:tc>
      </w:tr>
      <w:tr w:rsidR="00A02BFB" w:rsidRPr="00A02BFB" w:rsidTr="008B4D7D">
        <w:tc>
          <w:tcPr>
            <w:tcW w:w="2409" w:type="dxa"/>
            <w:shd w:val="clear" w:color="auto" w:fill="auto"/>
          </w:tcPr>
          <w:p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rsidR="00A02BFB" w:rsidRPr="00826C94" w:rsidRDefault="00A02BFB" w:rsidP="008B4D7D">
            <w:pPr>
              <w:spacing w:before="40" w:after="120"/>
              <w:ind w:right="113"/>
            </w:pPr>
            <w:r w:rsidRPr="00826C94">
              <w:t>Convention on the Prevention and Punishment of the Crime of Genocide</w:t>
            </w:r>
          </w:p>
        </w:tc>
        <w:tc>
          <w:tcPr>
            <w:tcW w:w="2409" w:type="dxa"/>
            <w:shd w:val="clear" w:color="auto" w:fill="auto"/>
          </w:tcPr>
          <w:p w:rsidR="00A02BFB" w:rsidRPr="00A02BFB" w:rsidRDefault="00A02BFB" w:rsidP="008B4D7D">
            <w:pPr>
              <w:spacing w:before="40" w:after="120"/>
              <w:ind w:right="113"/>
            </w:pPr>
          </w:p>
        </w:tc>
        <w:tc>
          <w:tcPr>
            <w:tcW w:w="2410" w:type="dxa"/>
            <w:shd w:val="clear" w:color="auto" w:fill="auto"/>
          </w:tcPr>
          <w:p w:rsidR="00A02BFB" w:rsidRPr="00A02BFB" w:rsidRDefault="00443877" w:rsidP="008B4D7D">
            <w:pPr>
              <w:spacing w:before="40" w:after="120"/>
              <w:ind w:right="113"/>
            </w:pPr>
            <w:r w:rsidRPr="00443877">
              <w:t>ILO Conventions Nos. 169 and 189</w:t>
            </w:r>
            <w:r w:rsidRPr="00E44578">
              <w:rPr>
                <w:rStyle w:val="EndnoteReference"/>
              </w:rPr>
              <w:endnoteReference w:id="5"/>
            </w:r>
          </w:p>
        </w:tc>
      </w:tr>
      <w:tr w:rsidR="00A02BFB" w:rsidRPr="00A02BFB" w:rsidTr="008B4D7D">
        <w:tc>
          <w:tcPr>
            <w:tcW w:w="2409" w:type="dxa"/>
            <w:shd w:val="clear" w:color="auto" w:fill="auto"/>
          </w:tcPr>
          <w:p w:rsidR="00A02BFB" w:rsidRPr="00A02BFB" w:rsidRDefault="00A02BFB" w:rsidP="008B4D7D">
            <w:pPr>
              <w:spacing w:before="40" w:after="120"/>
              <w:ind w:right="113"/>
            </w:pPr>
          </w:p>
        </w:tc>
        <w:tc>
          <w:tcPr>
            <w:tcW w:w="2409" w:type="dxa"/>
            <w:shd w:val="clear" w:color="auto" w:fill="auto"/>
          </w:tcPr>
          <w:p w:rsidR="00A02BFB" w:rsidRPr="00826C94" w:rsidRDefault="00A02BFB" w:rsidP="00826C94">
            <w:pPr>
              <w:spacing w:before="40" w:after="120"/>
              <w:ind w:right="113"/>
            </w:pPr>
            <w:r w:rsidRPr="00826C94">
              <w:t>Geneva Conventions of 12 August 1949</w:t>
            </w:r>
            <w:r w:rsidR="00A67EFD" w:rsidRPr="00826C94">
              <w:t xml:space="preserve"> and Additional Protocols</w:t>
            </w:r>
            <w:r w:rsidR="00826C94" w:rsidRPr="00826C94">
              <w:t xml:space="preserve"> </w:t>
            </w:r>
            <w:r w:rsidR="00A67EFD" w:rsidRPr="00826C94">
              <w:t>thereto</w:t>
            </w:r>
            <w:r w:rsidR="00350CFD" w:rsidRPr="00E44578">
              <w:rPr>
                <w:rStyle w:val="EndnoteReference"/>
              </w:rPr>
              <w:endnoteReference w:id="6"/>
            </w:r>
          </w:p>
        </w:tc>
        <w:tc>
          <w:tcPr>
            <w:tcW w:w="2409" w:type="dxa"/>
            <w:shd w:val="clear" w:color="auto" w:fill="auto"/>
          </w:tcPr>
          <w:p w:rsidR="00A02BFB" w:rsidRPr="00A02BFB" w:rsidRDefault="00A02BFB" w:rsidP="008B4D7D">
            <w:pPr>
              <w:spacing w:before="40" w:after="120"/>
              <w:ind w:right="113"/>
            </w:pPr>
          </w:p>
        </w:tc>
        <w:tc>
          <w:tcPr>
            <w:tcW w:w="2410" w:type="dxa"/>
            <w:shd w:val="clear" w:color="auto" w:fill="auto"/>
          </w:tcPr>
          <w:p w:rsidR="00A02BFB" w:rsidRPr="00A02BFB" w:rsidRDefault="00443877" w:rsidP="008B4D7D">
            <w:pPr>
              <w:spacing w:before="40" w:after="120"/>
              <w:ind w:right="113"/>
            </w:pPr>
            <w:r w:rsidRPr="00443877">
              <w:t>Rome Statute of the International Criminal Court</w:t>
            </w:r>
            <w:r>
              <w:rPr>
                <w:rStyle w:val="EndnoteReference"/>
              </w:rPr>
              <w:endnoteReference w:id="7"/>
            </w:r>
          </w:p>
        </w:tc>
      </w:tr>
      <w:tr w:rsidR="00443877" w:rsidRPr="00A02BFB" w:rsidTr="008B4D7D">
        <w:tc>
          <w:tcPr>
            <w:tcW w:w="2409" w:type="dxa"/>
            <w:shd w:val="clear" w:color="auto" w:fill="auto"/>
          </w:tcPr>
          <w:p w:rsidR="00443877" w:rsidRPr="00A02BFB" w:rsidRDefault="00443877" w:rsidP="008B4D7D">
            <w:pPr>
              <w:spacing w:before="40" w:after="120"/>
              <w:ind w:right="113"/>
            </w:pPr>
          </w:p>
        </w:tc>
        <w:tc>
          <w:tcPr>
            <w:tcW w:w="2409" w:type="dxa"/>
            <w:shd w:val="clear" w:color="auto" w:fill="auto"/>
          </w:tcPr>
          <w:p w:rsidR="00443877" w:rsidRPr="00826C94" w:rsidRDefault="00443877" w:rsidP="008B4D7D">
            <w:pPr>
              <w:spacing w:before="40" w:after="120"/>
              <w:ind w:right="113"/>
              <w:rPr>
                <w:strike/>
              </w:rPr>
            </w:pPr>
            <w:r w:rsidRPr="00826C94">
              <w:t>Conventions on refugees and stateless persons</w:t>
            </w:r>
            <w:r w:rsidRPr="00E44578">
              <w:rPr>
                <w:rStyle w:val="EndnoteReference"/>
              </w:rPr>
              <w:endnoteReference w:id="8"/>
            </w:r>
          </w:p>
        </w:tc>
        <w:tc>
          <w:tcPr>
            <w:tcW w:w="2409" w:type="dxa"/>
            <w:shd w:val="clear" w:color="auto" w:fill="auto"/>
          </w:tcPr>
          <w:p w:rsidR="00443877" w:rsidRPr="00A02BFB" w:rsidRDefault="00443877" w:rsidP="008B4D7D">
            <w:pPr>
              <w:spacing w:before="40" w:after="120"/>
              <w:ind w:right="113"/>
            </w:pPr>
          </w:p>
        </w:tc>
        <w:tc>
          <w:tcPr>
            <w:tcW w:w="2410" w:type="dxa"/>
            <w:shd w:val="clear" w:color="auto" w:fill="auto"/>
          </w:tcPr>
          <w:p w:rsidR="00443877" w:rsidRPr="00A02BFB" w:rsidRDefault="00443877" w:rsidP="008B4D7D">
            <w:pPr>
              <w:spacing w:before="40" w:after="120"/>
              <w:ind w:right="113"/>
            </w:pPr>
          </w:p>
        </w:tc>
      </w:tr>
      <w:tr w:rsidR="00443877" w:rsidRPr="00A02BFB" w:rsidTr="008B4D7D">
        <w:tc>
          <w:tcPr>
            <w:tcW w:w="2409" w:type="dxa"/>
            <w:shd w:val="clear" w:color="auto" w:fill="auto"/>
          </w:tcPr>
          <w:p w:rsidR="00443877" w:rsidRPr="00A02BFB" w:rsidRDefault="00443877" w:rsidP="008B4D7D">
            <w:pPr>
              <w:spacing w:before="40" w:after="120"/>
              <w:ind w:right="113"/>
            </w:pPr>
          </w:p>
        </w:tc>
        <w:tc>
          <w:tcPr>
            <w:tcW w:w="2409" w:type="dxa"/>
            <w:shd w:val="clear" w:color="auto" w:fill="auto"/>
          </w:tcPr>
          <w:p w:rsidR="00443877" w:rsidRPr="00826C94" w:rsidRDefault="00443877" w:rsidP="008B4D7D">
            <w:pPr>
              <w:spacing w:before="40" w:after="120"/>
              <w:ind w:right="113"/>
              <w:rPr>
                <w:strike/>
              </w:rPr>
            </w:pPr>
            <w:r w:rsidRPr="00826C94">
              <w:t>Palermo Protocol</w:t>
            </w:r>
            <w:r w:rsidRPr="00E44578">
              <w:rPr>
                <w:rStyle w:val="EndnoteReference"/>
              </w:rPr>
              <w:endnoteReference w:id="9"/>
            </w:r>
          </w:p>
        </w:tc>
        <w:tc>
          <w:tcPr>
            <w:tcW w:w="2409" w:type="dxa"/>
            <w:shd w:val="clear" w:color="auto" w:fill="auto"/>
          </w:tcPr>
          <w:p w:rsidR="00443877" w:rsidRPr="00A02BFB" w:rsidRDefault="00443877" w:rsidP="008B4D7D">
            <w:pPr>
              <w:spacing w:before="40" w:after="120"/>
              <w:ind w:right="113"/>
            </w:pPr>
          </w:p>
        </w:tc>
        <w:tc>
          <w:tcPr>
            <w:tcW w:w="2410" w:type="dxa"/>
            <w:shd w:val="clear" w:color="auto" w:fill="auto"/>
          </w:tcPr>
          <w:p w:rsidR="00443877" w:rsidRPr="00A02BFB" w:rsidRDefault="00443877" w:rsidP="008B4D7D">
            <w:pPr>
              <w:spacing w:before="40" w:after="120"/>
              <w:ind w:right="113"/>
            </w:pPr>
          </w:p>
        </w:tc>
      </w:tr>
      <w:tr w:rsidR="00443877" w:rsidRPr="00A02BFB" w:rsidTr="00545BFF">
        <w:tc>
          <w:tcPr>
            <w:tcW w:w="2409" w:type="dxa"/>
            <w:shd w:val="clear" w:color="auto" w:fill="auto"/>
          </w:tcPr>
          <w:p w:rsidR="00443877" w:rsidRPr="00A02BFB" w:rsidRDefault="00443877" w:rsidP="008B4D7D">
            <w:pPr>
              <w:spacing w:before="40" w:after="120"/>
              <w:ind w:right="113"/>
            </w:pPr>
          </w:p>
        </w:tc>
        <w:tc>
          <w:tcPr>
            <w:tcW w:w="2409" w:type="dxa"/>
            <w:shd w:val="clear" w:color="auto" w:fill="auto"/>
          </w:tcPr>
          <w:p w:rsidR="00443877" w:rsidRPr="00826C94" w:rsidRDefault="00443877" w:rsidP="008B4D7D">
            <w:pPr>
              <w:spacing w:before="40" w:after="120"/>
              <w:ind w:right="113"/>
            </w:pPr>
            <w:r w:rsidRPr="00826C94">
              <w:t>ILO fundamental Conventions</w:t>
            </w:r>
            <w:r w:rsidRPr="00E44578">
              <w:rPr>
                <w:rStyle w:val="EndnoteReference"/>
              </w:rPr>
              <w:endnoteReference w:id="10"/>
            </w:r>
          </w:p>
        </w:tc>
        <w:tc>
          <w:tcPr>
            <w:tcW w:w="2409" w:type="dxa"/>
            <w:shd w:val="clear" w:color="auto" w:fill="auto"/>
          </w:tcPr>
          <w:p w:rsidR="00443877" w:rsidRPr="00A02BFB" w:rsidRDefault="00443877" w:rsidP="008B4D7D">
            <w:pPr>
              <w:spacing w:before="40" w:after="120"/>
              <w:ind w:right="113"/>
            </w:pPr>
          </w:p>
        </w:tc>
        <w:tc>
          <w:tcPr>
            <w:tcW w:w="2410" w:type="dxa"/>
            <w:shd w:val="clear" w:color="auto" w:fill="auto"/>
          </w:tcPr>
          <w:p w:rsidR="00443877" w:rsidRPr="00A02BFB" w:rsidRDefault="00443877" w:rsidP="008B4D7D">
            <w:pPr>
              <w:spacing w:before="40" w:after="120"/>
              <w:ind w:right="113"/>
            </w:pPr>
          </w:p>
        </w:tc>
      </w:tr>
      <w:tr w:rsidR="00443877" w:rsidRPr="00A02BFB" w:rsidTr="00545BFF">
        <w:tc>
          <w:tcPr>
            <w:tcW w:w="2409" w:type="dxa"/>
            <w:tcBorders>
              <w:bottom w:val="single" w:sz="4" w:space="0" w:color="auto"/>
            </w:tcBorders>
            <w:shd w:val="clear" w:color="auto" w:fill="auto"/>
          </w:tcPr>
          <w:p w:rsidR="00443877" w:rsidRPr="00A02BFB" w:rsidRDefault="00443877" w:rsidP="008B4D7D">
            <w:pPr>
              <w:spacing w:before="40" w:after="120"/>
              <w:ind w:right="113"/>
            </w:pPr>
          </w:p>
        </w:tc>
        <w:tc>
          <w:tcPr>
            <w:tcW w:w="2409" w:type="dxa"/>
            <w:tcBorders>
              <w:bottom w:val="single" w:sz="4" w:space="0" w:color="auto"/>
            </w:tcBorders>
            <w:shd w:val="clear" w:color="auto" w:fill="auto"/>
          </w:tcPr>
          <w:p w:rsidR="00443877" w:rsidRPr="00443877" w:rsidRDefault="00443877" w:rsidP="008B4D7D">
            <w:pPr>
              <w:spacing w:before="40" w:after="120"/>
              <w:ind w:right="113"/>
            </w:pPr>
            <w:r w:rsidRPr="00443877">
              <w:t>Convention against Discrimination in Education</w:t>
            </w:r>
          </w:p>
        </w:tc>
        <w:tc>
          <w:tcPr>
            <w:tcW w:w="2409" w:type="dxa"/>
            <w:tcBorders>
              <w:bottom w:val="single" w:sz="4" w:space="0" w:color="auto"/>
            </w:tcBorders>
            <w:shd w:val="clear" w:color="auto" w:fill="auto"/>
          </w:tcPr>
          <w:p w:rsidR="00443877" w:rsidRPr="00A02BFB" w:rsidRDefault="00443877" w:rsidP="008B4D7D">
            <w:pPr>
              <w:spacing w:before="40" w:after="120"/>
              <w:ind w:right="113"/>
            </w:pPr>
          </w:p>
        </w:tc>
        <w:tc>
          <w:tcPr>
            <w:tcW w:w="2410" w:type="dxa"/>
            <w:tcBorders>
              <w:bottom w:val="single" w:sz="4" w:space="0" w:color="auto"/>
            </w:tcBorders>
            <w:shd w:val="clear" w:color="auto" w:fill="auto"/>
          </w:tcPr>
          <w:p w:rsidR="00443877" w:rsidRPr="00A02BFB" w:rsidRDefault="00443877" w:rsidP="008B4D7D">
            <w:pPr>
              <w:spacing w:before="40" w:after="120"/>
              <w:ind w:right="113"/>
            </w:pP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BF3A12">
        <w:rPr>
          <w:rStyle w:val="EndnoteReference"/>
          <w:b w:val="0"/>
        </w:rPr>
        <w:endnoteReference w:id="11"/>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rsidTr="008B4D7D">
        <w:tc>
          <w:tcPr>
            <w:tcW w:w="1928"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rsidTr="008B4D7D">
        <w:trPr>
          <w:trHeight w:hRule="exact" w:val="113"/>
        </w:trPr>
        <w:tc>
          <w:tcPr>
            <w:tcW w:w="1928" w:type="dxa"/>
            <w:shd w:val="clear" w:color="auto" w:fill="auto"/>
            <w:vAlign w:val="bottom"/>
          </w:tcPr>
          <w:p w:rsidR="00A02BFB" w:rsidRPr="008B4D7D" w:rsidRDefault="00A02BFB" w:rsidP="008B4D7D">
            <w:pPr>
              <w:spacing w:before="80" w:after="80" w:line="200" w:lineRule="exact"/>
              <w:ind w:right="113"/>
              <w:rPr>
                <w:i/>
                <w:sz w:val="16"/>
              </w:rPr>
            </w:pPr>
          </w:p>
        </w:tc>
        <w:tc>
          <w:tcPr>
            <w:tcW w:w="1928" w:type="dxa"/>
            <w:shd w:val="clear" w:color="auto" w:fill="auto"/>
            <w:vAlign w:val="bottom"/>
          </w:tcPr>
          <w:p w:rsidR="00A02BFB" w:rsidRPr="008B4D7D" w:rsidRDefault="00A02BFB" w:rsidP="008B4D7D">
            <w:pPr>
              <w:spacing w:before="80" w:after="80" w:line="200" w:lineRule="exact"/>
              <w:ind w:right="113"/>
              <w:rPr>
                <w:i/>
                <w:sz w:val="16"/>
              </w:rPr>
            </w:pPr>
          </w:p>
        </w:tc>
        <w:tc>
          <w:tcPr>
            <w:tcW w:w="1927" w:type="dxa"/>
            <w:shd w:val="clear" w:color="auto" w:fill="auto"/>
            <w:vAlign w:val="bottom"/>
          </w:tcPr>
          <w:p w:rsidR="00A02BFB" w:rsidRPr="008B4D7D" w:rsidRDefault="00A02BFB" w:rsidP="008B4D7D">
            <w:pPr>
              <w:spacing w:before="80" w:after="80" w:line="200" w:lineRule="exact"/>
              <w:ind w:right="113"/>
              <w:rPr>
                <w:i/>
                <w:sz w:val="16"/>
              </w:rPr>
            </w:pPr>
          </w:p>
        </w:tc>
        <w:tc>
          <w:tcPr>
            <w:tcW w:w="1927" w:type="dxa"/>
            <w:shd w:val="clear" w:color="auto" w:fill="auto"/>
            <w:vAlign w:val="bottom"/>
          </w:tcPr>
          <w:p w:rsidR="00A02BFB" w:rsidRPr="008B4D7D" w:rsidRDefault="00A02BFB" w:rsidP="008B4D7D">
            <w:pPr>
              <w:spacing w:before="80" w:after="80" w:line="200" w:lineRule="exact"/>
              <w:ind w:right="113"/>
              <w:rPr>
                <w:i/>
                <w:sz w:val="16"/>
              </w:rPr>
            </w:pPr>
          </w:p>
        </w:tc>
        <w:tc>
          <w:tcPr>
            <w:tcW w:w="1927" w:type="dxa"/>
            <w:shd w:val="clear" w:color="auto" w:fill="auto"/>
            <w:vAlign w:val="bottom"/>
          </w:tcPr>
          <w:p w:rsidR="00A02BFB" w:rsidRPr="008B4D7D" w:rsidRDefault="00A02BFB" w:rsidP="008B4D7D">
            <w:pPr>
              <w:spacing w:before="80" w:after="80" w:line="200" w:lineRule="exact"/>
              <w:ind w:right="113"/>
              <w:rPr>
                <w:i/>
                <w:sz w:val="16"/>
              </w:rPr>
            </w:pPr>
          </w:p>
        </w:tc>
      </w:tr>
      <w:tr w:rsidR="008B4D7D" w:rsidRPr="00A02BFB" w:rsidTr="008B4D7D">
        <w:tc>
          <w:tcPr>
            <w:tcW w:w="1928" w:type="dxa"/>
            <w:shd w:val="clear" w:color="auto" w:fill="auto"/>
          </w:tcPr>
          <w:p w:rsidR="00A02BFB" w:rsidRPr="00FA6583" w:rsidRDefault="00A02BFB" w:rsidP="0061444B">
            <w:pPr>
              <w:spacing w:before="40" w:after="120"/>
              <w:ind w:right="113"/>
            </w:pPr>
            <w:r w:rsidRPr="00FA6583">
              <w:t>CERD</w:t>
            </w:r>
          </w:p>
        </w:tc>
        <w:tc>
          <w:tcPr>
            <w:tcW w:w="1928" w:type="dxa"/>
            <w:shd w:val="clear" w:color="auto" w:fill="auto"/>
          </w:tcPr>
          <w:p w:rsidR="00A02BFB" w:rsidRPr="00FA6583" w:rsidRDefault="0005368A" w:rsidP="0061444B">
            <w:pPr>
              <w:spacing w:before="40" w:after="120"/>
              <w:ind w:right="113"/>
            </w:pPr>
            <w:r w:rsidRPr="00FA6583">
              <w:t>--</w:t>
            </w:r>
          </w:p>
        </w:tc>
        <w:tc>
          <w:tcPr>
            <w:tcW w:w="1927" w:type="dxa"/>
            <w:shd w:val="clear" w:color="auto" w:fill="auto"/>
          </w:tcPr>
          <w:p w:rsidR="00A02BFB" w:rsidRPr="00FA6583" w:rsidRDefault="00A84E22" w:rsidP="0061444B">
            <w:pPr>
              <w:spacing w:before="40" w:after="120"/>
              <w:ind w:right="113"/>
            </w:pPr>
            <w:r>
              <w:t>2021</w:t>
            </w:r>
          </w:p>
        </w:tc>
        <w:tc>
          <w:tcPr>
            <w:tcW w:w="1927" w:type="dxa"/>
            <w:shd w:val="clear" w:color="auto" w:fill="auto"/>
          </w:tcPr>
          <w:p w:rsidR="00A02BFB" w:rsidRPr="00FA6583" w:rsidRDefault="0005368A" w:rsidP="0061444B">
            <w:pPr>
              <w:spacing w:before="40" w:after="120"/>
              <w:ind w:right="113"/>
            </w:pPr>
            <w:r w:rsidRPr="00FA6583">
              <w:t>--</w:t>
            </w:r>
          </w:p>
        </w:tc>
        <w:tc>
          <w:tcPr>
            <w:tcW w:w="1927" w:type="dxa"/>
            <w:shd w:val="clear" w:color="auto" w:fill="auto"/>
          </w:tcPr>
          <w:p w:rsidR="00A02BFB" w:rsidRPr="00FA6583" w:rsidRDefault="0005368A" w:rsidP="0061444B">
            <w:pPr>
              <w:spacing w:before="40" w:after="120"/>
              <w:ind w:right="113"/>
            </w:pPr>
            <w:r w:rsidRPr="00FA6583">
              <w:t xml:space="preserve">Fifth report </w:t>
            </w:r>
            <w:r w:rsidR="00A84E22">
              <w:t>pending consideration</w:t>
            </w:r>
            <w:r w:rsidRPr="00FA6583">
              <w:t>.</w:t>
            </w:r>
          </w:p>
        </w:tc>
      </w:tr>
      <w:tr w:rsidR="008B4D7D" w:rsidRPr="00A02BFB" w:rsidTr="008B4D7D">
        <w:tc>
          <w:tcPr>
            <w:tcW w:w="1928" w:type="dxa"/>
            <w:shd w:val="clear" w:color="auto" w:fill="auto"/>
          </w:tcPr>
          <w:p w:rsidR="00A02BFB" w:rsidRPr="00FA6583" w:rsidRDefault="00A02BFB" w:rsidP="0061444B">
            <w:pPr>
              <w:spacing w:before="40" w:after="120"/>
              <w:ind w:right="113"/>
            </w:pPr>
            <w:r w:rsidRPr="00FA6583">
              <w:t>CESCR</w:t>
            </w:r>
          </w:p>
        </w:tc>
        <w:tc>
          <w:tcPr>
            <w:tcW w:w="1928" w:type="dxa"/>
            <w:shd w:val="clear" w:color="auto" w:fill="auto"/>
          </w:tcPr>
          <w:p w:rsidR="00A02BFB" w:rsidRPr="00FA6583" w:rsidRDefault="00B72FDB" w:rsidP="0061444B">
            <w:pPr>
              <w:spacing w:before="40" w:after="120"/>
              <w:ind w:right="113"/>
            </w:pPr>
            <w:r w:rsidRPr="00FA6583">
              <w:t>--</w:t>
            </w:r>
          </w:p>
        </w:tc>
        <w:tc>
          <w:tcPr>
            <w:tcW w:w="1927" w:type="dxa"/>
            <w:shd w:val="clear" w:color="auto" w:fill="auto"/>
          </w:tcPr>
          <w:p w:rsidR="00A02BFB" w:rsidRPr="00FA6583" w:rsidRDefault="00B72FDB" w:rsidP="0061444B">
            <w:pPr>
              <w:spacing w:before="40" w:after="120"/>
              <w:ind w:right="113"/>
            </w:pPr>
            <w:r w:rsidRPr="00FA6583">
              <w:t>--</w:t>
            </w:r>
          </w:p>
        </w:tc>
        <w:tc>
          <w:tcPr>
            <w:tcW w:w="1927" w:type="dxa"/>
            <w:shd w:val="clear" w:color="auto" w:fill="auto"/>
          </w:tcPr>
          <w:p w:rsidR="00A02BFB" w:rsidRPr="00FA6583" w:rsidRDefault="00B72FDB" w:rsidP="0061444B">
            <w:pPr>
              <w:spacing w:before="40" w:after="120"/>
              <w:ind w:right="113"/>
            </w:pPr>
            <w:r w:rsidRPr="00FA6583">
              <w:t>--</w:t>
            </w:r>
          </w:p>
        </w:tc>
        <w:tc>
          <w:tcPr>
            <w:tcW w:w="1927" w:type="dxa"/>
            <w:shd w:val="clear" w:color="auto" w:fill="auto"/>
          </w:tcPr>
          <w:p w:rsidR="00A02BFB" w:rsidRPr="00FA6583" w:rsidRDefault="00B72FDB" w:rsidP="0061444B">
            <w:pPr>
              <w:spacing w:before="40" w:after="120"/>
              <w:ind w:right="113"/>
            </w:pPr>
            <w:r w:rsidRPr="00FA6583">
              <w:t>Second report overdue since 1998.</w:t>
            </w:r>
          </w:p>
        </w:tc>
      </w:tr>
      <w:tr w:rsidR="008B4D7D" w:rsidRPr="00A02BFB" w:rsidTr="008B4D7D">
        <w:tc>
          <w:tcPr>
            <w:tcW w:w="1928" w:type="dxa"/>
            <w:shd w:val="clear" w:color="auto" w:fill="auto"/>
          </w:tcPr>
          <w:p w:rsidR="00A02BFB" w:rsidRPr="00FA6583" w:rsidRDefault="00A02BFB" w:rsidP="0061444B">
            <w:pPr>
              <w:spacing w:before="40" w:after="120"/>
              <w:ind w:right="113"/>
            </w:pPr>
            <w:r w:rsidRPr="00FA6583">
              <w:t>HR Committee</w:t>
            </w:r>
          </w:p>
        </w:tc>
        <w:tc>
          <w:tcPr>
            <w:tcW w:w="1928" w:type="dxa"/>
            <w:shd w:val="clear" w:color="auto" w:fill="auto"/>
          </w:tcPr>
          <w:p w:rsidR="00A02BFB" w:rsidRPr="00FA6583" w:rsidRDefault="005C2E7B" w:rsidP="0061444B">
            <w:pPr>
              <w:spacing w:before="40" w:after="120"/>
              <w:ind w:right="113"/>
            </w:pPr>
            <w:r w:rsidRPr="00FA6583">
              <w:t>--</w:t>
            </w:r>
          </w:p>
        </w:tc>
        <w:tc>
          <w:tcPr>
            <w:tcW w:w="1927" w:type="dxa"/>
            <w:shd w:val="clear" w:color="auto" w:fill="auto"/>
          </w:tcPr>
          <w:p w:rsidR="00A02BFB" w:rsidRPr="00FA6583" w:rsidRDefault="005C2E7B" w:rsidP="0061444B">
            <w:pPr>
              <w:spacing w:before="40" w:after="120"/>
              <w:ind w:right="113"/>
            </w:pPr>
            <w:r w:rsidRPr="00FA6583">
              <w:t>--</w:t>
            </w:r>
          </w:p>
        </w:tc>
        <w:tc>
          <w:tcPr>
            <w:tcW w:w="1927" w:type="dxa"/>
            <w:shd w:val="clear" w:color="auto" w:fill="auto"/>
          </w:tcPr>
          <w:p w:rsidR="00A02BFB" w:rsidRPr="00FA6583" w:rsidRDefault="005C2E7B" w:rsidP="0061444B">
            <w:pPr>
              <w:spacing w:before="40" w:after="120"/>
              <w:ind w:right="113"/>
            </w:pPr>
            <w:r w:rsidRPr="00FA6583">
              <w:t>--</w:t>
            </w:r>
          </w:p>
        </w:tc>
        <w:tc>
          <w:tcPr>
            <w:tcW w:w="1927" w:type="dxa"/>
            <w:shd w:val="clear" w:color="auto" w:fill="auto"/>
          </w:tcPr>
          <w:p w:rsidR="00A02BFB" w:rsidRPr="00FA6583" w:rsidRDefault="005C2E7B" w:rsidP="0061444B">
            <w:pPr>
              <w:spacing w:before="40" w:after="120"/>
              <w:ind w:right="113"/>
            </w:pPr>
            <w:r w:rsidRPr="00FA6583">
              <w:t>Second report due on 26 November 2021. Initially overdue since 2002.</w:t>
            </w:r>
          </w:p>
        </w:tc>
      </w:tr>
      <w:tr w:rsidR="008B4D7D" w:rsidRPr="00A02BFB" w:rsidTr="008B4D7D">
        <w:tc>
          <w:tcPr>
            <w:tcW w:w="1928" w:type="dxa"/>
            <w:shd w:val="clear" w:color="auto" w:fill="auto"/>
          </w:tcPr>
          <w:p w:rsidR="00A02BFB" w:rsidRPr="00FA6583" w:rsidRDefault="00A02BFB" w:rsidP="0061444B">
            <w:pPr>
              <w:spacing w:before="40" w:after="120"/>
              <w:ind w:right="113"/>
            </w:pPr>
            <w:r w:rsidRPr="00FA6583">
              <w:t>CEDAW</w:t>
            </w:r>
          </w:p>
        </w:tc>
        <w:tc>
          <w:tcPr>
            <w:tcW w:w="1928" w:type="dxa"/>
            <w:shd w:val="clear" w:color="auto" w:fill="auto"/>
          </w:tcPr>
          <w:p w:rsidR="00A02BFB" w:rsidRPr="00FA6583" w:rsidRDefault="00520462" w:rsidP="0061444B">
            <w:pPr>
              <w:spacing w:before="40" w:after="120"/>
              <w:ind w:right="113"/>
            </w:pPr>
            <w:r w:rsidRPr="00FA6583">
              <w:t>February 2012</w:t>
            </w:r>
          </w:p>
        </w:tc>
        <w:tc>
          <w:tcPr>
            <w:tcW w:w="1927" w:type="dxa"/>
            <w:shd w:val="clear" w:color="auto" w:fill="auto"/>
          </w:tcPr>
          <w:p w:rsidR="00A02BFB" w:rsidRPr="00FA6583" w:rsidRDefault="00520462" w:rsidP="0061444B">
            <w:pPr>
              <w:spacing w:before="40" w:after="120"/>
              <w:ind w:right="113"/>
            </w:pPr>
            <w:r w:rsidRPr="00FA6583">
              <w:t>2018</w:t>
            </w:r>
          </w:p>
        </w:tc>
        <w:tc>
          <w:tcPr>
            <w:tcW w:w="1927" w:type="dxa"/>
            <w:shd w:val="clear" w:color="auto" w:fill="auto"/>
          </w:tcPr>
          <w:p w:rsidR="00A02BFB" w:rsidRPr="00FA6583" w:rsidRDefault="00520462" w:rsidP="0061444B">
            <w:pPr>
              <w:spacing w:before="40" w:after="120"/>
              <w:ind w:right="113"/>
            </w:pPr>
            <w:r w:rsidRPr="00FA6583">
              <w:t>February 2020</w:t>
            </w:r>
          </w:p>
        </w:tc>
        <w:tc>
          <w:tcPr>
            <w:tcW w:w="1927" w:type="dxa"/>
            <w:shd w:val="clear" w:color="auto" w:fill="auto"/>
          </w:tcPr>
          <w:p w:rsidR="00A02BFB" w:rsidRPr="00FA6583" w:rsidRDefault="00520462" w:rsidP="0061444B">
            <w:pPr>
              <w:spacing w:before="40" w:after="120"/>
              <w:ind w:right="113"/>
            </w:pPr>
            <w:r w:rsidRPr="00FA6583">
              <w:t>Seventh report due in 2024.</w:t>
            </w:r>
          </w:p>
        </w:tc>
      </w:tr>
      <w:tr w:rsidR="008B4D7D" w:rsidRPr="00A02BFB" w:rsidTr="008B4D7D">
        <w:tc>
          <w:tcPr>
            <w:tcW w:w="1928" w:type="dxa"/>
            <w:shd w:val="clear" w:color="auto" w:fill="auto"/>
          </w:tcPr>
          <w:p w:rsidR="00A02BFB" w:rsidRPr="00FA6583" w:rsidRDefault="00A02BFB" w:rsidP="0061444B">
            <w:pPr>
              <w:spacing w:before="40" w:after="120"/>
              <w:ind w:right="113"/>
            </w:pPr>
            <w:r w:rsidRPr="00FA6583">
              <w:t>CRC</w:t>
            </w:r>
          </w:p>
        </w:tc>
        <w:tc>
          <w:tcPr>
            <w:tcW w:w="1928" w:type="dxa"/>
            <w:shd w:val="clear" w:color="auto" w:fill="auto"/>
          </w:tcPr>
          <w:p w:rsidR="00A02BFB" w:rsidRPr="00FA6583" w:rsidRDefault="00B72FDB" w:rsidP="0061444B">
            <w:pPr>
              <w:spacing w:before="40" w:after="120"/>
              <w:ind w:right="113"/>
            </w:pPr>
            <w:r w:rsidRPr="00FA6583">
              <w:t>January 2016</w:t>
            </w:r>
          </w:p>
        </w:tc>
        <w:tc>
          <w:tcPr>
            <w:tcW w:w="1927" w:type="dxa"/>
            <w:shd w:val="clear" w:color="auto" w:fill="auto"/>
          </w:tcPr>
          <w:p w:rsidR="00A02BFB" w:rsidRPr="00FA6583" w:rsidRDefault="00B72FDB" w:rsidP="0061444B">
            <w:pPr>
              <w:spacing w:before="40" w:after="120"/>
              <w:ind w:right="113"/>
            </w:pPr>
            <w:r w:rsidRPr="00FA6583">
              <w:t>--</w:t>
            </w:r>
          </w:p>
        </w:tc>
        <w:tc>
          <w:tcPr>
            <w:tcW w:w="1927" w:type="dxa"/>
            <w:shd w:val="clear" w:color="auto" w:fill="auto"/>
          </w:tcPr>
          <w:p w:rsidR="00A02BFB" w:rsidRPr="00FA6583" w:rsidRDefault="00B72FDB" w:rsidP="0061444B">
            <w:pPr>
              <w:spacing w:before="40" w:after="120"/>
              <w:ind w:right="113"/>
            </w:pPr>
            <w:r w:rsidRPr="00FA6583">
              <w:t>--</w:t>
            </w:r>
          </w:p>
        </w:tc>
        <w:tc>
          <w:tcPr>
            <w:tcW w:w="1927" w:type="dxa"/>
            <w:shd w:val="clear" w:color="auto" w:fill="auto"/>
          </w:tcPr>
          <w:p w:rsidR="00A02BFB" w:rsidRPr="00FA6583" w:rsidRDefault="00B72FDB" w:rsidP="0061444B">
            <w:pPr>
              <w:spacing w:before="40" w:after="120"/>
              <w:ind w:right="113"/>
            </w:pPr>
            <w:r w:rsidRPr="00FA6583">
              <w:t>Third to seventh reports overdue since April 2021.</w:t>
            </w:r>
            <w:r w:rsidR="00FA6583" w:rsidRPr="00FA6583">
              <w:t xml:space="preserve"> Initial reports to OP-CRC-SC and OP-CRC-AC overdue since 2014 and 2015, respectively.</w:t>
            </w:r>
          </w:p>
        </w:tc>
      </w:tr>
      <w:tr w:rsidR="008B4D7D" w:rsidRPr="00A02BFB" w:rsidTr="008B4D7D">
        <w:tc>
          <w:tcPr>
            <w:tcW w:w="1928" w:type="dxa"/>
            <w:tcBorders>
              <w:bottom w:val="single" w:sz="12" w:space="0" w:color="auto"/>
            </w:tcBorders>
            <w:shd w:val="clear" w:color="auto" w:fill="auto"/>
          </w:tcPr>
          <w:p w:rsidR="00A02BFB" w:rsidRPr="00FA6583" w:rsidRDefault="00A02BFB" w:rsidP="0061444B">
            <w:pPr>
              <w:spacing w:before="40" w:after="120"/>
              <w:ind w:right="113"/>
            </w:pPr>
            <w:r w:rsidRPr="00FA6583">
              <w:t>C</w:t>
            </w:r>
            <w:r w:rsidR="00CB4E32" w:rsidRPr="00FA6583">
              <w:t>RP</w:t>
            </w:r>
            <w:r w:rsidRPr="00FA6583">
              <w:t>D</w:t>
            </w:r>
          </w:p>
        </w:tc>
        <w:tc>
          <w:tcPr>
            <w:tcW w:w="1928" w:type="dxa"/>
            <w:tcBorders>
              <w:bottom w:val="single" w:sz="12" w:space="0" w:color="auto"/>
            </w:tcBorders>
            <w:shd w:val="clear" w:color="auto" w:fill="auto"/>
          </w:tcPr>
          <w:p w:rsidR="00A02BFB" w:rsidRPr="00FA6583" w:rsidRDefault="00FA6583" w:rsidP="0061444B">
            <w:pPr>
              <w:spacing w:before="40" w:after="120"/>
              <w:ind w:right="113"/>
            </w:pPr>
            <w:r w:rsidRPr="00FA6583">
              <w:t>--</w:t>
            </w:r>
          </w:p>
        </w:tc>
        <w:tc>
          <w:tcPr>
            <w:tcW w:w="1927" w:type="dxa"/>
            <w:tcBorders>
              <w:bottom w:val="single" w:sz="12" w:space="0" w:color="auto"/>
            </w:tcBorders>
            <w:shd w:val="clear" w:color="auto" w:fill="auto"/>
          </w:tcPr>
          <w:p w:rsidR="00A02BFB" w:rsidRPr="00FA6583" w:rsidRDefault="00FA6583" w:rsidP="0061444B">
            <w:pPr>
              <w:spacing w:before="40" w:after="120"/>
              <w:ind w:right="113"/>
            </w:pPr>
            <w:r w:rsidRPr="00FA6583">
              <w:t>--</w:t>
            </w:r>
          </w:p>
        </w:tc>
        <w:tc>
          <w:tcPr>
            <w:tcW w:w="1927" w:type="dxa"/>
            <w:tcBorders>
              <w:bottom w:val="single" w:sz="12" w:space="0" w:color="auto"/>
            </w:tcBorders>
            <w:shd w:val="clear" w:color="auto" w:fill="auto"/>
          </w:tcPr>
          <w:p w:rsidR="00A02BFB" w:rsidRPr="00FA6583" w:rsidRDefault="00FA6583" w:rsidP="0061444B">
            <w:pPr>
              <w:spacing w:before="40" w:after="120"/>
              <w:ind w:right="113"/>
            </w:pPr>
            <w:r w:rsidRPr="00FA6583">
              <w:t>--</w:t>
            </w:r>
          </w:p>
        </w:tc>
        <w:tc>
          <w:tcPr>
            <w:tcW w:w="1927" w:type="dxa"/>
            <w:tcBorders>
              <w:bottom w:val="single" w:sz="12" w:space="0" w:color="auto"/>
            </w:tcBorders>
            <w:shd w:val="clear" w:color="auto" w:fill="auto"/>
          </w:tcPr>
          <w:p w:rsidR="00A02BFB" w:rsidRPr="00FA6583" w:rsidRDefault="00FA6583" w:rsidP="0061444B">
            <w:pPr>
              <w:spacing w:before="40" w:after="120"/>
              <w:ind w:right="113"/>
            </w:pPr>
            <w:r w:rsidRPr="00FA6583">
              <w:t>Initial report overdue since 2015.</w:t>
            </w:r>
          </w:p>
        </w:tc>
      </w:tr>
    </w:tbl>
    <w:p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3E19D9" w:rsidTr="008B4D7D">
        <w:tc>
          <w:tcPr>
            <w:tcW w:w="2409" w:type="dxa"/>
            <w:tcBorders>
              <w:top w:val="single" w:sz="4" w:space="0" w:color="auto"/>
              <w:bottom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r w:rsidRPr="008B4D7D">
              <w:rPr>
                <w:i/>
                <w:sz w:val="16"/>
              </w:rPr>
              <w:t>Treaty body</w:t>
            </w:r>
          </w:p>
        </w:tc>
        <w:tc>
          <w:tcPr>
            <w:tcW w:w="2409" w:type="dxa"/>
            <w:tcBorders>
              <w:top w:val="single" w:sz="4" w:space="0" w:color="auto"/>
              <w:bottom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r w:rsidRPr="008B4D7D">
              <w:rPr>
                <w:i/>
                <w:sz w:val="16"/>
              </w:rPr>
              <w:t>Due in</w:t>
            </w:r>
          </w:p>
        </w:tc>
        <w:tc>
          <w:tcPr>
            <w:tcW w:w="2409" w:type="dxa"/>
            <w:tcBorders>
              <w:top w:val="single" w:sz="4" w:space="0" w:color="auto"/>
              <w:bottom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r w:rsidRPr="008B4D7D">
              <w:rPr>
                <w:i/>
                <w:sz w:val="16"/>
              </w:rPr>
              <w:t>Subject matter</w:t>
            </w:r>
          </w:p>
        </w:tc>
        <w:tc>
          <w:tcPr>
            <w:tcW w:w="2410" w:type="dxa"/>
            <w:tcBorders>
              <w:top w:val="single" w:sz="4" w:space="0" w:color="auto"/>
              <w:bottom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r w:rsidRPr="008B4D7D">
              <w:rPr>
                <w:i/>
                <w:sz w:val="16"/>
              </w:rPr>
              <w:t>Submitted</w:t>
            </w:r>
          </w:p>
        </w:tc>
      </w:tr>
      <w:tr w:rsidR="003E19D9" w:rsidRPr="003E19D9" w:rsidTr="008B4D7D">
        <w:trPr>
          <w:trHeight w:hRule="exact" w:val="113"/>
        </w:trPr>
        <w:tc>
          <w:tcPr>
            <w:tcW w:w="2409" w:type="dxa"/>
            <w:tcBorders>
              <w:top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rsidR="003E19D9" w:rsidRPr="008B4D7D" w:rsidRDefault="003E19D9" w:rsidP="008B4D7D">
            <w:pPr>
              <w:spacing w:before="80" w:after="80" w:line="200" w:lineRule="exact"/>
              <w:ind w:right="113"/>
              <w:rPr>
                <w:i/>
                <w:sz w:val="16"/>
              </w:rPr>
            </w:pPr>
          </w:p>
        </w:tc>
      </w:tr>
      <w:tr w:rsidR="00FA6583" w:rsidRPr="003E19D9" w:rsidTr="008B4D7D">
        <w:tc>
          <w:tcPr>
            <w:tcW w:w="2409" w:type="dxa"/>
            <w:tcBorders>
              <w:bottom w:val="single" w:sz="12" w:space="0" w:color="auto"/>
            </w:tcBorders>
            <w:shd w:val="clear" w:color="auto" w:fill="auto"/>
          </w:tcPr>
          <w:p w:rsidR="00FA6583" w:rsidRPr="00FA6583" w:rsidRDefault="00FA6583" w:rsidP="0061444B">
            <w:pPr>
              <w:spacing w:before="40" w:after="120"/>
              <w:ind w:right="113"/>
            </w:pPr>
            <w:r w:rsidRPr="00FA6583">
              <w:lastRenderedPageBreak/>
              <w:t>CEDAW</w:t>
            </w:r>
          </w:p>
        </w:tc>
        <w:tc>
          <w:tcPr>
            <w:tcW w:w="2409" w:type="dxa"/>
            <w:tcBorders>
              <w:bottom w:val="single" w:sz="12" w:space="0" w:color="auto"/>
            </w:tcBorders>
            <w:shd w:val="clear" w:color="auto" w:fill="auto"/>
          </w:tcPr>
          <w:p w:rsidR="00FA6583" w:rsidRPr="00FA6583" w:rsidRDefault="00FA6583" w:rsidP="0061444B">
            <w:pPr>
              <w:spacing w:before="40" w:after="120"/>
              <w:ind w:right="113"/>
            </w:pPr>
            <w:r w:rsidRPr="00FA6583">
              <w:t>2022</w:t>
            </w:r>
          </w:p>
        </w:tc>
        <w:tc>
          <w:tcPr>
            <w:tcW w:w="2409" w:type="dxa"/>
            <w:tcBorders>
              <w:bottom w:val="single" w:sz="12" w:space="0" w:color="auto"/>
            </w:tcBorders>
            <w:shd w:val="clear" w:color="auto" w:fill="auto"/>
          </w:tcPr>
          <w:p w:rsidR="00FA6583" w:rsidRPr="00FA6583" w:rsidRDefault="00FA6583" w:rsidP="0061444B">
            <w:pPr>
              <w:spacing w:before="40" w:after="120"/>
              <w:ind w:right="113"/>
            </w:pPr>
            <w:r w:rsidRPr="00FA6583">
              <w:t>Involvement of women at all stages of peace and reconciliation processes, including in decision-making; gender-based violence against women; and amend the Trafficking in Persons Act.</w:t>
            </w:r>
            <w:r w:rsidRPr="0061444B">
              <w:rPr>
                <w:rStyle w:val="EndnoteReference"/>
              </w:rPr>
              <w:endnoteReference w:id="12"/>
            </w:r>
          </w:p>
        </w:tc>
        <w:tc>
          <w:tcPr>
            <w:tcW w:w="2410" w:type="dxa"/>
            <w:tcBorders>
              <w:bottom w:val="single" w:sz="12" w:space="0" w:color="auto"/>
            </w:tcBorders>
            <w:shd w:val="clear" w:color="auto" w:fill="auto"/>
          </w:tcPr>
          <w:p w:rsidR="00FA6583" w:rsidRPr="00FA6583" w:rsidRDefault="00FA6583" w:rsidP="0061444B">
            <w:pPr>
              <w:spacing w:before="40" w:after="120"/>
              <w:ind w:right="113"/>
            </w:pPr>
            <w:r w:rsidRPr="00FA6583">
              <w:t>--</w:t>
            </w:r>
          </w:p>
        </w:tc>
      </w:tr>
    </w:tbl>
    <w:p w:rsidR="00A02BFB" w:rsidRDefault="00A02BFB" w:rsidP="00676C10">
      <w:pPr>
        <w:pStyle w:val="H1G"/>
      </w:pPr>
      <w:r w:rsidRPr="00A02BFB">
        <w:tab/>
        <w:t>B.</w:t>
      </w:r>
      <w:r w:rsidRPr="00A02BFB">
        <w:tab/>
        <w:t>Cooperation with special procedures</w:t>
      </w:r>
      <w:r w:rsidRPr="00BF3A12">
        <w:rPr>
          <w:rStyle w:val="EndnoteReference"/>
          <w:b w:val="0"/>
        </w:rPr>
        <w:endnoteReference w:id="1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rsidTr="008B4D7D">
        <w:tc>
          <w:tcPr>
            <w:tcW w:w="3211" w:type="dxa"/>
            <w:tcBorders>
              <w:top w:val="single" w:sz="4" w:space="0" w:color="auto"/>
              <w:bottom w:val="single" w:sz="12" w:space="0" w:color="auto"/>
            </w:tcBorders>
            <w:shd w:val="clear" w:color="auto" w:fill="auto"/>
            <w:vAlign w:val="bottom"/>
          </w:tcPr>
          <w:p w:rsidR="009E78E3" w:rsidRPr="008B4D7D"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rsidR="009E78E3" w:rsidRPr="008B4D7D" w:rsidRDefault="009E78E3" w:rsidP="008B4D7D">
            <w:pPr>
              <w:spacing w:before="80" w:after="80" w:line="200" w:lineRule="exact"/>
              <w:ind w:right="113"/>
              <w:rPr>
                <w:i/>
                <w:sz w:val="16"/>
              </w:rPr>
            </w:pPr>
            <w:r w:rsidRPr="008B4D7D">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rsidTr="008B4D7D">
        <w:trPr>
          <w:trHeight w:hRule="exact" w:val="113"/>
        </w:trPr>
        <w:tc>
          <w:tcPr>
            <w:tcW w:w="3211" w:type="dxa"/>
            <w:tcBorders>
              <w:top w:val="single" w:sz="12" w:space="0" w:color="auto"/>
            </w:tcBorders>
            <w:shd w:val="clear" w:color="auto" w:fill="auto"/>
            <w:vAlign w:val="bottom"/>
          </w:tcPr>
          <w:p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8B4D7D" w:rsidRDefault="009E78E3" w:rsidP="008B4D7D">
            <w:pPr>
              <w:spacing w:before="80" w:after="80" w:line="200" w:lineRule="exact"/>
              <w:ind w:right="113"/>
              <w:rPr>
                <w:i/>
                <w:sz w:val="16"/>
              </w:rPr>
            </w:pPr>
          </w:p>
        </w:tc>
      </w:tr>
      <w:tr w:rsidR="003E33AE" w:rsidRPr="009E78E3" w:rsidTr="008B4D7D">
        <w:tc>
          <w:tcPr>
            <w:tcW w:w="3211" w:type="dxa"/>
            <w:shd w:val="clear" w:color="auto" w:fill="auto"/>
          </w:tcPr>
          <w:p w:rsidR="003E33AE" w:rsidRPr="008B4D7D" w:rsidRDefault="003E33AE" w:rsidP="008B4D7D">
            <w:pPr>
              <w:spacing w:before="40" w:after="120"/>
              <w:ind w:right="113"/>
              <w:rPr>
                <w:i/>
              </w:rPr>
            </w:pPr>
            <w:r w:rsidRPr="008B4D7D">
              <w:rPr>
                <w:i/>
              </w:rPr>
              <w:t>Standing invitations</w:t>
            </w:r>
          </w:p>
        </w:tc>
        <w:tc>
          <w:tcPr>
            <w:tcW w:w="3213" w:type="dxa"/>
            <w:shd w:val="clear" w:color="auto" w:fill="auto"/>
          </w:tcPr>
          <w:p w:rsidR="003E33AE" w:rsidRPr="00D75C61" w:rsidRDefault="003E33AE" w:rsidP="008B4D7D">
            <w:pPr>
              <w:spacing w:before="40" w:after="120"/>
              <w:ind w:right="113"/>
            </w:pPr>
            <w:r w:rsidRPr="00D75C61">
              <w:t>No</w:t>
            </w:r>
          </w:p>
        </w:tc>
        <w:tc>
          <w:tcPr>
            <w:tcW w:w="3213" w:type="dxa"/>
            <w:shd w:val="clear" w:color="auto" w:fill="auto"/>
          </w:tcPr>
          <w:p w:rsidR="003E33AE" w:rsidRPr="00D75C61" w:rsidRDefault="006C758D" w:rsidP="008B4D7D">
            <w:pPr>
              <w:spacing w:before="40" w:after="120"/>
              <w:ind w:right="113"/>
            </w:pPr>
            <w:r>
              <w:t>No</w:t>
            </w:r>
          </w:p>
        </w:tc>
      </w:tr>
      <w:tr w:rsidR="009E78E3" w:rsidRPr="009E78E3" w:rsidTr="008B4D7D">
        <w:tc>
          <w:tcPr>
            <w:tcW w:w="3211" w:type="dxa"/>
            <w:shd w:val="clear" w:color="auto" w:fill="auto"/>
          </w:tcPr>
          <w:p w:rsidR="003E33AE" w:rsidRPr="008B4D7D" w:rsidRDefault="003E33AE" w:rsidP="008B4D7D">
            <w:pPr>
              <w:spacing w:before="40" w:after="120"/>
              <w:ind w:right="113"/>
              <w:rPr>
                <w:i/>
              </w:rPr>
            </w:pPr>
            <w:r w:rsidRPr="008B4D7D">
              <w:rPr>
                <w:i/>
              </w:rPr>
              <w:t>Visits undertaken</w:t>
            </w:r>
          </w:p>
        </w:tc>
        <w:tc>
          <w:tcPr>
            <w:tcW w:w="3213" w:type="dxa"/>
            <w:shd w:val="clear" w:color="auto" w:fill="auto"/>
          </w:tcPr>
          <w:p w:rsidR="003E6998" w:rsidRPr="00D75C61" w:rsidRDefault="003E6998" w:rsidP="008B4D7D">
            <w:pPr>
              <w:spacing w:before="40" w:after="120"/>
              <w:ind w:right="113"/>
            </w:pPr>
          </w:p>
        </w:tc>
        <w:tc>
          <w:tcPr>
            <w:tcW w:w="3213" w:type="dxa"/>
            <w:shd w:val="clear" w:color="auto" w:fill="auto"/>
          </w:tcPr>
          <w:p w:rsidR="00B52878" w:rsidRDefault="00B52878" w:rsidP="00D93977">
            <w:pPr>
              <w:spacing w:before="40"/>
              <w:ind w:right="113"/>
            </w:pPr>
            <w:r>
              <w:t>Association and assembly</w:t>
            </w:r>
          </w:p>
          <w:p w:rsidR="003E6998" w:rsidRPr="00D75C61" w:rsidRDefault="003E6998" w:rsidP="0061444B">
            <w:pPr>
              <w:spacing w:before="40"/>
              <w:ind w:right="113"/>
            </w:pPr>
            <w:r w:rsidRPr="00D75C61">
              <w:t>Food</w:t>
            </w:r>
          </w:p>
          <w:p w:rsidR="003E6998" w:rsidRPr="00D75C61" w:rsidRDefault="003E6998" w:rsidP="0061444B">
            <w:pPr>
              <w:spacing w:before="40"/>
              <w:ind w:right="113"/>
            </w:pPr>
            <w:r w:rsidRPr="00D75C61">
              <w:t>Foreign debts</w:t>
            </w:r>
          </w:p>
          <w:p w:rsidR="003E6998" w:rsidRPr="00D75C61" w:rsidRDefault="003E6998" w:rsidP="0061444B">
            <w:pPr>
              <w:spacing w:before="40"/>
              <w:ind w:right="113"/>
            </w:pPr>
            <w:r w:rsidRPr="00D75C61">
              <w:t>Freedom of opinion and expression</w:t>
            </w:r>
          </w:p>
          <w:p w:rsidR="003E6998" w:rsidRPr="00D75C61" w:rsidRDefault="003E6998" w:rsidP="0061444B">
            <w:pPr>
              <w:spacing w:before="40"/>
              <w:ind w:right="113"/>
            </w:pPr>
            <w:r w:rsidRPr="00D75C61">
              <w:t>Freedom of peaceful assembly and association</w:t>
            </w:r>
          </w:p>
        </w:tc>
      </w:tr>
      <w:tr w:rsidR="009E78E3" w:rsidRPr="009E78E3" w:rsidTr="008B4D7D">
        <w:tc>
          <w:tcPr>
            <w:tcW w:w="3211" w:type="dxa"/>
            <w:shd w:val="clear" w:color="auto" w:fill="auto"/>
          </w:tcPr>
          <w:p w:rsidR="009E78E3" w:rsidRPr="00D75C61" w:rsidRDefault="003E6998" w:rsidP="0061444B">
            <w:pPr>
              <w:spacing w:before="120" w:after="120"/>
              <w:ind w:right="113"/>
            </w:pPr>
            <w:r w:rsidRPr="00D75C61">
              <w:t>Visits agreed to in principle</w:t>
            </w:r>
          </w:p>
        </w:tc>
        <w:tc>
          <w:tcPr>
            <w:tcW w:w="3213" w:type="dxa"/>
            <w:shd w:val="clear" w:color="auto" w:fill="auto"/>
          </w:tcPr>
          <w:p w:rsidR="009E78E3" w:rsidRPr="00D75C61" w:rsidRDefault="009E78E3" w:rsidP="0061444B">
            <w:pPr>
              <w:spacing w:before="120"/>
            </w:pPr>
          </w:p>
        </w:tc>
        <w:tc>
          <w:tcPr>
            <w:tcW w:w="3213" w:type="dxa"/>
            <w:shd w:val="clear" w:color="auto" w:fill="auto"/>
          </w:tcPr>
          <w:p w:rsidR="003E6998" w:rsidRPr="00D75C61" w:rsidRDefault="006C758D" w:rsidP="0061444B">
            <w:pPr>
              <w:spacing w:before="120"/>
              <w:rPr>
                <w:rFonts w:eastAsia="Calibri"/>
                <w:lang w:eastAsia="en-GB"/>
              </w:rPr>
            </w:pPr>
            <w:r>
              <w:rPr>
                <w:rFonts w:eastAsia="Calibri"/>
                <w:lang w:eastAsia="en-GB"/>
              </w:rPr>
              <w:t xml:space="preserve">Unilateral </w:t>
            </w:r>
            <w:r w:rsidR="00B86C8F">
              <w:rPr>
                <w:rFonts w:eastAsia="Calibri"/>
                <w:lang w:eastAsia="en-GB"/>
              </w:rPr>
              <w:t>coercive measures</w:t>
            </w:r>
          </w:p>
          <w:p w:rsidR="009E78E3" w:rsidRPr="00D75C61" w:rsidRDefault="00B86C8F" w:rsidP="0061444B">
            <w:pPr>
              <w:spacing w:before="120" w:after="120"/>
              <w:ind w:right="113"/>
            </w:pPr>
            <w:r>
              <w:t>Food</w:t>
            </w:r>
          </w:p>
        </w:tc>
      </w:tr>
      <w:tr w:rsidR="009E78E3" w:rsidRPr="009E78E3" w:rsidTr="008B4D7D">
        <w:tc>
          <w:tcPr>
            <w:tcW w:w="3211" w:type="dxa"/>
            <w:shd w:val="clear" w:color="auto" w:fill="auto"/>
          </w:tcPr>
          <w:p w:rsidR="009E78E3" w:rsidRPr="00D75C61" w:rsidRDefault="003E6998" w:rsidP="008B4D7D">
            <w:pPr>
              <w:spacing w:before="40" w:after="120"/>
              <w:ind w:right="113"/>
            </w:pPr>
            <w:r w:rsidRPr="00D75C61">
              <w:t>Visits requested</w:t>
            </w:r>
          </w:p>
        </w:tc>
        <w:tc>
          <w:tcPr>
            <w:tcW w:w="3213" w:type="dxa"/>
            <w:shd w:val="clear" w:color="auto" w:fill="auto"/>
          </w:tcPr>
          <w:tbl>
            <w:tblPr>
              <w:tblW w:w="3854" w:type="dxa"/>
              <w:tblBorders>
                <w:top w:val="nil"/>
                <w:left w:val="nil"/>
                <w:bottom w:val="nil"/>
                <w:right w:val="nil"/>
              </w:tblBorders>
              <w:tblLayout w:type="fixed"/>
              <w:tblLook w:val="0000" w:firstRow="0" w:lastRow="0" w:firstColumn="0" w:lastColumn="0" w:noHBand="0" w:noVBand="0"/>
            </w:tblPr>
            <w:tblGrid>
              <w:gridCol w:w="3854"/>
            </w:tblGrid>
            <w:tr w:rsidR="008E42CF" w:rsidRPr="008E42CF" w:rsidTr="008E42CF">
              <w:trPr>
                <w:trHeight w:val="1712"/>
              </w:trPr>
              <w:tc>
                <w:tcPr>
                  <w:tcW w:w="3854" w:type="dxa"/>
                </w:tcPr>
                <w:p w:rsidR="008E42CF" w:rsidRPr="008E42CF" w:rsidRDefault="008E42CF" w:rsidP="008E42CF">
                  <w:pPr>
                    <w:ind w:right="113"/>
                  </w:pPr>
                  <w:r w:rsidRPr="008E42CF">
                    <w:t>Human rights defenders</w:t>
                  </w:r>
                </w:p>
                <w:p w:rsidR="008E42CF" w:rsidRPr="008E42CF" w:rsidRDefault="008E42CF" w:rsidP="008E42CF">
                  <w:pPr>
                    <w:ind w:right="113"/>
                  </w:pPr>
                  <w:r w:rsidRPr="008E42CF">
                    <w:t xml:space="preserve">Violence against women </w:t>
                  </w:r>
                </w:p>
                <w:p w:rsidR="008E42CF" w:rsidRPr="008E42CF" w:rsidRDefault="008E42CF" w:rsidP="008E42CF">
                  <w:pPr>
                    <w:ind w:right="113"/>
                  </w:pPr>
                  <w:r w:rsidRPr="008E42CF">
                    <w:t xml:space="preserve">Peaceful assembly and </w:t>
                  </w:r>
                  <w:r w:rsidR="00D93977">
                    <w:br/>
                  </w:r>
                  <w:r w:rsidRPr="008E42CF">
                    <w:t>association</w:t>
                  </w:r>
                </w:p>
                <w:p w:rsidR="008E42CF" w:rsidRPr="008E42CF" w:rsidRDefault="008E42CF" w:rsidP="008E42CF">
                  <w:pPr>
                    <w:ind w:right="113"/>
                  </w:pPr>
                  <w:r w:rsidRPr="008E42CF">
                    <w:t>Water and sanitation</w:t>
                  </w:r>
                </w:p>
                <w:p w:rsidR="008E42CF" w:rsidRPr="008E42CF" w:rsidRDefault="008E42CF" w:rsidP="008E42CF">
                  <w:pPr>
                    <w:ind w:right="113"/>
                  </w:pPr>
                  <w:r w:rsidRPr="008E42CF">
                    <w:t>Extreme poverty</w:t>
                  </w:r>
                </w:p>
                <w:p w:rsidR="008E42CF" w:rsidRPr="008E42CF" w:rsidRDefault="008E42CF" w:rsidP="008E42CF">
                  <w:pPr>
                    <w:ind w:right="113"/>
                  </w:pPr>
                  <w:r w:rsidRPr="008E42CF">
                    <w:t>Negative impact of unilateral coercive measures</w:t>
                  </w:r>
                </w:p>
                <w:p w:rsidR="008E42CF" w:rsidRPr="008E42CF" w:rsidRDefault="008E42CF" w:rsidP="008E42CF">
                  <w:pPr>
                    <w:ind w:right="113"/>
                  </w:pPr>
                  <w:r w:rsidRPr="008E42CF">
                    <w:t>Torture</w:t>
                  </w:r>
                </w:p>
                <w:p w:rsidR="008E42CF" w:rsidRPr="008E42CF" w:rsidRDefault="008E42CF" w:rsidP="008E42CF">
                  <w:pPr>
                    <w:ind w:right="113"/>
                  </w:pPr>
                  <w:r w:rsidRPr="008E42CF">
                    <w:t>Cultural rights</w:t>
                  </w:r>
                </w:p>
                <w:p w:rsidR="008E42CF" w:rsidRPr="008E42CF" w:rsidRDefault="008E42CF" w:rsidP="008E42CF">
                  <w:pPr>
                    <w:ind w:right="113"/>
                  </w:pPr>
                  <w:r w:rsidRPr="008E42CF">
                    <w:t>Independence of judges and lawyers</w:t>
                  </w:r>
                </w:p>
                <w:p w:rsidR="008E42CF" w:rsidRDefault="008E42CF" w:rsidP="008E42CF">
                  <w:pPr>
                    <w:ind w:right="113"/>
                  </w:pPr>
                  <w:r w:rsidRPr="008E42CF">
                    <w:t>Freedom of expression</w:t>
                  </w:r>
                </w:p>
                <w:p w:rsidR="008E42CF" w:rsidRDefault="008E42CF" w:rsidP="008E42CF">
                  <w:pPr>
                    <w:ind w:right="113"/>
                  </w:pPr>
                  <w:r>
                    <w:t>Disappearances</w:t>
                  </w:r>
                </w:p>
                <w:p w:rsidR="008E42CF" w:rsidRPr="008E42CF" w:rsidRDefault="008E42CF" w:rsidP="008E42CF">
                  <w:pPr>
                    <w:ind w:right="113"/>
                  </w:pPr>
                  <w:r>
                    <w:t>Housing</w:t>
                  </w:r>
                </w:p>
              </w:tc>
            </w:tr>
          </w:tbl>
          <w:p w:rsidR="003E6998" w:rsidRPr="00D75C61" w:rsidRDefault="003E6998" w:rsidP="008B4D7D">
            <w:pPr>
              <w:ind w:right="113"/>
            </w:pPr>
          </w:p>
        </w:tc>
        <w:tc>
          <w:tcPr>
            <w:tcW w:w="3213" w:type="dxa"/>
            <w:shd w:val="clear" w:color="auto" w:fill="auto"/>
          </w:tcPr>
          <w:p w:rsidR="00B86C8F" w:rsidRDefault="00B86C8F" w:rsidP="008B4D7D">
            <w:pPr>
              <w:ind w:right="113"/>
            </w:pPr>
            <w:r>
              <w:t>Enforced or involuntary disappearance</w:t>
            </w:r>
          </w:p>
          <w:p w:rsidR="00B86C8F" w:rsidRDefault="00B86C8F" w:rsidP="008B4D7D">
            <w:pPr>
              <w:ind w:right="113"/>
            </w:pPr>
            <w:r>
              <w:t>Independence of Judges and Lawyers</w:t>
            </w:r>
          </w:p>
          <w:p w:rsidR="00B86C8F" w:rsidRDefault="00B86C8F" w:rsidP="008B4D7D">
            <w:pPr>
              <w:ind w:right="113"/>
            </w:pPr>
            <w:r>
              <w:t>Water and sanitation</w:t>
            </w:r>
          </w:p>
          <w:p w:rsidR="003E6998" w:rsidRPr="00B86C8F" w:rsidRDefault="003E6998" w:rsidP="008B4D7D">
            <w:pPr>
              <w:ind w:right="113"/>
            </w:pPr>
            <w:r w:rsidRPr="00B86C8F">
              <w:t>Torture</w:t>
            </w:r>
          </w:p>
          <w:p w:rsidR="003E6998" w:rsidRPr="00D75C61" w:rsidRDefault="00B86C8F" w:rsidP="008B4D7D">
            <w:pPr>
              <w:ind w:right="113"/>
            </w:pPr>
            <w:r w:rsidRPr="00B86C8F">
              <w:t>Freedom of assembly and association</w:t>
            </w:r>
            <w:r>
              <w:rPr>
                <w:strike/>
              </w:rPr>
              <w:t xml:space="preserve"> </w:t>
            </w:r>
          </w:p>
        </w:tc>
      </w:tr>
      <w:tr w:rsidR="009D3FA1" w:rsidRPr="009D3FA1" w:rsidTr="008B4D7D">
        <w:trPr>
          <w:trHeight w:hRule="exact" w:val="113"/>
        </w:trPr>
        <w:tc>
          <w:tcPr>
            <w:tcW w:w="3211" w:type="dxa"/>
            <w:tcBorders>
              <w:top w:val="single" w:sz="12" w:space="0" w:color="auto"/>
            </w:tcBorders>
            <w:shd w:val="clear" w:color="auto" w:fill="auto"/>
            <w:vAlign w:val="bottom"/>
          </w:tcPr>
          <w:p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8B4D7D" w:rsidRDefault="009D3FA1" w:rsidP="008B4D7D">
            <w:pPr>
              <w:spacing w:before="80" w:after="80" w:line="200" w:lineRule="exact"/>
              <w:ind w:right="113"/>
              <w:rPr>
                <w:i/>
                <w:sz w:val="16"/>
              </w:rPr>
            </w:pPr>
          </w:p>
        </w:tc>
      </w:tr>
      <w:tr w:rsidR="009D3FA1" w:rsidRPr="009D3FA1" w:rsidTr="008B4D7D">
        <w:tc>
          <w:tcPr>
            <w:tcW w:w="3211" w:type="dxa"/>
            <w:shd w:val="clear" w:color="auto" w:fill="auto"/>
          </w:tcPr>
          <w:p w:rsidR="009D3FA1" w:rsidRPr="008B4D7D" w:rsidRDefault="009D3FA1" w:rsidP="008B4D7D">
            <w:pPr>
              <w:spacing w:before="40" w:after="120"/>
              <w:ind w:right="113"/>
              <w:rPr>
                <w:i/>
              </w:rPr>
            </w:pPr>
            <w:r w:rsidRPr="008B4D7D">
              <w:rPr>
                <w:i/>
              </w:rPr>
              <w:t xml:space="preserve">Responses to letters of </w:t>
            </w:r>
            <w:r w:rsidR="00324383" w:rsidRPr="008B4D7D">
              <w:rPr>
                <w:i/>
              </w:rPr>
              <w:br/>
            </w:r>
            <w:r w:rsidRPr="008B4D7D">
              <w:rPr>
                <w:i/>
              </w:rPr>
              <w:t>allegation and urgent appeal</w:t>
            </w:r>
          </w:p>
        </w:tc>
        <w:tc>
          <w:tcPr>
            <w:tcW w:w="3213" w:type="dxa"/>
            <w:shd w:val="clear" w:color="auto" w:fill="auto"/>
          </w:tcPr>
          <w:p w:rsidR="009D3FA1" w:rsidRPr="009D3FA1" w:rsidRDefault="009D3FA1" w:rsidP="004A2E24">
            <w:pPr>
              <w:spacing w:before="40" w:after="120"/>
              <w:ind w:right="113"/>
            </w:pPr>
            <w:r>
              <w:t xml:space="preserve">During the period under review </w:t>
            </w:r>
            <w:r w:rsidR="004A2E24">
              <w:t>8</w:t>
            </w:r>
            <w:r>
              <w:t xml:space="preserve"> communications were sent</w:t>
            </w:r>
            <w:r w:rsidR="00D82670">
              <w:t xml:space="preserve">. The Government replied to </w:t>
            </w:r>
            <w:r w:rsidR="008E42CF">
              <w:t xml:space="preserve">6 </w:t>
            </w:r>
            <w:r w:rsidR="00D82670">
              <w:t>communications</w:t>
            </w:r>
            <w:r w:rsidR="008E42CF">
              <w:rPr>
                <w:rStyle w:val="EndnoteReference"/>
              </w:rPr>
              <w:endnoteReference w:id="14"/>
            </w:r>
            <w:bookmarkStart w:id="4" w:name="_GoBack"/>
            <w:bookmarkEnd w:id="4"/>
          </w:p>
        </w:tc>
        <w:tc>
          <w:tcPr>
            <w:tcW w:w="3213" w:type="dxa"/>
            <w:shd w:val="clear" w:color="auto" w:fill="auto"/>
          </w:tcPr>
          <w:p w:rsidR="009D3FA1" w:rsidRPr="009D3FA1" w:rsidRDefault="009D3FA1" w:rsidP="008B4D7D">
            <w:pPr>
              <w:spacing w:before="40" w:after="120"/>
              <w:ind w:right="113"/>
            </w:pPr>
          </w:p>
        </w:tc>
      </w:tr>
      <w:tr w:rsidR="00705CFC" w:rsidRPr="009D3FA1" w:rsidTr="008B4D7D">
        <w:tc>
          <w:tcPr>
            <w:tcW w:w="3211" w:type="dxa"/>
            <w:tcBorders>
              <w:bottom w:val="single" w:sz="12" w:space="0" w:color="auto"/>
            </w:tcBorders>
            <w:shd w:val="clear" w:color="auto" w:fill="auto"/>
          </w:tcPr>
          <w:p w:rsidR="00705CFC" w:rsidRPr="008B4D7D" w:rsidRDefault="00705CFC" w:rsidP="00705CFC">
            <w:pPr>
              <w:spacing w:before="40" w:after="120"/>
              <w:ind w:right="113"/>
              <w:rPr>
                <w:i/>
              </w:rPr>
            </w:pPr>
          </w:p>
        </w:tc>
        <w:tc>
          <w:tcPr>
            <w:tcW w:w="3213" w:type="dxa"/>
            <w:tcBorders>
              <w:bottom w:val="single" w:sz="12" w:space="0" w:color="auto"/>
            </w:tcBorders>
            <w:shd w:val="clear" w:color="auto" w:fill="auto"/>
          </w:tcPr>
          <w:p w:rsidR="00705CFC" w:rsidRPr="009D3FA1" w:rsidRDefault="00705CFC" w:rsidP="00705CFC">
            <w:pPr>
              <w:spacing w:before="40" w:after="120"/>
              <w:ind w:right="113"/>
            </w:pPr>
          </w:p>
        </w:tc>
        <w:tc>
          <w:tcPr>
            <w:tcW w:w="3213" w:type="dxa"/>
            <w:tcBorders>
              <w:bottom w:val="single" w:sz="12" w:space="0" w:color="auto"/>
            </w:tcBorders>
            <w:shd w:val="clear" w:color="auto" w:fill="auto"/>
          </w:tcPr>
          <w:p w:rsidR="00705CFC" w:rsidRPr="009D3FA1" w:rsidRDefault="00705CFC" w:rsidP="00705CFC">
            <w:pPr>
              <w:spacing w:before="40" w:after="120"/>
              <w:ind w:right="113"/>
            </w:pPr>
          </w:p>
        </w:tc>
      </w:tr>
    </w:tbl>
    <w:p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15"/>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8B4D7D">
        <w:tc>
          <w:tcPr>
            <w:tcW w:w="2456" w:type="dxa"/>
            <w:tcBorders>
              <w:top w:val="single" w:sz="4" w:space="0" w:color="auto"/>
              <w:bottom w:val="single" w:sz="12" w:space="0" w:color="auto"/>
            </w:tcBorders>
            <w:shd w:val="clear" w:color="auto" w:fill="auto"/>
            <w:vAlign w:val="bottom"/>
          </w:tcPr>
          <w:p w:rsidR="00A02BFB" w:rsidRPr="0061444B" w:rsidRDefault="00A02BFB" w:rsidP="008B4D7D">
            <w:pPr>
              <w:spacing w:before="40" w:after="120"/>
              <w:ind w:right="113"/>
              <w:rPr>
                <w:i/>
                <w:sz w:val="16"/>
                <w:szCs w:val="16"/>
              </w:rPr>
            </w:pPr>
            <w:r w:rsidRPr="0061444B">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61444B" w:rsidRDefault="00A02BFB" w:rsidP="008B4D7D">
            <w:pPr>
              <w:spacing w:before="40" w:after="120"/>
              <w:ind w:right="113"/>
              <w:rPr>
                <w:i/>
                <w:sz w:val="16"/>
                <w:szCs w:val="16"/>
              </w:rPr>
            </w:pPr>
            <w:r w:rsidRPr="0061444B">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61444B" w:rsidRDefault="00A02BFB" w:rsidP="00DD1517">
            <w:pPr>
              <w:spacing w:before="40" w:after="120"/>
              <w:ind w:right="113"/>
              <w:rPr>
                <w:i/>
                <w:sz w:val="16"/>
                <w:szCs w:val="16"/>
              </w:rPr>
            </w:pPr>
            <w:r w:rsidRPr="0061444B">
              <w:rPr>
                <w:i/>
                <w:sz w:val="16"/>
                <w:szCs w:val="16"/>
              </w:rPr>
              <w:t>Status during present cycle</w:t>
            </w:r>
            <w:r w:rsidR="00DD1517" w:rsidRPr="00BF3A12">
              <w:rPr>
                <w:rStyle w:val="EndnoteReference"/>
                <w:szCs w:val="16"/>
              </w:rPr>
              <w:endnoteReference w:id="16"/>
            </w:r>
          </w:p>
        </w:tc>
      </w:tr>
      <w:tr w:rsidR="00A02BFB" w:rsidRPr="00A02BFB" w:rsidTr="008B4D7D">
        <w:trPr>
          <w:trHeight w:hRule="exact" w:val="113"/>
        </w:trPr>
        <w:tc>
          <w:tcPr>
            <w:tcW w:w="2456"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8B4D7D" w:rsidRDefault="00A02BFB" w:rsidP="008B4D7D">
            <w:pPr>
              <w:spacing w:before="80" w:after="80" w:line="200" w:lineRule="exact"/>
              <w:ind w:right="113"/>
              <w:rPr>
                <w:i/>
                <w:sz w:val="16"/>
              </w:rPr>
            </w:pPr>
          </w:p>
        </w:tc>
      </w:tr>
      <w:tr w:rsidR="00A02BFB" w:rsidRPr="00A02BFB" w:rsidTr="008B4D7D">
        <w:tc>
          <w:tcPr>
            <w:tcW w:w="2456" w:type="dxa"/>
            <w:tcBorders>
              <w:bottom w:val="single" w:sz="4" w:space="0" w:color="auto"/>
            </w:tcBorders>
            <w:shd w:val="clear" w:color="auto" w:fill="auto"/>
          </w:tcPr>
          <w:p w:rsidR="00A02BFB" w:rsidRPr="00A02BFB" w:rsidRDefault="00DD64FE" w:rsidP="00DD64FE">
            <w:pPr>
              <w:spacing w:before="40" w:after="120"/>
              <w:ind w:right="113"/>
            </w:pPr>
            <w:r>
              <w:lastRenderedPageBreak/>
              <w:t>Zimbabwe Human Rights Commission</w:t>
            </w:r>
          </w:p>
        </w:tc>
        <w:tc>
          <w:tcPr>
            <w:tcW w:w="2457" w:type="dxa"/>
            <w:tcBorders>
              <w:bottom w:val="single" w:sz="4" w:space="0" w:color="auto"/>
            </w:tcBorders>
            <w:shd w:val="clear" w:color="auto" w:fill="auto"/>
          </w:tcPr>
          <w:p w:rsidR="00A02BFB" w:rsidRPr="00A02BFB" w:rsidRDefault="00DD64FE" w:rsidP="008B4D7D">
            <w:pPr>
              <w:spacing w:before="40" w:after="120"/>
              <w:ind w:right="113"/>
            </w:pPr>
            <w:r>
              <w:t>A</w:t>
            </w:r>
          </w:p>
        </w:tc>
        <w:tc>
          <w:tcPr>
            <w:tcW w:w="2457" w:type="dxa"/>
            <w:tcBorders>
              <w:bottom w:val="single" w:sz="4" w:space="0" w:color="auto"/>
            </w:tcBorders>
            <w:shd w:val="clear" w:color="auto" w:fill="auto"/>
          </w:tcPr>
          <w:p w:rsidR="00A02BFB" w:rsidRPr="00A02BFB" w:rsidRDefault="00DD64FE" w:rsidP="008B4D7D">
            <w:pPr>
              <w:spacing w:before="40" w:after="120"/>
              <w:ind w:right="113"/>
            </w:pPr>
            <w:r>
              <w:t>A</w:t>
            </w:r>
          </w:p>
        </w:tc>
      </w:tr>
    </w:tbl>
    <w:p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8E" w:rsidRDefault="00C1278E"/>
  </w:endnote>
  <w:endnote w:type="continuationSeparator" w:id="0">
    <w:p w:rsidR="00C1278E" w:rsidRDefault="00C1278E"/>
  </w:endnote>
  <w:endnote w:type="continuationNotice" w:id="1">
    <w:p w:rsidR="00C1278E" w:rsidRDefault="00C1278E"/>
  </w:endnote>
  <w:endnote w:id="2">
    <w:p w:rsidR="00A02BFB" w:rsidRDefault="00A02BFB" w:rsidP="00A02BFB">
      <w:pPr>
        <w:pStyle w:val="H4G"/>
      </w:pPr>
      <w:r>
        <w:t>Notes</w:t>
      </w:r>
    </w:p>
    <w:p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8464AF">
        <w:t>Zimbabwe</w:t>
      </w:r>
      <w:r w:rsidRPr="008B4D7D">
        <w:rPr>
          <w:color w:val="4F81BD"/>
        </w:rPr>
        <w:t xml:space="preserve"> </w:t>
      </w:r>
      <w:r w:rsidRPr="00806A55">
        <w:t>from the previous cycle (A/HRC/WG.6/</w:t>
      </w:r>
      <w:r w:rsidR="008464AF">
        <w:t>26/ZWE</w:t>
      </w:r>
      <w:r w:rsidRPr="00806A55">
        <w:t>/2).</w:t>
      </w:r>
    </w:p>
  </w:endnote>
  <w:endnote w:id="3">
    <w:p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1B6BFE">
        <w:rPr>
          <w:szCs w:val="18"/>
        </w:rPr>
        <w:t>;</w:t>
      </w:r>
    </w:p>
    <w:p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1B6BFE">
        <w:rPr>
          <w:szCs w:val="18"/>
        </w:rPr>
        <w:t>;</w:t>
      </w:r>
    </w:p>
    <w:p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1B6BFE">
        <w:rPr>
          <w:szCs w:val="18"/>
        </w:rPr>
        <w:t>;</w:t>
      </w:r>
    </w:p>
    <w:p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1B6BFE">
        <w:rPr>
          <w:szCs w:val="18"/>
        </w:rPr>
        <w:t>;</w:t>
      </w:r>
    </w:p>
    <w:p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1B6BFE">
        <w:rPr>
          <w:szCs w:val="18"/>
        </w:rPr>
        <w:t>;</w:t>
      </w:r>
    </w:p>
    <w:p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1B6BFE">
        <w:rPr>
          <w:szCs w:val="18"/>
        </w:rPr>
        <w:t>;</w:t>
      </w:r>
    </w:p>
    <w:p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1B6BFE">
        <w:rPr>
          <w:szCs w:val="18"/>
        </w:rPr>
        <w:t>;</w:t>
      </w:r>
    </w:p>
    <w:p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1B6BFE">
        <w:rPr>
          <w:szCs w:val="18"/>
        </w:rPr>
        <w:t>;</w:t>
      </w:r>
    </w:p>
    <w:p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1B6BFE">
        <w:rPr>
          <w:szCs w:val="18"/>
        </w:rPr>
        <w:t>;</w:t>
      </w:r>
    </w:p>
    <w:p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5D363A">
        <w:rPr>
          <w:szCs w:val="18"/>
        </w:rPr>
        <w:t>;</w:t>
      </w:r>
    </w:p>
    <w:p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5D363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5D363A">
        <w:rPr>
          <w:szCs w:val="18"/>
        </w:rPr>
        <w:t>;</w:t>
      </w:r>
    </w:p>
    <w:p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5D363A">
        <w:rPr>
          <w:szCs w:val="18"/>
        </w:rPr>
        <w:t>;</w:t>
      </w:r>
    </w:p>
    <w:p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5D363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5D363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5D363A">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5D363A">
        <w:rPr>
          <w:szCs w:val="18"/>
        </w:rPr>
        <w:t>;</w:t>
      </w:r>
    </w:p>
    <w:p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00AC57AF" w:rsidRPr="00F715B8">
        <w:rPr>
          <w:rStyle w:val="EndnoteTextChar"/>
          <w:rFonts w:eastAsia="Calibri"/>
        </w:rPr>
        <w:t>ICERD, art. 11;</w:t>
      </w:r>
      <w:r w:rsidR="00AC57AF">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rsidR="00443877" w:rsidRPr="00443877" w:rsidRDefault="00443877" w:rsidP="00443877">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443877">
        <w:rPr>
          <w:szCs w:val="18"/>
        </w:rPr>
        <w:t>ILO Indigenous and Tribal Peoples Convention, 1989 (No. 169) and Domestic Workers Convention, 2011 (No. 189).</w:t>
      </w:r>
      <w:r>
        <w:rPr>
          <w:szCs w:val="18"/>
        </w:rPr>
        <w:t xml:space="preserve"> See: </w:t>
      </w:r>
      <w:r w:rsidRPr="00443877">
        <w:rPr>
          <w:szCs w:val="18"/>
        </w:rPr>
        <w:t>https://www.ilo.org/dyn/normlex/en/f?p=1000:11210:0::NO:11210:P11210_COUNTRY_ID:103183</w:t>
      </w:r>
      <w:r w:rsidR="005D363A">
        <w:rPr>
          <w:szCs w:val="18"/>
        </w:rPr>
        <w:t>.</w:t>
      </w:r>
    </w:p>
  </w:endnote>
  <w:endnote w:id="6">
    <w:p w:rsidR="00350CFD" w:rsidRPr="00826C94" w:rsidRDefault="00350CFD"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26C94">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826C94">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Pr="00826C94">
        <w:rPr>
          <w:szCs w:val="18"/>
        </w:rPr>
        <w:t xml:space="preserve"> </w:t>
      </w:r>
    </w:p>
  </w:endnote>
  <w:endnote w:id="7">
    <w:p w:rsidR="00443877" w:rsidRPr="00443877" w:rsidRDefault="00443877" w:rsidP="00443877">
      <w:pPr>
        <w:pStyle w:val="EndnoteText"/>
        <w:widowControl w:val="0"/>
        <w:tabs>
          <w:tab w:val="clear" w:pos="1021"/>
          <w:tab w:val="right" w:pos="1020"/>
        </w:tabs>
      </w:pPr>
      <w:r>
        <w:tab/>
      </w:r>
      <w:r>
        <w:rPr>
          <w:rStyle w:val="EndnoteReference"/>
        </w:rPr>
        <w:endnoteRef/>
      </w:r>
      <w:r>
        <w:tab/>
        <w:t xml:space="preserve">See  </w:t>
      </w:r>
      <w:r w:rsidRPr="00443877">
        <w:t>https://asp.icc-cpi.int/en_menus/asp/states%20parties/pages/the%20states%20parties%20to%20the%20rome%20statute.aspx</w:t>
      </w:r>
    </w:p>
  </w:endnote>
  <w:endnote w:id="8">
    <w:p w:rsidR="00443877" w:rsidRPr="00826C94" w:rsidRDefault="00443877" w:rsidP="00A02BFB">
      <w:pPr>
        <w:pStyle w:val="EndnoteText"/>
        <w:widowControl w:val="0"/>
        <w:rPr>
          <w:szCs w:val="18"/>
          <w:lang w:eastAsia="zh-CN"/>
        </w:rPr>
      </w:pPr>
      <w:r w:rsidRPr="00A82F81">
        <w:rPr>
          <w:szCs w:val="18"/>
        </w:rPr>
        <w:tab/>
      </w:r>
      <w:r w:rsidRPr="00A82F81">
        <w:rPr>
          <w:rStyle w:val="EndnoteReference"/>
          <w:szCs w:val="18"/>
        </w:rPr>
        <w:endnoteRef/>
      </w:r>
      <w:r w:rsidRPr="00A82F81">
        <w:rPr>
          <w:szCs w:val="18"/>
        </w:rPr>
        <w:tab/>
      </w:r>
      <w:r w:rsidRPr="00826C94">
        <w:rPr>
          <w:szCs w:val="18"/>
          <w:lang w:eastAsia="zh-CN"/>
        </w:rPr>
        <w:t>1951 Convention relating to the Status of Refugees and its 1967 Protocol,</w:t>
      </w:r>
      <w:r w:rsidR="00F66B39">
        <w:rPr>
          <w:szCs w:val="18"/>
          <w:lang w:eastAsia="zh-CN"/>
        </w:rPr>
        <w:t xml:space="preserve"> and</w:t>
      </w:r>
      <w:r w:rsidRPr="00826C94">
        <w:rPr>
          <w:szCs w:val="18"/>
          <w:lang w:eastAsia="zh-CN"/>
        </w:rPr>
        <w:t xml:space="preserve"> 1954 Convention relating to the Status of Stateless Persons</w:t>
      </w:r>
      <w:r w:rsidR="00F66B39">
        <w:rPr>
          <w:szCs w:val="18"/>
          <w:lang w:eastAsia="zh-CN"/>
        </w:rPr>
        <w:t>.</w:t>
      </w:r>
    </w:p>
  </w:endnote>
  <w:endnote w:id="9">
    <w:p w:rsidR="00443877" w:rsidRPr="00A82F81" w:rsidRDefault="00443877"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10">
    <w:p w:rsidR="00443877" w:rsidRPr="00F66B39" w:rsidRDefault="00443877" w:rsidP="00A02BFB">
      <w:pPr>
        <w:pStyle w:val="EndnoteText"/>
        <w:rPr>
          <w:szCs w:val="18"/>
          <w:lang w:val="en-US"/>
        </w:rPr>
      </w:pPr>
      <w:r w:rsidRPr="00A82F81">
        <w:rPr>
          <w:szCs w:val="18"/>
        </w:rPr>
        <w:tab/>
      </w:r>
      <w:r w:rsidRPr="00A82F81">
        <w:rPr>
          <w:rStyle w:val="EndnoteReference"/>
          <w:szCs w:val="18"/>
        </w:rPr>
        <w:endnoteRef/>
      </w:r>
      <w:r w:rsidRPr="00A82F81">
        <w:rPr>
          <w:szCs w:val="18"/>
        </w:rPr>
        <w:tab/>
      </w:r>
      <w:r w:rsidRPr="00F66B39">
        <w:rPr>
          <w:szCs w:val="18"/>
          <w:lang w:val="en-US"/>
        </w:rPr>
        <w:t xml:space="preserve">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w:t>
      </w:r>
      <w:r w:rsidR="00F66B39" w:rsidRPr="00F66B39">
        <w:rPr>
          <w:szCs w:val="18"/>
          <w:lang w:val="en-US"/>
        </w:rPr>
        <w:t xml:space="preserve">and </w:t>
      </w:r>
      <w:r w:rsidRPr="00F66B39">
        <w:rPr>
          <w:szCs w:val="18"/>
          <w:lang w:val="en-US"/>
        </w:rPr>
        <w:t>Convention No. 138 concerning Minimum Age for Admission to Employment.</w:t>
      </w:r>
    </w:p>
  </w:endnote>
  <w:endnote w:id="11">
    <w:p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5D363A">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5D363A">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5D363A">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5D363A">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5D363A">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5D363A">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5D363A">
        <w:rPr>
          <w:szCs w:val="18"/>
        </w:rPr>
        <w:t>.</w:t>
      </w:r>
    </w:p>
  </w:endnote>
  <w:endnote w:id="12">
    <w:p w:rsidR="00FA6583" w:rsidRPr="00BF777C" w:rsidRDefault="005D363A" w:rsidP="005D363A">
      <w:pPr>
        <w:pStyle w:val="EndnoteText"/>
        <w:rPr>
          <w:szCs w:val="18"/>
        </w:rPr>
      </w:pPr>
      <w:r>
        <w:rPr>
          <w:szCs w:val="18"/>
        </w:rPr>
        <w:tab/>
      </w:r>
      <w:r w:rsidR="00FA6583" w:rsidRPr="00BF777C">
        <w:rPr>
          <w:rStyle w:val="EndnoteReference"/>
          <w:szCs w:val="18"/>
        </w:rPr>
        <w:endnoteRef/>
      </w:r>
      <w:r>
        <w:rPr>
          <w:szCs w:val="18"/>
        </w:rPr>
        <w:tab/>
      </w:r>
      <w:r w:rsidR="00FA6583" w:rsidRPr="00BF777C">
        <w:rPr>
          <w:bCs/>
          <w:szCs w:val="18"/>
        </w:rPr>
        <w:t>CEDAW/C/ZWE/CO/6, para. 57.</w:t>
      </w:r>
    </w:p>
  </w:endnote>
  <w:endnote w:id="13">
    <w:p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5D363A">
        <w:rPr>
          <w:szCs w:val="18"/>
        </w:rPr>
        <w:t>.</w:t>
      </w:r>
    </w:p>
  </w:endnote>
  <w:endnote w:id="14">
    <w:p w:rsidR="008E42CF" w:rsidRPr="008E42CF" w:rsidRDefault="008E42CF" w:rsidP="008E42CF">
      <w:pPr>
        <w:pStyle w:val="EndnoteText"/>
        <w:widowControl w:val="0"/>
        <w:tabs>
          <w:tab w:val="clear" w:pos="1021"/>
          <w:tab w:val="right" w:pos="1020"/>
        </w:tabs>
      </w:pPr>
      <w:r>
        <w:tab/>
      </w:r>
      <w:r>
        <w:rPr>
          <w:rStyle w:val="EndnoteReference"/>
        </w:rPr>
        <w:endnoteRef/>
      </w:r>
      <w:r>
        <w:tab/>
        <w:t xml:space="preserve">See: </w:t>
      </w:r>
      <w:r w:rsidRPr="008E42CF">
        <w:t>https://spcommreports.ohchr.org/TmSearch/Results</w:t>
      </w:r>
      <w:r w:rsidR="005D363A">
        <w:t>.</w:t>
      </w:r>
    </w:p>
  </w:endnote>
  <w:endnote w:id="15">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6">
    <w:p w:rsidR="00DD1517" w:rsidRDefault="00DD1517" w:rsidP="0061444B">
      <w:pPr>
        <w:pStyle w:val="EndnoteText"/>
        <w:widowControl w:val="0"/>
        <w:rPr>
          <w:rStyle w:val="Hyperlink"/>
          <w:sz w:val="20"/>
        </w:rPr>
      </w:pPr>
      <w:r>
        <w:tab/>
      </w:r>
      <w:r>
        <w:rPr>
          <w:rStyle w:val="EndnoteReference"/>
        </w:rPr>
        <w:endnoteRef/>
      </w:r>
      <w:r>
        <w:tab/>
      </w:r>
      <w:r w:rsidRPr="00A82F81">
        <w:rPr>
          <w:szCs w:val="18"/>
        </w:rPr>
        <w:t xml:space="preserve">The list of national human rights institutions with accreditation status granted by the Global Alliance of National Human Rights Institutions (GANHRI), accessed at: </w:t>
      </w:r>
      <w:hyperlink r:id="rId1" w:history="1">
        <w:r w:rsidRPr="008E769B">
          <w:rPr>
            <w:rStyle w:val="Hyperlink"/>
          </w:rPr>
          <w:t>https://ganhri.org/wp-content/uploads/2021/01/Status-Accreditation-Chart-as-of-20-01-2021.pdf</w:t>
        </w:r>
      </w:hyperlink>
      <w:r>
        <w:rPr>
          <w:rStyle w:val="Hyperlink"/>
        </w:rPr>
        <w:t>.</w:t>
      </w:r>
    </w:p>
    <w:p w:rsidR="00DD1517" w:rsidRPr="0061444B" w:rsidRDefault="00DD1517" w:rsidP="0061444B">
      <w:pPr>
        <w:pStyle w:val="EndnoteText"/>
        <w:spacing w:before="240" w:line="240" w:lineRule="atLeast"/>
        <w:ind w:firstLine="0"/>
        <w:jc w:val="center"/>
        <w:rPr>
          <w:u w:val="single"/>
        </w:rPr>
      </w:pPr>
      <w:r>
        <w:rPr>
          <w:rStyle w:val="Hyperlink"/>
          <w:u w:val="single"/>
        </w:rPr>
        <w:tab/>
      </w:r>
      <w:r>
        <w:rPr>
          <w:rStyle w:val="Hyperlink"/>
          <w:u w:val="single"/>
        </w:rPr>
        <w:tab/>
      </w:r>
      <w:r>
        <w:rPr>
          <w:rStyle w:val="Hyperlink"/>
          <w:u w:val="single"/>
        </w:rPr>
        <w:tab/>
      </w:r>
      <w:r>
        <w:rPr>
          <w:rStyle w:val="Hyperlink"/>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BF3A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8E" w:rsidRPr="000B175B" w:rsidRDefault="00C1278E" w:rsidP="000B175B">
      <w:pPr>
        <w:tabs>
          <w:tab w:val="right" w:pos="2155"/>
        </w:tabs>
        <w:spacing w:after="80"/>
        <w:ind w:left="680"/>
        <w:rPr>
          <w:u w:val="single"/>
        </w:rPr>
      </w:pPr>
      <w:r>
        <w:rPr>
          <w:u w:val="single"/>
        </w:rPr>
        <w:tab/>
      </w:r>
    </w:p>
  </w:footnote>
  <w:footnote w:type="continuationSeparator" w:id="0">
    <w:p w:rsidR="00C1278E" w:rsidRPr="00FC68B7" w:rsidRDefault="00C1278E" w:rsidP="00FC68B7">
      <w:pPr>
        <w:tabs>
          <w:tab w:val="left" w:pos="2155"/>
        </w:tabs>
        <w:spacing w:after="80"/>
        <w:ind w:left="680"/>
        <w:rPr>
          <w:u w:val="single"/>
        </w:rPr>
      </w:pPr>
      <w:r>
        <w:rPr>
          <w:u w:val="single"/>
        </w:rPr>
        <w:tab/>
      </w:r>
    </w:p>
  </w:footnote>
  <w:footnote w:type="continuationNotice" w:id="1">
    <w:p w:rsidR="00C1278E" w:rsidRDefault="00C1278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22DB5"/>
    <w:rsid w:val="0002432F"/>
    <w:rsid w:val="0003327C"/>
    <w:rsid w:val="000344CE"/>
    <w:rsid w:val="000403D1"/>
    <w:rsid w:val="000449AA"/>
    <w:rsid w:val="00050F6B"/>
    <w:rsid w:val="0005368A"/>
    <w:rsid w:val="00072C8C"/>
    <w:rsid w:val="00073E70"/>
    <w:rsid w:val="00075368"/>
    <w:rsid w:val="000876EB"/>
    <w:rsid w:val="00091419"/>
    <w:rsid w:val="000931C0"/>
    <w:rsid w:val="000A5F66"/>
    <w:rsid w:val="000B175B"/>
    <w:rsid w:val="000B3A0F"/>
    <w:rsid w:val="000B4A3B"/>
    <w:rsid w:val="000C7375"/>
    <w:rsid w:val="000D0709"/>
    <w:rsid w:val="000D1851"/>
    <w:rsid w:val="000D2541"/>
    <w:rsid w:val="000D55FC"/>
    <w:rsid w:val="000E0415"/>
    <w:rsid w:val="000F63EB"/>
    <w:rsid w:val="00101151"/>
    <w:rsid w:val="00101E4D"/>
    <w:rsid w:val="0013065A"/>
    <w:rsid w:val="0013136E"/>
    <w:rsid w:val="00132BC7"/>
    <w:rsid w:val="00146D32"/>
    <w:rsid w:val="001509BA"/>
    <w:rsid w:val="00157983"/>
    <w:rsid w:val="001614E7"/>
    <w:rsid w:val="001B4B04"/>
    <w:rsid w:val="001B6BFE"/>
    <w:rsid w:val="001C0706"/>
    <w:rsid w:val="001C0D7B"/>
    <w:rsid w:val="001C13B0"/>
    <w:rsid w:val="001C215C"/>
    <w:rsid w:val="001C6663"/>
    <w:rsid w:val="001C7895"/>
    <w:rsid w:val="001D26DF"/>
    <w:rsid w:val="001D5A52"/>
    <w:rsid w:val="001E2790"/>
    <w:rsid w:val="001E5256"/>
    <w:rsid w:val="001F2145"/>
    <w:rsid w:val="0020250C"/>
    <w:rsid w:val="0021130C"/>
    <w:rsid w:val="00211E0B"/>
    <w:rsid w:val="00211E72"/>
    <w:rsid w:val="00214047"/>
    <w:rsid w:val="0022130F"/>
    <w:rsid w:val="0022777B"/>
    <w:rsid w:val="00237785"/>
    <w:rsid w:val="002410DD"/>
    <w:rsid w:val="00241466"/>
    <w:rsid w:val="00253D58"/>
    <w:rsid w:val="00254654"/>
    <w:rsid w:val="00261572"/>
    <w:rsid w:val="00264FA3"/>
    <w:rsid w:val="0027000C"/>
    <w:rsid w:val="0027725F"/>
    <w:rsid w:val="00283347"/>
    <w:rsid w:val="00296EB7"/>
    <w:rsid w:val="002B1226"/>
    <w:rsid w:val="002B4713"/>
    <w:rsid w:val="002C21F0"/>
    <w:rsid w:val="002D152D"/>
    <w:rsid w:val="002E646B"/>
    <w:rsid w:val="002F2DB9"/>
    <w:rsid w:val="003107FA"/>
    <w:rsid w:val="00317977"/>
    <w:rsid w:val="003229D8"/>
    <w:rsid w:val="00324383"/>
    <w:rsid w:val="003314D1"/>
    <w:rsid w:val="00335A2F"/>
    <w:rsid w:val="00341937"/>
    <w:rsid w:val="00341D5E"/>
    <w:rsid w:val="00346F8B"/>
    <w:rsid w:val="00350CFD"/>
    <w:rsid w:val="0037215F"/>
    <w:rsid w:val="00380822"/>
    <w:rsid w:val="0039277A"/>
    <w:rsid w:val="003972E0"/>
    <w:rsid w:val="003975ED"/>
    <w:rsid w:val="003A4E25"/>
    <w:rsid w:val="003B2E78"/>
    <w:rsid w:val="003C2CC4"/>
    <w:rsid w:val="003D4B23"/>
    <w:rsid w:val="003E065C"/>
    <w:rsid w:val="003E19D9"/>
    <w:rsid w:val="003E33AE"/>
    <w:rsid w:val="003E6998"/>
    <w:rsid w:val="00400E06"/>
    <w:rsid w:val="00402E7F"/>
    <w:rsid w:val="00420F8B"/>
    <w:rsid w:val="00424C80"/>
    <w:rsid w:val="00431A65"/>
    <w:rsid w:val="004325CB"/>
    <w:rsid w:val="00443877"/>
    <w:rsid w:val="0044503A"/>
    <w:rsid w:val="00446DE4"/>
    <w:rsid w:val="00447761"/>
    <w:rsid w:val="00451EC3"/>
    <w:rsid w:val="0045464D"/>
    <w:rsid w:val="00465143"/>
    <w:rsid w:val="004721B1"/>
    <w:rsid w:val="004766F2"/>
    <w:rsid w:val="00481750"/>
    <w:rsid w:val="004859EC"/>
    <w:rsid w:val="00487EC6"/>
    <w:rsid w:val="00496A15"/>
    <w:rsid w:val="004A1AA5"/>
    <w:rsid w:val="004A2E24"/>
    <w:rsid w:val="004A76BD"/>
    <w:rsid w:val="004B75D2"/>
    <w:rsid w:val="004C38A9"/>
    <w:rsid w:val="004D1140"/>
    <w:rsid w:val="004E01CE"/>
    <w:rsid w:val="004E25CB"/>
    <w:rsid w:val="004E2FC2"/>
    <w:rsid w:val="004F0596"/>
    <w:rsid w:val="004F55ED"/>
    <w:rsid w:val="00505C67"/>
    <w:rsid w:val="00520462"/>
    <w:rsid w:val="0052176C"/>
    <w:rsid w:val="005261E5"/>
    <w:rsid w:val="005420F2"/>
    <w:rsid w:val="00542574"/>
    <w:rsid w:val="005436AB"/>
    <w:rsid w:val="005457B9"/>
    <w:rsid w:val="00545BFF"/>
    <w:rsid w:val="00546DBF"/>
    <w:rsid w:val="005512BA"/>
    <w:rsid w:val="00553D76"/>
    <w:rsid w:val="005551EC"/>
    <w:rsid w:val="005552B5"/>
    <w:rsid w:val="0056117B"/>
    <w:rsid w:val="005615E8"/>
    <w:rsid w:val="005620C3"/>
    <w:rsid w:val="00571365"/>
    <w:rsid w:val="00592E55"/>
    <w:rsid w:val="005A22DB"/>
    <w:rsid w:val="005B3DB3"/>
    <w:rsid w:val="005B6E48"/>
    <w:rsid w:val="005C2E7B"/>
    <w:rsid w:val="005C5215"/>
    <w:rsid w:val="005D363A"/>
    <w:rsid w:val="005E1712"/>
    <w:rsid w:val="005F6E73"/>
    <w:rsid w:val="006116A3"/>
    <w:rsid w:val="00611FC4"/>
    <w:rsid w:val="0061444B"/>
    <w:rsid w:val="006176FB"/>
    <w:rsid w:val="00626E6C"/>
    <w:rsid w:val="00640B26"/>
    <w:rsid w:val="00644301"/>
    <w:rsid w:val="00670741"/>
    <w:rsid w:val="00674A7D"/>
    <w:rsid w:val="00676C10"/>
    <w:rsid w:val="006808A9"/>
    <w:rsid w:val="00696BD6"/>
    <w:rsid w:val="006A18AC"/>
    <w:rsid w:val="006A355E"/>
    <w:rsid w:val="006A6B9D"/>
    <w:rsid w:val="006A7392"/>
    <w:rsid w:val="006B3189"/>
    <w:rsid w:val="006B7D65"/>
    <w:rsid w:val="006C758D"/>
    <w:rsid w:val="006D6DA6"/>
    <w:rsid w:val="006E564B"/>
    <w:rsid w:val="006F13F0"/>
    <w:rsid w:val="006F5035"/>
    <w:rsid w:val="00705CFC"/>
    <w:rsid w:val="007065EB"/>
    <w:rsid w:val="00720183"/>
    <w:rsid w:val="0072632A"/>
    <w:rsid w:val="00741A0B"/>
    <w:rsid w:val="0074200B"/>
    <w:rsid w:val="00745F62"/>
    <w:rsid w:val="00757201"/>
    <w:rsid w:val="007953F7"/>
    <w:rsid w:val="007A0CB1"/>
    <w:rsid w:val="007A6296"/>
    <w:rsid w:val="007B6BA5"/>
    <w:rsid w:val="007C1B62"/>
    <w:rsid w:val="007C3390"/>
    <w:rsid w:val="007C4F4B"/>
    <w:rsid w:val="007D2CDC"/>
    <w:rsid w:val="007D5213"/>
    <w:rsid w:val="007D5327"/>
    <w:rsid w:val="007E2C3B"/>
    <w:rsid w:val="007E5B90"/>
    <w:rsid w:val="007E75F7"/>
    <w:rsid w:val="007F085C"/>
    <w:rsid w:val="007F6611"/>
    <w:rsid w:val="008155C3"/>
    <w:rsid w:val="008175E9"/>
    <w:rsid w:val="0082243E"/>
    <w:rsid w:val="008242D7"/>
    <w:rsid w:val="00826C94"/>
    <w:rsid w:val="008464AF"/>
    <w:rsid w:val="00856CD2"/>
    <w:rsid w:val="00861BC6"/>
    <w:rsid w:val="00871982"/>
    <w:rsid w:val="00871FD5"/>
    <w:rsid w:val="008741DC"/>
    <w:rsid w:val="00875FCF"/>
    <w:rsid w:val="00895231"/>
    <w:rsid w:val="008979B1"/>
    <w:rsid w:val="008A6B25"/>
    <w:rsid w:val="008A6C4F"/>
    <w:rsid w:val="008B4D7D"/>
    <w:rsid w:val="008C1E4D"/>
    <w:rsid w:val="008E0E46"/>
    <w:rsid w:val="008E42CF"/>
    <w:rsid w:val="008E5D82"/>
    <w:rsid w:val="008F2896"/>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22C1"/>
    <w:rsid w:val="00991261"/>
    <w:rsid w:val="009A0B83"/>
    <w:rsid w:val="009B3800"/>
    <w:rsid w:val="009D22AC"/>
    <w:rsid w:val="009D3FA1"/>
    <w:rsid w:val="009D50DB"/>
    <w:rsid w:val="009E1C4E"/>
    <w:rsid w:val="009E78E3"/>
    <w:rsid w:val="00A02BFB"/>
    <w:rsid w:val="00A02F74"/>
    <w:rsid w:val="00A05E0B"/>
    <w:rsid w:val="00A074DD"/>
    <w:rsid w:val="00A1427D"/>
    <w:rsid w:val="00A30C51"/>
    <w:rsid w:val="00A3619D"/>
    <w:rsid w:val="00A4634F"/>
    <w:rsid w:val="00A51CF3"/>
    <w:rsid w:val="00A63DA6"/>
    <w:rsid w:val="00A67EFD"/>
    <w:rsid w:val="00A712AF"/>
    <w:rsid w:val="00A72F22"/>
    <w:rsid w:val="00A748A6"/>
    <w:rsid w:val="00A84E22"/>
    <w:rsid w:val="00A879A4"/>
    <w:rsid w:val="00A87E95"/>
    <w:rsid w:val="00A91390"/>
    <w:rsid w:val="00A92E29"/>
    <w:rsid w:val="00AC2000"/>
    <w:rsid w:val="00AC57AF"/>
    <w:rsid w:val="00AD09E9"/>
    <w:rsid w:val="00AD104C"/>
    <w:rsid w:val="00AD3D48"/>
    <w:rsid w:val="00AD7B29"/>
    <w:rsid w:val="00AF0576"/>
    <w:rsid w:val="00AF3829"/>
    <w:rsid w:val="00B037F0"/>
    <w:rsid w:val="00B04819"/>
    <w:rsid w:val="00B14190"/>
    <w:rsid w:val="00B2327D"/>
    <w:rsid w:val="00B2718F"/>
    <w:rsid w:val="00B30179"/>
    <w:rsid w:val="00B3317B"/>
    <w:rsid w:val="00B334DC"/>
    <w:rsid w:val="00B3631A"/>
    <w:rsid w:val="00B52878"/>
    <w:rsid w:val="00B53013"/>
    <w:rsid w:val="00B60556"/>
    <w:rsid w:val="00B67F5E"/>
    <w:rsid w:val="00B72FDB"/>
    <w:rsid w:val="00B73E65"/>
    <w:rsid w:val="00B81E12"/>
    <w:rsid w:val="00B86C8F"/>
    <w:rsid w:val="00B87110"/>
    <w:rsid w:val="00B90627"/>
    <w:rsid w:val="00B97FA8"/>
    <w:rsid w:val="00BB2720"/>
    <w:rsid w:val="00BC1385"/>
    <w:rsid w:val="00BC74E9"/>
    <w:rsid w:val="00BD5A5E"/>
    <w:rsid w:val="00BE618E"/>
    <w:rsid w:val="00BE7961"/>
    <w:rsid w:val="00BF3A12"/>
    <w:rsid w:val="00BF777C"/>
    <w:rsid w:val="00BF7F28"/>
    <w:rsid w:val="00C1278E"/>
    <w:rsid w:val="00C163EA"/>
    <w:rsid w:val="00C207EF"/>
    <w:rsid w:val="00C24693"/>
    <w:rsid w:val="00C338B0"/>
    <w:rsid w:val="00C3427B"/>
    <w:rsid w:val="00C35F0B"/>
    <w:rsid w:val="00C463DD"/>
    <w:rsid w:val="00C64458"/>
    <w:rsid w:val="00C745C3"/>
    <w:rsid w:val="00C81253"/>
    <w:rsid w:val="00C8450C"/>
    <w:rsid w:val="00CA1CB3"/>
    <w:rsid w:val="00CA2A58"/>
    <w:rsid w:val="00CA2E07"/>
    <w:rsid w:val="00CA6DE7"/>
    <w:rsid w:val="00CA7B63"/>
    <w:rsid w:val="00CB4E32"/>
    <w:rsid w:val="00CC03CC"/>
    <w:rsid w:val="00CC0B55"/>
    <w:rsid w:val="00CC4C53"/>
    <w:rsid w:val="00CD4F6C"/>
    <w:rsid w:val="00CD6995"/>
    <w:rsid w:val="00CE4A8F"/>
    <w:rsid w:val="00CF0214"/>
    <w:rsid w:val="00CF586F"/>
    <w:rsid w:val="00CF7D43"/>
    <w:rsid w:val="00D11129"/>
    <w:rsid w:val="00D174D1"/>
    <w:rsid w:val="00D2031B"/>
    <w:rsid w:val="00D22332"/>
    <w:rsid w:val="00D226FD"/>
    <w:rsid w:val="00D25FE2"/>
    <w:rsid w:val="00D43252"/>
    <w:rsid w:val="00D47642"/>
    <w:rsid w:val="00D550F9"/>
    <w:rsid w:val="00D55CD5"/>
    <w:rsid w:val="00D572B0"/>
    <w:rsid w:val="00D57EDC"/>
    <w:rsid w:val="00D62E90"/>
    <w:rsid w:val="00D6573E"/>
    <w:rsid w:val="00D725F7"/>
    <w:rsid w:val="00D75C61"/>
    <w:rsid w:val="00D76BE5"/>
    <w:rsid w:val="00D8128F"/>
    <w:rsid w:val="00D82670"/>
    <w:rsid w:val="00D93977"/>
    <w:rsid w:val="00D978C6"/>
    <w:rsid w:val="00DA67AD"/>
    <w:rsid w:val="00DB18CE"/>
    <w:rsid w:val="00DD0FDA"/>
    <w:rsid w:val="00DD1517"/>
    <w:rsid w:val="00DD3674"/>
    <w:rsid w:val="00DD64FE"/>
    <w:rsid w:val="00DE3EC0"/>
    <w:rsid w:val="00DE7BF3"/>
    <w:rsid w:val="00E11593"/>
    <w:rsid w:val="00E12B6B"/>
    <w:rsid w:val="00E130AB"/>
    <w:rsid w:val="00E170D4"/>
    <w:rsid w:val="00E262E6"/>
    <w:rsid w:val="00E438D9"/>
    <w:rsid w:val="00E44578"/>
    <w:rsid w:val="00E5644E"/>
    <w:rsid w:val="00E66B4F"/>
    <w:rsid w:val="00E7260F"/>
    <w:rsid w:val="00E73824"/>
    <w:rsid w:val="00E806EE"/>
    <w:rsid w:val="00E86049"/>
    <w:rsid w:val="00E87FFD"/>
    <w:rsid w:val="00E96630"/>
    <w:rsid w:val="00E96891"/>
    <w:rsid w:val="00EA18C1"/>
    <w:rsid w:val="00EB0EF8"/>
    <w:rsid w:val="00EB0FB9"/>
    <w:rsid w:val="00ED0CA9"/>
    <w:rsid w:val="00ED7A2A"/>
    <w:rsid w:val="00EE41E7"/>
    <w:rsid w:val="00EE7D5F"/>
    <w:rsid w:val="00EF1D7F"/>
    <w:rsid w:val="00EF5BDB"/>
    <w:rsid w:val="00F07FD9"/>
    <w:rsid w:val="00F21C38"/>
    <w:rsid w:val="00F238A8"/>
    <w:rsid w:val="00F23933"/>
    <w:rsid w:val="00F24119"/>
    <w:rsid w:val="00F30B7B"/>
    <w:rsid w:val="00F34950"/>
    <w:rsid w:val="00F40E75"/>
    <w:rsid w:val="00F42CD9"/>
    <w:rsid w:val="00F52936"/>
    <w:rsid w:val="00F63CF0"/>
    <w:rsid w:val="00F66B39"/>
    <w:rsid w:val="00F677CB"/>
    <w:rsid w:val="00F71571"/>
    <w:rsid w:val="00F715B8"/>
    <w:rsid w:val="00F72113"/>
    <w:rsid w:val="00F723A2"/>
    <w:rsid w:val="00F76CA4"/>
    <w:rsid w:val="00FA2C83"/>
    <w:rsid w:val="00FA6583"/>
    <w:rsid w:val="00FA7DF3"/>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3CA84"/>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ganhri.org/wp-content/uploads/2021/01/Status-Accreditation-Chart-as-of-20-01-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9EF1DC-F1D9-4059-A5D0-6CC6185E6CB0}">
  <ds:schemaRefs>
    <ds:schemaRef ds:uri="http://schemas.openxmlformats.org/officeDocument/2006/bibliography"/>
  </ds:schemaRefs>
</ds:datastoreItem>
</file>

<file path=customXml/itemProps2.xml><?xml version="1.0" encoding="utf-8"?>
<ds:datastoreItem xmlns:ds="http://schemas.openxmlformats.org/officeDocument/2006/customXml" ds:itemID="{ED04833A-75CC-4E8A-A4FB-597C2669F260}"/>
</file>

<file path=customXml/itemProps3.xml><?xml version="1.0" encoding="utf-8"?>
<ds:datastoreItem xmlns:ds="http://schemas.openxmlformats.org/officeDocument/2006/customXml" ds:itemID="{5C295C0F-F0E1-4D25-B8E5-50EBC5DE8CDD}"/>
</file>

<file path=customXml/itemProps4.xml><?xml version="1.0" encoding="utf-8"?>
<ds:datastoreItem xmlns:ds="http://schemas.openxmlformats.org/officeDocument/2006/customXml" ds:itemID="{27E4DF7C-8F04-4D53-9F04-F86F30474769}"/>
</file>

<file path=docProps/app.xml><?xml version="1.0" encoding="utf-8"?>
<Properties xmlns="http://schemas.openxmlformats.org/officeDocument/2006/extended-properties" xmlns:vt="http://schemas.openxmlformats.org/officeDocument/2006/docPropsVTypes">
  <Template>A_E.dotm</Template>
  <TotalTime>1</TotalTime>
  <Pages>6</Pages>
  <Words>534</Words>
  <Characters>3045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5</cp:revision>
  <cp:lastPrinted>2008-01-29T07:30:00Z</cp:lastPrinted>
  <dcterms:created xsi:type="dcterms:W3CDTF">2021-12-01T09:51:00Z</dcterms:created>
  <dcterms:modified xsi:type="dcterms:W3CDTF">2021-12-10T15:50:00Z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