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AA964" w14:textId="0DD11BF9" w:rsidR="00B3007B" w:rsidRPr="00B3007B" w:rsidRDefault="00B3007B" w:rsidP="00B3007B">
      <w:pPr>
        <w:pStyle w:val="BodyText3"/>
        <w:jc w:val="center"/>
        <w:rPr>
          <w:rFonts w:asciiTheme="majorHAnsi" w:hAnsiTheme="majorHAnsi" w:cstheme="majorHAnsi"/>
        </w:rPr>
      </w:pPr>
      <w:bookmarkStart w:id="0" w:name="_GoBack"/>
      <w:bookmarkEnd w:id="0"/>
      <w:r w:rsidRPr="00B3007B">
        <w:rPr>
          <w:rFonts w:asciiTheme="majorHAnsi" w:hAnsiTheme="majorHAnsi" w:cstheme="majorHAnsi"/>
        </w:rPr>
        <w:t>United Nations Expert Mechanism on the Rights of Indigenous Peoples Seminar on treaties, agreements and other constructive arrangements between states and indigenous peoples (the Expert Seminar)</w:t>
      </w:r>
    </w:p>
    <w:p w14:paraId="3BA62674" w14:textId="77777777" w:rsidR="00B3007B" w:rsidRDefault="00B3007B" w:rsidP="00B3007B">
      <w:pPr>
        <w:pStyle w:val="BodyText3"/>
        <w:jc w:val="center"/>
        <w:rPr>
          <w:rFonts w:asciiTheme="majorHAnsi" w:hAnsiTheme="majorHAnsi" w:cstheme="majorHAnsi"/>
          <w:b/>
          <w:bCs/>
        </w:rPr>
      </w:pPr>
    </w:p>
    <w:p w14:paraId="638C01F2" w14:textId="4FEA9A11" w:rsidR="00C320BD" w:rsidRPr="00D92920" w:rsidRDefault="00C320BD" w:rsidP="00B3007B">
      <w:pPr>
        <w:pStyle w:val="BodyText3"/>
        <w:jc w:val="center"/>
        <w:rPr>
          <w:rFonts w:asciiTheme="majorHAnsi" w:hAnsiTheme="majorHAnsi" w:cstheme="majorHAnsi"/>
          <w:b/>
          <w:bCs/>
        </w:rPr>
      </w:pPr>
      <w:r w:rsidRPr="00D92920">
        <w:rPr>
          <w:rFonts w:asciiTheme="majorHAnsi" w:hAnsiTheme="majorHAnsi" w:cstheme="majorHAnsi"/>
          <w:b/>
          <w:bCs/>
        </w:rPr>
        <w:t>Te Tiriti o Waitangi, the Waitangi Tribunal and Treaty Settlement Processes</w:t>
      </w:r>
      <w:r w:rsidR="00B3007B">
        <w:rPr>
          <w:rFonts w:asciiTheme="majorHAnsi" w:hAnsiTheme="majorHAnsi" w:cstheme="majorHAnsi"/>
          <w:b/>
          <w:bCs/>
        </w:rPr>
        <w:t xml:space="preserve">: </w:t>
      </w:r>
      <w:r w:rsidRPr="00D92920">
        <w:rPr>
          <w:rFonts w:asciiTheme="majorHAnsi" w:hAnsiTheme="majorHAnsi" w:cstheme="majorHAnsi"/>
          <w:b/>
          <w:bCs/>
        </w:rPr>
        <w:t xml:space="preserve">Mechanisms with the competence to resolve conflicts between States and indigenous peoples about treaties, agreements, and other constructive arrangements, including peace accords and reconciliation initiatives, and their constitutional recognition. Joint </w:t>
      </w:r>
      <w:r w:rsidR="00B3007B" w:rsidRPr="00D92920">
        <w:rPr>
          <w:rFonts w:asciiTheme="majorHAnsi" w:hAnsiTheme="majorHAnsi" w:cstheme="majorHAnsi"/>
          <w:b/>
          <w:bCs/>
        </w:rPr>
        <w:t>problem-solving</w:t>
      </w:r>
      <w:r w:rsidRPr="00D92920">
        <w:rPr>
          <w:rFonts w:asciiTheme="majorHAnsi" w:hAnsiTheme="majorHAnsi" w:cstheme="majorHAnsi"/>
          <w:b/>
          <w:bCs/>
        </w:rPr>
        <w:t xml:space="preserve"> approaches that facilitate constructive dialogue between States and indigenous peoples.</w:t>
      </w:r>
    </w:p>
    <w:p w14:paraId="6AA5D916" w14:textId="778615A7" w:rsidR="00C320BD" w:rsidRPr="00D92920" w:rsidRDefault="00C320BD" w:rsidP="00B3007B">
      <w:pPr>
        <w:pStyle w:val="BodyText3"/>
        <w:jc w:val="center"/>
        <w:rPr>
          <w:rFonts w:asciiTheme="majorHAnsi" w:hAnsiTheme="majorHAnsi" w:cstheme="majorHAnsi"/>
          <w:b/>
          <w:bCs/>
        </w:rPr>
      </w:pPr>
    </w:p>
    <w:p w14:paraId="6DF9A0C0" w14:textId="38A5FAA2" w:rsidR="00C320BD" w:rsidRPr="00B3007B" w:rsidRDefault="00C320BD" w:rsidP="00B3007B">
      <w:pPr>
        <w:pStyle w:val="BodyText3"/>
        <w:jc w:val="center"/>
        <w:rPr>
          <w:rFonts w:asciiTheme="majorHAnsi" w:hAnsiTheme="majorHAnsi" w:cstheme="majorHAnsi"/>
        </w:rPr>
      </w:pPr>
      <w:r w:rsidRPr="00B3007B">
        <w:rPr>
          <w:rFonts w:asciiTheme="majorHAnsi" w:hAnsiTheme="majorHAnsi" w:cstheme="majorHAnsi"/>
        </w:rPr>
        <w:t>Dr Claire Charters</w:t>
      </w:r>
    </w:p>
    <w:p w14:paraId="528CFD2E" w14:textId="6A56C5A4" w:rsidR="00C320BD" w:rsidRPr="00B3007B" w:rsidRDefault="00C320BD" w:rsidP="00B3007B">
      <w:pPr>
        <w:pStyle w:val="BodyText3"/>
        <w:jc w:val="center"/>
        <w:rPr>
          <w:rFonts w:asciiTheme="majorHAnsi" w:hAnsiTheme="majorHAnsi" w:cstheme="majorHAnsi"/>
        </w:rPr>
      </w:pPr>
      <w:r w:rsidRPr="00B3007B">
        <w:rPr>
          <w:rFonts w:asciiTheme="majorHAnsi" w:hAnsiTheme="majorHAnsi" w:cstheme="majorHAnsi"/>
        </w:rPr>
        <w:t>Associate Professor</w:t>
      </w:r>
    </w:p>
    <w:p w14:paraId="1DE9108D" w14:textId="3B1ABDA5" w:rsidR="00C320BD" w:rsidRPr="00B3007B" w:rsidRDefault="00C320BD" w:rsidP="00B3007B">
      <w:pPr>
        <w:pStyle w:val="BodyText3"/>
        <w:jc w:val="center"/>
        <w:rPr>
          <w:rFonts w:asciiTheme="majorHAnsi" w:hAnsiTheme="majorHAnsi" w:cstheme="majorHAnsi"/>
        </w:rPr>
      </w:pPr>
      <w:r w:rsidRPr="00B3007B">
        <w:rPr>
          <w:rFonts w:asciiTheme="majorHAnsi" w:hAnsiTheme="majorHAnsi" w:cstheme="majorHAnsi"/>
        </w:rPr>
        <w:t>Auckland Law School</w:t>
      </w:r>
    </w:p>
    <w:p w14:paraId="0E6CD24F" w14:textId="77777777" w:rsidR="00C320BD" w:rsidRPr="00D92920" w:rsidRDefault="00C320BD" w:rsidP="00B3007B">
      <w:pPr>
        <w:pStyle w:val="BodyText3"/>
        <w:jc w:val="center"/>
        <w:rPr>
          <w:rFonts w:asciiTheme="majorHAnsi" w:hAnsiTheme="majorHAnsi" w:cstheme="majorHAnsi"/>
          <w:b/>
          <w:bCs/>
        </w:rPr>
      </w:pPr>
    </w:p>
    <w:p w14:paraId="110D3AED" w14:textId="7625674C" w:rsidR="00C320BD" w:rsidRPr="00B3007B" w:rsidRDefault="00C320BD" w:rsidP="00B3007B">
      <w:pPr>
        <w:pStyle w:val="BodyText3"/>
        <w:jc w:val="center"/>
        <w:rPr>
          <w:rFonts w:asciiTheme="majorHAnsi" w:hAnsiTheme="majorHAnsi" w:cstheme="majorHAnsi"/>
        </w:rPr>
      </w:pPr>
      <w:r w:rsidRPr="00B3007B">
        <w:rPr>
          <w:rFonts w:asciiTheme="majorHAnsi" w:hAnsiTheme="majorHAnsi" w:cstheme="majorHAnsi"/>
        </w:rPr>
        <w:t>29 Nov – 1 Dec 2021</w:t>
      </w:r>
    </w:p>
    <w:p w14:paraId="6C626DAA" w14:textId="77777777" w:rsidR="00C320BD" w:rsidRPr="00D92920" w:rsidRDefault="00C320BD" w:rsidP="002A63DD">
      <w:pPr>
        <w:spacing w:line="276" w:lineRule="auto"/>
        <w:rPr>
          <w:rFonts w:asciiTheme="majorHAnsi" w:hAnsiTheme="majorHAnsi" w:cstheme="majorHAnsi"/>
          <w:b/>
          <w:bCs/>
          <w:lang w:val="mi-NZ"/>
        </w:rPr>
      </w:pPr>
    </w:p>
    <w:p w14:paraId="14442B52" w14:textId="05C2E408" w:rsidR="00B3007B" w:rsidRDefault="00B3007B" w:rsidP="002A63DD">
      <w:pPr>
        <w:spacing w:line="276" w:lineRule="auto"/>
        <w:rPr>
          <w:rFonts w:asciiTheme="majorHAnsi" w:hAnsiTheme="majorHAnsi" w:cstheme="majorHAnsi"/>
          <w:b/>
          <w:bCs/>
          <w:lang w:val="mi-NZ"/>
        </w:rPr>
      </w:pPr>
      <w:r>
        <w:rPr>
          <w:rFonts w:asciiTheme="majorHAnsi" w:hAnsiTheme="majorHAnsi" w:cstheme="majorHAnsi"/>
          <w:b/>
          <w:bCs/>
          <w:lang w:val="mi-NZ"/>
        </w:rPr>
        <w:t>Mihi</w:t>
      </w:r>
    </w:p>
    <w:p w14:paraId="20B2BE21" w14:textId="0434CCD0" w:rsidR="00B3007B" w:rsidRDefault="00B3007B" w:rsidP="002A63DD">
      <w:pPr>
        <w:spacing w:line="276" w:lineRule="auto"/>
        <w:rPr>
          <w:rFonts w:asciiTheme="majorHAnsi" w:hAnsiTheme="majorHAnsi" w:cstheme="majorHAnsi"/>
          <w:b/>
          <w:bCs/>
          <w:lang w:val="mi-NZ"/>
        </w:rPr>
      </w:pPr>
    </w:p>
    <w:p w14:paraId="78A1EC59" w14:textId="1C03030B" w:rsidR="00B3007B" w:rsidRPr="00B3007B" w:rsidRDefault="00B3007B" w:rsidP="00B3007B">
      <w:pPr>
        <w:pStyle w:val="ListParagraph"/>
        <w:numPr>
          <w:ilvl w:val="0"/>
          <w:numId w:val="12"/>
        </w:numPr>
        <w:spacing w:line="276" w:lineRule="auto"/>
        <w:rPr>
          <w:rFonts w:asciiTheme="majorHAnsi" w:hAnsiTheme="majorHAnsi" w:cstheme="majorHAnsi"/>
          <w:lang w:val="mi-NZ"/>
        </w:rPr>
      </w:pPr>
      <w:r w:rsidRPr="00B3007B">
        <w:rPr>
          <w:rFonts w:asciiTheme="majorHAnsi" w:hAnsiTheme="majorHAnsi" w:cstheme="majorHAnsi"/>
          <w:lang w:val="mi-NZ"/>
        </w:rPr>
        <w:t>Greeting in Māori language.</w:t>
      </w:r>
    </w:p>
    <w:p w14:paraId="7F225EA6" w14:textId="77777777" w:rsidR="00B3007B" w:rsidRDefault="00B3007B" w:rsidP="002A63DD">
      <w:pPr>
        <w:spacing w:line="276" w:lineRule="auto"/>
        <w:rPr>
          <w:rFonts w:asciiTheme="majorHAnsi" w:hAnsiTheme="majorHAnsi" w:cstheme="majorHAnsi"/>
          <w:b/>
          <w:bCs/>
          <w:lang w:val="mi-NZ"/>
        </w:rPr>
      </w:pPr>
    </w:p>
    <w:p w14:paraId="5A6D1788" w14:textId="163EB7EB" w:rsidR="008E4788" w:rsidRPr="00D92920" w:rsidRDefault="008E4788" w:rsidP="002A63DD">
      <w:pPr>
        <w:spacing w:line="276" w:lineRule="auto"/>
        <w:rPr>
          <w:rFonts w:asciiTheme="majorHAnsi" w:hAnsiTheme="majorHAnsi" w:cstheme="majorHAnsi"/>
          <w:b/>
          <w:bCs/>
          <w:lang w:val="mi-NZ"/>
        </w:rPr>
      </w:pPr>
      <w:r w:rsidRPr="00D92920">
        <w:rPr>
          <w:rFonts w:asciiTheme="majorHAnsi" w:hAnsiTheme="majorHAnsi" w:cstheme="majorHAnsi"/>
          <w:b/>
          <w:bCs/>
          <w:lang w:val="mi-NZ"/>
        </w:rPr>
        <w:t>Introduction</w:t>
      </w:r>
    </w:p>
    <w:p w14:paraId="51ECEA48" w14:textId="08E4BB94" w:rsidR="008E4788" w:rsidRPr="00D92920" w:rsidRDefault="008E4788" w:rsidP="002A63DD">
      <w:pPr>
        <w:spacing w:line="276" w:lineRule="auto"/>
        <w:rPr>
          <w:rFonts w:asciiTheme="majorHAnsi" w:hAnsiTheme="majorHAnsi" w:cstheme="majorHAnsi"/>
          <w:b/>
          <w:bCs/>
          <w:lang w:val="mi-NZ"/>
        </w:rPr>
      </w:pPr>
    </w:p>
    <w:p w14:paraId="49FCD410" w14:textId="1453D8EF" w:rsidR="008E4788" w:rsidRPr="00D92920" w:rsidRDefault="008E4788" w:rsidP="008E4788">
      <w:pPr>
        <w:spacing w:line="276" w:lineRule="auto"/>
        <w:rPr>
          <w:rFonts w:asciiTheme="majorHAnsi" w:hAnsiTheme="majorHAnsi" w:cstheme="majorHAnsi"/>
          <w:lang w:val="mi-NZ"/>
        </w:rPr>
      </w:pPr>
      <w:r w:rsidRPr="00D92920">
        <w:rPr>
          <w:rFonts w:asciiTheme="majorHAnsi" w:hAnsiTheme="majorHAnsi" w:cstheme="majorHAnsi"/>
          <w:lang w:val="mi-NZ"/>
        </w:rPr>
        <w:t xml:space="preserve">This paper is informed by previous </w:t>
      </w:r>
      <w:r w:rsidR="0006743A">
        <w:rPr>
          <w:rFonts w:asciiTheme="majorHAnsi" w:hAnsiTheme="majorHAnsi" w:cstheme="majorHAnsi"/>
          <w:lang w:val="mi-NZ"/>
        </w:rPr>
        <w:t xml:space="preserve">UN </w:t>
      </w:r>
      <w:r w:rsidRPr="00D92920">
        <w:rPr>
          <w:rFonts w:asciiTheme="majorHAnsi" w:hAnsiTheme="majorHAnsi" w:cstheme="majorHAnsi"/>
          <w:lang w:val="mi-NZ"/>
        </w:rPr>
        <w:t>seminars and research on treaties, agreements and other co</w:t>
      </w:r>
      <w:r w:rsidR="00B3007B">
        <w:rPr>
          <w:rFonts w:asciiTheme="majorHAnsi" w:hAnsiTheme="majorHAnsi" w:cstheme="majorHAnsi"/>
          <w:lang w:val="mi-NZ"/>
        </w:rPr>
        <w:t>n</w:t>
      </w:r>
      <w:r w:rsidRPr="00D92920">
        <w:rPr>
          <w:rFonts w:asciiTheme="majorHAnsi" w:hAnsiTheme="majorHAnsi" w:cstheme="majorHAnsi"/>
          <w:lang w:val="mi-NZ"/>
        </w:rPr>
        <w:t>structive arrangements between Indigenous peoples and states, including:</w:t>
      </w:r>
    </w:p>
    <w:p w14:paraId="71E6C231" w14:textId="77777777" w:rsidR="008E4788" w:rsidRPr="00D92920" w:rsidRDefault="008E4788" w:rsidP="008E4788">
      <w:pPr>
        <w:jc w:val="both"/>
        <w:rPr>
          <w:rFonts w:asciiTheme="majorHAnsi" w:hAnsiTheme="majorHAnsi" w:cstheme="majorHAnsi"/>
        </w:rPr>
      </w:pPr>
    </w:p>
    <w:p w14:paraId="3CB4B588" w14:textId="77777777" w:rsidR="008E4788" w:rsidRPr="00D92920" w:rsidRDefault="008E4788" w:rsidP="008E4788">
      <w:pPr>
        <w:numPr>
          <w:ilvl w:val="0"/>
          <w:numId w:val="9"/>
        </w:numPr>
        <w:tabs>
          <w:tab w:val="clear" w:pos="720"/>
          <w:tab w:val="num" w:pos="360"/>
        </w:tabs>
        <w:ind w:left="360"/>
        <w:jc w:val="both"/>
        <w:rPr>
          <w:rFonts w:asciiTheme="majorHAnsi" w:hAnsiTheme="majorHAnsi" w:cstheme="majorHAnsi"/>
          <w:lang w:val="en-GB"/>
        </w:rPr>
      </w:pPr>
      <w:r w:rsidRPr="00D92920">
        <w:rPr>
          <w:rFonts w:asciiTheme="majorHAnsi" w:hAnsiTheme="majorHAnsi" w:cstheme="majorHAnsi"/>
        </w:rPr>
        <w:t>Study on treaties, agreements and other constructive arrangements between States and indigenous populations E/CN.4/Sub.2/1999/20</w:t>
      </w:r>
      <w:r w:rsidRPr="00D92920">
        <w:rPr>
          <w:rFonts w:asciiTheme="majorHAnsi" w:hAnsiTheme="majorHAnsi" w:cstheme="majorHAnsi"/>
          <w:lang w:val="en-GB"/>
        </w:rPr>
        <w:t xml:space="preserve"> (the Final Report);</w:t>
      </w:r>
    </w:p>
    <w:p w14:paraId="7BA4F340" w14:textId="77777777" w:rsidR="008E4788" w:rsidRPr="00D92920" w:rsidRDefault="008E4788" w:rsidP="008E4788">
      <w:pPr>
        <w:jc w:val="both"/>
        <w:rPr>
          <w:rFonts w:asciiTheme="majorHAnsi" w:hAnsiTheme="majorHAnsi" w:cstheme="majorHAnsi"/>
          <w:lang w:val="en-GB"/>
        </w:rPr>
      </w:pPr>
    </w:p>
    <w:p w14:paraId="0214DE15" w14:textId="77777777" w:rsidR="008E4788" w:rsidRPr="00D92920" w:rsidRDefault="008E4788" w:rsidP="008E4788">
      <w:pPr>
        <w:numPr>
          <w:ilvl w:val="0"/>
          <w:numId w:val="9"/>
        </w:numPr>
        <w:tabs>
          <w:tab w:val="clear" w:pos="720"/>
          <w:tab w:val="num" w:pos="360"/>
        </w:tabs>
        <w:ind w:left="360"/>
        <w:jc w:val="both"/>
        <w:rPr>
          <w:rFonts w:asciiTheme="majorHAnsi" w:hAnsiTheme="majorHAnsi" w:cstheme="majorHAnsi"/>
          <w:lang w:val="en-GB"/>
        </w:rPr>
      </w:pPr>
      <w:r w:rsidRPr="00D92920">
        <w:rPr>
          <w:rFonts w:asciiTheme="majorHAnsi" w:hAnsiTheme="majorHAnsi" w:cstheme="majorHAnsi"/>
        </w:rPr>
        <w:t>Third progress report of the Special Rapporteur on the study on treaties, agreements and other constructive arrangements between States and indigenous populations E/CN.4/Sub.2/1996/23 (the Third Report);</w:t>
      </w:r>
    </w:p>
    <w:p w14:paraId="75987A9B" w14:textId="77777777" w:rsidR="008E4788" w:rsidRPr="00D92920" w:rsidRDefault="008E4788" w:rsidP="008E4788">
      <w:pPr>
        <w:jc w:val="both"/>
        <w:rPr>
          <w:rFonts w:asciiTheme="majorHAnsi" w:hAnsiTheme="majorHAnsi" w:cstheme="majorHAnsi"/>
          <w:lang w:val="en-GB"/>
        </w:rPr>
      </w:pPr>
    </w:p>
    <w:p w14:paraId="75A4883D" w14:textId="77777777" w:rsidR="008E4788" w:rsidRPr="00D92920" w:rsidRDefault="008E4788" w:rsidP="008E4788">
      <w:pPr>
        <w:numPr>
          <w:ilvl w:val="0"/>
          <w:numId w:val="9"/>
        </w:numPr>
        <w:tabs>
          <w:tab w:val="clear" w:pos="720"/>
          <w:tab w:val="num" w:pos="360"/>
        </w:tabs>
        <w:ind w:left="360"/>
        <w:jc w:val="both"/>
        <w:rPr>
          <w:rFonts w:asciiTheme="majorHAnsi" w:hAnsiTheme="majorHAnsi" w:cstheme="majorHAnsi"/>
          <w:lang w:val="en-GB"/>
        </w:rPr>
      </w:pPr>
      <w:r w:rsidRPr="00D92920">
        <w:rPr>
          <w:rFonts w:asciiTheme="majorHAnsi" w:hAnsiTheme="majorHAnsi" w:cstheme="majorHAnsi"/>
        </w:rPr>
        <w:t>Study on treaties, agreements and other constructive arrangements between States and indigenous populations. Second progress report submitted by the Special Rapporteur E/CN.4/Sub.2/1995/27 (the Second Report); and</w:t>
      </w:r>
    </w:p>
    <w:p w14:paraId="440B8DB6" w14:textId="77777777" w:rsidR="008E4788" w:rsidRPr="00D92920" w:rsidRDefault="008E4788" w:rsidP="008E4788">
      <w:pPr>
        <w:jc w:val="both"/>
        <w:rPr>
          <w:rFonts w:asciiTheme="majorHAnsi" w:hAnsiTheme="majorHAnsi" w:cstheme="majorHAnsi"/>
          <w:lang w:val="en-GB"/>
        </w:rPr>
      </w:pPr>
    </w:p>
    <w:p w14:paraId="0A485B35" w14:textId="77777777" w:rsidR="008E4788" w:rsidRPr="00D92920" w:rsidRDefault="008E4788" w:rsidP="008E4788">
      <w:pPr>
        <w:numPr>
          <w:ilvl w:val="0"/>
          <w:numId w:val="9"/>
        </w:numPr>
        <w:tabs>
          <w:tab w:val="clear" w:pos="720"/>
          <w:tab w:val="num" w:pos="360"/>
        </w:tabs>
        <w:ind w:left="360"/>
        <w:jc w:val="both"/>
        <w:rPr>
          <w:rFonts w:asciiTheme="majorHAnsi" w:hAnsiTheme="majorHAnsi" w:cstheme="majorHAnsi"/>
          <w:lang w:val="en-GB"/>
        </w:rPr>
      </w:pPr>
      <w:r w:rsidRPr="00D92920">
        <w:rPr>
          <w:rFonts w:asciiTheme="majorHAnsi" w:hAnsiTheme="majorHAnsi" w:cstheme="majorHAnsi"/>
        </w:rPr>
        <w:t>Study on treaties, agreements and other constructive arrangements between States and indigenous populations. Second progress report submitted by the Special Rapporteur E/CN.4/Sub.2/1992/32 (the 1992 Report).</w:t>
      </w:r>
    </w:p>
    <w:p w14:paraId="15D05BEB" w14:textId="77777777" w:rsidR="008E4788" w:rsidRPr="00D92920" w:rsidRDefault="008E4788" w:rsidP="008E4788">
      <w:pPr>
        <w:spacing w:line="276" w:lineRule="auto"/>
        <w:rPr>
          <w:rFonts w:asciiTheme="majorHAnsi" w:hAnsiTheme="majorHAnsi" w:cstheme="majorHAnsi"/>
          <w:lang w:val="mi-NZ"/>
        </w:rPr>
      </w:pPr>
    </w:p>
    <w:p w14:paraId="7F955F95" w14:textId="636156A7" w:rsidR="008E4788" w:rsidRPr="00D92920" w:rsidRDefault="00D92920" w:rsidP="002A63DD">
      <w:pPr>
        <w:spacing w:line="276" w:lineRule="auto"/>
        <w:rPr>
          <w:rFonts w:asciiTheme="majorHAnsi" w:hAnsiTheme="majorHAnsi" w:cstheme="majorHAnsi"/>
          <w:lang w:val="mi-NZ"/>
        </w:rPr>
      </w:pPr>
      <w:r w:rsidRPr="00D92920">
        <w:rPr>
          <w:rFonts w:asciiTheme="majorHAnsi" w:hAnsiTheme="majorHAnsi" w:cstheme="majorHAnsi"/>
          <w:lang w:val="mi-NZ"/>
        </w:rPr>
        <w:t>It is also informed by the 2003 and then 2012 OHCHR Expert Seminars on treaties, agreements and other constructive arrangements between Indigenous peoples and states.</w:t>
      </w:r>
    </w:p>
    <w:p w14:paraId="4BC48428" w14:textId="77777777" w:rsidR="00D92920" w:rsidRPr="00D92920" w:rsidRDefault="00D92920" w:rsidP="002A63DD">
      <w:pPr>
        <w:spacing w:line="276" w:lineRule="auto"/>
        <w:rPr>
          <w:rFonts w:asciiTheme="majorHAnsi" w:hAnsiTheme="majorHAnsi" w:cstheme="majorHAnsi"/>
          <w:b/>
          <w:bCs/>
          <w:lang w:val="mi-NZ"/>
        </w:rPr>
      </w:pPr>
    </w:p>
    <w:p w14:paraId="69A4EA58" w14:textId="295D6917" w:rsidR="009A0856" w:rsidRPr="00D92920" w:rsidRDefault="002A63DD" w:rsidP="002A63DD">
      <w:pPr>
        <w:spacing w:line="276" w:lineRule="auto"/>
        <w:rPr>
          <w:rFonts w:asciiTheme="majorHAnsi" w:hAnsiTheme="majorHAnsi" w:cstheme="majorHAnsi"/>
          <w:b/>
          <w:bCs/>
          <w:lang w:val="mi-NZ"/>
        </w:rPr>
      </w:pPr>
      <w:r w:rsidRPr="00D92920">
        <w:rPr>
          <w:rFonts w:asciiTheme="majorHAnsi" w:hAnsiTheme="majorHAnsi" w:cstheme="majorHAnsi"/>
          <w:b/>
          <w:bCs/>
          <w:lang w:val="mi-NZ"/>
        </w:rPr>
        <w:t>Context: Te Tiriti o Waitangi</w:t>
      </w:r>
    </w:p>
    <w:p w14:paraId="0C23C82A" w14:textId="53C2A1A3" w:rsidR="002A63DD" w:rsidRPr="00D92920" w:rsidRDefault="002A63DD" w:rsidP="002A63DD">
      <w:pPr>
        <w:rPr>
          <w:rFonts w:asciiTheme="majorHAnsi" w:hAnsiTheme="majorHAnsi" w:cstheme="majorHAnsi"/>
          <w:lang w:val="mi-NZ"/>
        </w:rPr>
      </w:pPr>
    </w:p>
    <w:p w14:paraId="1B9895CB" w14:textId="52B4FAE4" w:rsidR="002A63DD" w:rsidRPr="00D92920" w:rsidRDefault="002A63DD" w:rsidP="002A63DD">
      <w:pPr>
        <w:pStyle w:val="ListParagraph"/>
        <w:numPr>
          <w:ilvl w:val="0"/>
          <w:numId w:val="2"/>
        </w:numPr>
        <w:rPr>
          <w:rFonts w:asciiTheme="majorHAnsi" w:hAnsiTheme="majorHAnsi" w:cstheme="majorHAnsi"/>
          <w:lang w:val="mi-NZ"/>
        </w:rPr>
      </w:pPr>
      <w:r w:rsidRPr="00D92920">
        <w:rPr>
          <w:rFonts w:asciiTheme="majorHAnsi" w:hAnsiTheme="majorHAnsi" w:cstheme="majorHAnsi"/>
          <w:lang w:val="mi-NZ"/>
        </w:rPr>
        <w:lastRenderedPageBreak/>
        <w:t>Te Tiriti o Waitangi</w:t>
      </w:r>
      <w:r w:rsidR="00337DC4" w:rsidRPr="00D92920">
        <w:rPr>
          <w:rFonts w:asciiTheme="majorHAnsi" w:hAnsiTheme="majorHAnsi" w:cstheme="majorHAnsi"/>
          <w:lang w:val="mi-NZ"/>
        </w:rPr>
        <w:t>|the Treaty of Waitangi</w:t>
      </w:r>
      <w:r w:rsidRPr="00D92920">
        <w:rPr>
          <w:rFonts w:asciiTheme="majorHAnsi" w:hAnsiTheme="majorHAnsi" w:cstheme="majorHAnsi"/>
          <w:lang w:val="mi-NZ"/>
        </w:rPr>
        <w:t xml:space="preserve"> has international recognition as an example of a “good” treaty between the coloniser and Indigenous peoples. </w:t>
      </w:r>
      <w:r w:rsidR="00337DC4" w:rsidRPr="00D92920">
        <w:rPr>
          <w:rFonts w:asciiTheme="majorHAnsi" w:hAnsiTheme="majorHAnsi" w:cstheme="majorHAnsi"/>
          <w:lang w:val="mi-NZ"/>
        </w:rPr>
        <w:t xml:space="preserve"> Unfortunately, this is an inaccurate description.</w:t>
      </w:r>
    </w:p>
    <w:p w14:paraId="705C285D" w14:textId="77777777" w:rsidR="002A63DD" w:rsidRPr="00D92920" w:rsidRDefault="002A63DD" w:rsidP="002A63DD">
      <w:pPr>
        <w:pStyle w:val="ListParagraph"/>
        <w:ind w:left="360"/>
        <w:rPr>
          <w:rFonts w:asciiTheme="majorHAnsi" w:hAnsiTheme="majorHAnsi" w:cstheme="majorHAnsi"/>
          <w:lang w:val="mi-NZ"/>
        </w:rPr>
      </w:pPr>
    </w:p>
    <w:p w14:paraId="6CBFD4C3" w14:textId="0D2AF8BB" w:rsidR="002A63DD" w:rsidRPr="00D92920" w:rsidRDefault="002A63DD" w:rsidP="002A63DD">
      <w:pPr>
        <w:pStyle w:val="ListParagraph"/>
        <w:numPr>
          <w:ilvl w:val="0"/>
          <w:numId w:val="2"/>
        </w:numPr>
        <w:rPr>
          <w:rFonts w:asciiTheme="majorHAnsi" w:hAnsiTheme="majorHAnsi" w:cstheme="majorHAnsi"/>
          <w:lang w:val="mi-NZ"/>
        </w:rPr>
      </w:pPr>
      <w:r w:rsidRPr="00D92920">
        <w:rPr>
          <w:rFonts w:asciiTheme="majorHAnsi" w:hAnsiTheme="majorHAnsi" w:cstheme="majorHAnsi"/>
          <w:lang w:val="mi-NZ"/>
        </w:rPr>
        <w:t>Signed in 1840, te Tiriti came shortly after the 1835 He Whakaputanga or Declaration of Indepence by Māori chiefs in the north of Aotearoa/New Zealand and recognised by British Crown representatives. It was a clear statement of Māori sovereignty.</w:t>
      </w:r>
    </w:p>
    <w:p w14:paraId="48CE0D53" w14:textId="77777777" w:rsidR="002A63DD" w:rsidRPr="00B3007B" w:rsidRDefault="002A63DD" w:rsidP="00B3007B">
      <w:pPr>
        <w:rPr>
          <w:rFonts w:asciiTheme="majorHAnsi" w:hAnsiTheme="majorHAnsi" w:cstheme="majorHAnsi"/>
          <w:lang w:val="mi-NZ"/>
        </w:rPr>
      </w:pPr>
    </w:p>
    <w:p w14:paraId="576B41F4" w14:textId="365F40DE" w:rsidR="002A63DD" w:rsidRPr="00D92920" w:rsidRDefault="002A63DD" w:rsidP="002A63DD">
      <w:pPr>
        <w:pStyle w:val="ListParagraph"/>
        <w:numPr>
          <w:ilvl w:val="0"/>
          <w:numId w:val="2"/>
        </w:numPr>
        <w:rPr>
          <w:rFonts w:asciiTheme="majorHAnsi" w:hAnsiTheme="majorHAnsi" w:cstheme="majorHAnsi"/>
          <w:lang w:val="mi-NZ"/>
        </w:rPr>
      </w:pPr>
      <w:r w:rsidRPr="00D92920">
        <w:rPr>
          <w:rFonts w:asciiTheme="majorHAnsi" w:hAnsiTheme="majorHAnsi" w:cstheme="majorHAnsi"/>
          <w:lang w:val="mi-NZ"/>
        </w:rPr>
        <w:t>Te Tiriti says different things in the English and Māori versions.  In the Māori version, Māori retain their sovereignty/self-determination and all rights to their taonga/treasures.  Under the English language version, Māori ceded sovereignty to the British Crown.</w:t>
      </w:r>
    </w:p>
    <w:p w14:paraId="150A8258" w14:textId="77777777" w:rsidR="002A63DD" w:rsidRPr="00D92920" w:rsidRDefault="002A63DD" w:rsidP="002A63DD">
      <w:pPr>
        <w:pStyle w:val="ListParagraph"/>
        <w:rPr>
          <w:rFonts w:asciiTheme="majorHAnsi" w:hAnsiTheme="majorHAnsi" w:cstheme="majorHAnsi"/>
          <w:lang w:val="mi-NZ"/>
        </w:rPr>
      </w:pPr>
    </w:p>
    <w:p w14:paraId="7F4855A4" w14:textId="0F13165E" w:rsidR="002A63DD" w:rsidRDefault="002A63DD" w:rsidP="002A63DD">
      <w:pPr>
        <w:pStyle w:val="ListParagraph"/>
        <w:numPr>
          <w:ilvl w:val="0"/>
          <w:numId w:val="2"/>
        </w:numPr>
        <w:rPr>
          <w:rFonts w:asciiTheme="majorHAnsi" w:hAnsiTheme="majorHAnsi" w:cstheme="majorHAnsi"/>
          <w:lang w:val="mi-NZ"/>
        </w:rPr>
      </w:pPr>
      <w:r w:rsidRPr="00D92920">
        <w:rPr>
          <w:rFonts w:asciiTheme="majorHAnsi" w:hAnsiTheme="majorHAnsi" w:cstheme="majorHAnsi"/>
          <w:lang w:val="mi-NZ"/>
        </w:rPr>
        <w:t>For a long time te Tiriti was misinterpreted as Māori consent to British sovereignty.  It definitively does not do this.</w:t>
      </w:r>
    </w:p>
    <w:p w14:paraId="46EA0009" w14:textId="77777777" w:rsidR="00B3007B" w:rsidRPr="00B3007B" w:rsidRDefault="00B3007B" w:rsidP="00B3007B">
      <w:pPr>
        <w:pStyle w:val="ListParagraph"/>
        <w:rPr>
          <w:rFonts w:asciiTheme="majorHAnsi" w:hAnsiTheme="majorHAnsi" w:cstheme="majorHAnsi"/>
          <w:lang w:val="mi-NZ"/>
        </w:rPr>
      </w:pPr>
    </w:p>
    <w:p w14:paraId="3ACA0CA0" w14:textId="77777777" w:rsidR="00B3007B" w:rsidRDefault="00B3007B" w:rsidP="00B3007B">
      <w:pPr>
        <w:pStyle w:val="ListParagraph"/>
        <w:numPr>
          <w:ilvl w:val="0"/>
          <w:numId w:val="2"/>
        </w:numPr>
        <w:rPr>
          <w:rFonts w:asciiTheme="majorHAnsi" w:hAnsiTheme="majorHAnsi" w:cstheme="majorHAnsi"/>
          <w:lang w:val="mi-NZ"/>
        </w:rPr>
      </w:pPr>
      <w:r w:rsidRPr="00D92920">
        <w:rPr>
          <w:rFonts w:asciiTheme="majorHAnsi" w:hAnsiTheme="majorHAnsi" w:cstheme="majorHAnsi"/>
          <w:lang w:val="mi-NZ"/>
        </w:rPr>
        <w:t xml:space="preserve">Te Tiriti o Waitangi was signed by many, though not all, Māori chiefs in the North Island.  </w:t>
      </w:r>
    </w:p>
    <w:p w14:paraId="54BBD234" w14:textId="77777777" w:rsidR="002A63DD" w:rsidRPr="00B3007B" w:rsidRDefault="002A63DD" w:rsidP="00B3007B">
      <w:pPr>
        <w:rPr>
          <w:rFonts w:asciiTheme="majorHAnsi" w:hAnsiTheme="majorHAnsi" w:cstheme="majorHAnsi"/>
          <w:lang w:val="mi-NZ"/>
        </w:rPr>
      </w:pPr>
    </w:p>
    <w:p w14:paraId="4ECACA32" w14:textId="3A4F56C0" w:rsidR="002A63DD" w:rsidRDefault="002A63DD" w:rsidP="002A63DD">
      <w:pPr>
        <w:pStyle w:val="ListParagraph"/>
        <w:numPr>
          <w:ilvl w:val="0"/>
          <w:numId w:val="2"/>
        </w:numPr>
        <w:rPr>
          <w:rFonts w:asciiTheme="majorHAnsi" w:hAnsiTheme="majorHAnsi" w:cstheme="majorHAnsi"/>
          <w:lang w:val="mi-NZ"/>
        </w:rPr>
      </w:pPr>
      <w:r w:rsidRPr="00D92920">
        <w:rPr>
          <w:rFonts w:asciiTheme="majorHAnsi" w:hAnsiTheme="majorHAnsi" w:cstheme="majorHAnsi"/>
          <w:lang w:val="mi-NZ"/>
        </w:rPr>
        <w:t>Questions remain as to how and when</w:t>
      </w:r>
      <w:r w:rsidR="00337DC4" w:rsidRPr="00D92920">
        <w:rPr>
          <w:rFonts w:asciiTheme="majorHAnsi" w:hAnsiTheme="majorHAnsi" w:cstheme="majorHAnsi"/>
          <w:lang w:val="mi-NZ"/>
        </w:rPr>
        <w:t xml:space="preserve"> the Crown acquired sovereignty over Aotearoa/New Zealand.  It is clear that it was not legitimately acquired not legally as a matter of international or Māori law.  </w:t>
      </w:r>
    </w:p>
    <w:p w14:paraId="2A7F88B8" w14:textId="77777777" w:rsidR="00B3007B" w:rsidRPr="00B3007B" w:rsidRDefault="00B3007B" w:rsidP="00B3007B">
      <w:pPr>
        <w:pStyle w:val="ListParagraph"/>
        <w:rPr>
          <w:rFonts w:asciiTheme="majorHAnsi" w:hAnsiTheme="majorHAnsi" w:cstheme="majorHAnsi"/>
          <w:lang w:val="mi-NZ"/>
        </w:rPr>
      </w:pPr>
    </w:p>
    <w:p w14:paraId="10BFD5F3" w14:textId="6938427B" w:rsidR="00B3007B" w:rsidRPr="00B3007B" w:rsidRDefault="00B3007B" w:rsidP="00B3007B">
      <w:pPr>
        <w:pStyle w:val="ListParagraph"/>
        <w:numPr>
          <w:ilvl w:val="0"/>
          <w:numId w:val="2"/>
        </w:numPr>
        <w:rPr>
          <w:rFonts w:asciiTheme="majorHAnsi" w:hAnsiTheme="majorHAnsi" w:cstheme="majorHAnsi"/>
          <w:lang w:val="mi-NZ"/>
        </w:rPr>
      </w:pPr>
      <w:r w:rsidRPr="00D92920">
        <w:rPr>
          <w:rFonts w:asciiTheme="majorHAnsi" w:hAnsiTheme="majorHAnsi" w:cstheme="majorHAnsi"/>
          <w:lang w:val="mi-NZ"/>
        </w:rPr>
        <w:t>The British Crown asserted sovereignty over the South Island under the doctrine of discovery.</w:t>
      </w:r>
    </w:p>
    <w:p w14:paraId="5CAFA23B" w14:textId="77777777" w:rsidR="00337DC4" w:rsidRPr="00D92920" w:rsidRDefault="00337DC4" w:rsidP="00337DC4">
      <w:pPr>
        <w:pStyle w:val="ListParagraph"/>
        <w:rPr>
          <w:rFonts w:asciiTheme="majorHAnsi" w:hAnsiTheme="majorHAnsi" w:cstheme="majorHAnsi"/>
          <w:lang w:val="mi-NZ"/>
        </w:rPr>
      </w:pPr>
    </w:p>
    <w:p w14:paraId="51239248" w14:textId="72C4E5CC" w:rsidR="00337DC4" w:rsidRPr="00D92920" w:rsidRDefault="00337DC4" w:rsidP="002A63DD">
      <w:pPr>
        <w:pStyle w:val="ListParagraph"/>
        <w:numPr>
          <w:ilvl w:val="0"/>
          <w:numId w:val="2"/>
        </w:numPr>
        <w:rPr>
          <w:rFonts w:asciiTheme="majorHAnsi" w:hAnsiTheme="majorHAnsi" w:cstheme="majorHAnsi"/>
          <w:lang w:val="mi-NZ"/>
        </w:rPr>
      </w:pPr>
      <w:r w:rsidRPr="00D92920">
        <w:rPr>
          <w:rFonts w:asciiTheme="majorHAnsi" w:hAnsiTheme="majorHAnsi" w:cstheme="majorHAnsi"/>
          <w:lang w:val="mi-NZ"/>
        </w:rPr>
        <w:t>Te Tiriti is not enforceable unless it has been explicitly incorporated into legislation.  This is rarely done and, when so, statutes most commonly refer to “the principles of the Treaty of Waitangi” thereby avoiding the textual differences as well as that Māori did not cede sovereignty under it.</w:t>
      </w:r>
    </w:p>
    <w:p w14:paraId="248ACEF5" w14:textId="77777777" w:rsidR="00337DC4" w:rsidRPr="00D92920" w:rsidRDefault="00337DC4" w:rsidP="00337DC4">
      <w:pPr>
        <w:pStyle w:val="ListParagraph"/>
        <w:rPr>
          <w:rFonts w:asciiTheme="majorHAnsi" w:hAnsiTheme="majorHAnsi" w:cstheme="majorHAnsi"/>
          <w:lang w:val="mi-NZ"/>
        </w:rPr>
      </w:pPr>
    </w:p>
    <w:p w14:paraId="78163D33" w14:textId="77777777" w:rsidR="00B3007B" w:rsidRDefault="00337DC4" w:rsidP="002A63DD">
      <w:pPr>
        <w:pStyle w:val="ListParagraph"/>
        <w:numPr>
          <w:ilvl w:val="0"/>
          <w:numId w:val="2"/>
        </w:numPr>
        <w:rPr>
          <w:rFonts w:asciiTheme="majorHAnsi" w:hAnsiTheme="majorHAnsi" w:cstheme="majorHAnsi"/>
          <w:lang w:val="mi-NZ"/>
        </w:rPr>
      </w:pPr>
      <w:r w:rsidRPr="00D92920">
        <w:rPr>
          <w:rFonts w:asciiTheme="majorHAnsi" w:hAnsiTheme="majorHAnsi" w:cstheme="majorHAnsi"/>
          <w:lang w:val="mi-NZ"/>
        </w:rPr>
        <w:t>However, when te Tiriti has been  incorporated into legislative it has sometimes been generously interpreted</w:t>
      </w:r>
      <w:r w:rsidR="00D348B6" w:rsidRPr="00D92920">
        <w:rPr>
          <w:rFonts w:asciiTheme="majorHAnsi" w:hAnsiTheme="majorHAnsi" w:cstheme="majorHAnsi"/>
          <w:lang w:val="mi-NZ"/>
        </w:rPr>
        <w:t xml:space="preserve"> by the courts</w:t>
      </w:r>
      <w:r w:rsidR="00B3007B">
        <w:rPr>
          <w:rFonts w:asciiTheme="majorHAnsi" w:hAnsiTheme="majorHAnsi" w:cstheme="majorHAnsi"/>
          <w:lang w:val="mi-NZ"/>
        </w:rPr>
        <w:t xml:space="preserve"> with significant effect</w:t>
      </w:r>
      <w:r w:rsidR="00D348B6" w:rsidRPr="00D92920">
        <w:rPr>
          <w:rFonts w:asciiTheme="majorHAnsi" w:hAnsiTheme="majorHAnsi" w:cstheme="majorHAnsi"/>
          <w:lang w:val="mi-NZ"/>
        </w:rPr>
        <w:t>.</w:t>
      </w:r>
      <w:r w:rsidR="00B3007B">
        <w:rPr>
          <w:rFonts w:asciiTheme="majorHAnsi" w:hAnsiTheme="majorHAnsi" w:cstheme="majorHAnsi"/>
          <w:lang w:val="mi-NZ"/>
        </w:rPr>
        <w:t xml:space="preserve"> </w:t>
      </w:r>
    </w:p>
    <w:p w14:paraId="0836BFF2" w14:textId="77777777" w:rsidR="00B3007B" w:rsidRPr="00B3007B" w:rsidRDefault="00B3007B" w:rsidP="00B3007B">
      <w:pPr>
        <w:pStyle w:val="ListParagraph"/>
        <w:rPr>
          <w:rFonts w:asciiTheme="majorHAnsi" w:hAnsiTheme="majorHAnsi" w:cstheme="majorHAnsi"/>
          <w:lang w:val="mi-NZ"/>
        </w:rPr>
      </w:pPr>
    </w:p>
    <w:p w14:paraId="6674A92B" w14:textId="3F67B9E9" w:rsidR="00337DC4" w:rsidRPr="00D92920" w:rsidRDefault="00B3007B" w:rsidP="002A63DD">
      <w:pPr>
        <w:pStyle w:val="ListParagraph"/>
        <w:numPr>
          <w:ilvl w:val="0"/>
          <w:numId w:val="2"/>
        </w:numPr>
        <w:rPr>
          <w:rFonts w:asciiTheme="majorHAnsi" w:hAnsiTheme="majorHAnsi" w:cstheme="majorHAnsi"/>
          <w:lang w:val="mi-NZ"/>
        </w:rPr>
      </w:pPr>
      <w:r>
        <w:rPr>
          <w:rFonts w:asciiTheme="majorHAnsi" w:hAnsiTheme="majorHAnsi" w:cstheme="majorHAnsi"/>
          <w:lang w:val="mi-NZ"/>
        </w:rPr>
        <w:t>There have been more progressive interpretations of Treaty principles recently, especially in a recent Supreme Court case involving Māori rights and efforts to mine off-shore.  The Taranaki iwi|tribal nation won and mining could not proceed.</w:t>
      </w:r>
    </w:p>
    <w:p w14:paraId="528A7B2D" w14:textId="77777777" w:rsidR="00D348B6" w:rsidRPr="00D92920" w:rsidRDefault="00D348B6" w:rsidP="00D348B6">
      <w:pPr>
        <w:pStyle w:val="ListParagraph"/>
        <w:rPr>
          <w:rFonts w:asciiTheme="majorHAnsi" w:hAnsiTheme="majorHAnsi" w:cstheme="majorHAnsi"/>
          <w:lang w:val="mi-NZ"/>
        </w:rPr>
      </w:pPr>
    </w:p>
    <w:p w14:paraId="62863ACB" w14:textId="66E22EFC" w:rsidR="00D348B6" w:rsidRPr="00D92920" w:rsidRDefault="00D348B6" w:rsidP="002A63DD">
      <w:pPr>
        <w:pStyle w:val="ListParagraph"/>
        <w:numPr>
          <w:ilvl w:val="0"/>
          <w:numId w:val="2"/>
        </w:numPr>
        <w:rPr>
          <w:rFonts w:asciiTheme="majorHAnsi" w:hAnsiTheme="majorHAnsi" w:cstheme="majorHAnsi"/>
          <w:lang w:val="mi-NZ"/>
        </w:rPr>
      </w:pPr>
      <w:r w:rsidRPr="00D92920">
        <w:rPr>
          <w:rFonts w:asciiTheme="majorHAnsi" w:hAnsiTheme="majorHAnsi" w:cstheme="majorHAnsi"/>
          <w:lang w:val="mi-NZ"/>
        </w:rPr>
        <w:t>Moreover, te Tiriti has a significant constitutional status even if it is difficult to explain. It informs policy and government and is often the “thing” around which all Māori claims coalese e.g. even though te Tiriti does not include a lot of detail, it is assumed to include all Māori rights in, say, the Declaration on the Rights of Indigenous Peoples.</w:t>
      </w:r>
    </w:p>
    <w:p w14:paraId="1641A42A" w14:textId="77777777" w:rsidR="00D348B6" w:rsidRPr="00D92920" w:rsidRDefault="00D348B6" w:rsidP="00D348B6">
      <w:pPr>
        <w:pStyle w:val="ListParagraph"/>
        <w:rPr>
          <w:rFonts w:asciiTheme="majorHAnsi" w:hAnsiTheme="majorHAnsi" w:cstheme="majorHAnsi"/>
          <w:lang w:val="mi-NZ"/>
        </w:rPr>
      </w:pPr>
    </w:p>
    <w:p w14:paraId="0E315975" w14:textId="12332C07" w:rsidR="00D348B6" w:rsidRPr="00D92920" w:rsidRDefault="00726BC8" w:rsidP="00D348B6">
      <w:pPr>
        <w:rPr>
          <w:rFonts w:asciiTheme="majorHAnsi" w:hAnsiTheme="majorHAnsi" w:cstheme="majorHAnsi"/>
          <w:b/>
          <w:bCs/>
          <w:lang w:val="mi-NZ"/>
        </w:rPr>
      </w:pPr>
      <w:r w:rsidRPr="00D92920">
        <w:rPr>
          <w:rFonts w:asciiTheme="majorHAnsi" w:hAnsiTheme="majorHAnsi" w:cstheme="majorHAnsi"/>
          <w:b/>
          <w:bCs/>
          <w:lang w:val="mi-NZ"/>
        </w:rPr>
        <w:t xml:space="preserve">Mechanisms with competence to resolve conflicts between states and Indigenous peoples: </w:t>
      </w:r>
      <w:r w:rsidR="00D348B6" w:rsidRPr="00D92920">
        <w:rPr>
          <w:rFonts w:asciiTheme="majorHAnsi" w:hAnsiTheme="majorHAnsi" w:cstheme="majorHAnsi"/>
          <w:b/>
          <w:bCs/>
          <w:lang w:val="mi-NZ"/>
        </w:rPr>
        <w:t xml:space="preserve">The Waitangi Tribunal </w:t>
      </w:r>
    </w:p>
    <w:p w14:paraId="137C56A2" w14:textId="77777777" w:rsidR="00D348B6" w:rsidRPr="00D92920" w:rsidRDefault="00D348B6" w:rsidP="00D348B6">
      <w:pPr>
        <w:pStyle w:val="ListParagraph"/>
        <w:rPr>
          <w:rFonts w:asciiTheme="majorHAnsi" w:hAnsiTheme="majorHAnsi" w:cstheme="majorHAnsi"/>
          <w:lang w:val="mi-NZ"/>
        </w:rPr>
      </w:pPr>
    </w:p>
    <w:p w14:paraId="65634ADB" w14:textId="77777777" w:rsidR="00726BC8" w:rsidRPr="00D92920" w:rsidRDefault="00D348B6" w:rsidP="00726BC8">
      <w:pPr>
        <w:pStyle w:val="BodyText3"/>
        <w:numPr>
          <w:ilvl w:val="0"/>
          <w:numId w:val="2"/>
        </w:numPr>
        <w:tabs>
          <w:tab w:val="left" w:pos="5160"/>
        </w:tabs>
        <w:rPr>
          <w:rFonts w:asciiTheme="majorHAnsi" w:hAnsiTheme="majorHAnsi" w:cstheme="majorHAnsi"/>
        </w:rPr>
      </w:pPr>
      <w:r w:rsidRPr="00D92920">
        <w:rPr>
          <w:rFonts w:asciiTheme="majorHAnsi" w:hAnsiTheme="majorHAnsi" w:cstheme="majorHAnsi"/>
        </w:rPr>
        <w:t xml:space="preserve">The Waitangi Tribunal was established in 1975 in response to Maori protests throughout the 1960s and 70s against the loss of land and rangatiratanga.  </w:t>
      </w:r>
    </w:p>
    <w:p w14:paraId="65D0D87E" w14:textId="77777777" w:rsidR="00726BC8" w:rsidRPr="00D92920" w:rsidRDefault="00726BC8" w:rsidP="00726BC8">
      <w:pPr>
        <w:pStyle w:val="BodyText3"/>
        <w:tabs>
          <w:tab w:val="left" w:pos="5160"/>
        </w:tabs>
        <w:ind w:left="360"/>
        <w:rPr>
          <w:rFonts w:asciiTheme="majorHAnsi" w:hAnsiTheme="majorHAnsi" w:cstheme="majorHAnsi"/>
        </w:rPr>
      </w:pPr>
    </w:p>
    <w:p w14:paraId="6C30BB5D" w14:textId="77777777" w:rsidR="00726BC8" w:rsidRPr="00D92920" w:rsidRDefault="00D348B6" w:rsidP="00D348B6">
      <w:pPr>
        <w:pStyle w:val="BodyText3"/>
        <w:numPr>
          <w:ilvl w:val="0"/>
          <w:numId w:val="2"/>
        </w:numPr>
        <w:tabs>
          <w:tab w:val="left" w:pos="5160"/>
        </w:tabs>
        <w:rPr>
          <w:rFonts w:asciiTheme="majorHAnsi" w:hAnsiTheme="majorHAnsi" w:cstheme="majorHAnsi"/>
        </w:rPr>
      </w:pPr>
      <w:r w:rsidRPr="00D92920">
        <w:rPr>
          <w:rFonts w:asciiTheme="majorHAnsi" w:hAnsiTheme="majorHAnsi" w:cstheme="majorHAnsi"/>
        </w:rPr>
        <w:lastRenderedPageBreak/>
        <w:t>Under the Treaty of Waitangi Act 19</w:t>
      </w:r>
      <w:r w:rsidR="00726BC8" w:rsidRPr="00D92920">
        <w:rPr>
          <w:rFonts w:asciiTheme="majorHAnsi" w:hAnsiTheme="majorHAnsi" w:cstheme="majorHAnsi"/>
        </w:rPr>
        <w:t>85</w:t>
      </w:r>
      <w:r w:rsidRPr="00D92920">
        <w:rPr>
          <w:rFonts w:asciiTheme="majorHAnsi" w:hAnsiTheme="majorHAnsi" w:cstheme="majorHAnsi"/>
        </w:rPr>
        <w:t xml:space="preserve"> the Waitangi Tribunal </w:t>
      </w:r>
      <w:r w:rsidR="00726BC8" w:rsidRPr="00D92920">
        <w:rPr>
          <w:rFonts w:asciiTheme="majorHAnsi" w:hAnsiTheme="majorHAnsi" w:cstheme="majorHAnsi"/>
        </w:rPr>
        <w:t xml:space="preserve">can consider historical and contemporary claims by Māori that the Crown has breached the principles of te Tiriti. </w:t>
      </w:r>
    </w:p>
    <w:p w14:paraId="2490E283" w14:textId="77777777" w:rsidR="00726BC8" w:rsidRPr="00D92920" w:rsidRDefault="00726BC8" w:rsidP="00726BC8">
      <w:pPr>
        <w:pStyle w:val="ListParagraph"/>
        <w:rPr>
          <w:rFonts w:asciiTheme="majorHAnsi" w:hAnsiTheme="majorHAnsi" w:cstheme="majorHAnsi"/>
        </w:rPr>
      </w:pPr>
    </w:p>
    <w:p w14:paraId="11234638" w14:textId="0CD010D9" w:rsidR="00D348B6" w:rsidRPr="00D92920" w:rsidRDefault="00D348B6" w:rsidP="00D348B6">
      <w:pPr>
        <w:pStyle w:val="BodyText3"/>
        <w:numPr>
          <w:ilvl w:val="0"/>
          <w:numId w:val="2"/>
        </w:numPr>
        <w:tabs>
          <w:tab w:val="left" w:pos="5160"/>
        </w:tabs>
        <w:rPr>
          <w:rFonts w:asciiTheme="majorHAnsi" w:hAnsiTheme="majorHAnsi" w:cstheme="majorHAnsi"/>
        </w:rPr>
      </w:pPr>
      <w:r w:rsidRPr="00D92920">
        <w:rPr>
          <w:rFonts w:asciiTheme="majorHAnsi" w:hAnsiTheme="majorHAnsi" w:cstheme="majorHAnsi"/>
        </w:rPr>
        <w:t xml:space="preserve">The Waitangi Tribunal has considered numerous historical claims by iwi since 1975.  Their reports are generally very comprehensive, especially given that it is common for claimants to present far-reaching historical evidence to the Waitangi Tribunal hearings.  </w:t>
      </w:r>
    </w:p>
    <w:p w14:paraId="4BA69482" w14:textId="77777777" w:rsidR="00362722" w:rsidRPr="00D92920" w:rsidRDefault="00362722" w:rsidP="00362722">
      <w:pPr>
        <w:pStyle w:val="ListParagraph"/>
        <w:rPr>
          <w:rFonts w:asciiTheme="majorHAnsi" w:hAnsiTheme="majorHAnsi" w:cstheme="majorHAnsi"/>
        </w:rPr>
      </w:pPr>
    </w:p>
    <w:p w14:paraId="252305E9" w14:textId="0E007357" w:rsidR="00362722" w:rsidRPr="00D92920" w:rsidRDefault="00362722" w:rsidP="00D348B6">
      <w:pPr>
        <w:pStyle w:val="BodyText3"/>
        <w:numPr>
          <w:ilvl w:val="0"/>
          <w:numId w:val="2"/>
        </w:numPr>
        <w:tabs>
          <w:tab w:val="left" w:pos="5160"/>
        </w:tabs>
        <w:rPr>
          <w:rFonts w:asciiTheme="majorHAnsi" w:hAnsiTheme="majorHAnsi" w:cstheme="majorHAnsi"/>
        </w:rPr>
      </w:pPr>
      <w:r w:rsidRPr="00D92920">
        <w:rPr>
          <w:rFonts w:asciiTheme="majorHAnsi" w:hAnsiTheme="majorHAnsi" w:cstheme="majorHAnsi"/>
        </w:rPr>
        <w:t>The Waitangi Tribunal conducts its hearings in a less formal way and more consistent with Māori approaches to dispute resolution.</w:t>
      </w:r>
    </w:p>
    <w:p w14:paraId="7F5B42CA" w14:textId="77777777" w:rsidR="00362722" w:rsidRPr="00D92920" w:rsidRDefault="00362722" w:rsidP="00362722">
      <w:pPr>
        <w:pStyle w:val="ListParagraph"/>
        <w:rPr>
          <w:rFonts w:asciiTheme="majorHAnsi" w:hAnsiTheme="majorHAnsi" w:cstheme="majorHAnsi"/>
        </w:rPr>
      </w:pPr>
    </w:p>
    <w:p w14:paraId="49E7A6B0" w14:textId="485B873C" w:rsidR="00362722" w:rsidRPr="00D92920" w:rsidRDefault="00362722" w:rsidP="00D348B6">
      <w:pPr>
        <w:pStyle w:val="BodyText3"/>
        <w:numPr>
          <w:ilvl w:val="0"/>
          <w:numId w:val="2"/>
        </w:numPr>
        <w:tabs>
          <w:tab w:val="left" w:pos="5160"/>
        </w:tabs>
        <w:rPr>
          <w:rFonts w:asciiTheme="majorHAnsi" w:hAnsiTheme="majorHAnsi" w:cstheme="majorHAnsi"/>
        </w:rPr>
      </w:pPr>
      <w:r w:rsidRPr="00D92920">
        <w:rPr>
          <w:rFonts w:asciiTheme="majorHAnsi" w:hAnsiTheme="majorHAnsi" w:cstheme="majorHAnsi"/>
        </w:rPr>
        <w:t>There are many important Waitangi Tribunal reports including in relation to:</w:t>
      </w:r>
    </w:p>
    <w:p w14:paraId="56F296D6" w14:textId="77777777" w:rsidR="00362722" w:rsidRPr="00D92920" w:rsidRDefault="00362722" w:rsidP="00362722">
      <w:pPr>
        <w:pStyle w:val="ListParagraph"/>
        <w:rPr>
          <w:rFonts w:asciiTheme="majorHAnsi" w:hAnsiTheme="majorHAnsi" w:cstheme="majorHAnsi"/>
        </w:rPr>
      </w:pPr>
    </w:p>
    <w:p w14:paraId="4978508E" w14:textId="2D49B218" w:rsidR="00362722" w:rsidRPr="00D92920" w:rsidRDefault="008E4788" w:rsidP="00362722">
      <w:pPr>
        <w:pStyle w:val="BodyText3"/>
        <w:numPr>
          <w:ilvl w:val="0"/>
          <w:numId w:val="5"/>
        </w:numPr>
        <w:tabs>
          <w:tab w:val="left" w:pos="5160"/>
        </w:tabs>
        <w:rPr>
          <w:rFonts w:asciiTheme="majorHAnsi" w:hAnsiTheme="majorHAnsi" w:cstheme="majorHAnsi"/>
        </w:rPr>
      </w:pPr>
      <w:r w:rsidRPr="00D92920">
        <w:rPr>
          <w:rFonts w:asciiTheme="majorHAnsi" w:hAnsiTheme="majorHAnsi" w:cstheme="majorHAnsi"/>
        </w:rPr>
        <w:t>a</w:t>
      </w:r>
      <w:r w:rsidR="00362722" w:rsidRPr="00D92920">
        <w:rPr>
          <w:rFonts w:asciiTheme="majorHAnsi" w:hAnsiTheme="majorHAnsi" w:cstheme="majorHAnsi"/>
        </w:rPr>
        <w:t>lmost all areas in Aotearoa, including those where territories were confiscated from Māori;</w:t>
      </w:r>
    </w:p>
    <w:p w14:paraId="2BFF61E4" w14:textId="418EF807" w:rsidR="00362722" w:rsidRPr="00D92920" w:rsidRDefault="00362722" w:rsidP="00362722">
      <w:pPr>
        <w:pStyle w:val="BodyText3"/>
        <w:numPr>
          <w:ilvl w:val="0"/>
          <w:numId w:val="5"/>
        </w:numPr>
        <w:tabs>
          <w:tab w:val="left" w:pos="5160"/>
        </w:tabs>
        <w:rPr>
          <w:rFonts w:asciiTheme="majorHAnsi" w:hAnsiTheme="majorHAnsi" w:cstheme="majorHAnsi"/>
        </w:rPr>
      </w:pPr>
      <w:r w:rsidRPr="00D92920">
        <w:rPr>
          <w:rFonts w:asciiTheme="majorHAnsi" w:hAnsiTheme="majorHAnsi" w:cstheme="majorHAnsi"/>
        </w:rPr>
        <w:t>the Crown’s claim to sovereignty under the Treaty. The Waitangi Tribunal found that northern chiefs had not ceded sovereignty;</w:t>
      </w:r>
    </w:p>
    <w:p w14:paraId="02952990" w14:textId="7F4203AE" w:rsidR="00362722" w:rsidRPr="00D92920" w:rsidRDefault="00362722" w:rsidP="00362722">
      <w:pPr>
        <w:pStyle w:val="BodyText3"/>
        <w:numPr>
          <w:ilvl w:val="0"/>
          <w:numId w:val="5"/>
        </w:numPr>
        <w:tabs>
          <w:tab w:val="left" w:pos="5160"/>
        </w:tabs>
        <w:rPr>
          <w:rFonts w:asciiTheme="majorHAnsi" w:hAnsiTheme="majorHAnsi" w:cstheme="majorHAnsi"/>
        </w:rPr>
      </w:pPr>
      <w:r w:rsidRPr="00D92920">
        <w:rPr>
          <w:rFonts w:asciiTheme="majorHAnsi" w:hAnsiTheme="majorHAnsi" w:cstheme="majorHAnsi"/>
        </w:rPr>
        <w:t>to the Crown’s jurisdiction to regulate Māori organisations;</w:t>
      </w:r>
    </w:p>
    <w:p w14:paraId="2294168F" w14:textId="3E304672" w:rsidR="008E4788" w:rsidRPr="00D92920" w:rsidRDefault="008E4788" w:rsidP="00362722">
      <w:pPr>
        <w:pStyle w:val="BodyText3"/>
        <w:numPr>
          <w:ilvl w:val="0"/>
          <w:numId w:val="5"/>
        </w:numPr>
        <w:tabs>
          <w:tab w:val="left" w:pos="5160"/>
        </w:tabs>
        <w:rPr>
          <w:rFonts w:asciiTheme="majorHAnsi" w:hAnsiTheme="majorHAnsi" w:cstheme="majorHAnsi"/>
        </w:rPr>
      </w:pPr>
      <w:r w:rsidRPr="00D92920">
        <w:rPr>
          <w:rFonts w:asciiTheme="majorHAnsi" w:hAnsiTheme="majorHAnsi" w:cstheme="majorHAnsi"/>
        </w:rPr>
        <w:t>oil and gas;</w:t>
      </w:r>
    </w:p>
    <w:p w14:paraId="5D0B626C" w14:textId="22733906" w:rsidR="008E4788" w:rsidRPr="00D92920" w:rsidRDefault="008E4788" w:rsidP="00362722">
      <w:pPr>
        <w:pStyle w:val="BodyText3"/>
        <w:numPr>
          <w:ilvl w:val="0"/>
          <w:numId w:val="5"/>
        </w:numPr>
        <w:tabs>
          <w:tab w:val="left" w:pos="5160"/>
        </w:tabs>
        <w:rPr>
          <w:rFonts w:asciiTheme="majorHAnsi" w:hAnsiTheme="majorHAnsi" w:cstheme="majorHAnsi"/>
        </w:rPr>
      </w:pPr>
      <w:r w:rsidRPr="00D92920">
        <w:rPr>
          <w:rFonts w:asciiTheme="majorHAnsi" w:hAnsiTheme="majorHAnsi" w:cstheme="majorHAnsi"/>
        </w:rPr>
        <w:t>Māori health;</w:t>
      </w:r>
      <w:r w:rsidR="00B3007B">
        <w:rPr>
          <w:rFonts w:asciiTheme="majorHAnsi" w:hAnsiTheme="majorHAnsi" w:cstheme="majorHAnsi"/>
        </w:rPr>
        <w:t xml:space="preserve"> and</w:t>
      </w:r>
    </w:p>
    <w:p w14:paraId="496398AF" w14:textId="0DD337F3" w:rsidR="008E4788" w:rsidRPr="00D92920" w:rsidRDefault="008E4788" w:rsidP="00362722">
      <w:pPr>
        <w:pStyle w:val="BodyText3"/>
        <w:numPr>
          <w:ilvl w:val="0"/>
          <w:numId w:val="5"/>
        </w:numPr>
        <w:tabs>
          <w:tab w:val="left" w:pos="5160"/>
        </w:tabs>
        <w:rPr>
          <w:rFonts w:asciiTheme="majorHAnsi" w:hAnsiTheme="majorHAnsi" w:cstheme="majorHAnsi"/>
        </w:rPr>
      </w:pPr>
      <w:r w:rsidRPr="00D92920">
        <w:rPr>
          <w:rFonts w:asciiTheme="majorHAnsi" w:hAnsiTheme="majorHAnsi" w:cstheme="majorHAnsi"/>
        </w:rPr>
        <w:t>Rights to specific territories.</w:t>
      </w:r>
    </w:p>
    <w:p w14:paraId="7B161A40" w14:textId="19F9F334" w:rsidR="008E4788" w:rsidRPr="00D92920" w:rsidRDefault="008E4788" w:rsidP="008E4788">
      <w:pPr>
        <w:pStyle w:val="BodyText3"/>
        <w:tabs>
          <w:tab w:val="left" w:pos="5160"/>
        </w:tabs>
        <w:rPr>
          <w:rFonts w:asciiTheme="majorHAnsi" w:hAnsiTheme="majorHAnsi" w:cstheme="majorHAnsi"/>
        </w:rPr>
      </w:pPr>
    </w:p>
    <w:p w14:paraId="24F3BF60" w14:textId="44100CFD" w:rsidR="008E4788" w:rsidRPr="00D92920" w:rsidRDefault="008E4788" w:rsidP="008E4788">
      <w:pPr>
        <w:pStyle w:val="BodyText3"/>
        <w:numPr>
          <w:ilvl w:val="0"/>
          <w:numId w:val="2"/>
        </w:numPr>
        <w:tabs>
          <w:tab w:val="left" w:pos="5160"/>
        </w:tabs>
        <w:rPr>
          <w:rFonts w:asciiTheme="majorHAnsi" w:hAnsiTheme="majorHAnsi" w:cstheme="majorHAnsi"/>
        </w:rPr>
      </w:pPr>
      <w:r w:rsidRPr="00D92920">
        <w:rPr>
          <w:rFonts w:asciiTheme="majorHAnsi" w:hAnsiTheme="majorHAnsi" w:cstheme="majorHAnsi"/>
        </w:rPr>
        <w:t>Ongoing claims include in relation to Māori women.</w:t>
      </w:r>
    </w:p>
    <w:p w14:paraId="11499C87" w14:textId="77777777" w:rsidR="00D348B6" w:rsidRPr="00D92920" w:rsidRDefault="00D348B6" w:rsidP="00D348B6">
      <w:pPr>
        <w:pStyle w:val="BodyText3"/>
        <w:tabs>
          <w:tab w:val="left" w:pos="5160"/>
        </w:tabs>
        <w:rPr>
          <w:rFonts w:asciiTheme="majorHAnsi" w:hAnsiTheme="majorHAnsi" w:cstheme="majorHAnsi"/>
        </w:rPr>
      </w:pPr>
    </w:p>
    <w:p w14:paraId="500693C6" w14:textId="317F08EE" w:rsidR="00D348B6" w:rsidRPr="00D92920" w:rsidRDefault="00D348B6" w:rsidP="00726BC8">
      <w:pPr>
        <w:pStyle w:val="BodyText3"/>
        <w:numPr>
          <w:ilvl w:val="0"/>
          <w:numId w:val="2"/>
        </w:numPr>
        <w:tabs>
          <w:tab w:val="left" w:pos="5160"/>
        </w:tabs>
        <w:rPr>
          <w:rFonts w:asciiTheme="majorHAnsi" w:hAnsiTheme="majorHAnsi" w:cstheme="majorHAnsi"/>
        </w:rPr>
      </w:pPr>
      <w:r w:rsidRPr="00D92920">
        <w:rPr>
          <w:rFonts w:asciiTheme="majorHAnsi" w:hAnsiTheme="majorHAnsi" w:cstheme="majorHAnsi"/>
        </w:rPr>
        <w:t xml:space="preserve">The Waitangi Tribunal is, however, severely under-funded, which means that hundreds of claims remain to be heard. </w:t>
      </w:r>
    </w:p>
    <w:p w14:paraId="275FFDA1" w14:textId="77777777" w:rsidR="00D348B6" w:rsidRPr="00D92920" w:rsidRDefault="00D348B6" w:rsidP="00D348B6">
      <w:pPr>
        <w:pStyle w:val="BodyText3"/>
        <w:tabs>
          <w:tab w:val="left" w:pos="5160"/>
        </w:tabs>
        <w:rPr>
          <w:rFonts w:asciiTheme="majorHAnsi" w:hAnsiTheme="majorHAnsi" w:cstheme="majorHAnsi"/>
        </w:rPr>
      </w:pPr>
    </w:p>
    <w:p w14:paraId="7904B86C" w14:textId="77777777" w:rsidR="00726BC8" w:rsidRPr="00D92920" w:rsidRDefault="00D348B6" w:rsidP="00726BC8">
      <w:pPr>
        <w:pStyle w:val="BodyText3"/>
        <w:numPr>
          <w:ilvl w:val="0"/>
          <w:numId w:val="2"/>
        </w:numPr>
        <w:tabs>
          <w:tab w:val="left" w:pos="5160"/>
        </w:tabs>
        <w:rPr>
          <w:rFonts w:asciiTheme="majorHAnsi" w:hAnsiTheme="majorHAnsi" w:cstheme="majorHAnsi"/>
        </w:rPr>
      </w:pPr>
      <w:r w:rsidRPr="00D92920">
        <w:rPr>
          <w:rFonts w:asciiTheme="majorHAnsi" w:hAnsiTheme="majorHAnsi" w:cstheme="majorHAnsi"/>
        </w:rPr>
        <w:t xml:space="preserve">The findings of the Waitangi Tribunal are recommendations to the Crown only meaning that they cannot be enforced (with one minor exception relation to land transferred by the Crown to state-owned enterprises). </w:t>
      </w:r>
    </w:p>
    <w:p w14:paraId="4523FE38" w14:textId="77777777" w:rsidR="00726BC8" w:rsidRPr="00D92920" w:rsidRDefault="00726BC8" w:rsidP="00726BC8">
      <w:pPr>
        <w:pStyle w:val="ListParagraph"/>
        <w:rPr>
          <w:rFonts w:asciiTheme="majorHAnsi" w:hAnsiTheme="majorHAnsi" w:cstheme="majorHAnsi"/>
        </w:rPr>
      </w:pPr>
    </w:p>
    <w:p w14:paraId="2891D624" w14:textId="589744D7" w:rsidR="00D348B6" w:rsidRPr="00D92920" w:rsidRDefault="00726BC8" w:rsidP="00726BC8">
      <w:pPr>
        <w:pStyle w:val="BodyText3"/>
        <w:numPr>
          <w:ilvl w:val="0"/>
          <w:numId w:val="2"/>
        </w:numPr>
        <w:tabs>
          <w:tab w:val="left" w:pos="5160"/>
        </w:tabs>
        <w:rPr>
          <w:rFonts w:asciiTheme="majorHAnsi" w:hAnsiTheme="majorHAnsi" w:cstheme="majorHAnsi"/>
        </w:rPr>
      </w:pPr>
      <w:r w:rsidRPr="00D92920">
        <w:rPr>
          <w:rFonts w:asciiTheme="majorHAnsi" w:hAnsiTheme="majorHAnsi" w:cstheme="majorHAnsi"/>
        </w:rPr>
        <w:t>A notorious example</w:t>
      </w:r>
      <w:r w:rsidR="00EA0C1C">
        <w:rPr>
          <w:rFonts w:asciiTheme="majorHAnsi" w:hAnsiTheme="majorHAnsi" w:cstheme="majorHAnsi"/>
        </w:rPr>
        <w:t xml:space="preserve"> of the Crown ignoring the Waitangi Tribunal recommendations</w:t>
      </w:r>
      <w:r w:rsidRPr="00D92920">
        <w:rPr>
          <w:rFonts w:asciiTheme="majorHAnsi" w:hAnsiTheme="majorHAnsi" w:cstheme="majorHAnsi"/>
        </w:rPr>
        <w:t xml:space="preserve"> relates to Māori claims to the foreshore and seabed.  The Waitangi Tribunal found Crown policy to breach the Treaty and human rights, as did the UN Committee on the Elimination of Racial Discrimination (</w:t>
      </w:r>
      <w:r w:rsidR="00D92920" w:rsidRPr="00D92920">
        <w:rPr>
          <w:rFonts w:asciiTheme="majorHAnsi" w:hAnsiTheme="majorHAnsi" w:cstheme="majorHAnsi"/>
        </w:rPr>
        <w:t>on rights grounds)</w:t>
      </w:r>
      <w:r w:rsidR="00EA0C1C">
        <w:rPr>
          <w:rFonts w:asciiTheme="majorHAnsi" w:hAnsiTheme="majorHAnsi" w:cstheme="majorHAnsi"/>
        </w:rPr>
        <w:t xml:space="preserve"> and, later, the UN Special Rapporteur on the Rights of Indigenous Peoples</w:t>
      </w:r>
      <w:r w:rsidR="00D92920" w:rsidRPr="00D92920">
        <w:rPr>
          <w:rFonts w:asciiTheme="majorHAnsi" w:hAnsiTheme="majorHAnsi" w:cstheme="majorHAnsi"/>
        </w:rPr>
        <w:t>.  The Government implemented its policies into legislation despite this criticism.</w:t>
      </w:r>
    </w:p>
    <w:p w14:paraId="40701366" w14:textId="77777777" w:rsidR="00D92920" w:rsidRPr="00D92920" w:rsidRDefault="00D92920" w:rsidP="00D92920">
      <w:pPr>
        <w:pStyle w:val="ListParagraph"/>
        <w:rPr>
          <w:rFonts w:asciiTheme="majorHAnsi" w:hAnsiTheme="majorHAnsi" w:cstheme="majorHAnsi"/>
        </w:rPr>
      </w:pPr>
    </w:p>
    <w:p w14:paraId="3E2F878D" w14:textId="30D05285" w:rsidR="00D92920" w:rsidRPr="00D92920" w:rsidRDefault="00D92920" w:rsidP="00726BC8">
      <w:pPr>
        <w:pStyle w:val="BodyText3"/>
        <w:numPr>
          <w:ilvl w:val="0"/>
          <w:numId w:val="2"/>
        </w:numPr>
        <w:tabs>
          <w:tab w:val="left" w:pos="5160"/>
        </w:tabs>
        <w:rPr>
          <w:rFonts w:asciiTheme="majorHAnsi" w:hAnsiTheme="majorHAnsi" w:cstheme="majorHAnsi"/>
        </w:rPr>
      </w:pPr>
      <w:r w:rsidRPr="00D92920">
        <w:rPr>
          <w:rFonts w:asciiTheme="majorHAnsi" w:hAnsiTheme="majorHAnsi" w:cstheme="majorHAnsi"/>
        </w:rPr>
        <w:t>The Waitangi Tribunal refers on occasion to the UN Declaration on the Rights of Indigenous Peoples when interpreting te Tiriti.</w:t>
      </w:r>
    </w:p>
    <w:p w14:paraId="1FFCCEC5" w14:textId="77777777" w:rsidR="00D92920" w:rsidRPr="00D92920" w:rsidRDefault="00D92920" w:rsidP="00D92920">
      <w:pPr>
        <w:pStyle w:val="ListParagraph"/>
        <w:rPr>
          <w:rFonts w:asciiTheme="majorHAnsi" w:hAnsiTheme="majorHAnsi" w:cstheme="majorHAnsi"/>
        </w:rPr>
      </w:pPr>
    </w:p>
    <w:p w14:paraId="43525718" w14:textId="77777777" w:rsidR="00B3007B" w:rsidRDefault="00D92920" w:rsidP="00726BC8">
      <w:pPr>
        <w:pStyle w:val="BodyText3"/>
        <w:numPr>
          <w:ilvl w:val="0"/>
          <w:numId w:val="2"/>
        </w:numPr>
        <w:tabs>
          <w:tab w:val="left" w:pos="5160"/>
        </w:tabs>
        <w:rPr>
          <w:rFonts w:asciiTheme="majorHAnsi" w:hAnsiTheme="majorHAnsi" w:cstheme="majorHAnsi"/>
        </w:rPr>
      </w:pPr>
      <w:r w:rsidRPr="00D92920">
        <w:rPr>
          <w:rFonts w:asciiTheme="majorHAnsi" w:hAnsiTheme="majorHAnsi" w:cstheme="majorHAnsi"/>
        </w:rPr>
        <w:t xml:space="preserve">The Waitangi Tribunal provides an excellent mechanism for </w:t>
      </w:r>
      <w:r w:rsidR="003F2D45">
        <w:rPr>
          <w:rFonts w:asciiTheme="majorHAnsi" w:hAnsiTheme="majorHAnsi" w:cstheme="majorHAnsi"/>
        </w:rPr>
        <w:t xml:space="preserve">the Crown and Māori to contest, negotiate and provide a sense that Māori have been heard. </w:t>
      </w:r>
    </w:p>
    <w:p w14:paraId="48E3FE7F" w14:textId="77777777" w:rsidR="00B3007B" w:rsidRDefault="00B3007B" w:rsidP="00B3007B">
      <w:pPr>
        <w:pStyle w:val="ListParagraph"/>
        <w:rPr>
          <w:rFonts w:asciiTheme="majorHAnsi" w:hAnsiTheme="majorHAnsi" w:cstheme="majorHAnsi"/>
        </w:rPr>
      </w:pPr>
    </w:p>
    <w:p w14:paraId="42FA863E" w14:textId="795C04DF" w:rsidR="00D92920" w:rsidRPr="00D92920" w:rsidRDefault="003F2D45" w:rsidP="00726BC8">
      <w:pPr>
        <w:pStyle w:val="BodyText3"/>
        <w:numPr>
          <w:ilvl w:val="0"/>
          <w:numId w:val="2"/>
        </w:numPr>
        <w:tabs>
          <w:tab w:val="left" w:pos="5160"/>
        </w:tabs>
        <w:rPr>
          <w:rFonts w:asciiTheme="majorHAnsi" w:hAnsiTheme="majorHAnsi" w:cstheme="majorHAnsi"/>
        </w:rPr>
      </w:pPr>
      <w:r>
        <w:rPr>
          <w:rFonts w:asciiTheme="majorHAnsi" w:hAnsiTheme="majorHAnsi" w:cstheme="majorHAnsi"/>
        </w:rPr>
        <w:t>The inability of the Waitangi Tribunal to enforce its findings remains, however, problematic and highlights the Crown’s ongoing control of this process.</w:t>
      </w:r>
      <w:r w:rsidR="00B3007B">
        <w:rPr>
          <w:rFonts w:asciiTheme="majorHAnsi" w:hAnsiTheme="majorHAnsi" w:cstheme="majorHAnsi"/>
        </w:rPr>
        <w:t xml:space="preserve">  This undermines any sense of a “joint problem-solving” approach.</w:t>
      </w:r>
    </w:p>
    <w:p w14:paraId="7DD0F5F2" w14:textId="77777777" w:rsidR="00D348B6" w:rsidRPr="00D92920" w:rsidRDefault="00D348B6" w:rsidP="00D348B6">
      <w:pPr>
        <w:pStyle w:val="BodyText3"/>
        <w:tabs>
          <w:tab w:val="left" w:pos="5160"/>
        </w:tabs>
        <w:rPr>
          <w:rFonts w:asciiTheme="majorHAnsi" w:hAnsiTheme="majorHAnsi" w:cstheme="majorHAnsi"/>
        </w:rPr>
      </w:pPr>
    </w:p>
    <w:p w14:paraId="54784112" w14:textId="7A844F7D" w:rsidR="00D348B6" w:rsidRPr="00D92920" w:rsidRDefault="00726BC8" w:rsidP="00726BC8">
      <w:pPr>
        <w:rPr>
          <w:rFonts w:asciiTheme="majorHAnsi" w:hAnsiTheme="majorHAnsi" w:cstheme="majorHAnsi"/>
          <w:b/>
          <w:bCs/>
          <w:lang w:val="mi-NZ"/>
        </w:rPr>
      </w:pPr>
      <w:r w:rsidRPr="00D92920">
        <w:rPr>
          <w:rFonts w:asciiTheme="majorHAnsi" w:hAnsiTheme="majorHAnsi" w:cstheme="majorHAnsi"/>
          <w:b/>
          <w:bCs/>
          <w:lang w:val="mi-NZ"/>
        </w:rPr>
        <w:lastRenderedPageBreak/>
        <w:t xml:space="preserve">Mechanisms with competence to resolve conflicts between states and Indigenous peoples: The Treaty of Waitangi Settlement Process </w:t>
      </w:r>
    </w:p>
    <w:p w14:paraId="246528A1" w14:textId="77777777" w:rsidR="00D348B6" w:rsidRPr="00D92920" w:rsidRDefault="00D348B6" w:rsidP="00D348B6">
      <w:pPr>
        <w:pStyle w:val="BodyText3"/>
        <w:tabs>
          <w:tab w:val="left" w:pos="5160"/>
        </w:tabs>
        <w:rPr>
          <w:rFonts w:asciiTheme="majorHAnsi" w:hAnsiTheme="majorHAnsi" w:cstheme="majorHAnsi"/>
          <w:i/>
          <w:iCs/>
        </w:rPr>
      </w:pPr>
    </w:p>
    <w:p w14:paraId="57D48134" w14:textId="256A4B6E" w:rsidR="00D348B6" w:rsidRPr="00D92920" w:rsidRDefault="00D348B6" w:rsidP="00D92920">
      <w:pPr>
        <w:pStyle w:val="BodyText3"/>
        <w:numPr>
          <w:ilvl w:val="0"/>
          <w:numId w:val="2"/>
        </w:numPr>
        <w:tabs>
          <w:tab w:val="left" w:pos="5160"/>
        </w:tabs>
        <w:rPr>
          <w:rFonts w:asciiTheme="majorHAnsi" w:hAnsiTheme="majorHAnsi" w:cstheme="majorHAnsi"/>
        </w:rPr>
      </w:pPr>
      <w:r w:rsidRPr="00D92920">
        <w:rPr>
          <w:rFonts w:asciiTheme="majorHAnsi" w:hAnsiTheme="majorHAnsi" w:cstheme="majorHAnsi"/>
        </w:rPr>
        <w:t xml:space="preserve">The government established a settlement process </w:t>
      </w:r>
      <w:r w:rsidR="00D92920" w:rsidRPr="00D92920">
        <w:rPr>
          <w:rFonts w:asciiTheme="majorHAnsi" w:hAnsiTheme="majorHAnsi" w:cstheme="majorHAnsi"/>
        </w:rPr>
        <w:t>in the early 1990</w:t>
      </w:r>
      <w:r w:rsidR="00EA0C1C">
        <w:rPr>
          <w:rFonts w:asciiTheme="majorHAnsi" w:hAnsiTheme="majorHAnsi" w:cstheme="majorHAnsi"/>
        </w:rPr>
        <w:t>s</w:t>
      </w:r>
      <w:r w:rsidRPr="00D92920">
        <w:rPr>
          <w:rFonts w:asciiTheme="majorHAnsi" w:hAnsiTheme="majorHAnsi" w:cstheme="majorHAnsi"/>
        </w:rPr>
        <w:t xml:space="preserve">.  The objective of the settlement process is to settle Crown historical breaches of the </w:t>
      </w:r>
      <w:r w:rsidR="00D92920" w:rsidRPr="00D92920">
        <w:rPr>
          <w:rFonts w:asciiTheme="majorHAnsi" w:hAnsiTheme="majorHAnsi" w:cstheme="majorHAnsi"/>
        </w:rPr>
        <w:t>te Tiriti</w:t>
      </w:r>
      <w:r w:rsidRPr="00D92920">
        <w:rPr>
          <w:rFonts w:asciiTheme="majorHAnsi" w:hAnsiTheme="majorHAnsi" w:cstheme="majorHAnsi"/>
        </w:rPr>
        <w:t xml:space="preserve">.  </w:t>
      </w:r>
    </w:p>
    <w:p w14:paraId="4A57559D" w14:textId="030AF264" w:rsidR="00D348B6" w:rsidRPr="00D92920" w:rsidRDefault="00D348B6" w:rsidP="00D348B6">
      <w:pPr>
        <w:rPr>
          <w:rFonts w:asciiTheme="majorHAnsi" w:hAnsiTheme="majorHAnsi" w:cstheme="majorHAnsi"/>
          <w:lang w:val="mi-NZ"/>
        </w:rPr>
      </w:pPr>
    </w:p>
    <w:p w14:paraId="7A4656AD" w14:textId="77777777" w:rsidR="003F2D45" w:rsidRDefault="008E4788" w:rsidP="00D92920">
      <w:pPr>
        <w:pStyle w:val="BodyText3"/>
        <w:numPr>
          <w:ilvl w:val="0"/>
          <w:numId w:val="2"/>
        </w:numPr>
        <w:rPr>
          <w:rFonts w:asciiTheme="majorHAnsi" w:hAnsiTheme="majorHAnsi" w:cstheme="majorHAnsi"/>
        </w:rPr>
      </w:pPr>
      <w:r w:rsidRPr="00D92920">
        <w:rPr>
          <w:rFonts w:asciiTheme="majorHAnsi" w:hAnsiTheme="majorHAnsi" w:cstheme="majorHAnsi"/>
        </w:rPr>
        <w:t xml:space="preserve">The goal of finding ways and means to redress the historical process of dispossession as an essential element for the establishment of a new relationship between indigenous peoples and States based on an effective partnership is admirable.  </w:t>
      </w:r>
    </w:p>
    <w:p w14:paraId="77782F2B" w14:textId="77777777" w:rsidR="003F2D45" w:rsidRDefault="003F2D45" w:rsidP="003F2D45">
      <w:pPr>
        <w:pStyle w:val="ListParagraph"/>
        <w:rPr>
          <w:rFonts w:asciiTheme="majorHAnsi" w:hAnsiTheme="majorHAnsi" w:cstheme="majorHAnsi"/>
        </w:rPr>
      </w:pPr>
    </w:p>
    <w:p w14:paraId="14069893" w14:textId="4E229284" w:rsidR="008E4788" w:rsidRPr="00D92920" w:rsidRDefault="008E4788" w:rsidP="00D92920">
      <w:pPr>
        <w:pStyle w:val="BodyText3"/>
        <w:numPr>
          <w:ilvl w:val="0"/>
          <w:numId w:val="2"/>
        </w:numPr>
        <w:rPr>
          <w:rFonts w:asciiTheme="majorHAnsi" w:hAnsiTheme="majorHAnsi" w:cstheme="majorHAnsi"/>
        </w:rPr>
      </w:pPr>
      <w:r w:rsidRPr="00D92920">
        <w:rPr>
          <w:rFonts w:asciiTheme="majorHAnsi" w:hAnsiTheme="majorHAnsi" w:cstheme="majorHAnsi"/>
        </w:rPr>
        <w:t xml:space="preserve">However, the current Aotearoa/New Zealand </w:t>
      </w:r>
      <w:r w:rsidR="00D92920" w:rsidRPr="00D92920">
        <w:rPr>
          <w:rFonts w:asciiTheme="majorHAnsi" w:hAnsiTheme="majorHAnsi" w:cstheme="majorHAnsi"/>
        </w:rPr>
        <w:t xml:space="preserve">te Tiriti </w:t>
      </w:r>
      <w:r w:rsidRPr="00D92920">
        <w:rPr>
          <w:rFonts w:asciiTheme="majorHAnsi" w:hAnsiTheme="majorHAnsi" w:cstheme="majorHAnsi"/>
        </w:rPr>
        <w:t xml:space="preserve">settlement process </w:t>
      </w:r>
      <w:r w:rsidR="00D92920" w:rsidRPr="00D92920">
        <w:rPr>
          <w:rFonts w:asciiTheme="majorHAnsi" w:hAnsiTheme="majorHAnsi" w:cstheme="majorHAnsi"/>
        </w:rPr>
        <w:t>has not been an</w:t>
      </w:r>
      <w:r w:rsidRPr="00D92920">
        <w:rPr>
          <w:rFonts w:asciiTheme="majorHAnsi" w:hAnsiTheme="majorHAnsi" w:cstheme="majorHAnsi"/>
        </w:rPr>
        <w:t xml:space="preserve"> </w:t>
      </w:r>
      <w:r w:rsidR="00D92920" w:rsidRPr="00D92920">
        <w:rPr>
          <w:rFonts w:asciiTheme="majorHAnsi" w:hAnsiTheme="majorHAnsi" w:cstheme="majorHAnsi"/>
        </w:rPr>
        <w:t>“</w:t>
      </w:r>
      <w:r w:rsidRPr="00D92920">
        <w:rPr>
          <w:rFonts w:asciiTheme="majorHAnsi" w:hAnsiTheme="majorHAnsi" w:cstheme="majorHAnsi"/>
        </w:rPr>
        <w:t>ideal</w:t>
      </w:r>
      <w:r w:rsidR="00D92920" w:rsidRPr="00D92920">
        <w:rPr>
          <w:rFonts w:asciiTheme="majorHAnsi" w:hAnsiTheme="majorHAnsi" w:cstheme="majorHAnsi"/>
        </w:rPr>
        <w:t>”</w:t>
      </w:r>
      <w:r w:rsidRPr="00D92920">
        <w:rPr>
          <w:rFonts w:asciiTheme="majorHAnsi" w:hAnsiTheme="majorHAnsi" w:cstheme="majorHAnsi"/>
        </w:rPr>
        <w:t xml:space="preserve"> model</w:t>
      </w:r>
      <w:r w:rsidR="00EA0C1C">
        <w:rPr>
          <w:rFonts w:asciiTheme="majorHAnsi" w:hAnsiTheme="majorHAnsi" w:cstheme="majorHAnsi"/>
        </w:rPr>
        <w:t>, a</w:t>
      </w:r>
      <w:r w:rsidR="00D92920" w:rsidRPr="00D92920">
        <w:rPr>
          <w:rFonts w:asciiTheme="majorHAnsi" w:hAnsiTheme="majorHAnsi" w:cstheme="majorHAnsi"/>
        </w:rPr>
        <w:t>lthough newer approaches and mechanisms have been developed recently and offer greater promise</w:t>
      </w:r>
      <w:r w:rsidRPr="00D92920">
        <w:rPr>
          <w:rFonts w:asciiTheme="majorHAnsi" w:hAnsiTheme="majorHAnsi" w:cstheme="majorHAnsi"/>
        </w:rPr>
        <w:t>.</w:t>
      </w:r>
    </w:p>
    <w:p w14:paraId="5C17EDA2" w14:textId="77777777" w:rsidR="008E4788" w:rsidRPr="00D92920" w:rsidRDefault="008E4788" w:rsidP="008E4788">
      <w:pPr>
        <w:pStyle w:val="BodyText3"/>
        <w:rPr>
          <w:rFonts w:asciiTheme="majorHAnsi" w:hAnsiTheme="majorHAnsi" w:cstheme="majorHAnsi"/>
        </w:rPr>
      </w:pPr>
    </w:p>
    <w:p w14:paraId="1D043C77" w14:textId="7FD46296" w:rsidR="008E4788" w:rsidRPr="00D92920" w:rsidRDefault="008E4788" w:rsidP="003F2D45">
      <w:pPr>
        <w:pStyle w:val="BodyText3"/>
        <w:numPr>
          <w:ilvl w:val="0"/>
          <w:numId w:val="2"/>
        </w:numPr>
        <w:rPr>
          <w:rFonts w:asciiTheme="majorHAnsi" w:hAnsiTheme="majorHAnsi" w:cstheme="majorHAnsi"/>
        </w:rPr>
      </w:pPr>
      <w:r w:rsidRPr="00D92920">
        <w:rPr>
          <w:rFonts w:asciiTheme="majorHAnsi" w:hAnsiTheme="majorHAnsi" w:cstheme="majorHAnsi"/>
        </w:rPr>
        <w:t xml:space="preserve">Certain rights integral to Maori and guaranteed to Maori under the </w:t>
      </w:r>
      <w:r w:rsidR="00D92920">
        <w:rPr>
          <w:rFonts w:asciiTheme="majorHAnsi" w:hAnsiTheme="majorHAnsi" w:cstheme="majorHAnsi"/>
        </w:rPr>
        <w:t>te Tiriti</w:t>
      </w:r>
      <w:r w:rsidRPr="00D92920">
        <w:rPr>
          <w:rFonts w:asciiTheme="majorHAnsi" w:hAnsiTheme="majorHAnsi" w:cstheme="majorHAnsi"/>
        </w:rPr>
        <w:t xml:space="preserve"> are not on the negotiating table.  For example, the government refuses to recognise or negotiate Maori self-government and Maori rights to oil and gas reserves.</w:t>
      </w:r>
    </w:p>
    <w:p w14:paraId="46906830" w14:textId="77777777" w:rsidR="008E4788" w:rsidRPr="00D92920" w:rsidRDefault="008E4788" w:rsidP="003F2D45">
      <w:pPr>
        <w:pStyle w:val="BodyText3"/>
        <w:rPr>
          <w:rFonts w:asciiTheme="majorHAnsi" w:hAnsiTheme="majorHAnsi" w:cstheme="majorHAnsi"/>
        </w:rPr>
      </w:pPr>
    </w:p>
    <w:p w14:paraId="2CF9D3CD" w14:textId="3D68203E" w:rsidR="008E4788" w:rsidRPr="00D92920" w:rsidRDefault="008E4788" w:rsidP="003F2D45">
      <w:pPr>
        <w:pStyle w:val="BodyText3"/>
        <w:numPr>
          <w:ilvl w:val="0"/>
          <w:numId w:val="2"/>
        </w:numPr>
        <w:rPr>
          <w:rFonts w:asciiTheme="majorHAnsi" w:hAnsiTheme="majorHAnsi" w:cstheme="majorHAnsi"/>
        </w:rPr>
      </w:pPr>
      <w:r w:rsidRPr="00D92920">
        <w:rPr>
          <w:rFonts w:asciiTheme="majorHAnsi" w:hAnsiTheme="majorHAnsi" w:cstheme="majorHAnsi"/>
        </w:rPr>
        <w:t>Despite the government’s negotiating principle of “fairness between claims”, the level of redress received by iwi</w:t>
      </w:r>
      <w:r w:rsidR="00EA0C1C">
        <w:rPr>
          <w:rFonts w:asciiTheme="majorHAnsi" w:hAnsiTheme="majorHAnsi" w:cstheme="majorHAnsi"/>
        </w:rPr>
        <w:t>|Māori nations</w:t>
      </w:r>
      <w:r w:rsidRPr="00D92920">
        <w:rPr>
          <w:rFonts w:asciiTheme="majorHAnsi" w:hAnsiTheme="majorHAnsi" w:cstheme="majorHAnsi"/>
        </w:rPr>
        <w:t xml:space="preserve"> differs.  </w:t>
      </w:r>
    </w:p>
    <w:p w14:paraId="073F3B90" w14:textId="77777777" w:rsidR="008E4788" w:rsidRPr="00D92920" w:rsidRDefault="008E4788" w:rsidP="003F2D45">
      <w:pPr>
        <w:pStyle w:val="BodyText3"/>
        <w:rPr>
          <w:rFonts w:asciiTheme="majorHAnsi" w:hAnsiTheme="majorHAnsi" w:cstheme="majorHAnsi"/>
        </w:rPr>
      </w:pPr>
    </w:p>
    <w:p w14:paraId="1FDCBFDB" w14:textId="77777777" w:rsidR="008E4788" w:rsidRPr="00D92920" w:rsidRDefault="008E4788" w:rsidP="003F2D45">
      <w:pPr>
        <w:pStyle w:val="BodyText3"/>
        <w:numPr>
          <w:ilvl w:val="0"/>
          <w:numId w:val="2"/>
        </w:numPr>
        <w:rPr>
          <w:rFonts w:asciiTheme="majorHAnsi" w:hAnsiTheme="majorHAnsi" w:cstheme="majorHAnsi"/>
        </w:rPr>
      </w:pPr>
      <w:r w:rsidRPr="00D92920">
        <w:rPr>
          <w:rFonts w:asciiTheme="majorHAnsi" w:hAnsiTheme="majorHAnsi" w:cstheme="majorHAnsi"/>
        </w:rPr>
        <w:t>The government imposes onerous conditions on iwi, hapu and whanau that seek the benefits of settlement.  For example, the Crown will only deal with “large natural groupings”. Maori do not necessarily associate in “large natural groupings” but instead in iwi, hapu and whanau groupings.  The requirement to form “large natural groupings” is an arbitrary requirement that is inconsistent with Maori practice.</w:t>
      </w:r>
    </w:p>
    <w:p w14:paraId="72B90567" w14:textId="77777777" w:rsidR="008E4788" w:rsidRPr="00D92920" w:rsidRDefault="008E4788" w:rsidP="003F2D45">
      <w:pPr>
        <w:pStyle w:val="BodyText3"/>
        <w:rPr>
          <w:rFonts w:asciiTheme="majorHAnsi" w:hAnsiTheme="majorHAnsi" w:cstheme="majorHAnsi"/>
        </w:rPr>
      </w:pPr>
    </w:p>
    <w:p w14:paraId="3F11403F" w14:textId="783E4D65" w:rsidR="008E4788" w:rsidRPr="00D92920" w:rsidRDefault="003F2D45" w:rsidP="003F2D45">
      <w:pPr>
        <w:pStyle w:val="BodyText3"/>
        <w:numPr>
          <w:ilvl w:val="0"/>
          <w:numId w:val="2"/>
        </w:numPr>
        <w:rPr>
          <w:rFonts w:asciiTheme="majorHAnsi" w:hAnsiTheme="majorHAnsi" w:cstheme="majorHAnsi"/>
        </w:rPr>
      </w:pPr>
      <w:r>
        <w:rPr>
          <w:rFonts w:asciiTheme="majorHAnsi" w:hAnsiTheme="majorHAnsi" w:cstheme="majorHAnsi"/>
        </w:rPr>
        <w:t>There</w:t>
      </w:r>
      <w:r w:rsidR="008E4788" w:rsidRPr="00D92920">
        <w:rPr>
          <w:rFonts w:asciiTheme="majorHAnsi" w:hAnsiTheme="majorHAnsi" w:cstheme="majorHAnsi"/>
        </w:rPr>
        <w:t xml:space="preserve"> is no independent body to oversee and monitor treaty settlements in Aotearoa/New Zealand.  Instead, an arm of the government is both the government’s negotiator and policy setter.  This raises serious questions of conflict of interest.</w:t>
      </w:r>
    </w:p>
    <w:p w14:paraId="13DA863C" w14:textId="77777777" w:rsidR="008E4788" w:rsidRPr="00D92920" w:rsidRDefault="008E4788" w:rsidP="003F2D45">
      <w:pPr>
        <w:pStyle w:val="BodyText3"/>
        <w:rPr>
          <w:rFonts w:asciiTheme="majorHAnsi" w:hAnsiTheme="majorHAnsi" w:cstheme="majorHAnsi"/>
        </w:rPr>
      </w:pPr>
    </w:p>
    <w:p w14:paraId="415C5B00" w14:textId="74BECAED" w:rsidR="008E4788" w:rsidRDefault="008E4788" w:rsidP="003F2D45">
      <w:pPr>
        <w:pStyle w:val="BodyText3"/>
        <w:numPr>
          <w:ilvl w:val="0"/>
          <w:numId w:val="2"/>
        </w:numPr>
        <w:rPr>
          <w:rFonts w:asciiTheme="majorHAnsi" w:hAnsiTheme="majorHAnsi" w:cstheme="majorHAnsi"/>
        </w:rPr>
      </w:pPr>
      <w:r w:rsidRPr="00D92920">
        <w:rPr>
          <w:rFonts w:asciiTheme="majorHAnsi" w:hAnsiTheme="majorHAnsi" w:cstheme="majorHAnsi"/>
        </w:rPr>
        <w:t xml:space="preserve">As stated earlier, a condition of settlement is that Maori agree that it is full and final and settles all Maori historical grievances.  </w:t>
      </w:r>
    </w:p>
    <w:p w14:paraId="69C34F34" w14:textId="77777777" w:rsidR="00E55F72" w:rsidRDefault="00E55F72" w:rsidP="00E55F72">
      <w:pPr>
        <w:pStyle w:val="ListParagraph"/>
        <w:rPr>
          <w:rFonts w:asciiTheme="majorHAnsi" w:hAnsiTheme="majorHAnsi" w:cstheme="majorHAnsi"/>
        </w:rPr>
      </w:pPr>
    </w:p>
    <w:p w14:paraId="6BEF60BF" w14:textId="0869B527" w:rsidR="000B4A30" w:rsidRDefault="00E55F72" w:rsidP="003F2D45">
      <w:pPr>
        <w:pStyle w:val="BodyText3"/>
        <w:numPr>
          <w:ilvl w:val="0"/>
          <w:numId w:val="2"/>
        </w:numPr>
        <w:rPr>
          <w:rFonts w:asciiTheme="majorHAnsi" w:hAnsiTheme="majorHAnsi" w:cstheme="majorHAnsi"/>
        </w:rPr>
      </w:pPr>
      <w:r>
        <w:rPr>
          <w:rFonts w:asciiTheme="majorHAnsi" w:hAnsiTheme="majorHAnsi" w:cstheme="majorHAnsi"/>
        </w:rPr>
        <w:t>On the other hand, there have been some significant developments of late</w:t>
      </w:r>
      <w:r w:rsidR="00EA0C1C">
        <w:rPr>
          <w:rFonts w:asciiTheme="majorHAnsi" w:hAnsiTheme="majorHAnsi" w:cstheme="majorHAnsi"/>
        </w:rPr>
        <w:t xml:space="preserve"> – even joint problem-solving –</w:t>
      </w:r>
      <w:r>
        <w:rPr>
          <w:rFonts w:asciiTheme="majorHAnsi" w:hAnsiTheme="majorHAnsi" w:cstheme="majorHAnsi"/>
        </w:rPr>
        <w:t xml:space="preserve"> including the recognition of </w:t>
      </w:r>
      <w:r w:rsidR="000B4A30">
        <w:rPr>
          <w:rFonts w:asciiTheme="majorHAnsi" w:hAnsiTheme="majorHAnsi" w:cstheme="majorHAnsi"/>
        </w:rPr>
        <w:t xml:space="preserve">a river, </w:t>
      </w:r>
      <w:r>
        <w:rPr>
          <w:rFonts w:asciiTheme="majorHAnsi" w:hAnsiTheme="majorHAnsi" w:cstheme="majorHAnsi"/>
        </w:rPr>
        <w:t>maunga</w:t>
      </w:r>
      <w:r w:rsidR="000B4A30">
        <w:rPr>
          <w:rFonts w:asciiTheme="majorHAnsi" w:hAnsiTheme="majorHAnsi" w:cstheme="majorHAnsi"/>
        </w:rPr>
        <w:t>|mountains</w:t>
      </w:r>
      <w:r>
        <w:rPr>
          <w:rFonts w:asciiTheme="majorHAnsi" w:hAnsiTheme="majorHAnsi" w:cstheme="majorHAnsi"/>
        </w:rPr>
        <w:t xml:space="preserve"> and areas</w:t>
      </w:r>
      <w:r w:rsidR="000B4A30">
        <w:rPr>
          <w:rFonts w:asciiTheme="majorHAnsi" w:hAnsiTheme="majorHAnsi" w:cstheme="majorHAnsi"/>
        </w:rPr>
        <w:t xml:space="preserve"> e.g., national parks</w:t>
      </w:r>
      <w:r>
        <w:rPr>
          <w:rFonts w:asciiTheme="majorHAnsi" w:hAnsiTheme="majorHAnsi" w:cstheme="majorHAnsi"/>
        </w:rPr>
        <w:t xml:space="preserve"> as legal persons </w:t>
      </w:r>
      <w:r w:rsidR="000B4A30">
        <w:rPr>
          <w:rFonts w:asciiTheme="majorHAnsi" w:hAnsiTheme="majorHAnsi" w:cstheme="majorHAnsi"/>
        </w:rPr>
        <w:t>with</w:t>
      </w:r>
      <w:r>
        <w:rPr>
          <w:rFonts w:asciiTheme="majorHAnsi" w:hAnsiTheme="majorHAnsi" w:cstheme="majorHAnsi"/>
        </w:rPr>
        <w:t xml:space="preserve"> combined Crown and Māori management.  There </w:t>
      </w:r>
      <w:r w:rsidR="000B4A30">
        <w:rPr>
          <w:rFonts w:asciiTheme="majorHAnsi" w:hAnsiTheme="majorHAnsi" w:cstheme="majorHAnsi"/>
        </w:rPr>
        <w:t>is</w:t>
      </w:r>
      <w:r>
        <w:rPr>
          <w:rFonts w:asciiTheme="majorHAnsi" w:hAnsiTheme="majorHAnsi" w:cstheme="majorHAnsi"/>
        </w:rPr>
        <w:t xml:space="preserve"> also the example of co-management of the large Waikato river.  </w:t>
      </w:r>
    </w:p>
    <w:p w14:paraId="595F5E52" w14:textId="77777777" w:rsidR="000B4A30" w:rsidRDefault="000B4A30" w:rsidP="000B4A30">
      <w:pPr>
        <w:pStyle w:val="ListParagraph"/>
        <w:rPr>
          <w:rFonts w:asciiTheme="majorHAnsi" w:hAnsiTheme="majorHAnsi" w:cstheme="majorHAnsi"/>
        </w:rPr>
      </w:pPr>
    </w:p>
    <w:p w14:paraId="567BE314" w14:textId="14630A59" w:rsidR="00E55F72" w:rsidRDefault="00E55F72" w:rsidP="003F2D45">
      <w:pPr>
        <w:pStyle w:val="BodyText3"/>
        <w:numPr>
          <w:ilvl w:val="0"/>
          <w:numId w:val="2"/>
        </w:numPr>
        <w:rPr>
          <w:rFonts w:asciiTheme="majorHAnsi" w:hAnsiTheme="majorHAnsi" w:cstheme="majorHAnsi"/>
        </w:rPr>
      </w:pPr>
      <w:r>
        <w:rPr>
          <w:rFonts w:asciiTheme="majorHAnsi" w:hAnsiTheme="majorHAnsi" w:cstheme="majorHAnsi"/>
        </w:rPr>
        <w:t>Increasingly there are requirements for the Crown to meet with iwi Māori</w:t>
      </w:r>
      <w:r w:rsidR="000B4A30">
        <w:rPr>
          <w:rFonts w:asciiTheme="majorHAnsi" w:hAnsiTheme="majorHAnsi" w:cstheme="majorHAnsi"/>
        </w:rPr>
        <w:t>|Māori nations</w:t>
      </w:r>
      <w:r>
        <w:rPr>
          <w:rFonts w:asciiTheme="majorHAnsi" w:hAnsiTheme="majorHAnsi" w:cstheme="majorHAnsi"/>
        </w:rPr>
        <w:t xml:space="preserve"> to hear their views on </w:t>
      </w:r>
      <w:r w:rsidR="000B4A30">
        <w:rPr>
          <w:rFonts w:asciiTheme="majorHAnsi" w:hAnsiTheme="majorHAnsi" w:cstheme="majorHAnsi"/>
        </w:rPr>
        <w:t>matters of importance to the tribal nations.</w:t>
      </w:r>
    </w:p>
    <w:p w14:paraId="6B3246CB" w14:textId="77777777" w:rsidR="0006743A" w:rsidRDefault="0006743A" w:rsidP="0006743A">
      <w:pPr>
        <w:pStyle w:val="ListParagraph"/>
        <w:rPr>
          <w:rFonts w:asciiTheme="majorHAnsi" w:hAnsiTheme="majorHAnsi" w:cstheme="majorHAnsi"/>
        </w:rPr>
      </w:pPr>
    </w:p>
    <w:p w14:paraId="3690C715" w14:textId="5A33DC11" w:rsidR="0006743A" w:rsidRDefault="0006743A" w:rsidP="0006743A">
      <w:pPr>
        <w:pStyle w:val="BodyText3"/>
        <w:rPr>
          <w:rFonts w:asciiTheme="majorHAnsi" w:hAnsiTheme="majorHAnsi" w:cstheme="majorHAnsi"/>
          <w:b/>
          <w:bCs/>
        </w:rPr>
      </w:pPr>
      <w:r>
        <w:rPr>
          <w:rFonts w:asciiTheme="majorHAnsi" w:hAnsiTheme="majorHAnsi" w:cstheme="majorHAnsi"/>
          <w:b/>
          <w:bCs/>
        </w:rPr>
        <w:t>Looking into the future</w:t>
      </w:r>
    </w:p>
    <w:p w14:paraId="128E5829" w14:textId="79D8EA84" w:rsidR="00B3007B" w:rsidRPr="00B3007B" w:rsidRDefault="00B3007B" w:rsidP="0006743A">
      <w:pPr>
        <w:pStyle w:val="BodyText3"/>
        <w:rPr>
          <w:rFonts w:asciiTheme="majorHAnsi" w:hAnsiTheme="majorHAnsi" w:cstheme="majorHAnsi"/>
        </w:rPr>
      </w:pPr>
    </w:p>
    <w:p w14:paraId="11A9D10D" w14:textId="5A574227" w:rsidR="00B3007B" w:rsidRDefault="00B3007B" w:rsidP="00B3007B">
      <w:pPr>
        <w:pStyle w:val="BodyText3"/>
        <w:numPr>
          <w:ilvl w:val="0"/>
          <w:numId w:val="2"/>
        </w:numPr>
        <w:rPr>
          <w:rFonts w:asciiTheme="majorHAnsi" w:hAnsiTheme="majorHAnsi" w:cstheme="majorHAnsi"/>
        </w:rPr>
      </w:pPr>
      <w:r>
        <w:rPr>
          <w:rFonts w:asciiTheme="majorHAnsi" w:hAnsiTheme="majorHAnsi" w:cstheme="majorHAnsi"/>
        </w:rPr>
        <w:t>Development</w:t>
      </w:r>
      <w:r w:rsidR="00EA0C1C">
        <w:rPr>
          <w:rFonts w:asciiTheme="majorHAnsi" w:hAnsiTheme="majorHAnsi" w:cstheme="majorHAnsi"/>
        </w:rPr>
        <w:t>s</w:t>
      </w:r>
      <w:r>
        <w:rPr>
          <w:rFonts w:asciiTheme="majorHAnsi" w:hAnsiTheme="majorHAnsi" w:cstheme="majorHAnsi"/>
        </w:rPr>
        <w:t xml:space="preserve"> in the courts, Waitangi Tribunal and in treaty settlements show some promise but fall short of recognition of Māori sovereignty or self-determination.  In this way they do not provide an ideal mechanism to resolve conflicts.</w:t>
      </w:r>
    </w:p>
    <w:p w14:paraId="0F0860AE" w14:textId="4F719B86" w:rsidR="00B3007B" w:rsidRDefault="00B3007B" w:rsidP="00B3007B">
      <w:pPr>
        <w:pStyle w:val="BodyText3"/>
        <w:ind w:left="360"/>
        <w:rPr>
          <w:rFonts w:asciiTheme="majorHAnsi" w:hAnsiTheme="majorHAnsi" w:cstheme="majorHAnsi"/>
        </w:rPr>
      </w:pPr>
    </w:p>
    <w:p w14:paraId="546832E1" w14:textId="2EE1327C" w:rsidR="00B3007B" w:rsidRDefault="00B3007B" w:rsidP="00B3007B">
      <w:pPr>
        <w:pStyle w:val="BodyText3"/>
        <w:numPr>
          <w:ilvl w:val="0"/>
          <w:numId w:val="2"/>
        </w:numPr>
        <w:rPr>
          <w:rFonts w:asciiTheme="majorHAnsi" w:hAnsiTheme="majorHAnsi" w:cstheme="majorHAnsi"/>
        </w:rPr>
      </w:pPr>
      <w:r>
        <w:rPr>
          <w:rFonts w:asciiTheme="majorHAnsi" w:hAnsiTheme="majorHAnsi" w:cstheme="majorHAnsi"/>
        </w:rPr>
        <w:t>Ongoing international oversight of these mechanisms – by the Expert Mechanism, by UN human rights treaty bodies and the UN Special Rapporteur on the rights of Indigenous peoples – remains important to balance the bias in these processes towards the Crown.</w:t>
      </w:r>
    </w:p>
    <w:p w14:paraId="0DA843F2" w14:textId="77777777" w:rsidR="00B3007B" w:rsidRDefault="00B3007B" w:rsidP="00B3007B">
      <w:pPr>
        <w:pStyle w:val="ListParagraph"/>
        <w:rPr>
          <w:rFonts w:asciiTheme="majorHAnsi" w:hAnsiTheme="majorHAnsi" w:cstheme="majorHAnsi"/>
        </w:rPr>
      </w:pPr>
    </w:p>
    <w:p w14:paraId="7B873925" w14:textId="6091B9B8" w:rsidR="00B3007B" w:rsidRDefault="00B3007B" w:rsidP="00B3007B">
      <w:pPr>
        <w:pStyle w:val="BodyText3"/>
        <w:numPr>
          <w:ilvl w:val="0"/>
          <w:numId w:val="2"/>
        </w:numPr>
        <w:rPr>
          <w:rFonts w:asciiTheme="majorHAnsi" w:hAnsiTheme="majorHAnsi" w:cstheme="majorHAnsi"/>
        </w:rPr>
      </w:pPr>
      <w:r>
        <w:rPr>
          <w:rFonts w:asciiTheme="majorHAnsi" w:hAnsiTheme="majorHAnsi" w:cstheme="majorHAnsi"/>
        </w:rPr>
        <w:t>There is important work going on in New Zealand that has the potential to enhance the mechanisms to resolve conflicts between states and Indigenous people including the development of a national plan of action to realise the Declaration on the Rights of Indigenous Peoples.</w:t>
      </w:r>
    </w:p>
    <w:p w14:paraId="66ADD0B5" w14:textId="352C9B94" w:rsidR="00EA0C1C" w:rsidRDefault="00EA0C1C" w:rsidP="00EA0C1C">
      <w:pPr>
        <w:pStyle w:val="BodyText3"/>
        <w:rPr>
          <w:rFonts w:asciiTheme="majorHAnsi" w:hAnsiTheme="majorHAnsi" w:cstheme="majorHAnsi"/>
        </w:rPr>
      </w:pPr>
    </w:p>
    <w:p w14:paraId="0B593EDB" w14:textId="64A1D047" w:rsidR="00EA0C1C" w:rsidRPr="00EA0C1C" w:rsidRDefault="00EA0C1C" w:rsidP="00EA0C1C">
      <w:pPr>
        <w:pStyle w:val="BodyText3"/>
        <w:rPr>
          <w:rFonts w:asciiTheme="majorHAnsi" w:hAnsiTheme="majorHAnsi" w:cstheme="majorHAnsi"/>
          <w:b/>
          <w:bCs/>
        </w:rPr>
      </w:pPr>
      <w:r>
        <w:rPr>
          <w:rFonts w:asciiTheme="majorHAnsi" w:hAnsiTheme="majorHAnsi" w:cstheme="majorHAnsi"/>
          <w:b/>
          <w:bCs/>
        </w:rPr>
        <w:t>Closing</w:t>
      </w:r>
    </w:p>
    <w:p w14:paraId="7A99EC49" w14:textId="7E0AA54D" w:rsidR="0006743A" w:rsidRDefault="0006743A" w:rsidP="0006743A">
      <w:pPr>
        <w:pStyle w:val="BodyText3"/>
        <w:rPr>
          <w:rFonts w:asciiTheme="majorHAnsi" w:hAnsiTheme="majorHAnsi" w:cstheme="majorHAnsi"/>
          <w:b/>
          <w:bCs/>
        </w:rPr>
      </w:pPr>
    </w:p>
    <w:p w14:paraId="797473AE" w14:textId="77777777" w:rsidR="0006743A" w:rsidRPr="0006743A" w:rsidRDefault="0006743A" w:rsidP="0006743A">
      <w:pPr>
        <w:pStyle w:val="BodyText3"/>
        <w:rPr>
          <w:rFonts w:asciiTheme="majorHAnsi" w:hAnsiTheme="majorHAnsi" w:cstheme="majorHAnsi"/>
          <w:b/>
          <w:bCs/>
        </w:rPr>
      </w:pPr>
    </w:p>
    <w:p w14:paraId="5601898C" w14:textId="77777777" w:rsidR="008E4788" w:rsidRPr="00D92920" w:rsidRDefault="008E4788" w:rsidP="00D348B6">
      <w:pPr>
        <w:rPr>
          <w:rFonts w:asciiTheme="majorHAnsi" w:hAnsiTheme="majorHAnsi" w:cstheme="majorHAnsi"/>
          <w:lang w:val="mi-NZ"/>
        </w:rPr>
      </w:pPr>
    </w:p>
    <w:sectPr w:rsidR="008E4788" w:rsidRPr="00D92920" w:rsidSect="00983FD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D8EBB" w14:textId="77777777" w:rsidR="009301D7" w:rsidRDefault="009301D7" w:rsidP="00D348B6">
      <w:r>
        <w:separator/>
      </w:r>
    </w:p>
  </w:endnote>
  <w:endnote w:type="continuationSeparator" w:id="0">
    <w:p w14:paraId="33DC430E" w14:textId="77777777" w:rsidR="009301D7" w:rsidRDefault="009301D7" w:rsidP="00D34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2D6F0E" w14:textId="77777777" w:rsidR="009301D7" w:rsidRDefault="009301D7" w:rsidP="00D348B6">
      <w:r>
        <w:separator/>
      </w:r>
    </w:p>
  </w:footnote>
  <w:footnote w:type="continuationSeparator" w:id="0">
    <w:p w14:paraId="31E11E7A" w14:textId="77777777" w:rsidR="009301D7" w:rsidRDefault="009301D7" w:rsidP="00D348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1F5A"/>
    <w:multiLevelType w:val="hybridMultilevel"/>
    <w:tmpl w:val="FC3410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02867C7"/>
    <w:multiLevelType w:val="hybridMultilevel"/>
    <w:tmpl w:val="11AC6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9822D6"/>
    <w:multiLevelType w:val="hybridMultilevel"/>
    <w:tmpl w:val="6B8C49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845277F"/>
    <w:multiLevelType w:val="hybridMultilevel"/>
    <w:tmpl w:val="DCB6E7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017310"/>
    <w:multiLevelType w:val="hybridMultilevel"/>
    <w:tmpl w:val="1B84F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980608"/>
    <w:multiLevelType w:val="hybridMultilevel"/>
    <w:tmpl w:val="1C38F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AC54B8C"/>
    <w:multiLevelType w:val="hybridMultilevel"/>
    <w:tmpl w:val="E22EB4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EA2B62"/>
    <w:multiLevelType w:val="hybridMultilevel"/>
    <w:tmpl w:val="1FAA3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2C25AD2"/>
    <w:multiLevelType w:val="hybridMultilevel"/>
    <w:tmpl w:val="78E8CA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9800064"/>
    <w:multiLevelType w:val="hybridMultilevel"/>
    <w:tmpl w:val="6CA438C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AC11D5F"/>
    <w:multiLevelType w:val="hybridMultilevel"/>
    <w:tmpl w:val="195A1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EC051E"/>
    <w:multiLevelType w:val="hybridMultilevel"/>
    <w:tmpl w:val="F2B466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8"/>
  </w:num>
  <w:num w:numId="3">
    <w:abstractNumId w:val="7"/>
  </w:num>
  <w:num w:numId="4">
    <w:abstractNumId w:val="9"/>
  </w:num>
  <w:num w:numId="5">
    <w:abstractNumId w:val="1"/>
  </w:num>
  <w:num w:numId="6">
    <w:abstractNumId w:val="4"/>
  </w:num>
  <w:num w:numId="7">
    <w:abstractNumId w:val="11"/>
  </w:num>
  <w:num w:numId="8">
    <w:abstractNumId w:val="0"/>
  </w:num>
  <w:num w:numId="9">
    <w:abstractNumId w:val="10"/>
  </w:num>
  <w:num w:numId="10">
    <w:abstractNumId w:val="3"/>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3DD"/>
    <w:rsid w:val="0006743A"/>
    <w:rsid w:val="000B4A30"/>
    <w:rsid w:val="000C3CC2"/>
    <w:rsid w:val="002A63DD"/>
    <w:rsid w:val="00337DC4"/>
    <w:rsid w:val="00362722"/>
    <w:rsid w:val="003F2D45"/>
    <w:rsid w:val="00726BC8"/>
    <w:rsid w:val="008A4165"/>
    <w:rsid w:val="008E4788"/>
    <w:rsid w:val="009301D7"/>
    <w:rsid w:val="00983FDB"/>
    <w:rsid w:val="00B3007B"/>
    <w:rsid w:val="00C01ADB"/>
    <w:rsid w:val="00C320BD"/>
    <w:rsid w:val="00D348B6"/>
    <w:rsid w:val="00D92920"/>
    <w:rsid w:val="00E55F72"/>
    <w:rsid w:val="00EA0C1C"/>
    <w:rsid w:val="00FD796D"/>
    <w:rsid w:val="00FE746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7B9FF"/>
  <w15:chartTrackingRefBased/>
  <w15:docId w15:val="{B0EEFAB5-51CE-5840-A82B-3E588BCCD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3DD"/>
    <w:pPr>
      <w:ind w:left="720"/>
      <w:contextualSpacing/>
    </w:pPr>
  </w:style>
  <w:style w:type="paragraph" w:styleId="FootnoteText">
    <w:name w:val="footnote text"/>
    <w:basedOn w:val="Normal"/>
    <w:link w:val="FootnoteTextChar"/>
    <w:semiHidden/>
    <w:rsid w:val="00D348B6"/>
    <w:rPr>
      <w:rFonts w:ascii="Times New Roman" w:eastAsia="Times New Roman" w:hAnsi="Times New Roman" w:cs="Times New Roman"/>
      <w:sz w:val="20"/>
      <w:szCs w:val="20"/>
      <w:lang w:val="en-AU"/>
    </w:rPr>
  </w:style>
  <w:style w:type="character" w:customStyle="1" w:styleId="FootnoteTextChar">
    <w:name w:val="Footnote Text Char"/>
    <w:basedOn w:val="DefaultParagraphFont"/>
    <w:link w:val="FootnoteText"/>
    <w:semiHidden/>
    <w:rsid w:val="00D348B6"/>
    <w:rPr>
      <w:rFonts w:ascii="Times New Roman" w:eastAsia="Times New Roman" w:hAnsi="Times New Roman" w:cs="Times New Roman"/>
      <w:sz w:val="20"/>
      <w:szCs w:val="20"/>
      <w:lang w:val="en-AU"/>
    </w:rPr>
  </w:style>
  <w:style w:type="character" w:styleId="FootnoteReference">
    <w:name w:val="footnote reference"/>
    <w:semiHidden/>
    <w:rsid w:val="00D348B6"/>
  </w:style>
  <w:style w:type="paragraph" w:styleId="BodyText3">
    <w:name w:val="Body Text 3"/>
    <w:basedOn w:val="Normal"/>
    <w:link w:val="BodyText3Char"/>
    <w:rsid w:val="00D348B6"/>
    <w:pPr>
      <w:jc w:val="both"/>
    </w:pPr>
    <w:rPr>
      <w:rFonts w:ascii="Times New Roman" w:eastAsia="Times New Roman" w:hAnsi="Times New Roman" w:cs="Times New Roman"/>
      <w:lang w:val="en-AU"/>
    </w:rPr>
  </w:style>
  <w:style w:type="character" w:customStyle="1" w:styleId="BodyText3Char">
    <w:name w:val="Body Text 3 Char"/>
    <w:basedOn w:val="DefaultParagraphFont"/>
    <w:link w:val="BodyText3"/>
    <w:rsid w:val="00D348B6"/>
    <w:rPr>
      <w:rFonts w:ascii="Times New Roman" w:eastAsia="Times New Roman" w:hAnsi="Times New Roman" w:cs="Times New Roman"/>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B417748-F5BD-41A5-853F-CAB8B6FFCC48}"/>
</file>

<file path=customXml/itemProps2.xml><?xml version="1.0" encoding="utf-8"?>
<ds:datastoreItem xmlns:ds="http://schemas.openxmlformats.org/officeDocument/2006/customXml" ds:itemID="{0DD30131-A5CD-4C7B-81D5-6902C55CEDF2}"/>
</file>

<file path=customXml/itemProps3.xml><?xml version="1.0" encoding="utf-8"?>
<ds:datastoreItem xmlns:ds="http://schemas.openxmlformats.org/officeDocument/2006/customXml" ds:itemID="{4A8B3AA4-5A40-47B8-8012-73AD234FDC51}"/>
</file>

<file path=docProps/app.xml><?xml version="1.0" encoding="utf-8"?>
<Properties xmlns="http://schemas.openxmlformats.org/officeDocument/2006/extended-properties" xmlns:vt="http://schemas.openxmlformats.org/officeDocument/2006/docPropsVTypes">
  <Template>Normal.dotm</Template>
  <TotalTime>0</TotalTime>
  <Pages>5</Pages>
  <Words>1491</Words>
  <Characters>8499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Charters</dc:creator>
  <cp:keywords/>
  <dc:description/>
  <cp:lastModifiedBy>PAPASERGIO Laura</cp:lastModifiedBy>
  <cp:revision>2</cp:revision>
  <dcterms:created xsi:type="dcterms:W3CDTF">2021-12-27T09:21:00Z</dcterms:created>
  <dcterms:modified xsi:type="dcterms:W3CDTF">2021-12-27T09:21:00Z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