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D2" w:rsidRPr="00491DD2" w:rsidRDefault="00491DD2" w:rsidP="00491DD2">
      <w:pPr>
        <w:widowControl w:val="0"/>
        <w:kinsoku w:val="0"/>
        <w:overflowPunct w:val="0"/>
        <w:autoSpaceDE w:val="0"/>
        <w:autoSpaceDN w:val="0"/>
        <w:adjustRightInd w:val="0"/>
        <w:spacing w:before="78" w:after="0" w:line="312" w:lineRule="auto"/>
        <w:ind w:right="22"/>
        <w:rPr>
          <w:rFonts w:eastAsiaTheme="minorEastAsia" w:cs="Calibri"/>
          <w:color w:val="000000" w:themeColor="text1"/>
        </w:rPr>
      </w:pPr>
      <w:bookmarkStart w:id="0" w:name="PF0Y3SLQ-16_6_2019.doc"/>
      <w:bookmarkStart w:id="1" w:name="_GoBack"/>
      <w:bookmarkEnd w:id="0"/>
      <w:bookmarkEnd w:id="1"/>
      <w:r w:rsidRPr="00491DD2">
        <w:rPr>
          <w:rFonts w:eastAsiaTheme="minorEastAsia" w:cs="Calibri"/>
          <w:color w:val="000000" w:themeColor="text1"/>
        </w:rPr>
        <w:t>[Check against delivery]</w:t>
      </w:r>
    </w:p>
    <w:p w:rsidR="00491DD2" w:rsidRPr="00491DD2" w:rsidRDefault="00491DD2" w:rsidP="00491DD2">
      <w:pPr>
        <w:widowControl w:val="0"/>
        <w:kinsoku w:val="0"/>
        <w:overflowPunct w:val="0"/>
        <w:autoSpaceDE w:val="0"/>
        <w:autoSpaceDN w:val="0"/>
        <w:adjustRightInd w:val="0"/>
        <w:spacing w:before="2" w:after="39" w:line="240" w:lineRule="auto"/>
        <w:rPr>
          <w:rFonts w:ascii="Arial" w:eastAsiaTheme="minorEastAsia" w:hAnsi="Arial" w:cs="Arial"/>
          <w:color w:val="000000" w:themeColor="text1"/>
          <w:sz w:val="9"/>
          <w:szCs w:val="9"/>
        </w:rPr>
      </w:pPr>
      <w:r w:rsidRPr="00491DD2">
        <w:rPr>
          <w:rFonts w:ascii="Times New Roman" w:eastAsiaTheme="minorEastAsia" w:hAnsi="Times New Roman" w:cs="Times New Roman"/>
          <w:color w:val="000000" w:themeColor="text1"/>
          <w:sz w:val="24"/>
          <w:szCs w:val="24"/>
        </w:rPr>
        <w:br w:type="column"/>
      </w:r>
    </w:p>
    <w:p w:rsidR="00491DD2" w:rsidRPr="00491DD2" w:rsidRDefault="00491DD2" w:rsidP="00491DD2">
      <w:pPr>
        <w:widowControl w:val="0"/>
        <w:kinsoku w:val="0"/>
        <w:overflowPunct w:val="0"/>
        <w:autoSpaceDE w:val="0"/>
        <w:autoSpaceDN w:val="0"/>
        <w:adjustRightInd w:val="0"/>
        <w:spacing w:after="0" w:line="240" w:lineRule="auto"/>
        <w:ind w:left="1350"/>
        <w:rPr>
          <w:rFonts w:ascii="Arial" w:eastAsiaTheme="minorEastAsia" w:hAnsi="Arial" w:cs="Arial"/>
          <w:color w:val="000000" w:themeColor="text1"/>
          <w:sz w:val="20"/>
          <w:szCs w:val="20"/>
        </w:rPr>
      </w:pPr>
      <w:r w:rsidRPr="00491DD2">
        <w:rPr>
          <w:rFonts w:ascii="Arial" w:eastAsiaTheme="minorEastAsia" w:hAnsi="Arial" w:cs="Arial"/>
          <w:noProof/>
          <w:color w:val="000000" w:themeColor="text1"/>
          <w:sz w:val="20"/>
          <w:szCs w:val="20"/>
          <w:lang w:val="fi-FI" w:eastAsia="fi-FI"/>
        </w:rPr>
        <w:drawing>
          <wp:inline distT="0" distB="0" distL="0" distR="0" wp14:anchorId="1BC54DE5" wp14:editId="7B4A04DB">
            <wp:extent cx="1875155" cy="717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5155" cy="717550"/>
                    </a:xfrm>
                    <a:prstGeom prst="rect">
                      <a:avLst/>
                    </a:prstGeom>
                    <a:noFill/>
                    <a:ln>
                      <a:noFill/>
                    </a:ln>
                  </pic:spPr>
                </pic:pic>
              </a:graphicData>
            </a:graphic>
          </wp:inline>
        </w:drawing>
      </w:r>
    </w:p>
    <w:p w:rsidR="00491DD2" w:rsidRPr="00491DD2" w:rsidRDefault="00491DD2" w:rsidP="00491DD2">
      <w:pPr>
        <w:widowControl w:val="0"/>
        <w:kinsoku w:val="0"/>
        <w:overflowPunct w:val="0"/>
        <w:autoSpaceDE w:val="0"/>
        <w:autoSpaceDN w:val="0"/>
        <w:adjustRightInd w:val="0"/>
        <w:spacing w:after="0" w:line="240" w:lineRule="auto"/>
        <w:rPr>
          <w:rFonts w:ascii="Arial" w:eastAsiaTheme="minorEastAsia" w:hAnsi="Arial" w:cs="Arial"/>
          <w:color w:val="000000" w:themeColor="text1"/>
          <w:sz w:val="28"/>
          <w:szCs w:val="28"/>
        </w:rPr>
      </w:pPr>
    </w:p>
    <w:p w:rsidR="00491DD2" w:rsidRPr="00491DD2" w:rsidRDefault="00491DD2" w:rsidP="00491DD2">
      <w:pPr>
        <w:widowControl w:val="0"/>
        <w:kinsoku w:val="0"/>
        <w:overflowPunct w:val="0"/>
        <w:autoSpaceDE w:val="0"/>
        <w:autoSpaceDN w:val="0"/>
        <w:adjustRightInd w:val="0"/>
        <w:spacing w:after="0" w:line="240" w:lineRule="auto"/>
        <w:jc w:val="center"/>
        <w:rPr>
          <w:rFonts w:ascii="Arial" w:eastAsiaTheme="minorEastAsia" w:hAnsi="Arial" w:cs="Arial"/>
          <w:color w:val="000000" w:themeColor="text1"/>
          <w:sz w:val="28"/>
          <w:szCs w:val="28"/>
        </w:rPr>
      </w:pPr>
    </w:p>
    <w:p w:rsidR="00491DD2" w:rsidRPr="00491DD2" w:rsidRDefault="00491DD2" w:rsidP="00491DD2">
      <w:pPr>
        <w:widowControl w:val="0"/>
        <w:kinsoku w:val="0"/>
        <w:overflowPunct w:val="0"/>
        <w:autoSpaceDE w:val="0"/>
        <w:autoSpaceDN w:val="0"/>
        <w:adjustRightInd w:val="0"/>
        <w:spacing w:after="0" w:line="240" w:lineRule="auto"/>
        <w:jc w:val="center"/>
        <w:rPr>
          <w:rFonts w:eastAsiaTheme="minorEastAsia" w:cs="Calibri"/>
          <w:color w:val="000000" w:themeColor="text1"/>
          <w:sz w:val="28"/>
          <w:szCs w:val="28"/>
        </w:rPr>
      </w:pPr>
    </w:p>
    <w:p w:rsidR="00491DD2" w:rsidRPr="00491DD2" w:rsidRDefault="00491DD2" w:rsidP="00491DD2">
      <w:pPr>
        <w:widowControl w:val="0"/>
        <w:kinsoku w:val="0"/>
        <w:overflowPunct w:val="0"/>
        <w:autoSpaceDE w:val="0"/>
        <w:autoSpaceDN w:val="0"/>
        <w:adjustRightInd w:val="0"/>
        <w:spacing w:after="0" w:line="480" w:lineRule="auto"/>
        <w:ind w:left="112" w:right="2620" w:firstLine="6"/>
        <w:jc w:val="center"/>
        <w:outlineLvl w:val="0"/>
        <w:rPr>
          <w:rFonts w:eastAsiaTheme="minorEastAsia" w:cs="Calibri"/>
          <w:b/>
          <w:bCs/>
          <w:color w:val="000000" w:themeColor="text1"/>
        </w:rPr>
      </w:pPr>
      <w:proofErr w:type="gramStart"/>
      <w:r>
        <w:rPr>
          <w:rFonts w:eastAsiaTheme="minorEastAsia" w:cs="Calibri"/>
          <w:b/>
          <w:bCs/>
          <w:color w:val="000000" w:themeColor="text1"/>
        </w:rPr>
        <w:t>4</w:t>
      </w:r>
      <w:r w:rsidRPr="00491DD2">
        <w:rPr>
          <w:rFonts w:eastAsiaTheme="minorEastAsia" w:cs="Calibri"/>
          <w:b/>
          <w:bCs/>
          <w:color w:val="000000" w:themeColor="text1"/>
          <w:vertAlign w:val="superscript"/>
        </w:rPr>
        <w:t>th</w:t>
      </w:r>
      <w:proofErr w:type="gramEnd"/>
      <w:r>
        <w:rPr>
          <w:rFonts w:eastAsiaTheme="minorEastAsia" w:cs="Calibri"/>
          <w:b/>
          <w:bCs/>
          <w:color w:val="000000" w:themeColor="text1"/>
        </w:rPr>
        <w:t xml:space="preserve"> Intersessional Meeting on Human Rights and the 2030 Agenda</w:t>
      </w:r>
    </w:p>
    <w:p w:rsidR="00491DD2" w:rsidRPr="00491DD2" w:rsidRDefault="00491DD2" w:rsidP="00491DD2">
      <w:pPr>
        <w:widowControl w:val="0"/>
        <w:kinsoku w:val="0"/>
        <w:overflowPunct w:val="0"/>
        <w:autoSpaceDE w:val="0"/>
        <w:autoSpaceDN w:val="0"/>
        <w:adjustRightInd w:val="0"/>
        <w:spacing w:after="0" w:line="480" w:lineRule="auto"/>
        <w:ind w:left="112" w:right="2620" w:firstLine="6"/>
        <w:jc w:val="center"/>
        <w:outlineLvl w:val="0"/>
        <w:rPr>
          <w:rFonts w:eastAsiaTheme="minorEastAsia" w:cs="Calibri"/>
          <w:b/>
          <w:bCs/>
          <w:color w:val="000000" w:themeColor="text1"/>
        </w:rPr>
      </w:pPr>
      <w:r w:rsidRPr="00491DD2">
        <w:rPr>
          <w:rFonts w:eastAsiaTheme="minorEastAsia" w:cs="Calibri"/>
          <w:b/>
          <w:bCs/>
          <w:color w:val="000000" w:themeColor="text1"/>
        </w:rPr>
        <w:t>18 January 2022</w:t>
      </w:r>
    </w:p>
    <w:p w:rsidR="00491DD2" w:rsidRPr="00491DD2" w:rsidRDefault="00491DD2" w:rsidP="00491DD2">
      <w:pPr>
        <w:widowControl w:val="0"/>
        <w:kinsoku w:val="0"/>
        <w:overflowPunct w:val="0"/>
        <w:autoSpaceDE w:val="0"/>
        <w:autoSpaceDN w:val="0"/>
        <w:adjustRightInd w:val="0"/>
        <w:spacing w:after="0" w:line="480" w:lineRule="auto"/>
        <w:ind w:right="2620"/>
        <w:outlineLvl w:val="0"/>
        <w:rPr>
          <w:rFonts w:eastAsiaTheme="minorEastAsia" w:cs="Calibri"/>
          <w:b/>
          <w:bCs/>
          <w:color w:val="000000" w:themeColor="text1"/>
        </w:rPr>
        <w:sectPr w:rsidR="00491DD2" w:rsidRPr="00491DD2" w:rsidSect="0028718E">
          <w:pgSz w:w="11910" w:h="16840"/>
          <w:pgMar w:top="640" w:right="760" w:bottom="280" w:left="1020" w:header="708" w:footer="708" w:gutter="0"/>
          <w:cols w:num="2" w:space="708" w:equalWidth="0">
            <w:col w:w="1610" w:space="1032"/>
            <w:col w:w="7488"/>
          </w:cols>
          <w:noEndnote/>
        </w:sectPr>
      </w:pPr>
    </w:p>
    <w:p w:rsidR="00491DD2" w:rsidRPr="00491DD2" w:rsidRDefault="00491DD2" w:rsidP="00491DD2">
      <w:pPr>
        <w:widowControl w:val="0"/>
        <w:autoSpaceDE w:val="0"/>
        <w:autoSpaceDN w:val="0"/>
        <w:adjustRightInd w:val="0"/>
        <w:spacing w:after="0" w:line="240" w:lineRule="auto"/>
        <w:rPr>
          <w:rFonts w:ascii="Calibri" w:eastAsiaTheme="minorEastAsia" w:hAnsi="Calibri" w:cs="Calibri"/>
          <w:color w:val="000000" w:themeColor="text1"/>
        </w:rPr>
      </w:pPr>
    </w:p>
    <w:p w:rsidR="00491DD2" w:rsidRPr="00491DD2" w:rsidRDefault="00491DD2" w:rsidP="00491DD2">
      <w:pPr>
        <w:widowControl w:val="0"/>
        <w:autoSpaceDE w:val="0"/>
        <w:autoSpaceDN w:val="0"/>
        <w:adjustRightInd w:val="0"/>
        <w:spacing w:after="0" w:line="240" w:lineRule="auto"/>
        <w:rPr>
          <w:rFonts w:ascii="Calibri" w:eastAsiaTheme="minorEastAsia" w:hAnsi="Calibri" w:cs="Calibri"/>
          <w:color w:val="000000" w:themeColor="text1"/>
        </w:rPr>
      </w:pPr>
    </w:p>
    <w:p w:rsidR="00491DD2" w:rsidRPr="00491DD2" w:rsidRDefault="00491DD2" w:rsidP="00491DD2">
      <w:pPr>
        <w:jc w:val="both"/>
        <w:rPr>
          <w:rFonts w:ascii="Calibri" w:hAnsi="Calibri" w:cs="Calibri"/>
          <w:color w:val="000000" w:themeColor="text1"/>
          <w:sz w:val="24"/>
          <w:szCs w:val="24"/>
        </w:rPr>
      </w:pPr>
      <w:r w:rsidRPr="00491DD2">
        <w:rPr>
          <w:rFonts w:ascii="Calibri" w:hAnsi="Calibri" w:cs="Calibri"/>
          <w:color w:val="000000" w:themeColor="text1"/>
          <w:sz w:val="24"/>
          <w:szCs w:val="24"/>
        </w:rPr>
        <w:t>The Covid</w:t>
      </w:r>
      <w:r w:rsidR="005E4EF5">
        <w:rPr>
          <w:rFonts w:ascii="Calibri" w:hAnsi="Calibri" w:cs="Calibri"/>
          <w:color w:val="000000" w:themeColor="text1"/>
          <w:sz w:val="24"/>
          <w:szCs w:val="24"/>
        </w:rPr>
        <w:t>-</w:t>
      </w:r>
      <w:r w:rsidRPr="00491DD2">
        <w:rPr>
          <w:rFonts w:ascii="Calibri" w:hAnsi="Calibri" w:cs="Calibri"/>
          <w:color w:val="000000" w:themeColor="text1"/>
          <w:sz w:val="24"/>
          <w:szCs w:val="24"/>
        </w:rPr>
        <w:t>19 pandemic has resulted in a serious setback for gender</w:t>
      </w:r>
      <w:r w:rsidR="005E4EF5">
        <w:rPr>
          <w:rFonts w:ascii="Calibri" w:hAnsi="Calibri" w:cs="Calibri"/>
          <w:color w:val="000000" w:themeColor="text1"/>
          <w:sz w:val="24"/>
          <w:szCs w:val="24"/>
        </w:rPr>
        <w:t xml:space="preserve"> equality. Efforts tackling</w:t>
      </w:r>
      <w:r w:rsidRPr="00491DD2">
        <w:rPr>
          <w:rFonts w:ascii="Calibri" w:hAnsi="Calibri" w:cs="Calibri"/>
          <w:color w:val="000000" w:themeColor="text1"/>
          <w:sz w:val="24"/>
          <w:szCs w:val="24"/>
        </w:rPr>
        <w:t xml:space="preserve"> the pandemic and its consequences must be inclusive, gender-transformative and ensure the full, effective, equal and meaningful participation of women and girls in all their diversity. </w:t>
      </w:r>
    </w:p>
    <w:p w:rsidR="00491DD2" w:rsidRPr="00491DD2" w:rsidRDefault="00491DD2" w:rsidP="00491DD2">
      <w:pPr>
        <w:jc w:val="both"/>
        <w:rPr>
          <w:rFonts w:ascii="Calibri" w:hAnsi="Calibri" w:cs="Calibri"/>
          <w:color w:val="000000" w:themeColor="text1"/>
          <w:sz w:val="24"/>
          <w:szCs w:val="24"/>
        </w:rPr>
      </w:pPr>
      <w:r w:rsidRPr="00491DD2">
        <w:rPr>
          <w:rFonts w:ascii="Calibri" w:hAnsi="Calibri" w:cs="Calibri"/>
          <w:color w:val="000000" w:themeColor="text1"/>
          <w:sz w:val="24"/>
          <w:szCs w:val="24"/>
        </w:rPr>
        <w:t>Even before the pandemic, we were not on the right track to reach SDG 5 by 2030. To correct our cour</w:t>
      </w:r>
      <w:r w:rsidR="005E4EF5">
        <w:rPr>
          <w:rFonts w:ascii="Calibri" w:hAnsi="Calibri" w:cs="Calibri"/>
          <w:color w:val="000000" w:themeColor="text1"/>
          <w:sz w:val="24"/>
          <w:szCs w:val="24"/>
        </w:rPr>
        <w:t>se, we need innovative practices on using</w:t>
      </w:r>
      <w:r w:rsidRPr="00491DD2">
        <w:rPr>
          <w:rFonts w:ascii="Calibri" w:hAnsi="Calibri" w:cs="Calibri"/>
          <w:color w:val="000000" w:themeColor="text1"/>
          <w:sz w:val="24"/>
          <w:szCs w:val="24"/>
        </w:rPr>
        <w:t xml:space="preserve"> our resources smarter, with intersectionality at their core. We must address the root causes of gender inequality, such as harmful social norms, gender stereotypes and discriminating structures in society. Men and boys play an integral part in this work. Cooperation and </w:t>
      </w:r>
      <w:proofErr w:type="spellStart"/>
      <w:r w:rsidRPr="00491DD2">
        <w:rPr>
          <w:rFonts w:ascii="Calibri" w:hAnsi="Calibri" w:cs="Calibri"/>
          <w:color w:val="000000" w:themeColor="text1"/>
          <w:sz w:val="24"/>
          <w:szCs w:val="24"/>
        </w:rPr>
        <w:t>multistakeholder</w:t>
      </w:r>
      <w:proofErr w:type="spellEnd"/>
      <w:r w:rsidRPr="00491DD2">
        <w:rPr>
          <w:rFonts w:ascii="Calibri" w:hAnsi="Calibri" w:cs="Calibri"/>
          <w:color w:val="000000" w:themeColor="text1"/>
          <w:sz w:val="24"/>
          <w:szCs w:val="24"/>
        </w:rPr>
        <w:t xml:space="preserve"> partnerships re</w:t>
      </w:r>
      <w:r w:rsidR="005E4EF5">
        <w:rPr>
          <w:rFonts w:ascii="Calibri" w:hAnsi="Calibri" w:cs="Calibri"/>
          <w:color w:val="000000" w:themeColor="text1"/>
          <w:sz w:val="24"/>
          <w:szCs w:val="24"/>
        </w:rPr>
        <w:t>main necessary, including with</w:t>
      </w:r>
      <w:r w:rsidRPr="00491DD2">
        <w:rPr>
          <w:rFonts w:ascii="Calibri" w:hAnsi="Calibri" w:cs="Calibri"/>
          <w:color w:val="000000" w:themeColor="text1"/>
          <w:sz w:val="24"/>
          <w:szCs w:val="24"/>
        </w:rPr>
        <w:t xml:space="preserve"> the private sector.</w:t>
      </w:r>
    </w:p>
    <w:p w:rsidR="00491DD2" w:rsidRPr="00491DD2" w:rsidRDefault="00491DD2" w:rsidP="00491DD2">
      <w:pPr>
        <w:jc w:val="both"/>
        <w:rPr>
          <w:rFonts w:ascii="Calibri" w:hAnsi="Calibri" w:cs="Calibri"/>
          <w:color w:val="000000" w:themeColor="text1"/>
          <w:sz w:val="24"/>
          <w:szCs w:val="24"/>
        </w:rPr>
      </w:pPr>
      <w:r w:rsidRPr="00491DD2">
        <w:rPr>
          <w:rFonts w:ascii="Calibri" w:hAnsi="Calibri" w:cs="Calibri"/>
          <w:color w:val="000000" w:themeColor="text1"/>
          <w:sz w:val="24"/>
          <w:szCs w:val="24"/>
        </w:rPr>
        <w:t xml:space="preserve">Finland is committed to gender equality through specific actions and gender mainstreaming in its foreign </w:t>
      </w:r>
      <w:r w:rsidR="005E4EF5">
        <w:rPr>
          <w:rFonts w:ascii="Calibri" w:hAnsi="Calibri" w:cs="Calibri"/>
          <w:color w:val="000000" w:themeColor="text1"/>
          <w:sz w:val="24"/>
          <w:szCs w:val="24"/>
        </w:rPr>
        <w:t>and security policy promoting</w:t>
      </w:r>
      <w:r w:rsidRPr="00491DD2">
        <w:rPr>
          <w:rFonts w:ascii="Calibri" w:hAnsi="Calibri" w:cs="Calibri"/>
          <w:color w:val="000000" w:themeColor="text1"/>
          <w:sz w:val="24"/>
          <w:szCs w:val="24"/>
        </w:rPr>
        <w:t xml:space="preserve"> a human rights-based approac</w:t>
      </w:r>
      <w:r w:rsidR="005E4EF5">
        <w:rPr>
          <w:rFonts w:ascii="Calibri" w:hAnsi="Calibri" w:cs="Calibri"/>
          <w:color w:val="000000" w:themeColor="text1"/>
          <w:sz w:val="24"/>
          <w:szCs w:val="24"/>
        </w:rPr>
        <w:t>h to gender equality. Finland aims</w:t>
      </w:r>
      <w:r w:rsidRPr="00491DD2">
        <w:rPr>
          <w:rFonts w:ascii="Calibri" w:hAnsi="Calibri" w:cs="Calibri"/>
          <w:color w:val="000000" w:themeColor="text1"/>
          <w:sz w:val="24"/>
          <w:szCs w:val="24"/>
        </w:rPr>
        <w:t xml:space="preserve"> to achieve sustainable development through fulfilling the rights of women and girls, paying special attention to those in vulnerable situations, including persons with disabilities. For example, Finland supports UNFPA and civil society actors to provide sexual and reproductive health services and comprehensive sexuality education.</w:t>
      </w:r>
    </w:p>
    <w:p w:rsidR="00491DD2" w:rsidRPr="00491DD2" w:rsidRDefault="00491DD2" w:rsidP="00491DD2">
      <w:pPr>
        <w:jc w:val="both"/>
        <w:rPr>
          <w:rFonts w:ascii="Calibri" w:hAnsi="Calibri" w:cs="Calibri"/>
          <w:color w:val="000000" w:themeColor="text1"/>
          <w:sz w:val="24"/>
          <w:szCs w:val="24"/>
        </w:rPr>
      </w:pPr>
      <w:r w:rsidRPr="00491DD2">
        <w:rPr>
          <w:rFonts w:ascii="Calibri" w:hAnsi="Calibri" w:cs="Calibri"/>
          <w:color w:val="000000" w:themeColor="text1"/>
          <w:sz w:val="24"/>
          <w:szCs w:val="24"/>
        </w:rPr>
        <w:t>The challenge is severe. Howev</w:t>
      </w:r>
      <w:r w:rsidR="005E4EF5">
        <w:rPr>
          <w:rFonts w:ascii="Calibri" w:hAnsi="Calibri" w:cs="Calibri"/>
          <w:color w:val="000000" w:themeColor="text1"/>
          <w:sz w:val="24"/>
          <w:szCs w:val="24"/>
        </w:rPr>
        <w:t>er, by working together,</w:t>
      </w:r>
      <w:r w:rsidRPr="00491DD2">
        <w:rPr>
          <w:rFonts w:ascii="Calibri" w:hAnsi="Calibri" w:cs="Calibri"/>
          <w:color w:val="000000" w:themeColor="text1"/>
          <w:sz w:val="24"/>
          <w:szCs w:val="24"/>
        </w:rPr>
        <w:t xml:space="preserve"> we can reach a better future for all women and girls, build back better and more gender equal, and leave no one behind. </w:t>
      </w:r>
    </w:p>
    <w:p w:rsidR="00491DD2" w:rsidRPr="00491DD2" w:rsidRDefault="00491DD2" w:rsidP="00491DD2">
      <w:pPr>
        <w:jc w:val="both"/>
        <w:rPr>
          <w:color w:val="000000" w:themeColor="text1"/>
          <w:sz w:val="24"/>
          <w:szCs w:val="24"/>
        </w:rPr>
      </w:pPr>
    </w:p>
    <w:p w:rsidR="00491DD2" w:rsidRPr="00491DD2" w:rsidRDefault="00491DD2" w:rsidP="00491DD2">
      <w:pPr>
        <w:jc w:val="both"/>
        <w:rPr>
          <w:color w:val="000000" w:themeColor="text1"/>
          <w:sz w:val="24"/>
          <w:szCs w:val="24"/>
        </w:rPr>
      </w:pPr>
    </w:p>
    <w:p w:rsidR="00743C08" w:rsidRPr="00491DD2" w:rsidRDefault="00743C08" w:rsidP="00491DD2">
      <w:pPr>
        <w:jc w:val="both"/>
        <w:rPr>
          <w:color w:val="000000" w:themeColor="text1"/>
          <w:sz w:val="24"/>
          <w:szCs w:val="24"/>
        </w:rPr>
      </w:pPr>
    </w:p>
    <w:sectPr w:rsidR="00743C08" w:rsidRPr="00491DD2">
      <w:type w:val="continuous"/>
      <w:pgSz w:w="11910" w:h="16840"/>
      <w:pgMar w:top="640" w:right="760" w:bottom="280" w:left="1020" w:header="708" w:footer="708" w:gutter="0"/>
      <w:cols w:space="708" w:equalWidth="0">
        <w:col w:w="1013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A69F9"/>
    <w:multiLevelType w:val="hybridMultilevel"/>
    <w:tmpl w:val="9C888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D2"/>
    <w:rsid w:val="00491DD2"/>
    <w:rsid w:val="005E4EF5"/>
    <w:rsid w:val="00743C08"/>
    <w:rsid w:val="00911F39"/>
    <w:rsid w:val="0093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7F5A7-01C3-408C-A30B-5F0D38A8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7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Tuominen Suvi</dc:creator>
  <cp:keywords/>
  <dc:description/>
  <cp:lastModifiedBy>Vasamillet Eveliina</cp:lastModifiedBy>
  <cp:revision>2</cp:revision>
  <dcterms:created xsi:type="dcterms:W3CDTF">2022-01-14T14:18:00Z</dcterms:created>
  <dcterms:modified xsi:type="dcterms:W3CDTF">2022-01-14T14:18:00Z</dcterms:modified>
</cp:coreProperties>
</file>