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7595" w14:textId="3009A2BC" w:rsidR="002065ED" w:rsidRPr="007E0A0A" w:rsidRDefault="63BCC357" w:rsidP="03DCB218">
      <w:pPr>
        <w:jc w:val="center"/>
        <w:rPr>
          <w:b/>
          <w:bCs/>
          <w:color w:val="000000" w:themeColor="text1"/>
        </w:rPr>
      </w:pPr>
      <w:r w:rsidRPr="007E0A0A">
        <w:rPr>
          <w:b/>
          <w:bCs/>
          <w:color w:val="000000" w:themeColor="text1"/>
        </w:rPr>
        <w:t xml:space="preserve">Forum on Human Rights, Democracy and the Rule of Law </w:t>
      </w:r>
    </w:p>
    <w:p w14:paraId="5E5787A5" w14:textId="497AF24D" w:rsidR="002065ED" w:rsidRPr="007E0A0A" w:rsidRDefault="63BCC357" w:rsidP="03DCB218">
      <w:pPr>
        <w:jc w:val="center"/>
        <w:rPr>
          <w:b/>
          <w:bCs/>
          <w:color w:val="000000" w:themeColor="text1"/>
        </w:rPr>
      </w:pPr>
      <w:r w:rsidRPr="007E0A0A">
        <w:rPr>
          <w:b/>
          <w:bCs/>
          <w:color w:val="000000" w:themeColor="text1"/>
        </w:rPr>
        <w:t>Third session</w:t>
      </w:r>
    </w:p>
    <w:p w14:paraId="5E935D65" w14:textId="53C9164E" w:rsidR="63BCC357" w:rsidRPr="007E0A0A" w:rsidRDefault="63BCC357" w:rsidP="03DCB218">
      <w:pPr>
        <w:jc w:val="center"/>
        <w:rPr>
          <w:rFonts w:ascii="Calibri" w:eastAsia="Calibri" w:hAnsi="Calibri" w:cs="Calibri"/>
          <w:b/>
          <w:bCs/>
          <w:color w:val="000000" w:themeColor="text1"/>
        </w:rPr>
      </w:pPr>
      <w:r w:rsidRPr="007E0A0A">
        <w:rPr>
          <w:rFonts w:ascii="Calibri" w:eastAsia="Calibri" w:hAnsi="Calibri" w:cs="Calibri"/>
          <w:b/>
          <w:bCs/>
          <w:color w:val="000000" w:themeColor="text1"/>
        </w:rPr>
        <w:t>Making justice truly accessible to all</w:t>
      </w:r>
    </w:p>
    <w:p w14:paraId="2B1BCC2F" w14:textId="6DB6F775" w:rsidR="03DCB218" w:rsidRDefault="007E0A0A" w:rsidP="007E0A0A">
      <w:pPr>
        <w:jc w:val="center"/>
        <w:rPr>
          <w:rFonts w:ascii="Calibri" w:eastAsia="Calibri" w:hAnsi="Calibri" w:cs="Calibri"/>
          <w:color w:val="000000" w:themeColor="text1"/>
        </w:rPr>
      </w:pPr>
      <w:r>
        <w:rPr>
          <w:rFonts w:ascii="Calibri" w:eastAsia="Calibri" w:hAnsi="Calibri" w:cs="Calibri"/>
          <w:color w:val="000000" w:themeColor="text1"/>
        </w:rPr>
        <w:t>Statement by the International Lesbian and Gay Association</w:t>
      </w:r>
    </w:p>
    <w:p w14:paraId="1F4027C3" w14:textId="77777777" w:rsidR="007E0A0A" w:rsidRPr="007E0A0A" w:rsidRDefault="007E0A0A" w:rsidP="007E0A0A">
      <w:pPr>
        <w:jc w:val="center"/>
        <w:rPr>
          <w:rFonts w:ascii="Calibri" w:eastAsia="Calibri" w:hAnsi="Calibri" w:cs="Calibri"/>
          <w:color w:val="000000" w:themeColor="text1"/>
        </w:rPr>
      </w:pPr>
    </w:p>
    <w:p w14:paraId="52C304E3" w14:textId="062D0516" w:rsidR="51282F86" w:rsidRPr="007E0A0A" w:rsidRDefault="51282F86" w:rsidP="03DCB218">
      <w:pPr>
        <w:rPr>
          <w:rFonts w:ascii="Calibri" w:eastAsia="Calibri" w:hAnsi="Calibri" w:cs="Calibri"/>
          <w:color w:val="000000" w:themeColor="text1"/>
        </w:rPr>
      </w:pPr>
      <w:r w:rsidRPr="007E0A0A">
        <w:rPr>
          <w:rFonts w:ascii="Calibri" w:eastAsia="Calibri" w:hAnsi="Calibri" w:cs="Calibri"/>
          <w:color w:val="000000" w:themeColor="text1"/>
        </w:rPr>
        <w:t>Thank you Chair for giving me the floor,</w:t>
      </w:r>
    </w:p>
    <w:p w14:paraId="58C0E098" w14:textId="7DE3E821" w:rsidR="51282F86" w:rsidRPr="007E0A0A" w:rsidRDefault="51282F86" w:rsidP="4CC7DBB2">
      <w:pPr>
        <w:rPr>
          <w:rFonts w:ascii="Calibri" w:eastAsia="Calibri" w:hAnsi="Calibri" w:cs="Calibri"/>
          <w:color w:val="000000" w:themeColor="text1"/>
        </w:rPr>
      </w:pPr>
      <w:r w:rsidRPr="007E0A0A">
        <w:rPr>
          <w:rFonts w:ascii="Calibri" w:eastAsia="Calibri" w:hAnsi="Calibri" w:cs="Calibri"/>
          <w:color w:val="000000" w:themeColor="text1"/>
        </w:rPr>
        <w:t xml:space="preserve">We welcome the thematic of this debate that sheds light into </w:t>
      </w:r>
      <w:r w:rsidR="5B996DAE" w:rsidRPr="007E0A0A">
        <w:rPr>
          <w:rFonts w:ascii="Calibri" w:eastAsia="Calibri" w:hAnsi="Calibri" w:cs="Calibri"/>
          <w:color w:val="000000" w:themeColor="text1"/>
        </w:rPr>
        <w:t>ways in which intersecting forms of discrimination affect the enjoyment of the right to access to justice</w:t>
      </w:r>
      <w:r w:rsidR="70BE17A2" w:rsidRPr="007E0A0A">
        <w:rPr>
          <w:rFonts w:ascii="Calibri" w:eastAsia="Calibri" w:hAnsi="Calibri" w:cs="Calibri"/>
          <w:color w:val="000000" w:themeColor="text1"/>
        </w:rPr>
        <w:t xml:space="preserve">. </w:t>
      </w:r>
    </w:p>
    <w:p w14:paraId="0C6C4B5D" w14:textId="73C0EF41" w:rsidR="70BE17A2" w:rsidRPr="007E0A0A" w:rsidRDefault="70BE17A2" w:rsidP="4CC7DBB2">
      <w:pPr>
        <w:rPr>
          <w:rFonts w:ascii="Calibri" w:eastAsia="Calibri" w:hAnsi="Calibri" w:cs="Calibri"/>
          <w:color w:val="000000" w:themeColor="text1"/>
        </w:rPr>
      </w:pPr>
      <w:r w:rsidRPr="007E0A0A">
        <w:rPr>
          <w:rFonts w:ascii="Calibri" w:eastAsia="Calibri" w:hAnsi="Calibri" w:cs="Calibri"/>
          <w:color w:val="000000" w:themeColor="text1"/>
        </w:rPr>
        <w:t xml:space="preserve">We would like to call the attention </w:t>
      </w:r>
      <w:r w:rsidR="6F83AEB7" w:rsidRPr="007E0A0A">
        <w:rPr>
          <w:rFonts w:ascii="Calibri" w:eastAsia="Calibri" w:hAnsi="Calibri" w:cs="Calibri"/>
          <w:color w:val="000000" w:themeColor="text1"/>
        </w:rPr>
        <w:t>to</w:t>
      </w:r>
      <w:r w:rsidRPr="007E0A0A">
        <w:rPr>
          <w:rFonts w:ascii="Calibri" w:eastAsia="Calibri" w:hAnsi="Calibri" w:cs="Calibri"/>
          <w:color w:val="000000" w:themeColor="text1"/>
        </w:rPr>
        <w:t xml:space="preserve"> the lack to access to justice by lesbian, gay, bisexual, trans and intersex persons around the world.</w:t>
      </w:r>
    </w:p>
    <w:p w14:paraId="11FF55AF" w14:textId="387F87BE" w:rsidR="3A20B1C6" w:rsidRPr="007E0A0A" w:rsidRDefault="3A20B1C6" w:rsidP="4CC7DBB2">
      <w:pPr>
        <w:jc w:val="both"/>
        <w:rPr>
          <w:rFonts w:ascii="Calibri" w:eastAsia="Calibri" w:hAnsi="Calibri" w:cs="Calibri"/>
          <w:color w:val="000000" w:themeColor="text1"/>
        </w:rPr>
      </w:pPr>
      <w:r w:rsidRPr="007E0A0A">
        <w:rPr>
          <w:rFonts w:ascii="Calibri" w:eastAsia="Calibri" w:hAnsi="Calibri" w:cs="Calibri"/>
          <w:color w:val="000000" w:themeColor="text1"/>
        </w:rPr>
        <w:t xml:space="preserve">In 69 UN member-states, consensual same-sex </w:t>
      </w:r>
      <w:r w:rsidR="4EC6BD14" w:rsidRPr="007E0A0A">
        <w:rPr>
          <w:rFonts w:ascii="Calibri" w:eastAsia="Calibri" w:hAnsi="Calibri" w:cs="Calibri"/>
          <w:color w:val="000000" w:themeColor="text1"/>
        </w:rPr>
        <w:t xml:space="preserve">sexual </w:t>
      </w:r>
      <w:r w:rsidRPr="007E0A0A">
        <w:rPr>
          <w:rFonts w:ascii="Calibri" w:eastAsia="Calibri" w:hAnsi="Calibri" w:cs="Calibri"/>
          <w:color w:val="000000" w:themeColor="text1"/>
        </w:rPr>
        <w:t>acts are still criminalized</w:t>
      </w:r>
      <w:r w:rsidR="282D3B80" w:rsidRPr="007E0A0A">
        <w:rPr>
          <w:rFonts w:ascii="Calibri" w:eastAsia="Calibri" w:hAnsi="Calibri" w:cs="Calibri"/>
          <w:color w:val="000000" w:themeColor="text1"/>
        </w:rPr>
        <w:t xml:space="preserve"> while several others criminalize diverse gender </w:t>
      </w:r>
      <w:r w:rsidR="7B86E548" w:rsidRPr="007E0A0A">
        <w:rPr>
          <w:rFonts w:ascii="Calibri" w:eastAsia="Calibri" w:hAnsi="Calibri" w:cs="Calibri"/>
          <w:color w:val="000000" w:themeColor="text1"/>
        </w:rPr>
        <w:t xml:space="preserve">identities and </w:t>
      </w:r>
      <w:r w:rsidR="282D3B80" w:rsidRPr="007E0A0A">
        <w:rPr>
          <w:rFonts w:ascii="Calibri" w:eastAsia="Calibri" w:hAnsi="Calibri" w:cs="Calibri"/>
          <w:color w:val="000000" w:themeColor="text1"/>
        </w:rPr>
        <w:t>expressions.</w:t>
      </w:r>
      <w:r w:rsidRPr="007E0A0A">
        <w:rPr>
          <w:rFonts w:ascii="Calibri" w:eastAsia="Calibri" w:hAnsi="Calibri" w:cs="Calibri"/>
          <w:color w:val="000000" w:themeColor="text1"/>
        </w:rPr>
        <w:t xml:space="preserve"> This means that in these jurisdictions, the justice system that was supposed to protect </w:t>
      </w:r>
      <w:r w:rsidR="12843B35" w:rsidRPr="007E0A0A">
        <w:rPr>
          <w:rFonts w:ascii="Calibri" w:eastAsia="Calibri" w:hAnsi="Calibri" w:cs="Calibri"/>
          <w:color w:val="000000" w:themeColor="text1"/>
        </w:rPr>
        <w:t xml:space="preserve">LGBTI </w:t>
      </w:r>
      <w:r w:rsidRPr="007E0A0A">
        <w:rPr>
          <w:rFonts w:ascii="Calibri" w:eastAsia="Calibri" w:hAnsi="Calibri" w:cs="Calibri"/>
          <w:color w:val="000000" w:themeColor="text1"/>
        </w:rPr>
        <w:t xml:space="preserve">persons </w:t>
      </w:r>
      <w:r w:rsidR="343E4D84" w:rsidRPr="007E0A0A">
        <w:rPr>
          <w:rFonts w:ascii="Calibri" w:eastAsia="Calibri" w:hAnsi="Calibri" w:cs="Calibri"/>
          <w:color w:val="000000" w:themeColor="text1"/>
        </w:rPr>
        <w:t>can actually – and legally – be used to persecute them. Even in jurisdictions where these provisions are not enforced, their existence prevent</w:t>
      </w:r>
      <w:r w:rsidR="0B2FFF63" w:rsidRPr="007E0A0A">
        <w:rPr>
          <w:rFonts w:ascii="Calibri" w:eastAsia="Calibri" w:hAnsi="Calibri" w:cs="Calibri"/>
          <w:color w:val="000000" w:themeColor="text1"/>
        </w:rPr>
        <w:t>s</w:t>
      </w:r>
      <w:r w:rsidR="343E4D84" w:rsidRPr="007E0A0A">
        <w:rPr>
          <w:rFonts w:ascii="Calibri" w:eastAsia="Calibri" w:hAnsi="Calibri" w:cs="Calibri"/>
          <w:color w:val="000000" w:themeColor="text1"/>
        </w:rPr>
        <w:t xml:space="preserve"> our communities </w:t>
      </w:r>
      <w:r w:rsidR="6421A4D3" w:rsidRPr="007E0A0A">
        <w:rPr>
          <w:rFonts w:ascii="Calibri" w:eastAsia="Calibri" w:hAnsi="Calibri" w:cs="Calibri"/>
          <w:color w:val="000000" w:themeColor="text1"/>
        </w:rPr>
        <w:t>from</w:t>
      </w:r>
      <w:r w:rsidR="343E4D84" w:rsidRPr="007E0A0A">
        <w:rPr>
          <w:rFonts w:ascii="Calibri" w:eastAsia="Calibri" w:hAnsi="Calibri" w:cs="Calibri"/>
          <w:color w:val="000000" w:themeColor="text1"/>
        </w:rPr>
        <w:t xml:space="preserve"> </w:t>
      </w:r>
      <w:r w:rsidR="5A513D69" w:rsidRPr="007E0A0A">
        <w:rPr>
          <w:rFonts w:ascii="Calibri" w:eastAsia="Calibri" w:hAnsi="Calibri" w:cs="Calibri"/>
          <w:color w:val="000000" w:themeColor="text1"/>
        </w:rPr>
        <w:t xml:space="preserve">seek justice and </w:t>
      </w:r>
      <w:r w:rsidR="2E192FAD" w:rsidRPr="007E0A0A">
        <w:rPr>
          <w:rFonts w:ascii="Calibri" w:eastAsia="Calibri" w:hAnsi="Calibri" w:cs="Calibri"/>
          <w:color w:val="000000" w:themeColor="text1"/>
        </w:rPr>
        <w:t xml:space="preserve">subject them to </w:t>
      </w:r>
      <w:r w:rsidR="0568A21F" w:rsidRPr="007E0A0A">
        <w:rPr>
          <w:rFonts w:ascii="Calibri" w:eastAsia="Calibri" w:hAnsi="Calibri" w:cs="Calibri"/>
          <w:color w:val="000000" w:themeColor="text1"/>
        </w:rPr>
        <w:t>stigma</w:t>
      </w:r>
      <w:r w:rsidR="5A513D69" w:rsidRPr="007E0A0A">
        <w:rPr>
          <w:rFonts w:ascii="Calibri" w:eastAsia="Calibri" w:hAnsi="Calibri" w:cs="Calibri"/>
          <w:color w:val="000000" w:themeColor="text1"/>
        </w:rPr>
        <w:t>, violence and discrimination.</w:t>
      </w:r>
    </w:p>
    <w:p w14:paraId="111AC366" w14:textId="592E4313" w:rsidR="077FAE19" w:rsidRPr="007E0A0A" w:rsidRDefault="077FAE19" w:rsidP="03DCB218">
      <w:pPr>
        <w:jc w:val="both"/>
        <w:rPr>
          <w:rFonts w:ascii="Calibri" w:eastAsia="Calibri" w:hAnsi="Calibri" w:cs="Calibri"/>
          <w:color w:val="000000" w:themeColor="text1"/>
        </w:rPr>
      </w:pPr>
      <w:r w:rsidRPr="007E0A0A">
        <w:rPr>
          <w:rFonts w:ascii="Calibri" w:eastAsia="Calibri" w:hAnsi="Calibri" w:cs="Calibri"/>
          <w:color w:val="000000" w:themeColor="text1"/>
        </w:rPr>
        <w:t xml:space="preserve">Even where LGBTI persons are not criminalized, the lack of legislation protecting </w:t>
      </w:r>
      <w:r w:rsidR="798B41A6" w:rsidRPr="007E0A0A">
        <w:rPr>
          <w:rFonts w:ascii="Calibri" w:eastAsia="Calibri" w:hAnsi="Calibri" w:cs="Calibri"/>
          <w:color w:val="000000" w:themeColor="text1"/>
        </w:rPr>
        <w:t>them</w:t>
      </w:r>
      <w:r w:rsidRPr="007E0A0A">
        <w:rPr>
          <w:rFonts w:ascii="Calibri" w:eastAsia="Calibri" w:hAnsi="Calibri" w:cs="Calibri"/>
          <w:color w:val="000000" w:themeColor="text1"/>
        </w:rPr>
        <w:t xml:space="preserve"> from discrimination and hate crimes, </w:t>
      </w:r>
      <w:r w:rsidR="5A89260B" w:rsidRPr="007E0A0A">
        <w:rPr>
          <w:rFonts w:ascii="Calibri" w:eastAsia="Calibri" w:hAnsi="Calibri" w:cs="Calibri"/>
          <w:color w:val="000000" w:themeColor="text1"/>
        </w:rPr>
        <w:t>the lack of recognition of trans persons</w:t>
      </w:r>
      <w:r w:rsidR="13D238AA" w:rsidRPr="007E0A0A">
        <w:rPr>
          <w:rFonts w:ascii="Calibri" w:eastAsia="Calibri" w:hAnsi="Calibri" w:cs="Calibri"/>
          <w:color w:val="000000" w:themeColor="text1"/>
        </w:rPr>
        <w:t>’</w:t>
      </w:r>
      <w:r w:rsidR="5A89260B" w:rsidRPr="007E0A0A">
        <w:rPr>
          <w:rFonts w:ascii="Calibri" w:eastAsia="Calibri" w:hAnsi="Calibri" w:cs="Calibri"/>
          <w:color w:val="000000" w:themeColor="text1"/>
        </w:rPr>
        <w:t xml:space="preserve"> identities, the lack of awareness of law enforcement and justice system</w:t>
      </w:r>
      <w:r w:rsidR="2CE79FB7" w:rsidRPr="007E0A0A">
        <w:rPr>
          <w:rFonts w:ascii="Calibri" w:eastAsia="Calibri" w:hAnsi="Calibri" w:cs="Calibri"/>
          <w:color w:val="000000" w:themeColor="text1"/>
        </w:rPr>
        <w:t>’s</w:t>
      </w:r>
      <w:r w:rsidR="5A89260B" w:rsidRPr="007E0A0A">
        <w:rPr>
          <w:rFonts w:ascii="Calibri" w:eastAsia="Calibri" w:hAnsi="Calibri" w:cs="Calibri"/>
          <w:color w:val="000000" w:themeColor="text1"/>
        </w:rPr>
        <w:t xml:space="preserve"> officials on SOGI</w:t>
      </w:r>
      <w:r w:rsidR="74031563" w:rsidRPr="007E0A0A">
        <w:rPr>
          <w:rFonts w:ascii="Calibri" w:eastAsia="Calibri" w:hAnsi="Calibri" w:cs="Calibri"/>
          <w:color w:val="000000" w:themeColor="text1"/>
        </w:rPr>
        <w:t>ESC</w:t>
      </w:r>
      <w:r w:rsidR="5A89260B" w:rsidRPr="007E0A0A">
        <w:rPr>
          <w:rFonts w:ascii="Calibri" w:eastAsia="Calibri" w:hAnsi="Calibri" w:cs="Calibri"/>
          <w:color w:val="000000" w:themeColor="text1"/>
        </w:rPr>
        <w:t xml:space="preserve"> issues make a s</w:t>
      </w:r>
      <w:r w:rsidR="33F93462" w:rsidRPr="007E0A0A">
        <w:rPr>
          <w:rFonts w:ascii="Calibri" w:eastAsia="Calibri" w:hAnsi="Calibri" w:cs="Calibri"/>
          <w:color w:val="000000" w:themeColor="text1"/>
        </w:rPr>
        <w:t xml:space="preserve">trong barrier for LGBTI persons to </w:t>
      </w:r>
      <w:r w:rsidR="343E4D84" w:rsidRPr="007E0A0A">
        <w:rPr>
          <w:rFonts w:ascii="Calibri" w:eastAsia="Calibri" w:hAnsi="Calibri" w:cs="Calibri"/>
          <w:color w:val="000000" w:themeColor="text1"/>
        </w:rPr>
        <w:t>report human rights violations and seek account</w:t>
      </w:r>
      <w:r w:rsidR="42E035BE" w:rsidRPr="007E0A0A">
        <w:rPr>
          <w:rFonts w:ascii="Calibri" w:eastAsia="Calibri" w:hAnsi="Calibri" w:cs="Calibri"/>
          <w:color w:val="000000" w:themeColor="text1"/>
        </w:rPr>
        <w:t>ability.</w:t>
      </w:r>
    </w:p>
    <w:p w14:paraId="2CF5AF3B" w14:textId="09FF5D53" w:rsidR="4B24CB9A" w:rsidRPr="007E0A0A" w:rsidRDefault="4B24CB9A" w:rsidP="03DCB218">
      <w:pPr>
        <w:jc w:val="both"/>
        <w:rPr>
          <w:rFonts w:ascii="Calibri" w:eastAsia="Calibri" w:hAnsi="Calibri" w:cs="Calibri"/>
          <w:color w:val="000000" w:themeColor="text1"/>
        </w:rPr>
      </w:pPr>
      <w:r w:rsidRPr="007E0A0A">
        <w:rPr>
          <w:rFonts w:ascii="Calibri" w:eastAsia="Calibri" w:hAnsi="Calibri" w:cs="Calibri"/>
          <w:color w:val="000000" w:themeColor="text1"/>
        </w:rPr>
        <w:t xml:space="preserve">Discrimination based on </w:t>
      </w:r>
      <w:r w:rsidR="1A665DAB" w:rsidRPr="007E0A0A">
        <w:rPr>
          <w:rFonts w:ascii="Calibri" w:eastAsia="Calibri" w:hAnsi="Calibri" w:cs="Calibri"/>
          <w:color w:val="000000" w:themeColor="text1"/>
        </w:rPr>
        <w:t>sexual orientation, gender identity, gender expression and sex characteristics (</w:t>
      </w:r>
      <w:r w:rsidRPr="007E0A0A">
        <w:rPr>
          <w:rFonts w:ascii="Calibri" w:eastAsia="Calibri" w:hAnsi="Calibri" w:cs="Calibri"/>
          <w:color w:val="000000" w:themeColor="text1"/>
        </w:rPr>
        <w:t>SOGIESC</w:t>
      </w:r>
      <w:r w:rsidR="58DDB43F" w:rsidRPr="007E0A0A">
        <w:rPr>
          <w:rFonts w:ascii="Calibri" w:eastAsia="Calibri" w:hAnsi="Calibri" w:cs="Calibri"/>
          <w:color w:val="000000" w:themeColor="text1"/>
        </w:rPr>
        <w:t>)</w:t>
      </w:r>
      <w:r w:rsidRPr="007E0A0A">
        <w:rPr>
          <w:rFonts w:ascii="Calibri" w:eastAsia="Calibri" w:hAnsi="Calibri" w:cs="Calibri"/>
          <w:color w:val="000000" w:themeColor="text1"/>
        </w:rPr>
        <w:t xml:space="preserve"> is frequently intersectional, deepening </w:t>
      </w:r>
      <w:r w:rsidR="5CE93EA2" w:rsidRPr="007E0A0A">
        <w:rPr>
          <w:rFonts w:ascii="Calibri" w:eastAsia="Calibri" w:hAnsi="Calibri" w:cs="Calibri"/>
          <w:color w:val="000000" w:themeColor="text1"/>
        </w:rPr>
        <w:t xml:space="preserve">on </w:t>
      </w:r>
      <w:r w:rsidRPr="007E0A0A">
        <w:rPr>
          <w:rFonts w:ascii="Calibri" w:eastAsia="Calibri" w:hAnsi="Calibri" w:cs="Calibri"/>
          <w:color w:val="000000" w:themeColor="text1"/>
        </w:rPr>
        <w:t xml:space="preserve">the obstacles to accessing justice. </w:t>
      </w:r>
      <w:r w:rsidR="7B47824C" w:rsidRPr="007E0A0A">
        <w:rPr>
          <w:rFonts w:ascii="Calibri" w:eastAsia="Calibri" w:hAnsi="Calibri" w:cs="Calibri"/>
          <w:color w:val="000000" w:themeColor="text1"/>
        </w:rPr>
        <w:t xml:space="preserve">As stated by the CEDAW </w:t>
      </w:r>
      <w:r w:rsidR="02C494D7" w:rsidRPr="007E0A0A">
        <w:rPr>
          <w:rFonts w:ascii="Calibri" w:eastAsia="Calibri" w:hAnsi="Calibri" w:cs="Calibri"/>
          <w:color w:val="000000" w:themeColor="text1"/>
        </w:rPr>
        <w:t>in</w:t>
      </w:r>
      <w:r w:rsidR="7B47824C" w:rsidRPr="007E0A0A">
        <w:rPr>
          <w:rFonts w:ascii="Calibri" w:eastAsia="Calibri" w:hAnsi="Calibri" w:cs="Calibri"/>
          <w:color w:val="000000" w:themeColor="text1"/>
        </w:rPr>
        <w:t xml:space="preserve"> its General Recommendation no. 33, </w:t>
      </w:r>
      <w:r w:rsidR="1A9FD350" w:rsidRPr="007E0A0A">
        <w:rPr>
          <w:rFonts w:ascii="Calibri" w:eastAsia="Calibri" w:hAnsi="Calibri" w:cs="Calibri"/>
          <w:color w:val="000000" w:themeColor="text1"/>
        </w:rPr>
        <w:t>LBTI women</w:t>
      </w:r>
      <w:r w:rsidR="7B47824C" w:rsidRPr="007E0A0A">
        <w:rPr>
          <w:rFonts w:ascii="Calibri" w:eastAsia="Calibri" w:hAnsi="Calibri" w:cs="Calibri"/>
          <w:color w:val="000000" w:themeColor="text1"/>
        </w:rPr>
        <w:t xml:space="preserve"> often do not report violations of their rights to the authorities for fear that they will be humiliated, stigmatized, arrested, deported, tortured or have other forms of violence inflicted upon them, including by law enforcement officials. </w:t>
      </w:r>
      <w:r w:rsidR="01AE18B1" w:rsidRPr="007E0A0A">
        <w:rPr>
          <w:rFonts w:ascii="Calibri" w:eastAsia="Calibri" w:hAnsi="Calibri" w:cs="Calibri"/>
          <w:color w:val="000000" w:themeColor="text1"/>
        </w:rPr>
        <w:t>Furthermore</w:t>
      </w:r>
      <w:r w:rsidR="7B47824C" w:rsidRPr="007E0A0A">
        <w:rPr>
          <w:rFonts w:ascii="Calibri" w:eastAsia="Calibri" w:hAnsi="Calibri" w:cs="Calibri"/>
          <w:color w:val="000000" w:themeColor="text1"/>
        </w:rPr>
        <w:t>, when women from those groups lodge complaints, the authorities frequently fail to act with due diligence to investigate, prosecute and punish perpetrators and/or provide remedies</w:t>
      </w:r>
      <w:r w:rsidRPr="007E0A0A">
        <w:rPr>
          <w:rStyle w:val="FootnoteReference"/>
          <w:rFonts w:ascii="Calibri" w:eastAsia="Calibri" w:hAnsi="Calibri" w:cs="Calibri"/>
          <w:color w:val="000000" w:themeColor="text1"/>
        </w:rPr>
        <w:footnoteReference w:id="1"/>
      </w:r>
      <w:r w:rsidR="7B47824C" w:rsidRPr="007E0A0A">
        <w:rPr>
          <w:rFonts w:ascii="Calibri" w:eastAsia="Calibri" w:hAnsi="Calibri" w:cs="Calibri"/>
          <w:color w:val="000000" w:themeColor="text1"/>
        </w:rPr>
        <w:t>.</w:t>
      </w:r>
    </w:p>
    <w:p w14:paraId="40FC623A" w14:textId="0038C340" w:rsidR="2928ECFD" w:rsidRPr="007E0A0A" w:rsidRDefault="2928ECFD" w:rsidP="03DCB218">
      <w:pPr>
        <w:jc w:val="both"/>
        <w:rPr>
          <w:rFonts w:ascii="Calibri" w:eastAsia="Calibri" w:hAnsi="Calibri" w:cs="Calibri"/>
          <w:color w:val="000000" w:themeColor="text1"/>
        </w:rPr>
      </w:pPr>
      <w:r w:rsidRPr="007E0A0A">
        <w:rPr>
          <w:rFonts w:ascii="Calibri" w:eastAsia="Calibri" w:hAnsi="Calibri" w:cs="Calibri"/>
          <w:color w:val="000000" w:themeColor="text1"/>
        </w:rPr>
        <w:t>It is highly important that not only the original perpetrators of violence and discrimination are held accountable for their acts, but also public officials from the justice system that do not act</w:t>
      </w:r>
      <w:r w:rsidR="087B5F96" w:rsidRPr="007E0A0A">
        <w:rPr>
          <w:rFonts w:ascii="Calibri" w:eastAsia="Calibri" w:hAnsi="Calibri" w:cs="Calibri"/>
          <w:color w:val="000000" w:themeColor="text1"/>
        </w:rPr>
        <w:t xml:space="preserve"> duly on discriminatory grounds. As concluded by the Inter-American Court of Human Rights in a case regarding </w:t>
      </w:r>
      <w:r w:rsidR="7AF3B257" w:rsidRPr="007E0A0A">
        <w:rPr>
          <w:rFonts w:ascii="Calibri" w:eastAsia="Calibri" w:hAnsi="Calibri" w:cs="Calibri"/>
          <w:color w:val="000000" w:themeColor="text1"/>
        </w:rPr>
        <w:t xml:space="preserve">violence </w:t>
      </w:r>
      <w:r w:rsidR="0E24110A" w:rsidRPr="007E0A0A">
        <w:rPr>
          <w:rFonts w:ascii="Calibri" w:eastAsia="Calibri" w:hAnsi="Calibri" w:cs="Calibri"/>
          <w:color w:val="000000" w:themeColor="text1"/>
        </w:rPr>
        <w:t>against</w:t>
      </w:r>
      <w:r w:rsidR="7AF3B257" w:rsidRPr="007E0A0A">
        <w:rPr>
          <w:rFonts w:ascii="Calibri" w:eastAsia="Calibri" w:hAnsi="Calibri" w:cs="Calibri"/>
          <w:color w:val="000000" w:themeColor="text1"/>
        </w:rPr>
        <w:t xml:space="preserve"> a</w:t>
      </w:r>
      <w:r w:rsidR="3B8B54B2" w:rsidRPr="007E0A0A">
        <w:rPr>
          <w:rFonts w:ascii="Calibri" w:eastAsia="Calibri" w:hAnsi="Calibri" w:cs="Calibri"/>
          <w:color w:val="000000" w:themeColor="text1"/>
        </w:rPr>
        <w:t>n</w:t>
      </w:r>
      <w:r w:rsidR="7AF3B257" w:rsidRPr="007E0A0A">
        <w:rPr>
          <w:rFonts w:ascii="Calibri" w:eastAsia="Calibri" w:hAnsi="Calibri" w:cs="Calibri"/>
          <w:color w:val="000000" w:themeColor="text1"/>
        </w:rPr>
        <w:t xml:space="preserve"> LGBTI person</w:t>
      </w:r>
      <w:r w:rsidR="3707BF34" w:rsidRPr="007E0A0A">
        <w:rPr>
          <w:rFonts w:ascii="Calibri" w:eastAsia="Calibri" w:hAnsi="Calibri" w:cs="Calibri"/>
          <w:color w:val="000000" w:themeColor="text1"/>
        </w:rPr>
        <w:t>,</w:t>
      </w:r>
      <w:r w:rsidR="7AF3B257" w:rsidRPr="007E0A0A">
        <w:rPr>
          <w:rFonts w:ascii="Calibri" w:eastAsia="Calibri" w:hAnsi="Calibri" w:cs="Calibri"/>
          <w:color w:val="000000" w:themeColor="text1"/>
        </w:rPr>
        <w:t xml:space="preserve"> the lack of investigation on discriminatory grounds constitute</w:t>
      </w:r>
      <w:r w:rsidR="081E5AE7" w:rsidRPr="007E0A0A">
        <w:rPr>
          <w:rFonts w:ascii="Calibri" w:eastAsia="Calibri" w:hAnsi="Calibri" w:cs="Calibri"/>
          <w:color w:val="000000" w:themeColor="text1"/>
        </w:rPr>
        <w:t>s</w:t>
      </w:r>
      <w:r w:rsidR="7AF3B257" w:rsidRPr="007E0A0A">
        <w:rPr>
          <w:rFonts w:ascii="Calibri" w:eastAsia="Calibri" w:hAnsi="Calibri" w:cs="Calibri"/>
          <w:color w:val="000000" w:themeColor="text1"/>
        </w:rPr>
        <w:t xml:space="preserve"> a discriminatory act in itself</w:t>
      </w:r>
      <w:r w:rsidRPr="007E0A0A">
        <w:rPr>
          <w:rStyle w:val="FootnoteReference"/>
          <w:rFonts w:ascii="Calibri" w:eastAsia="Calibri" w:hAnsi="Calibri" w:cs="Calibri"/>
          <w:color w:val="000000" w:themeColor="text1"/>
        </w:rPr>
        <w:footnoteReference w:id="2"/>
      </w:r>
      <w:r w:rsidR="7AF3B257" w:rsidRPr="007E0A0A">
        <w:rPr>
          <w:rFonts w:ascii="Calibri" w:eastAsia="Calibri" w:hAnsi="Calibri" w:cs="Calibri"/>
          <w:color w:val="000000" w:themeColor="text1"/>
        </w:rPr>
        <w:t>.</w:t>
      </w:r>
    </w:p>
    <w:p w14:paraId="775D09E7" w14:textId="3C4CA876" w:rsidR="190F5FB5" w:rsidRPr="007E0A0A" w:rsidRDefault="190F5FB5" w:rsidP="4CC7DBB2">
      <w:pPr>
        <w:jc w:val="both"/>
        <w:rPr>
          <w:rFonts w:ascii="Calibri" w:eastAsia="Calibri" w:hAnsi="Calibri" w:cs="Calibri"/>
          <w:color w:val="000000" w:themeColor="text1"/>
        </w:rPr>
      </w:pPr>
      <w:r w:rsidRPr="007E0A0A">
        <w:rPr>
          <w:rFonts w:ascii="Calibri" w:eastAsia="Calibri" w:hAnsi="Calibri" w:cs="Calibri"/>
          <w:color w:val="000000" w:themeColor="text1"/>
        </w:rPr>
        <w:t xml:space="preserve">In the case of intersex persons, the </w:t>
      </w:r>
      <w:r w:rsidR="5A6914FF" w:rsidRPr="007E0A0A">
        <w:rPr>
          <w:rFonts w:ascii="Calibri" w:eastAsia="Calibri" w:hAnsi="Calibri" w:cs="Calibri"/>
          <w:color w:val="000000" w:themeColor="text1"/>
        </w:rPr>
        <w:t>violation of their right to know the truth about their medical histories,</w:t>
      </w:r>
      <w:r w:rsidR="2CF4F3F6" w:rsidRPr="007E0A0A">
        <w:rPr>
          <w:rFonts w:ascii="Calibri" w:eastAsia="Calibri" w:hAnsi="Calibri" w:cs="Calibri"/>
          <w:color w:val="000000" w:themeColor="text1"/>
        </w:rPr>
        <w:t xml:space="preserve"> </w:t>
      </w:r>
      <w:r w:rsidR="5A6914FF" w:rsidRPr="007E0A0A">
        <w:rPr>
          <w:rFonts w:ascii="Calibri" w:eastAsia="Calibri" w:hAnsi="Calibri" w:cs="Calibri"/>
          <w:color w:val="000000" w:themeColor="text1"/>
        </w:rPr>
        <w:t>in cases of violations of the right to mental and bodily integrity prevent</w:t>
      </w:r>
      <w:r w:rsidR="56CAC0F4" w:rsidRPr="007E0A0A">
        <w:rPr>
          <w:rFonts w:ascii="Calibri" w:eastAsia="Calibri" w:hAnsi="Calibri" w:cs="Calibri"/>
          <w:color w:val="000000" w:themeColor="text1"/>
        </w:rPr>
        <w:t>s</w:t>
      </w:r>
      <w:r w:rsidR="5A6914FF" w:rsidRPr="007E0A0A">
        <w:rPr>
          <w:rFonts w:ascii="Calibri" w:eastAsia="Calibri" w:hAnsi="Calibri" w:cs="Calibri"/>
          <w:color w:val="000000" w:themeColor="text1"/>
        </w:rPr>
        <w:t xml:space="preserve"> them from effective access to </w:t>
      </w:r>
      <w:r w:rsidR="68924F4A" w:rsidRPr="007E0A0A">
        <w:rPr>
          <w:rFonts w:ascii="Calibri" w:eastAsia="Calibri" w:hAnsi="Calibri" w:cs="Calibri"/>
          <w:color w:val="000000" w:themeColor="text1"/>
        </w:rPr>
        <w:t>justice.</w:t>
      </w:r>
    </w:p>
    <w:p w14:paraId="4AECD1F7" w14:textId="5F256489" w:rsidR="6F2EE9D3" w:rsidRPr="007E0A0A" w:rsidRDefault="6F2EE9D3" w:rsidP="03DCB218">
      <w:pPr>
        <w:jc w:val="both"/>
        <w:rPr>
          <w:rFonts w:ascii="Calibri" w:eastAsia="Calibri" w:hAnsi="Calibri" w:cs="Calibri"/>
          <w:color w:val="000000" w:themeColor="text1"/>
        </w:rPr>
      </w:pPr>
      <w:r w:rsidRPr="007E0A0A">
        <w:rPr>
          <w:rFonts w:ascii="Calibri" w:eastAsia="Calibri" w:hAnsi="Calibri" w:cs="Calibri"/>
          <w:color w:val="000000" w:themeColor="text1"/>
        </w:rPr>
        <w:t xml:space="preserve">In order to ensure that </w:t>
      </w:r>
      <w:r w:rsidR="537FB203" w:rsidRPr="007E0A0A">
        <w:rPr>
          <w:rFonts w:ascii="Calibri" w:eastAsia="Calibri" w:hAnsi="Calibri" w:cs="Calibri"/>
          <w:color w:val="000000" w:themeColor="text1"/>
        </w:rPr>
        <w:t>LGBTI</w:t>
      </w:r>
      <w:r w:rsidRPr="007E0A0A">
        <w:rPr>
          <w:rFonts w:ascii="Calibri" w:eastAsia="Calibri" w:hAnsi="Calibri" w:cs="Calibri"/>
          <w:color w:val="000000" w:themeColor="text1"/>
        </w:rPr>
        <w:t xml:space="preserve"> persons have their right </w:t>
      </w:r>
      <w:r w:rsidR="205E0747" w:rsidRPr="007E0A0A">
        <w:rPr>
          <w:rFonts w:ascii="Calibri" w:eastAsia="Calibri" w:hAnsi="Calibri" w:cs="Calibri"/>
          <w:color w:val="000000" w:themeColor="text1"/>
        </w:rPr>
        <w:t>to</w:t>
      </w:r>
      <w:r w:rsidRPr="007E0A0A">
        <w:rPr>
          <w:rFonts w:ascii="Calibri" w:eastAsia="Calibri" w:hAnsi="Calibri" w:cs="Calibri"/>
          <w:color w:val="000000" w:themeColor="text1"/>
        </w:rPr>
        <w:t xml:space="preserve"> access to justice gu</w:t>
      </w:r>
      <w:r w:rsidR="1405D9EC" w:rsidRPr="007E0A0A">
        <w:rPr>
          <w:rFonts w:ascii="Calibri" w:eastAsia="Calibri" w:hAnsi="Calibri" w:cs="Calibri"/>
          <w:color w:val="000000" w:themeColor="text1"/>
        </w:rPr>
        <w:t>a</w:t>
      </w:r>
      <w:r w:rsidRPr="007E0A0A">
        <w:rPr>
          <w:rFonts w:ascii="Calibri" w:eastAsia="Calibri" w:hAnsi="Calibri" w:cs="Calibri"/>
          <w:color w:val="000000" w:themeColor="text1"/>
        </w:rPr>
        <w:t>ranteed, member states should:</w:t>
      </w:r>
    </w:p>
    <w:p w14:paraId="3BD20D34" w14:textId="42D51123" w:rsidR="1736086B" w:rsidRPr="007E0A0A" w:rsidRDefault="1736086B" w:rsidP="03DCB218">
      <w:pPr>
        <w:pStyle w:val="ListParagraph"/>
        <w:numPr>
          <w:ilvl w:val="1"/>
          <w:numId w:val="1"/>
        </w:numPr>
        <w:spacing w:after="0"/>
        <w:jc w:val="both"/>
        <w:rPr>
          <w:rFonts w:eastAsiaTheme="minorEastAsia"/>
          <w:color w:val="000000" w:themeColor="text1"/>
        </w:rPr>
      </w:pPr>
      <w:r w:rsidRPr="007E0A0A">
        <w:rPr>
          <w:rFonts w:ascii="Calibri" w:eastAsia="Calibri" w:hAnsi="Calibri" w:cs="Calibri"/>
          <w:color w:val="000000" w:themeColor="text1"/>
        </w:rPr>
        <w:lastRenderedPageBreak/>
        <w:t>A</w:t>
      </w:r>
      <w:r w:rsidR="645D1C1B" w:rsidRPr="007E0A0A">
        <w:rPr>
          <w:rFonts w:ascii="Calibri" w:eastAsia="Calibri" w:hAnsi="Calibri" w:cs="Calibri"/>
          <w:color w:val="000000" w:themeColor="text1"/>
        </w:rPr>
        <w:t xml:space="preserve">bolish </w:t>
      </w:r>
      <w:r w:rsidRPr="007E0A0A">
        <w:rPr>
          <w:rFonts w:ascii="Calibri" w:eastAsia="Calibri" w:hAnsi="Calibri" w:cs="Calibri"/>
          <w:color w:val="000000" w:themeColor="text1"/>
        </w:rPr>
        <w:t xml:space="preserve">any legal provision criminalizing consensual same-sex sexual acts and diverse gender </w:t>
      </w:r>
      <w:r w:rsidR="050AA983" w:rsidRPr="007E0A0A">
        <w:rPr>
          <w:rFonts w:ascii="Calibri" w:eastAsia="Calibri" w:hAnsi="Calibri" w:cs="Calibri"/>
          <w:color w:val="000000" w:themeColor="text1"/>
        </w:rPr>
        <w:t>identities</w:t>
      </w:r>
      <w:r w:rsidRPr="007E0A0A">
        <w:rPr>
          <w:rFonts w:ascii="Calibri" w:eastAsia="Calibri" w:hAnsi="Calibri" w:cs="Calibri"/>
          <w:color w:val="000000" w:themeColor="text1"/>
        </w:rPr>
        <w:t xml:space="preserve"> and expres</w:t>
      </w:r>
      <w:r w:rsidR="1FD92666" w:rsidRPr="007E0A0A">
        <w:rPr>
          <w:rFonts w:ascii="Calibri" w:eastAsia="Calibri" w:hAnsi="Calibri" w:cs="Calibri"/>
          <w:color w:val="000000" w:themeColor="text1"/>
        </w:rPr>
        <w:t>sions;</w:t>
      </w:r>
    </w:p>
    <w:p w14:paraId="636B0692" w14:textId="4015EA7D" w:rsidR="4CA663DA" w:rsidRPr="007E0A0A" w:rsidRDefault="4CA663DA" w:rsidP="03DCB218">
      <w:pPr>
        <w:pStyle w:val="ListParagraph"/>
        <w:numPr>
          <w:ilvl w:val="1"/>
          <w:numId w:val="1"/>
        </w:numPr>
        <w:spacing w:after="0"/>
        <w:jc w:val="both"/>
        <w:rPr>
          <w:color w:val="000000" w:themeColor="text1"/>
        </w:rPr>
      </w:pPr>
      <w:r w:rsidRPr="007E0A0A">
        <w:rPr>
          <w:rFonts w:ascii="Calibri" w:eastAsia="Calibri" w:hAnsi="Calibri" w:cs="Calibri"/>
          <w:color w:val="000000" w:themeColor="text1"/>
        </w:rPr>
        <w:t>Expressly outlaw discrimination, hate speech and hate crimes on the bases of sexual orientation, gender identity and expression or sex characteristics</w:t>
      </w:r>
      <w:r w:rsidR="2A037D16" w:rsidRPr="007E0A0A">
        <w:rPr>
          <w:rFonts w:ascii="Calibri" w:eastAsia="Calibri" w:hAnsi="Calibri" w:cs="Calibri"/>
          <w:color w:val="000000" w:themeColor="text1"/>
        </w:rPr>
        <w:t>, inc</w:t>
      </w:r>
      <w:r w:rsidR="497FEA4A" w:rsidRPr="007E0A0A">
        <w:rPr>
          <w:rFonts w:ascii="Calibri" w:eastAsia="Calibri" w:hAnsi="Calibri" w:cs="Calibri"/>
          <w:color w:val="000000" w:themeColor="text1"/>
        </w:rPr>
        <w:t>lu</w:t>
      </w:r>
      <w:r w:rsidR="2A037D16" w:rsidRPr="007E0A0A">
        <w:rPr>
          <w:rFonts w:ascii="Calibri" w:eastAsia="Calibri" w:hAnsi="Calibri" w:cs="Calibri"/>
          <w:color w:val="000000" w:themeColor="text1"/>
        </w:rPr>
        <w:t xml:space="preserve">ding through recognition of </w:t>
      </w:r>
      <w:r w:rsidR="007E0A0A" w:rsidRPr="007E0A0A">
        <w:rPr>
          <w:rFonts w:ascii="Calibri" w:eastAsia="Calibri" w:hAnsi="Calibri" w:cs="Calibri"/>
          <w:color w:val="000000" w:themeColor="text1"/>
        </w:rPr>
        <w:t>hatred</w:t>
      </w:r>
      <w:r w:rsidR="2A037D16" w:rsidRPr="007E0A0A">
        <w:rPr>
          <w:rFonts w:ascii="Calibri" w:eastAsia="Calibri" w:hAnsi="Calibri" w:cs="Calibri"/>
          <w:color w:val="000000" w:themeColor="text1"/>
        </w:rPr>
        <w:t xml:space="preserve"> based on SOGIESC as an aggravating circumstance</w:t>
      </w:r>
      <w:r w:rsidRPr="007E0A0A">
        <w:rPr>
          <w:rFonts w:ascii="Calibri" w:eastAsia="Calibri" w:hAnsi="Calibri" w:cs="Calibri"/>
          <w:color w:val="000000" w:themeColor="text1"/>
        </w:rPr>
        <w:t>;</w:t>
      </w:r>
    </w:p>
    <w:p w14:paraId="249133CF" w14:textId="473FCC6C" w:rsidR="05D39188" w:rsidRPr="007E0A0A" w:rsidRDefault="05D39188" w:rsidP="03DCB218">
      <w:pPr>
        <w:pStyle w:val="ListParagraph"/>
        <w:numPr>
          <w:ilvl w:val="1"/>
          <w:numId w:val="1"/>
        </w:numPr>
        <w:jc w:val="both"/>
        <w:rPr>
          <w:rFonts w:eastAsiaTheme="minorEastAsia"/>
          <w:color w:val="000000" w:themeColor="text1"/>
        </w:rPr>
      </w:pPr>
      <w:r w:rsidRPr="007E0A0A">
        <w:rPr>
          <w:rFonts w:ascii="Calibri" w:eastAsia="Calibri" w:hAnsi="Calibri" w:cs="Calibri"/>
          <w:color w:val="000000" w:themeColor="text1"/>
        </w:rPr>
        <w:t xml:space="preserve">Take all necessary and reasonable steps to protect persons from criminal prosecutions or civil proceedings that are motivated wholly or in part by prejudice regarding </w:t>
      </w:r>
      <w:r w:rsidR="06FA3C7D" w:rsidRPr="007E0A0A">
        <w:rPr>
          <w:rFonts w:ascii="Calibri" w:eastAsia="Calibri" w:hAnsi="Calibri" w:cs="Calibri"/>
          <w:color w:val="000000" w:themeColor="text1"/>
        </w:rPr>
        <w:t>SOGIESC</w:t>
      </w:r>
      <w:r w:rsidRPr="007E0A0A">
        <w:rPr>
          <w:rFonts w:ascii="Calibri" w:eastAsia="Calibri" w:hAnsi="Calibri" w:cs="Calibri"/>
          <w:color w:val="000000" w:themeColor="text1"/>
        </w:rPr>
        <w:t>;</w:t>
      </w:r>
      <w:r w:rsidRPr="007E0A0A">
        <w:rPr>
          <w:rStyle w:val="FootnoteReference"/>
          <w:rFonts w:ascii="Calibri" w:eastAsia="Calibri" w:hAnsi="Calibri" w:cs="Calibri"/>
          <w:color w:val="000000" w:themeColor="text1"/>
        </w:rPr>
        <w:footnoteReference w:id="3"/>
      </w:r>
      <w:r w:rsidRPr="007E0A0A">
        <w:rPr>
          <w:rFonts w:ascii="Calibri" w:eastAsia="Calibri" w:hAnsi="Calibri" w:cs="Calibri"/>
          <w:color w:val="000000" w:themeColor="text1"/>
        </w:rPr>
        <w:t xml:space="preserve"> </w:t>
      </w:r>
    </w:p>
    <w:p w14:paraId="472D91E6" w14:textId="753DE1E3" w:rsidR="05D39188" w:rsidRPr="007E0A0A" w:rsidRDefault="05D39188" w:rsidP="03DCB218">
      <w:pPr>
        <w:pStyle w:val="ListParagraph"/>
        <w:numPr>
          <w:ilvl w:val="1"/>
          <w:numId w:val="1"/>
        </w:numPr>
        <w:jc w:val="both"/>
        <w:rPr>
          <w:color w:val="000000" w:themeColor="text1"/>
        </w:rPr>
      </w:pPr>
      <w:r w:rsidRPr="007E0A0A">
        <w:rPr>
          <w:rFonts w:ascii="Calibri" w:eastAsia="Calibri" w:hAnsi="Calibri" w:cs="Calibri"/>
          <w:color w:val="000000" w:themeColor="text1"/>
        </w:rPr>
        <w:t xml:space="preserve">Undertake programmes of training and awareness-raising for judges, court personnel, prosecutors, lawyers and others regarding international human rights standards and principles of equality and non-discrimination, including in relation to </w:t>
      </w:r>
      <w:r w:rsidR="64A00DB9" w:rsidRPr="007E0A0A">
        <w:rPr>
          <w:rFonts w:ascii="Calibri" w:eastAsia="Calibri" w:hAnsi="Calibri" w:cs="Calibri"/>
          <w:color w:val="000000" w:themeColor="text1"/>
        </w:rPr>
        <w:t>SOGIESC</w:t>
      </w:r>
      <w:r w:rsidRPr="007E0A0A">
        <w:rPr>
          <w:rStyle w:val="FootnoteReference"/>
          <w:rFonts w:ascii="Calibri" w:eastAsia="Calibri" w:hAnsi="Calibri" w:cs="Calibri"/>
          <w:color w:val="000000" w:themeColor="text1"/>
        </w:rPr>
        <w:footnoteReference w:id="4"/>
      </w:r>
      <w:r w:rsidRPr="007E0A0A">
        <w:rPr>
          <w:rFonts w:ascii="Calibri" w:eastAsia="Calibri" w:hAnsi="Calibri" w:cs="Calibri"/>
          <w:color w:val="000000" w:themeColor="text1"/>
        </w:rPr>
        <w:t>.</w:t>
      </w:r>
    </w:p>
    <w:p w14:paraId="4D605EBF" w14:textId="14EC030F" w:rsidR="05D39188" w:rsidRPr="007E0A0A" w:rsidRDefault="05D39188" w:rsidP="4CC7DBB2">
      <w:pPr>
        <w:pStyle w:val="ListParagraph"/>
        <w:numPr>
          <w:ilvl w:val="1"/>
          <w:numId w:val="1"/>
        </w:numPr>
        <w:jc w:val="both"/>
        <w:rPr>
          <w:rFonts w:eastAsiaTheme="minorEastAsia"/>
          <w:color w:val="000000" w:themeColor="text1"/>
        </w:rPr>
      </w:pPr>
      <w:r w:rsidRPr="007E0A0A">
        <w:rPr>
          <w:rFonts w:ascii="Calibri" w:eastAsia="Calibri" w:hAnsi="Calibri" w:cs="Calibri"/>
          <w:color w:val="000000" w:themeColor="text1"/>
        </w:rPr>
        <w:t>Ensure, in cases of violations of the right to mental and bodily integrity</w:t>
      </w:r>
      <w:r w:rsidR="5E397755" w:rsidRPr="007E0A0A">
        <w:rPr>
          <w:rFonts w:ascii="Calibri" w:eastAsia="Calibri" w:hAnsi="Calibri" w:cs="Calibri"/>
          <w:color w:val="000000" w:themeColor="text1"/>
        </w:rPr>
        <w:t xml:space="preserve"> and SOGIESC-based hate crimes</w:t>
      </w:r>
      <w:r w:rsidRPr="007E0A0A">
        <w:rPr>
          <w:rFonts w:ascii="Calibri" w:eastAsia="Calibri" w:hAnsi="Calibri" w:cs="Calibri"/>
          <w:color w:val="000000" w:themeColor="text1"/>
        </w:rPr>
        <w:t>, effective access to remedies, redress, reparation and, where appropriate, psychological support and restorative treatments;</w:t>
      </w:r>
    </w:p>
    <w:p w14:paraId="4DA23A6F" w14:textId="03F0C0AF" w:rsidR="05D39188" w:rsidRPr="007E0A0A" w:rsidRDefault="05D39188" w:rsidP="4CC7DBB2">
      <w:pPr>
        <w:pStyle w:val="ListParagraph"/>
        <w:numPr>
          <w:ilvl w:val="1"/>
          <w:numId w:val="1"/>
        </w:numPr>
        <w:jc w:val="both"/>
        <w:rPr>
          <w:color w:val="000000" w:themeColor="text1"/>
        </w:rPr>
      </w:pPr>
      <w:r w:rsidRPr="007E0A0A">
        <w:rPr>
          <w:rFonts w:ascii="Calibri" w:eastAsia="Calibri" w:hAnsi="Calibri" w:cs="Calibri"/>
          <w:color w:val="000000" w:themeColor="text1"/>
        </w:rPr>
        <w:t>Protect individuals’ right to know the truth about their medical histories, including through full access to accurate medical records</w:t>
      </w:r>
      <w:r w:rsidR="21376A3D" w:rsidRPr="007E0A0A">
        <w:rPr>
          <w:rFonts w:ascii="Calibri" w:eastAsia="Calibri" w:hAnsi="Calibri" w:cs="Calibri"/>
          <w:color w:val="000000" w:themeColor="text1"/>
        </w:rPr>
        <w:t>.</w:t>
      </w:r>
    </w:p>
    <w:sectPr w:rsidR="05D39188" w:rsidRPr="007E0A0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033E" w14:textId="77777777" w:rsidR="00E113D6" w:rsidRDefault="00E113D6">
      <w:pPr>
        <w:spacing w:after="0" w:line="240" w:lineRule="auto"/>
      </w:pPr>
      <w:r>
        <w:separator/>
      </w:r>
    </w:p>
  </w:endnote>
  <w:endnote w:type="continuationSeparator" w:id="0">
    <w:p w14:paraId="40428CB5" w14:textId="77777777" w:rsidR="00E113D6" w:rsidRDefault="00E1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3E32" w14:textId="77777777" w:rsidR="00E113D6" w:rsidRDefault="00E113D6">
      <w:pPr>
        <w:spacing w:after="0" w:line="240" w:lineRule="auto"/>
      </w:pPr>
      <w:r>
        <w:separator/>
      </w:r>
    </w:p>
  </w:footnote>
  <w:footnote w:type="continuationSeparator" w:id="0">
    <w:p w14:paraId="7351567A" w14:textId="77777777" w:rsidR="00E113D6" w:rsidRDefault="00E113D6">
      <w:pPr>
        <w:spacing w:after="0" w:line="240" w:lineRule="auto"/>
      </w:pPr>
      <w:r>
        <w:continuationSeparator/>
      </w:r>
    </w:p>
  </w:footnote>
  <w:footnote w:id="1">
    <w:p w14:paraId="28ED5530" w14:textId="46042753" w:rsidR="03DCB218" w:rsidRPr="007E0A0A" w:rsidRDefault="03DCB218">
      <w:pPr>
        <w:pStyle w:val="FootnoteText"/>
        <w:rPr>
          <w:rFonts w:eastAsiaTheme="minorEastAsia"/>
        </w:rPr>
      </w:pPr>
      <w:r w:rsidRPr="007E0A0A">
        <w:rPr>
          <w:rStyle w:val="FootnoteReference"/>
          <w:rFonts w:eastAsiaTheme="minorEastAsia"/>
        </w:rPr>
        <w:footnoteRef/>
      </w:r>
      <w:r w:rsidR="4CC7DBB2" w:rsidRPr="007E0A0A">
        <w:rPr>
          <w:rFonts w:eastAsiaTheme="minorEastAsia"/>
        </w:rPr>
        <w:t xml:space="preserve"> See eg CEDAW, </w:t>
      </w:r>
      <w:r w:rsidR="4CC7DBB2" w:rsidRPr="007E0A0A">
        <w:rPr>
          <w:rFonts w:eastAsiaTheme="minorEastAsia"/>
          <w:color w:val="000000" w:themeColor="text1"/>
        </w:rPr>
        <w:t xml:space="preserve">GR 33, para. 8-10; ON and DP v Russian Federation (24 February 2020), UN Doc </w:t>
      </w:r>
      <w:r w:rsidR="4CC7DBB2" w:rsidRPr="007E0A0A">
        <w:rPr>
          <w:rFonts w:eastAsiaTheme="minorEastAsia"/>
          <w:color w:val="000000" w:themeColor="text1"/>
          <w:sz w:val="22"/>
          <w:szCs w:val="22"/>
        </w:rPr>
        <w:t>CEDAW/C/75/D/119/2017</w:t>
      </w:r>
    </w:p>
  </w:footnote>
  <w:footnote w:id="2">
    <w:p w14:paraId="2C314258" w14:textId="4E4EFAFE" w:rsidR="03DCB218" w:rsidRPr="007E0A0A" w:rsidRDefault="03DCB218" w:rsidP="03DCB218">
      <w:pPr>
        <w:pStyle w:val="FootnoteText"/>
        <w:rPr>
          <w:lang w:val="pt-BR"/>
        </w:rPr>
      </w:pPr>
      <w:r w:rsidRPr="03DCB218">
        <w:rPr>
          <w:rStyle w:val="FootnoteReference"/>
        </w:rPr>
        <w:footnoteRef/>
      </w:r>
      <w:r w:rsidRPr="007E0A0A">
        <w:rPr>
          <w:lang w:val="pt-BR"/>
        </w:rPr>
        <w:t xml:space="preserve">  Corte Interamericana De Derechos Humanos Caso Azul Rojas Marín Y Otra Vs. Perú Sentencia De 12 De Marzo De 2020, para. 196.</w:t>
      </w:r>
    </w:p>
  </w:footnote>
  <w:footnote w:id="3">
    <w:p w14:paraId="5075A2B7" w14:textId="0012721D" w:rsidR="03DCB218" w:rsidRPr="007E0A0A" w:rsidRDefault="03DCB218" w:rsidP="03DCB218">
      <w:pPr>
        <w:pStyle w:val="FootnoteText"/>
        <w:rPr>
          <w:lang w:val="pt-BR"/>
        </w:rPr>
      </w:pPr>
      <w:r w:rsidRPr="03DCB218">
        <w:rPr>
          <w:rStyle w:val="FootnoteReference"/>
        </w:rPr>
        <w:footnoteRef/>
      </w:r>
      <w:r w:rsidRPr="007E0A0A">
        <w:rPr>
          <w:lang w:val="pt-BR"/>
        </w:rPr>
        <w:t xml:space="preserve"> Yogyakarta Principle no. 8</w:t>
      </w:r>
    </w:p>
  </w:footnote>
  <w:footnote w:id="4">
    <w:p w14:paraId="7822B4D2" w14:textId="167DCB50" w:rsidR="03DCB218" w:rsidRDefault="03DCB218" w:rsidP="03DCB218">
      <w:pPr>
        <w:pStyle w:val="FootnoteText"/>
      </w:pPr>
      <w:r w:rsidRPr="03DCB218">
        <w:rPr>
          <w:rStyle w:val="FootnoteReference"/>
        </w:rPr>
        <w:footnoteRef/>
      </w:r>
      <w:r w:rsidRPr="03DCB218">
        <w:t xml:space="preserve"> Yogyakarta Principle no.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BD3"/>
    <w:multiLevelType w:val="hybridMultilevel"/>
    <w:tmpl w:val="A80ED3D8"/>
    <w:lvl w:ilvl="0" w:tplc="7E2864C8">
      <w:start w:val="1"/>
      <w:numFmt w:val="bullet"/>
      <w:lvlText w:val=""/>
      <w:lvlJc w:val="left"/>
      <w:pPr>
        <w:ind w:left="720" w:hanging="360"/>
      </w:pPr>
      <w:rPr>
        <w:rFonts w:ascii="Symbol" w:hAnsi="Symbol" w:hint="default"/>
      </w:rPr>
    </w:lvl>
    <w:lvl w:ilvl="1" w:tplc="A4A830D0">
      <w:start w:val="1"/>
      <w:numFmt w:val="bullet"/>
      <w:lvlText w:val=""/>
      <w:lvlJc w:val="left"/>
      <w:pPr>
        <w:ind w:left="1440" w:hanging="360"/>
      </w:pPr>
      <w:rPr>
        <w:rFonts w:ascii="Symbol" w:hAnsi="Symbol" w:hint="default"/>
      </w:rPr>
    </w:lvl>
    <w:lvl w:ilvl="2" w:tplc="129C6428">
      <w:start w:val="1"/>
      <w:numFmt w:val="bullet"/>
      <w:lvlText w:val=""/>
      <w:lvlJc w:val="left"/>
      <w:pPr>
        <w:ind w:left="2160" w:hanging="360"/>
      </w:pPr>
      <w:rPr>
        <w:rFonts w:ascii="Wingdings" w:hAnsi="Wingdings" w:hint="default"/>
      </w:rPr>
    </w:lvl>
    <w:lvl w:ilvl="3" w:tplc="EA485ED2">
      <w:start w:val="1"/>
      <w:numFmt w:val="bullet"/>
      <w:lvlText w:val=""/>
      <w:lvlJc w:val="left"/>
      <w:pPr>
        <w:ind w:left="2880" w:hanging="360"/>
      </w:pPr>
      <w:rPr>
        <w:rFonts w:ascii="Symbol" w:hAnsi="Symbol" w:hint="default"/>
      </w:rPr>
    </w:lvl>
    <w:lvl w:ilvl="4" w:tplc="F626B9D6">
      <w:start w:val="1"/>
      <w:numFmt w:val="bullet"/>
      <w:lvlText w:val="o"/>
      <w:lvlJc w:val="left"/>
      <w:pPr>
        <w:ind w:left="3600" w:hanging="360"/>
      </w:pPr>
      <w:rPr>
        <w:rFonts w:ascii="Courier New" w:hAnsi="Courier New" w:hint="default"/>
      </w:rPr>
    </w:lvl>
    <w:lvl w:ilvl="5" w:tplc="B4C6C74E">
      <w:start w:val="1"/>
      <w:numFmt w:val="bullet"/>
      <w:lvlText w:val=""/>
      <w:lvlJc w:val="left"/>
      <w:pPr>
        <w:ind w:left="4320" w:hanging="360"/>
      </w:pPr>
      <w:rPr>
        <w:rFonts w:ascii="Wingdings" w:hAnsi="Wingdings" w:hint="default"/>
      </w:rPr>
    </w:lvl>
    <w:lvl w:ilvl="6" w:tplc="6F22059A">
      <w:start w:val="1"/>
      <w:numFmt w:val="bullet"/>
      <w:lvlText w:val=""/>
      <w:lvlJc w:val="left"/>
      <w:pPr>
        <w:ind w:left="5040" w:hanging="360"/>
      </w:pPr>
      <w:rPr>
        <w:rFonts w:ascii="Symbol" w:hAnsi="Symbol" w:hint="default"/>
      </w:rPr>
    </w:lvl>
    <w:lvl w:ilvl="7" w:tplc="3BA49652">
      <w:start w:val="1"/>
      <w:numFmt w:val="bullet"/>
      <w:lvlText w:val="o"/>
      <w:lvlJc w:val="left"/>
      <w:pPr>
        <w:ind w:left="5760" w:hanging="360"/>
      </w:pPr>
      <w:rPr>
        <w:rFonts w:ascii="Courier New" w:hAnsi="Courier New" w:hint="default"/>
      </w:rPr>
    </w:lvl>
    <w:lvl w:ilvl="8" w:tplc="300EDF5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B0F71"/>
    <w:rsid w:val="002065ED"/>
    <w:rsid w:val="002EA68A"/>
    <w:rsid w:val="00671B54"/>
    <w:rsid w:val="007E0A0A"/>
    <w:rsid w:val="00D5662F"/>
    <w:rsid w:val="00E113D6"/>
    <w:rsid w:val="010F95CD"/>
    <w:rsid w:val="01AE18B1"/>
    <w:rsid w:val="01D455AE"/>
    <w:rsid w:val="02C494D7"/>
    <w:rsid w:val="03DCB218"/>
    <w:rsid w:val="050AA983"/>
    <w:rsid w:val="0539BE3B"/>
    <w:rsid w:val="0568A21F"/>
    <w:rsid w:val="0573A076"/>
    <w:rsid w:val="05D39188"/>
    <w:rsid w:val="06FA3C7D"/>
    <w:rsid w:val="077FAE19"/>
    <w:rsid w:val="081E5AE7"/>
    <w:rsid w:val="087B5F96"/>
    <w:rsid w:val="0B2FFF63"/>
    <w:rsid w:val="0BEB0F71"/>
    <w:rsid w:val="0C59A5DB"/>
    <w:rsid w:val="0E1A66F5"/>
    <w:rsid w:val="0E24110A"/>
    <w:rsid w:val="108A90E2"/>
    <w:rsid w:val="10A50DAE"/>
    <w:rsid w:val="12266143"/>
    <w:rsid w:val="12843B35"/>
    <w:rsid w:val="1308A5E0"/>
    <w:rsid w:val="13C231A4"/>
    <w:rsid w:val="13D238AA"/>
    <w:rsid w:val="1405D9EC"/>
    <w:rsid w:val="1736086B"/>
    <w:rsid w:val="190F5FB5"/>
    <w:rsid w:val="19DF0008"/>
    <w:rsid w:val="1A665DAB"/>
    <w:rsid w:val="1A9FD350"/>
    <w:rsid w:val="1DAF39C9"/>
    <w:rsid w:val="1FD92666"/>
    <w:rsid w:val="205E0747"/>
    <w:rsid w:val="20C51641"/>
    <w:rsid w:val="21376A3D"/>
    <w:rsid w:val="21701907"/>
    <w:rsid w:val="24A7C461"/>
    <w:rsid w:val="28050D92"/>
    <w:rsid w:val="282D3B80"/>
    <w:rsid w:val="290E9350"/>
    <w:rsid w:val="2928ECFD"/>
    <w:rsid w:val="2A037D16"/>
    <w:rsid w:val="2C0ABE40"/>
    <w:rsid w:val="2CE79FB7"/>
    <w:rsid w:val="2CF4F3F6"/>
    <w:rsid w:val="2E192FAD"/>
    <w:rsid w:val="2E25D805"/>
    <w:rsid w:val="30945576"/>
    <w:rsid w:val="30D1423E"/>
    <w:rsid w:val="3153976C"/>
    <w:rsid w:val="3293648F"/>
    <w:rsid w:val="33F93462"/>
    <w:rsid w:val="343E4D84"/>
    <w:rsid w:val="3707BF34"/>
    <w:rsid w:val="373A6914"/>
    <w:rsid w:val="38201DF7"/>
    <w:rsid w:val="3A20B1C6"/>
    <w:rsid w:val="3B4042D8"/>
    <w:rsid w:val="3B8B54B2"/>
    <w:rsid w:val="3CB4CADC"/>
    <w:rsid w:val="3CDC1339"/>
    <w:rsid w:val="3DC93D15"/>
    <w:rsid w:val="3ED9F8A4"/>
    <w:rsid w:val="3F650D76"/>
    <w:rsid w:val="40264DD9"/>
    <w:rsid w:val="42E035BE"/>
    <w:rsid w:val="4658E003"/>
    <w:rsid w:val="48C75D74"/>
    <w:rsid w:val="497FEA4A"/>
    <w:rsid w:val="4B24CB9A"/>
    <w:rsid w:val="4CA663DA"/>
    <w:rsid w:val="4CC7DBB2"/>
    <w:rsid w:val="4D113BC3"/>
    <w:rsid w:val="4D169898"/>
    <w:rsid w:val="4EAD0C24"/>
    <w:rsid w:val="4EC6BD14"/>
    <w:rsid w:val="51282F86"/>
    <w:rsid w:val="51F2A5A8"/>
    <w:rsid w:val="537FB203"/>
    <w:rsid w:val="56A45281"/>
    <w:rsid w:val="56CAC0F4"/>
    <w:rsid w:val="58DDB43F"/>
    <w:rsid w:val="59D6FB15"/>
    <w:rsid w:val="5A513D69"/>
    <w:rsid w:val="5A6914FF"/>
    <w:rsid w:val="5A89260B"/>
    <w:rsid w:val="5B72CB76"/>
    <w:rsid w:val="5B996DAE"/>
    <w:rsid w:val="5BCDDBEB"/>
    <w:rsid w:val="5CE93EA2"/>
    <w:rsid w:val="5D593500"/>
    <w:rsid w:val="5DF431A2"/>
    <w:rsid w:val="5E397755"/>
    <w:rsid w:val="60710DDD"/>
    <w:rsid w:val="638BEB6B"/>
    <w:rsid w:val="63AC8759"/>
    <w:rsid w:val="63BCC357"/>
    <w:rsid w:val="6421A4D3"/>
    <w:rsid w:val="64538B56"/>
    <w:rsid w:val="645D1C1B"/>
    <w:rsid w:val="6464B329"/>
    <w:rsid w:val="64A00DB9"/>
    <w:rsid w:val="65F5F4CE"/>
    <w:rsid w:val="661B04CA"/>
    <w:rsid w:val="664B8F1C"/>
    <w:rsid w:val="6791C52F"/>
    <w:rsid w:val="68924F4A"/>
    <w:rsid w:val="69FA0493"/>
    <w:rsid w:val="6B90DCC6"/>
    <w:rsid w:val="6E2616AF"/>
    <w:rsid w:val="6F2EE9D3"/>
    <w:rsid w:val="6F83AEB7"/>
    <w:rsid w:val="6F8F07BC"/>
    <w:rsid w:val="70694617"/>
    <w:rsid w:val="70BE17A2"/>
    <w:rsid w:val="7255C330"/>
    <w:rsid w:val="73A730D8"/>
    <w:rsid w:val="74031563"/>
    <w:rsid w:val="742FD77D"/>
    <w:rsid w:val="75E1A812"/>
    <w:rsid w:val="788BD248"/>
    <w:rsid w:val="798B41A6"/>
    <w:rsid w:val="7A28E2AC"/>
    <w:rsid w:val="7AEBEB4F"/>
    <w:rsid w:val="7AF3B257"/>
    <w:rsid w:val="7B47824C"/>
    <w:rsid w:val="7B86E548"/>
    <w:rsid w:val="7E4427FF"/>
    <w:rsid w:val="7FB93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0F71"/>
  <w15:chartTrackingRefBased/>
  <w15:docId w15:val="{6B18EF9B-B6BF-419C-AE9C-56A1B84E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AB9E29-CB52-4EEC-9090-09D730872AD1}"/>
</file>

<file path=customXml/itemProps2.xml><?xml version="1.0" encoding="utf-8"?>
<ds:datastoreItem xmlns:ds="http://schemas.openxmlformats.org/officeDocument/2006/customXml" ds:itemID="{7C8D4A9C-9D1A-43A3-B7B9-FD1092EF6664}"/>
</file>

<file path=customXml/itemProps3.xml><?xml version="1.0" encoding="utf-8"?>
<ds:datastoreItem xmlns:ds="http://schemas.openxmlformats.org/officeDocument/2006/customXml" ds:itemID="{B33B9B89-8534-4A1C-8195-223F9AE395B6}"/>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Galil</dc:creator>
  <cp:keywords/>
  <dc:description/>
  <cp:lastModifiedBy>Gabriel Galil</cp:lastModifiedBy>
  <cp:revision>3</cp:revision>
  <dcterms:created xsi:type="dcterms:W3CDTF">2021-11-16T14:29:00Z</dcterms:created>
  <dcterms:modified xsi:type="dcterms:W3CDTF">2021-11-16T14:37:00Z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