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9553" w14:textId="0F27E3E5" w:rsidR="004E41D3" w:rsidRPr="004E41D3" w:rsidRDefault="004E41D3" w:rsidP="004E41D3">
      <w:pPr>
        <w:pStyle w:val="NormalWeb"/>
        <w:spacing w:line="276" w:lineRule="auto"/>
        <w:jc w:val="center"/>
        <w:rPr>
          <w:rFonts w:ascii="Arial" w:hAnsi="Arial" w:cs="Arial"/>
          <w:b/>
          <w:bCs/>
          <w:sz w:val="22"/>
          <w:szCs w:val="22"/>
        </w:rPr>
      </w:pPr>
      <w:r w:rsidRPr="004E41D3">
        <w:rPr>
          <w:rFonts w:ascii="Arial" w:hAnsi="Arial" w:cs="Arial"/>
          <w:b/>
          <w:bCs/>
          <w:sz w:val="22"/>
          <w:szCs w:val="22"/>
        </w:rPr>
        <w:t>DEFENSORÍA DEL PUEBLO DE LA NACIÓN</w:t>
      </w:r>
    </w:p>
    <w:p w14:paraId="085E7DC5" w14:textId="7C564A90" w:rsidR="004E41D3" w:rsidRPr="004E41D3" w:rsidRDefault="004E41D3" w:rsidP="004E41D3">
      <w:pPr>
        <w:pStyle w:val="NormalWeb"/>
        <w:spacing w:line="276" w:lineRule="auto"/>
        <w:jc w:val="center"/>
        <w:rPr>
          <w:rFonts w:ascii="Arial" w:hAnsi="Arial" w:cs="Arial"/>
          <w:b/>
          <w:bCs/>
          <w:sz w:val="22"/>
          <w:szCs w:val="22"/>
        </w:rPr>
      </w:pPr>
      <w:r w:rsidRPr="004E41D3">
        <w:rPr>
          <w:rFonts w:ascii="Arial" w:hAnsi="Arial" w:cs="Arial"/>
          <w:b/>
          <w:bCs/>
          <w:sz w:val="22"/>
          <w:szCs w:val="22"/>
        </w:rPr>
        <w:t>REPÚBLICA ARGENTINA</w:t>
      </w:r>
    </w:p>
    <w:p w14:paraId="15777924" w14:textId="06BA049B" w:rsidR="004E41D3" w:rsidRPr="004E41D3" w:rsidRDefault="004E41D3" w:rsidP="004E41D3">
      <w:pPr>
        <w:pStyle w:val="NormalWeb"/>
        <w:spacing w:line="276" w:lineRule="auto"/>
        <w:jc w:val="center"/>
        <w:rPr>
          <w:rFonts w:ascii="Arial" w:hAnsi="Arial" w:cs="Arial"/>
          <w:b/>
          <w:bCs/>
          <w:sz w:val="22"/>
          <w:szCs w:val="22"/>
        </w:rPr>
      </w:pPr>
      <w:r w:rsidRPr="004E41D3">
        <w:rPr>
          <w:rFonts w:ascii="Arial" w:hAnsi="Arial" w:cs="Arial"/>
          <w:b/>
          <w:bCs/>
          <w:sz w:val="22"/>
          <w:szCs w:val="22"/>
        </w:rPr>
        <w:t>INSTITUCIÓN NACIONAL DE DERECHOS HUMANOS</w:t>
      </w:r>
    </w:p>
    <w:p w14:paraId="6584AD92" w14:textId="77777777" w:rsidR="004E41D3" w:rsidRPr="004E41D3" w:rsidRDefault="004E41D3" w:rsidP="004E41D3">
      <w:pPr>
        <w:pStyle w:val="NormalWeb"/>
        <w:spacing w:line="276" w:lineRule="auto"/>
        <w:jc w:val="center"/>
        <w:rPr>
          <w:rFonts w:ascii="Arial" w:hAnsi="Arial" w:cs="Arial"/>
          <w:b/>
          <w:bCs/>
          <w:sz w:val="22"/>
          <w:szCs w:val="22"/>
        </w:rPr>
      </w:pPr>
    </w:p>
    <w:p w14:paraId="4067749E" w14:textId="569677F4" w:rsidR="00C50B91" w:rsidRPr="004E41D3" w:rsidRDefault="00C50B91" w:rsidP="004E41D3">
      <w:pPr>
        <w:pStyle w:val="NormalWeb"/>
        <w:spacing w:line="276" w:lineRule="auto"/>
        <w:jc w:val="center"/>
        <w:rPr>
          <w:rFonts w:ascii="Arial" w:hAnsi="Arial" w:cs="Arial"/>
          <w:b/>
          <w:bCs/>
          <w:sz w:val="22"/>
          <w:szCs w:val="22"/>
        </w:rPr>
      </w:pPr>
      <w:r w:rsidRPr="004E41D3">
        <w:rPr>
          <w:rFonts w:ascii="Arial" w:hAnsi="Arial" w:cs="Arial"/>
          <w:b/>
          <w:bCs/>
          <w:sz w:val="22"/>
          <w:szCs w:val="22"/>
        </w:rPr>
        <w:t>Convocatoria de aportaciones para la preparación del informe del Alto Comisionado de las Naciones Unidas para los Derechos Humanos de conformidad con la resolución 42/17 del Consejo de Derechos Humanos sobre “Derechos humanos y justicia de transición”</w:t>
      </w:r>
    </w:p>
    <w:p w14:paraId="60BE2624" w14:textId="7D94C7FB" w:rsidR="00C50B91" w:rsidRPr="004E41D3" w:rsidRDefault="00C50B91" w:rsidP="004E41D3">
      <w:pPr>
        <w:pStyle w:val="NormalWeb"/>
        <w:spacing w:line="276" w:lineRule="auto"/>
        <w:rPr>
          <w:rFonts w:ascii="Arial" w:hAnsi="Arial" w:cs="Arial"/>
          <w:i/>
          <w:sz w:val="22"/>
          <w:szCs w:val="22"/>
        </w:rPr>
      </w:pPr>
      <w:r w:rsidRPr="004E41D3">
        <w:rPr>
          <w:rFonts w:ascii="Arial" w:hAnsi="Arial" w:cs="Arial"/>
          <w:i/>
          <w:sz w:val="22"/>
          <w:szCs w:val="22"/>
        </w:rPr>
        <w:t xml:space="preserve">A fin de contribuir a la elaboración de este informe, la Oficina del Alto Comisionado de las Naciones Unidas para los Derechos Humanos agradecería recibir información de los Estados y de todas las partes interesadas pertinentes, en relación con: </w:t>
      </w:r>
    </w:p>
    <w:p w14:paraId="1187A9A8" w14:textId="6CF1A989" w:rsidR="00511D83" w:rsidRPr="004E41D3" w:rsidRDefault="00511D83" w:rsidP="004E41D3">
      <w:pPr>
        <w:pStyle w:val="Prrafodelista"/>
        <w:numPr>
          <w:ilvl w:val="0"/>
          <w:numId w:val="1"/>
        </w:numPr>
        <w:spacing w:line="276" w:lineRule="auto"/>
        <w:jc w:val="both"/>
        <w:rPr>
          <w:rFonts w:ascii="Arial" w:hAnsi="Arial" w:cs="Arial"/>
          <w:b/>
          <w:i/>
          <w:sz w:val="22"/>
          <w:szCs w:val="22"/>
        </w:rPr>
      </w:pPr>
      <w:r w:rsidRPr="004E41D3">
        <w:rPr>
          <w:rFonts w:ascii="Arial" w:hAnsi="Arial" w:cs="Arial"/>
          <w:b/>
          <w:i/>
          <w:sz w:val="22"/>
          <w:szCs w:val="22"/>
        </w:rPr>
        <w:t xml:space="preserve">La contribución que las medidas, políticas y estrategias de justicia de transición adoptadas y/o apoyadas a nivel local, nacional, y/o regional – para hacer frente a las consecuencias de las violaciones y transgresiones manifiestas de los derechos humanos y las violaciones graves del derecho internacional humanitario – han realizado al sostenimiento de la paz y la prevención de violaciones de derechos humanos y conflictos violentos. Sírvase destacar la información sobre las medidas que abordan las causas profundas del conflicto, la violencia y las violaciones de los derechos humanos (por ejemplo, la discriminación, la desigualdad, la corrupción y la impunidad). Sírvase también identificar o incluir informes públicos relacionados con este tema. </w:t>
      </w:r>
    </w:p>
    <w:p w14:paraId="1C844150" w14:textId="77777777" w:rsidR="00511D83" w:rsidRPr="004E41D3" w:rsidRDefault="00511D83" w:rsidP="004E41D3">
      <w:pPr>
        <w:pStyle w:val="Prrafodelista"/>
        <w:spacing w:line="276" w:lineRule="auto"/>
        <w:jc w:val="both"/>
        <w:rPr>
          <w:rFonts w:ascii="Arial" w:hAnsi="Arial" w:cs="Arial"/>
          <w:b/>
          <w:i/>
          <w:sz w:val="22"/>
          <w:szCs w:val="22"/>
        </w:rPr>
      </w:pPr>
    </w:p>
    <w:p w14:paraId="18CA6525" w14:textId="77777777" w:rsidR="00511D83" w:rsidRPr="004E41D3" w:rsidRDefault="00511D83" w:rsidP="004E41D3">
      <w:pPr>
        <w:pStyle w:val="Prrafodelista"/>
        <w:numPr>
          <w:ilvl w:val="0"/>
          <w:numId w:val="1"/>
        </w:numPr>
        <w:spacing w:line="276" w:lineRule="auto"/>
        <w:jc w:val="both"/>
        <w:rPr>
          <w:rFonts w:ascii="Arial" w:hAnsi="Arial" w:cs="Arial"/>
          <w:b/>
          <w:i/>
          <w:sz w:val="22"/>
          <w:szCs w:val="22"/>
        </w:rPr>
      </w:pPr>
      <w:r w:rsidRPr="004E41D3">
        <w:rPr>
          <w:rFonts w:ascii="Arial" w:hAnsi="Arial" w:cs="Arial"/>
          <w:b/>
          <w:i/>
          <w:sz w:val="22"/>
          <w:szCs w:val="22"/>
        </w:rPr>
        <w:t>La contribución de dichas medidas, políticas y estrategias de justicia de transición a la realización de la Agenda 2030 para el Desarrollo Sostenible, en particular el Objetivo de Desarrollo Sostenible 16, relativo a la promoción de sociedades pacíficas e inclusivas para el desarrollo sostenible, la facilitación del acceso a la justicia para todos y la construcción a todos los niveles de instituciones eficaces e inclusivas que rindan cuentas. Sírvase destacar la coordinación con las áreas de políticas relevantes (por ejemplo, la prevención de la violencia, el desarrollo económico, la reducción de la pobreza, la promoción del estado de derecho, el acceso a la justicia, la buena gobernanza, lucha contra la corrupción y reforma de sectores de seguridad y justicia), los resultados específicos en la contribución al desarrollo y los elementos clave que contribuyeron a su éxito. Sírvase compartir los documentos, datos y enlaces pertinentes.</w:t>
      </w:r>
    </w:p>
    <w:p w14:paraId="03A62C4F" w14:textId="77777777" w:rsidR="004A2B71" w:rsidRPr="004E41D3" w:rsidRDefault="004A2B71" w:rsidP="004E41D3">
      <w:pPr>
        <w:spacing w:line="276" w:lineRule="auto"/>
        <w:jc w:val="both"/>
        <w:rPr>
          <w:rFonts w:ascii="Arial" w:hAnsi="Arial" w:cs="Arial"/>
          <w:b/>
          <w:i/>
          <w:color w:val="00B050"/>
          <w:sz w:val="22"/>
          <w:szCs w:val="22"/>
        </w:rPr>
      </w:pPr>
    </w:p>
    <w:p w14:paraId="4E593F2B" w14:textId="19C70BB9" w:rsidR="0085792C" w:rsidRPr="004E41D3" w:rsidRDefault="0085792C" w:rsidP="004E41D3">
      <w:pPr>
        <w:spacing w:line="276" w:lineRule="auto"/>
        <w:jc w:val="both"/>
        <w:rPr>
          <w:rFonts w:ascii="Arial" w:hAnsi="Arial" w:cs="Arial"/>
          <w:i/>
          <w:color w:val="00B050"/>
          <w:sz w:val="22"/>
          <w:szCs w:val="22"/>
        </w:rPr>
      </w:pPr>
      <w:r w:rsidRPr="004E41D3">
        <w:rPr>
          <w:rFonts w:ascii="Arial" w:hAnsi="Arial" w:cs="Arial"/>
          <w:sz w:val="22"/>
          <w:szCs w:val="22"/>
        </w:rPr>
        <w:t>En Argentina, el proceso de justicia transicional se inició con la vuelta a la democracia</w:t>
      </w:r>
      <w:r w:rsidR="000C41D5" w:rsidRPr="004E41D3">
        <w:rPr>
          <w:rFonts w:ascii="Arial" w:hAnsi="Arial" w:cs="Arial"/>
          <w:sz w:val="22"/>
          <w:szCs w:val="22"/>
        </w:rPr>
        <w:t xml:space="preserve"> en 1983</w:t>
      </w:r>
      <w:r w:rsidRPr="004E41D3">
        <w:rPr>
          <w:rFonts w:ascii="Arial" w:hAnsi="Arial" w:cs="Arial"/>
          <w:sz w:val="22"/>
          <w:szCs w:val="22"/>
        </w:rPr>
        <w:t xml:space="preserve">. A </w:t>
      </w:r>
      <w:r w:rsidR="0019032B" w:rsidRPr="004E41D3">
        <w:rPr>
          <w:rFonts w:ascii="Arial" w:hAnsi="Arial" w:cs="Arial"/>
          <w:sz w:val="22"/>
          <w:szCs w:val="22"/>
        </w:rPr>
        <w:t xml:space="preserve">nivel político, legislativo y judicial, a lo largo de los años </w:t>
      </w:r>
      <w:r w:rsidR="004A2B71" w:rsidRPr="004E41D3">
        <w:rPr>
          <w:rFonts w:ascii="Arial" w:hAnsi="Arial" w:cs="Arial"/>
          <w:sz w:val="22"/>
          <w:szCs w:val="22"/>
        </w:rPr>
        <w:t xml:space="preserve">se </w:t>
      </w:r>
      <w:r w:rsidR="0019032B" w:rsidRPr="004E41D3">
        <w:rPr>
          <w:rFonts w:ascii="Arial" w:hAnsi="Arial" w:cs="Arial"/>
          <w:sz w:val="22"/>
          <w:szCs w:val="22"/>
        </w:rPr>
        <w:t xml:space="preserve">han </w:t>
      </w:r>
      <w:r w:rsidR="00CE2620" w:rsidRPr="004E41D3">
        <w:rPr>
          <w:rFonts w:ascii="Arial" w:hAnsi="Arial" w:cs="Arial"/>
          <w:sz w:val="22"/>
          <w:szCs w:val="22"/>
        </w:rPr>
        <w:t>adoptado</w:t>
      </w:r>
      <w:r w:rsidR="004A2B71" w:rsidRPr="004E41D3">
        <w:rPr>
          <w:rFonts w:ascii="Arial" w:hAnsi="Arial" w:cs="Arial"/>
          <w:sz w:val="22"/>
          <w:szCs w:val="22"/>
        </w:rPr>
        <w:t xml:space="preserve"> distintas medidas tendientes a </w:t>
      </w:r>
      <w:r w:rsidRPr="004E41D3">
        <w:rPr>
          <w:rFonts w:ascii="Arial" w:hAnsi="Arial" w:cs="Arial"/>
          <w:sz w:val="22"/>
          <w:szCs w:val="22"/>
        </w:rPr>
        <w:t xml:space="preserve">investigar y a juzgar en procesos </w:t>
      </w:r>
      <w:r w:rsidR="003472D1" w:rsidRPr="004E41D3">
        <w:rPr>
          <w:rFonts w:ascii="Arial" w:hAnsi="Arial" w:cs="Arial"/>
          <w:sz w:val="22"/>
          <w:szCs w:val="22"/>
        </w:rPr>
        <w:t>internos</w:t>
      </w:r>
      <w:r w:rsidR="004A2B71" w:rsidRPr="004E41D3">
        <w:rPr>
          <w:rFonts w:ascii="Arial" w:hAnsi="Arial" w:cs="Arial"/>
          <w:sz w:val="22"/>
          <w:szCs w:val="22"/>
        </w:rPr>
        <w:t xml:space="preserve"> </w:t>
      </w:r>
      <w:r w:rsidRPr="004E41D3">
        <w:rPr>
          <w:rFonts w:ascii="Arial" w:hAnsi="Arial" w:cs="Arial"/>
          <w:sz w:val="22"/>
          <w:szCs w:val="22"/>
        </w:rPr>
        <w:t xml:space="preserve">las graves </w:t>
      </w:r>
      <w:r w:rsidRPr="004E41D3">
        <w:rPr>
          <w:rFonts w:ascii="Arial" w:hAnsi="Arial" w:cs="Arial"/>
          <w:sz w:val="22"/>
          <w:szCs w:val="22"/>
        </w:rPr>
        <w:lastRenderedPageBreak/>
        <w:t>violaciones a los derechos humanos cometidas durante la última dictadura cívico</w:t>
      </w:r>
      <w:r w:rsidR="004F340D" w:rsidRPr="004E41D3">
        <w:rPr>
          <w:rFonts w:ascii="Arial" w:hAnsi="Arial" w:cs="Arial"/>
          <w:sz w:val="22"/>
          <w:szCs w:val="22"/>
        </w:rPr>
        <w:t xml:space="preserve"> </w:t>
      </w:r>
      <w:r w:rsidRPr="004E41D3">
        <w:rPr>
          <w:rFonts w:ascii="Arial" w:hAnsi="Arial" w:cs="Arial"/>
          <w:sz w:val="22"/>
          <w:szCs w:val="22"/>
        </w:rPr>
        <w:t>militar</w:t>
      </w:r>
      <w:r w:rsidR="00AE2EAD" w:rsidRPr="004E41D3">
        <w:rPr>
          <w:rFonts w:ascii="Arial" w:hAnsi="Arial" w:cs="Arial"/>
          <w:sz w:val="22"/>
          <w:szCs w:val="22"/>
        </w:rPr>
        <w:t xml:space="preserve"> (1976/1983)</w:t>
      </w:r>
      <w:r w:rsidRPr="004E41D3">
        <w:rPr>
          <w:rFonts w:ascii="Arial" w:hAnsi="Arial" w:cs="Arial"/>
          <w:sz w:val="22"/>
          <w:szCs w:val="22"/>
        </w:rPr>
        <w:t>.</w:t>
      </w:r>
    </w:p>
    <w:p w14:paraId="50D92398" w14:textId="06343690" w:rsidR="00121E09" w:rsidRPr="004E41D3" w:rsidRDefault="003B1BFC" w:rsidP="004E41D3">
      <w:pPr>
        <w:pStyle w:val="NormalWeb"/>
        <w:spacing w:line="276" w:lineRule="auto"/>
        <w:jc w:val="both"/>
        <w:rPr>
          <w:rFonts w:ascii="Arial" w:hAnsi="Arial" w:cs="Arial"/>
          <w:sz w:val="22"/>
          <w:szCs w:val="22"/>
        </w:rPr>
      </w:pPr>
      <w:r w:rsidRPr="004E41D3">
        <w:rPr>
          <w:rFonts w:ascii="Arial" w:hAnsi="Arial" w:cs="Arial"/>
          <w:sz w:val="22"/>
          <w:szCs w:val="22"/>
        </w:rPr>
        <w:t xml:space="preserve">El </w:t>
      </w:r>
      <w:r w:rsidR="00C058B2" w:rsidRPr="004E41D3">
        <w:rPr>
          <w:rFonts w:ascii="Arial" w:hAnsi="Arial" w:cs="Arial"/>
          <w:sz w:val="22"/>
          <w:szCs w:val="22"/>
        </w:rPr>
        <w:t>Decreto 187/83</w:t>
      </w:r>
      <w:r w:rsidR="00AE3D8C" w:rsidRPr="004E41D3">
        <w:rPr>
          <w:rStyle w:val="Refdenotaalpie"/>
          <w:rFonts w:ascii="Arial" w:hAnsi="Arial" w:cs="Arial"/>
          <w:sz w:val="22"/>
          <w:szCs w:val="22"/>
        </w:rPr>
        <w:footnoteReference w:id="1"/>
      </w:r>
      <w:r w:rsidRPr="004E41D3">
        <w:rPr>
          <w:rFonts w:ascii="Arial" w:hAnsi="Arial" w:cs="Arial"/>
          <w:sz w:val="22"/>
          <w:szCs w:val="22"/>
        </w:rPr>
        <w:t xml:space="preserve"> </w:t>
      </w:r>
      <w:r w:rsidR="006B4E50" w:rsidRPr="004E41D3">
        <w:rPr>
          <w:rFonts w:ascii="Arial" w:hAnsi="Arial" w:cs="Arial"/>
          <w:sz w:val="22"/>
          <w:szCs w:val="22"/>
        </w:rPr>
        <w:t xml:space="preserve">creó la </w:t>
      </w:r>
      <w:r w:rsidR="00C058B2" w:rsidRPr="004E41D3">
        <w:rPr>
          <w:rFonts w:ascii="Arial" w:hAnsi="Arial" w:cs="Arial"/>
          <w:sz w:val="22"/>
          <w:szCs w:val="22"/>
        </w:rPr>
        <w:t xml:space="preserve">Comisión Nacional </w:t>
      </w:r>
      <w:r w:rsidR="00121E09" w:rsidRPr="004E41D3">
        <w:rPr>
          <w:rFonts w:ascii="Arial" w:hAnsi="Arial" w:cs="Arial"/>
          <w:sz w:val="22"/>
          <w:szCs w:val="22"/>
        </w:rPr>
        <w:t>sobre la Desaparición de Personas (</w:t>
      </w:r>
      <w:r w:rsidR="006B4E50" w:rsidRPr="004E41D3">
        <w:rPr>
          <w:rFonts w:ascii="Arial" w:hAnsi="Arial" w:cs="Arial"/>
          <w:sz w:val="22"/>
          <w:szCs w:val="22"/>
        </w:rPr>
        <w:t>CONADEP</w:t>
      </w:r>
      <w:r w:rsidR="00121E09" w:rsidRPr="004E41D3">
        <w:rPr>
          <w:rFonts w:ascii="Arial" w:hAnsi="Arial" w:cs="Arial"/>
          <w:sz w:val="22"/>
          <w:szCs w:val="22"/>
        </w:rPr>
        <w:t>)</w:t>
      </w:r>
      <w:r w:rsidR="00CE2620" w:rsidRPr="004E41D3">
        <w:rPr>
          <w:rFonts w:ascii="Arial" w:hAnsi="Arial" w:cs="Arial"/>
          <w:sz w:val="22"/>
          <w:szCs w:val="22"/>
        </w:rPr>
        <w:t>, que i</w:t>
      </w:r>
      <w:r w:rsidRPr="004E41D3">
        <w:rPr>
          <w:rFonts w:ascii="Arial" w:hAnsi="Arial" w:cs="Arial"/>
          <w:sz w:val="22"/>
          <w:szCs w:val="22"/>
        </w:rPr>
        <w:t>nvestig</w:t>
      </w:r>
      <w:r w:rsidR="004562B0" w:rsidRPr="004E41D3">
        <w:rPr>
          <w:rFonts w:ascii="Arial" w:hAnsi="Arial" w:cs="Arial"/>
          <w:sz w:val="22"/>
          <w:szCs w:val="22"/>
        </w:rPr>
        <w:t>ó</w:t>
      </w:r>
      <w:r w:rsidRPr="004E41D3">
        <w:rPr>
          <w:rFonts w:ascii="Arial" w:hAnsi="Arial" w:cs="Arial"/>
          <w:sz w:val="22"/>
          <w:szCs w:val="22"/>
        </w:rPr>
        <w:t xml:space="preserve"> la desaparición forzada de personas </w:t>
      </w:r>
      <w:r w:rsidR="00721B36" w:rsidRPr="004E41D3">
        <w:rPr>
          <w:rFonts w:ascii="Arial" w:hAnsi="Arial" w:cs="Arial"/>
          <w:sz w:val="22"/>
          <w:szCs w:val="22"/>
        </w:rPr>
        <w:t>ocurrida</w:t>
      </w:r>
      <w:r w:rsidRPr="004E41D3">
        <w:rPr>
          <w:rFonts w:ascii="Arial" w:hAnsi="Arial" w:cs="Arial"/>
          <w:sz w:val="22"/>
          <w:szCs w:val="22"/>
        </w:rPr>
        <w:t xml:space="preserve"> </w:t>
      </w:r>
      <w:r w:rsidR="00721B36" w:rsidRPr="004E41D3">
        <w:rPr>
          <w:rFonts w:ascii="Arial" w:hAnsi="Arial" w:cs="Arial"/>
          <w:sz w:val="22"/>
          <w:szCs w:val="22"/>
        </w:rPr>
        <w:t xml:space="preserve">en Argentina </w:t>
      </w:r>
      <w:r w:rsidRPr="004E41D3">
        <w:rPr>
          <w:rFonts w:ascii="Arial" w:hAnsi="Arial" w:cs="Arial"/>
          <w:sz w:val="22"/>
          <w:szCs w:val="22"/>
        </w:rPr>
        <w:t xml:space="preserve">durante la </w:t>
      </w:r>
      <w:r w:rsidR="00721B36" w:rsidRPr="004E41D3">
        <w:rPr>
          <w:rFonts w:ascii="Arial" w:hAnsi="Arial" w:cs="Arial"/>
          <w:sz w:val="22"/>
          <w:szCs w:val="22"/>
        </w:rPr>
        <w:t xml:space="preserve">última </w:t>
      </w:r>
      <w:r w:rsidRPr="004E41D3">
        <w:rPr>
          <w:rFonts w:ascii="Arial" w:hAnsi="Arial" w:cs="Arial"/>
          <w:sz w:val="22"/>
          <w:szCs w:val="22"/>
        </w:rPr>
        <w:t>dictadura</w:t>
      </w:r>
      <w:r w:rsidR="00CE2620" w:rsidRPr="004E41D3">
        <w:rPr>
          <w:rFonts w:ascii="Arial" w:hAnsi="Arial" w:cs="Arial"/>
          <w:sz w:val="22"/>
          <w:szCs w:val="22"/>
        </w:rPr>
        <w:t>. E</w:t>
      </w:r>
      <w:r w:rsidR="004A2B71" w:rsidRPr="004E41D3">
        <w:rPr>
          <w:rFonts w:ascii="Arial" w:hAnsi="Arial" w:cs="Arial"/>
          <w:sz w:val="22"/>
          <w:szCs w:val="22"/>
        </w:rPr>
        <w:t>n 1984</w:t>
      </w:r>
      <w:r w:rsidR="00CE2620" w:rsidRPr="004E41D3">
        <w:rPr>
          <w:rFonts w:ascii="Arial" w:hAnsi="Arial" w:cs="Arial"/>
          <w:sz w:val="22"/>
          <w:szCs w:val="22"/>
        </w:rPr>
        <w:t>,</w:t>
      </w:r>
      <w:r w:rsidR="004A2B71" w:rsidRPr="004E41D3">
        <w:rPr>
          <w:rFonts w:ascii="Arial" w:hAnsi="Arial" w:cs="Arial"/>
          <w:sz w:val="22"/>
          <w:szCs w:val="22"/>
        </w:rPr>
        <w:t xml:space="preserve"> </w:t>
      </w:r>
      <w:r w:rsidR="00C4572E" w:rsidRPr="004E41D3">
        <w:rPr>
          <w:rFonts w:ascii="Arial" w:hAnsi="Arial" w:cs="Arial"/>
          <w:sz w:val="22"/>
          <w:szCs w:val="22"/>
        </w:rPr>
        <w:t>publicó el</w:t>
      </w:r>
      <w:r w:rsidRPr="004E41D3">
        <w:rPr>
          <w:rFonts w:ascii="Arial" w:hAnsi="Arial" w:cs="Arial"/>
          <w:sz w:val="22"/>
          <w:szCs w:val="22"/>
        </w:rPr>
        <w:t xml:space="preserve"> Informe</w:t>
      </w:r>
      <w:r w:rsidR="00745691" w:rsidRPr="004E41D3">
        <w:rPr>
          <w:rFonts w:ascii="Arial" w:hAnsi="Arial" w:cs="Arial"/>
          <w:sz w:val="22"/>
          <w:szCs w:val="22"/>
        </w:rPr>
        <w:t xml:space="preserve"> “</w:t>
      </w:r>
      <w:r w:rsidR="00745691" w:rsidRPr="004E41D3">
        <w:rPr>
          <w:rFonts w:ascii="Arial" w:hAnsi="Arial" w:cs="Arial"/>
          <w:i/>
          <w:sz w:val="22"/>
          <w:szCs w:val="22"/>
        </w:rPr>
        <w:t>Nunca Más</w:t>
      </w:r>
      <w:r w:rsidR="00745691" w:rsidRPr="004E41D3">
        <w:rPr>
          <w:rFonts w:ascii="Arial" w:hAnsi="Arial" w:cs="Arial"/>
          <w:sz w:val="22"/>
          <w:szCs w:val="22"/>
        </w:rPr>
        <w:t>”</w:t>
      </w:r>
      <w:r w:rsidR="00D8193E" w:rsidRPr="004E41D3">
        <w:rPr>
          <w:rStyle w:val="Refdenotaalpie"/>
          <w:rFonts w:ascii="Arial" w:hAnsi="Arial" w:cs="Arial"/>
          <w:sz w:val="22"/>
          <w:szCs w:val="22"/>
        </w:rPr>
        <w:footnoteReference w:id="2"/>
      </w:r>
      <w:r w:rsidRPr="004E41D3">
        <w:rPr>
          <w:rFonts w:ascii="Arial" w:hAnsi="Arial" w:cs="Arial"/>
          <w:sz w:val="22"/>
          <w:szCs w:val="22"/>
        </w:rPr>
        <w:t>.</w:t>
      </w:r>
    </w:p>
    <w:p w14:paraId="3537694B" w14:textId="379A62F9" w:rsidR="003B1BFC" w:rsidRPr="004E41D3" w:rsidRDefault="004A2B71" w:rsidP="004E41D3">
      <w:pPr>
        <w:pStyle w:val="NormalWeb"/>
        <w:spacing w:line="276" w:lineRule="auto"/>
        <w:jc w:val="both"/>
        <w:rPr>
          <w:rFonts w:ascii="Arial" w:hAnsi="Arial" w:cs="Arial"/>
          <w:sz w:val="22"/>
          <w:szCs w:val="22"/>
        </w:rPr>
      </w:pPr>
      <w:r w:rsidRPr="004E41D3">
        <w:rPr>
          <w:rFonts w:ascii="Arial" w:hAnsi="Arial" w:cs="Arial"/>
          <w:sz w:val="22"/>
          <w:szCs w:val="22"/>
        </w:rPr>
        <w:t>L</w:t>
      </w:r>
      <w:r w:rsidR="003B1BFC" w:rsidRPr="004E41D3">
        <w:rPr>
          <w:rFonts w:ascii="Arial" w:hAnsi="Arial" w:cs="Arial"/>
          <w:sz w:val="22"/>
          <w:szCs w:val="22"/>
        </w:rPr>
        <w:t>a Ley 23.040</w:t>
      </w:r>
      <w:r w:rsidR="005507CB" w:rsidRPr="004E41D3">
        <w:rPr>
          <w:rStyle w:val="Refdenotaalpie"/>
          <w:rFonts w:ascii="Arial" w:hAnsi="Arial" w:cs="Arial"/>
          <w:sz w:val="22"/>
          <w:szCs w:val="22"/>
        </w:rPr>
        <w:footnoteReference w:id="3"/>
      </w:r>
      <w:r w:rsidR="003B1BFC" w:rsidRPr="004E41D3">
        <w:rPr>
          <w:rFonts w:ascii="Arial" w:hAnsi="Arial" w:cs="Arial"/>
          <w:sz w:val="22"/>
          <w:szCs w:val="22"/>
        </w:rPr>
        <w:t xml:space="preserve"> derogó por inconstitucional la ley de facto 22.924 </w:t>
      </w:r>
      <w:r w:rsidR="00FA7D46" w:rsidRPr="004E41D3">
        <w:rPr>
          <w:rFonts w:ascii="Arial" w:hAnsi="Arial" w:cs="Arial"/>
          <w:sz w:val="22"/>
          <w:szCs w:val="22"/>
        </w:rPr>
        <w:t xml:space="preserve">de Autoamnistía </w:t>
      </w:r>
      <w:r w:rsidR="003B1BFC" w:rsidRPr="004E41D3">
        <w:rPr>
          <w:rFonts w:ascii="Arial" w:hAnsi="Arial" w:cs="Arial"/>
          <w:sz w:val="22"/>
          <w:szCs w:val="22"/>
        </w:rPr>
        <w:t>y la declaró insanablemente nula</w:t>
      </w:r>
      <w:r w:rsidR="004562B0" w:rsidRPr="004E41D3">
        <w:rPr>
          <w:rFonts w:ascii="Arial" w:hAnsi="Arial" w:cs="Arial"/>
          <w:sz w:val="22"/>
          <w:szCs w:val="22"/>
        </w:rPr>
        <w:t>.</w:t>
      </w:r>
    </w:p>
    <w:p w14:paraId="29CF2B61" w14:textId="3BC0015C" w:rsidR="00423B32" w:rsidRPr="004E41D3" w:rsidRDefault="00423B32" w:rsidP="004E41D3">
      <w:pPr>
        <w:pStyle w:val="NormalWeb"/>
        <w:spacing w:line="276" w:lineRule="auto"/>
        <w:jc w:val="both"/>
        <w:rPr>
          <w:rFonts w:ascii="Arial" w:hAnsi="Arial" w:cs="Arial"/>
          <w:sz w:val="22"/>
          <w:szCs w:val="22"/>
        </w:rPr>
      </w:pPr>
      <w:r w:rsidRPr="004E41D3">
        <w:rPr>
          <w:rFonts w:ascii="Arial" w:hAnsi="Arial" w:cs="Arial"/>
          <w:sz w:val="22"/>
          <w:szCs w:val="22"/>
        </w:rPr>
        <w:t>El 9 de diciembre de 1985</w:t>
      </w:r>
      <w:r w:rsidR="00941D4D" w:rsidRPr="004E41D3">
        <w:rPr>
          <w:rFonts w:ascii="Arial" w:hAnsi="Arial" w:cs="Arial"/>
          <w:sz w:val="22"/>
          <w:szCs w:val="22"/>
        </w:rPr>
        <w:t xml:space="preserve">, la Cámara Federal </w:t>
      </w:r>
      <w:r w:rsidRPr="004E41D3">
        <w:rPr>
          <w:rFonts w:ascii="Arial" w:hAnsi="Arial" w:cs="Arial"/>
          <w:sz w:val="22"/>
          <w:szCs w:val="22"/>
        </w:rPr>
        <w:t>dictó sentencia</w:t>
      </w:r>
      <w:r w:rsidR="008A1229" w:rsidRPr="004E41D3">
        <w:rPr>
          <w:rFonts w:ascii="Arial" w:hAnsi="Arial" w:cs="Arial"/>
          <w:sz w:val="22"/>
          <w:szCs w:val="22"/>
        </w:rPr>
        <w:t xml:space="preserve"> en el Juicio a las Juntas</w:t>
      </w:r>
      <w:r w:rsidR="00D23BD2" w:rsidRPr="004E41D3">
        <w:rPr>
          <w:rFonts w:ascii="Arial" w:hAnsi="Arial" w:cs="Arial"/>
          <w:sz w:val="22"/>
          <w:szCs w:val="22"/>
        </w:rPr>
        <w:t xml:space="preserve"> (Causa 13/84)</w:t>
      </w:r>
      <w:r w:rsidR="0033778A" w:rsidRPr="004E41D3">
        <w:rPr>
          <w:rStyle w:val="Refdenotaalpie"/>
          <w:rFonts w:ascii="Arial" w:hAnsi="Arial" w:cs="Arial"/>
          <w:sz w:val="22"/>
          <w:szCs w:val="22"/>
        </w:rPr>
        <w:footnoteReference w:id="4"/>
      </w:r>
      <w:r w:rsidR="00D23BD2" w:rsidRPr="004E41D3">
        <w:rPr>
          <w:rFonts w:ascii="Arial" w:hAnsi="Arial" w:cs="Arial"/>
          <w:sz w:val="22"/>
          <w:szCs w:val="22"/>
        </w:rPr>
        <w:t xml:space="preserve"> en la que c</w:t>
      </w:r>
      <w:r w:rsidRPr="004E41D3">
        <w:rPr>
          <w:rFonts w:ascii="Arial" w:hAnsi="Arial" w:cs="Arial"/>
          <w:sz w:val="22"/>
          <w:szCs w:val="22"/>
        </w:rPr>
        <w:t xml:space="preserve">ondenó a cinco de los nueve </w:t>
      </w:r>
      <w:r w:rsidR="002C3C6F" w:rsidRPr="004E41D3">
        <w:rPr>
          <w:rFonts w:ascii="Arial" w:hAnsi="Arial" w:cs="Arial"/>
          <w:sz w:val="22"/>
          <w:szCs w:val="22"/>
        </w:rPr>
        <w:t>integrantes de las tres primeras juntas militares</w:t>
      </w:r>
      <w:r w:rsidR="008926EE" w:rsidRPr="004E41D3">
        <w:rPr>
          <w:rFonts w:ascii="Arial" w:hAnsi="Arial" w:cs="Arial"/>
          <w:sz w:val="22"/>
          <w:szCs w:val="22"/>
        </w:rPr>
        <w:t>.</w:t>
      </w:r>
    </w:p>
    <w:p w14:paraId="3CD2BAD0" w14:textId="3D50F794" w:rsidR="006B4E50" w:rsidRPr="004E41D3" w:rsidRDefault="00932A10" w:rsidP="004E41D3">
      <w:pPr>
        <w:pStyle w:val="NormalWeb"/>
        <w:spacing w:line="276" w:lineRule="auto"/>
        <w:jc w:val="both"/>
        <w:rPr>
          <w:rFonts w:ascii="Arial" w:hAnsi="Arial" w:cs="Arial"/>
          <w:sz w:val="22"/>
          <w:szCs w:val="22"/>
        </w:rPr>
      </w:pPr>
      <w:r w:rsidRPr="004E41D3">
        <w:rPr>
          <w:rFonts w:ascii="Arial" w:hAnsi="Arial" w:cs="Arial"/>
          <w:sz w:val="22"/>
          <w:szCs w:val="22"/>
        </w:rPr>
        <w:t>L</w:t>
      </w:r>
      <w:r w:rsidR="006B4E50" w:rsidRPr="004E41D3">
        <w:rPr>
          <w:rFonts w:ascii="Arial" w:hAnsi="Arial" w:cs="Arial"/>
          <w:sz w:val="22"/>
          <w:szCs w:val="22"/>
        </w:rPr>
        <w:t>as leyes de Punto Final</w:t>
      </w:r>
      <w:r w:rsidR="00050F71" w:rsidRPr="004E41D3">
        <w:rPr>
          <w:rStyle w:val="Refdenotaalpie"/>
          <w:rFonts w:ascii="Arial" w:hAnsi="Arial" w:cs="Arial"/>
          <w:sz w:val="22"/>
          <w:szCs w:val="22"/>
        </w:rPr>
        <w:footnoteReference w:id="5"/>
      </w:r>
      <w:r w:rsidR="006B4E50" w:rsidRPr="004E41D3">
        <w:rPr>
          <w:rFonts w:ascii="Arial" w:hAnsi="Arial" w:cs="Arial"/>
          <w:sz w:val="22"/>
          <w:szCs w:val="22"/>
        </w:rPr>
        <w:t xml:space="preserve"> y Obediencia Debida</w:t>
      </w:r>
      <w:r w:rsidR="00FC11FE" w:rsidRPr="004E41D3">
        <w:rPr>
          <w:rStyle w:val="Refdenotaalpie"/>
          <w:rFonts w:ascii="Arial" w:hAnsi="Arial" w:cs="Arial"/>
          <w:sz w:val="22"/>
          <w:szCs w:val="22"/>
        </w:rPr>
        <w:footnoteReference w:id="6"/>
      </w:r>
      <w:r w:rsidR="00E04A0F" w:rsidRPr="004E41D3">
        <w:rPr>
          <w:rFonts w:ascii="Arial" w:hAnsi="Arial" w:cs="Arial"/>
          <w:sz w:val="22"/>
          <w:szCs w:val="22"/>
        </w:rPr>
        <w:t xml:space="preserve"> </w:t>
      </w:r>
      <w:r w:rsidRPr="004E41D3">
        <w:rPr>
          <w:rFonts w:ascii="Arial" w:hAnsi="Arial" w:cs="Arial"/>
          <w:sz w:val="22"/>
          <w:szCs w:val="22"/>
        </w:rPr>
        <w:t xml:space="preserve">marcaron un retroceso en </w:t>
      </w:r>
      <w:r w:rsidR="008571F1" w:rsidRPr="004E41D3">
        <w:rPr>
          <w:rFonts w:ascii="Arial" w:hAnsi="Arial" w:cs="Arial"/>
          <w:sz w:val="22"/>
          <w:szCs w:val="22"/>
        </w:rPr>
        <w:t>la</w:t>
      </w:r>
      <w:r w:rsidRPr="004E41D3">
        <w:rPr>
          <w:rFonts w:ascii="Arial" w:hAnsi="Arial" w:cs="Arial"/>
          <w:sz w:val="22"/>
          <w:szCs w:val="22"/>
        </w:rPr>
        <w:t xml:space="preserve"> justicia transicional argentin</w:t>
      </w:r>
      <w:r w:rsidR="008571F1" w:rsidRPr="004E41D3">
        <w:rPr>
          <w:rFonts w:ascii="Arial" w:hAnsi="Arial" w:cs="Arial"/>
          <w:sz w:val="22"/>
          <w:szCs w:val="22"/>
        </w:rPr>
        <w:t>a</w:t>
      </w:r>
      <w:r w:rsidR="006B4E50" w:rsidRPr="004E41D3">
        <w:rPr>
          <w:rFonts w:ascii="Arial" w:hAnsi="Arial" w:cs="Arial"/>
          <w:sz w:val="22"/>
          <w:szCs w:val="22"/>
        </w:rPr>
        <w:t xml:space="preserve">. </w:t>
      </w:r>
      <w:r w:rsidR="00050F71" w:rsidRPr="004E41D3">
        <w:rPr>
          <w:rFonts w:ascii="Arial" w:hAnsi="Arial" w:cs="Arial"/>
          <w:sz w:val="22"/>
          <w:szCs w:val="22"/>
        </w:rPr>
        <w:t>Estas leyes fueron analizadas y convalidadas por la Corte Suprema</w:t>
      </w:r>
      <w:r w:rsidR="00E04A0F" w:rsidRPr="004E41D3">
        <w:rPr>
          <w:rFonts w:ascii="Arial" w:hAnsi="Arial" w:cs="Arial"/>
          <w:sz w:val="22"/>
          <w:szCs w:val="22"/>
        </w:rPr>
        <w:t xml:space="preserve"> de Justicia de la Nación</w:t>
      </w:r>
      <w:r w:rsidR="00050F71" w:rsidRPr="004E41D3">
        <w:rPr>
          <w:rFonts w:ascii="Arial" w:hAnsi="Arial" w:cs="Arial"/>
          <w:sz w:val="22"/>
          <w:szCs w:val="22"/>
        </w:rPr>
        <w:t xml:space="preserve"> en 1987.</w:t>
      </w:r>
      <w:r w:rsidR="00EF1B12" w:rsidRPr="004E41D3">
        <w:rPr>
          <w:rFonts w:ascii="Arial" w:hAnsi="Arial" w:cs="Arial"/>
          <w:sz w:val="22"/>
          <w:szCs w:val="22"/>
        </w:rPr>
        <w:t xml:space="preserve"> </w:t>
      </w:r>
      <w:r w:rsidR="00C327ED" w:rsidRPr="004E41D3">
        <w:rPr>
          <w:rFonts w:ascii="Arial" w:hAnsi="Arial" w:cs="Arial"/>
          <w:sz w:val="22"/>
          <w:szCs w:val="22"/>
        </w:rPr>
        <w:t>A su vez, e</w:t>
      </w:r>
      <w:r w:rsidR="00B45F81" w:rsidRPr="004E41D3">
        <w:rPr>
          <w:rFonts w:ascii="Arial" w:hAnsi="Arial" w:cs="Arial"/>
          <w:sz w:val="22"/>
          <w:szCs w:val="22"/>
        </w:rPr>
        <w:t>l Decreto 1002/89</w:t>
      </w:r>
      <w:r w:rsidR="00EF1B12" w:rsidRPr="004E41D3">
        <w:rPr>
          <w:rStyle w:val="Refdenotaalpie"/>
          <w:rFonts w:ascii="Arial" w:hAnsi="Arial" w:cs="Arial"/>
          <w:sz w:val="22"/>
          <w:szCs w:val="22"/>
        </w:rPr>
        <w:footnoteReference w:id="7"/>
      </w:r>
      <w:r w:rsidR="00B45F81" w:rsidRPr="004E41D3">
        <w:rPr>
          <w:rFonts w:ascii="Arial" w:hAnsi="Arial" w:cs="Arial"/>
          <w:sz w:val="22"/>
          <w:szCs w:val="22"/>
        </w:rPr>
        <w:t xml:space="preserve"> </w:t>
      </w:r>
      <w:r w:rsidR="00C17D58" w:rsidRPr="004E41D3">
        <w:rPr>
          <w:rFonts w:ascii="Arial" w:hAnsi="Arial" w:cs="Arial"/>
          <w:sz w:val="22"/>
          <w:szCs w:val="22"/>
        </w:rPr>
        <w:t>indultó</w:t>
      </w:r>
      <w:r w:rsidR="00582F1A" w:rsidRPr="004E41D3">
        <w:rPr>
          <w:rFonts w:ascii="Arial" w:hAnsi="Arial" w:cs="Arial"/>
          <w:sz w:val="22"/>
          <w:szCs w:val="22"/>
        </w:rPr>
        <w:t xml:space="preserve"> </w:t>
      </w:r>
      <w:r w:rsidR="006E2E61" w:rsidRPr="004E41D3">
        <w:rPr>
          <w:rFonts w:ascii="Arial" w:hAnsi="Arial" w:cs="Arial"/>
          <w:sz w:val="22"/>
          <w:szCs w:val="22"/>
        </w:rPr>
        <w:t xml:space="preserve">a </w:t>
      </w:r>
      <w:r w:rsidR="00F8512F" w:rsidRPr="004E41D3">
        <w:rPr>
          <w:rFonts w:ascii="Arial" w:hAnsi="Arial" w:cs="Arial"/>
          <w:sz w:val="22"/>
          <w:szCs w:val="22"/>
        </w:rPr>
        <w:t xml:space="preserve">procesados y condenados por </w:t>
      </w:r>
      <w:r w:rsidR="006E2E61" w:rsidRPr="004E41D3">
        <w:rPr>
          <w:rFonts w:ascii="Arial" w:hAnsi="Arial" w:cs="Arial"/>
          <w:sz w:val="22"/>
          <w:szCs w:val="22"/>
        </w:rPr>
        <w:t>crímenes de lesa humanidad.</w:t>
      </w:r>
      <w:r w:rsidR="006B4E50" w:rsidRPr="004E41D3">
        <w:rPr>
          <w:rFonts w:ascii="Arial" w:hAnsi="Arial" w:cs="Arial"/>
          <w:sz w:val="22"/>
          <w:szCs w:val="22"/>
        </w:rPr>
        <w:t xml:space="preserve"> </w:t>
      </w:r>
    </w:p>
    <w:p w14:paraId="7642ED9A" w14:textId="55BB4EEC" w:rsidR="002873D0" w:rsidRPr="004E41D3" w:rsidRDefault="00146FF5"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Las organizaciones de derechos humanos y la sociedad civil tuvieron un papel muy destacado en la evolución de la justicia transicional </w:t>
      </w:r>
      <w:r w:rsidR="0019453F" w:rsidRPr="004E41D3">
        <w:rPr>
          <w:rFonts w:ascii="Arial" w:hAnsi="Arial" w:cs="Arial"/>
          <w:sz w:val="22"/>
          <w:szCs w:val="22"/>
        </w:rPr>
        <w:t>de nuestro país</w:t>
      </w:r>
      <w:r w:rsidRPr="004E41D3">
        <w:rPr>
          <w:rFonts w:ascii="Arial" w:hAnsi="Arial" w:cs="Arial"/>
          <w:sz w:val="22"/>
          <w:szCs w:val="22"/>
        </w:rPr>
        <w:t xml:space="preserve">. </w:t>
      </w:r>
      <w:r w:rsidR="002873D0" w:rsidRPr="004E41D3">
        <w:rPr>
          <w:rFonts w:ascii="Arial" w:hAnsi="Arial" w:cs="Arial"/>
          <w:sz w:val="22"/>
          <w:szCs w:val="22"/>
        </w:rPr>
        <w:t xml:space="preserve">Luego de los indultos, denunciaron a la Argentina ante la Comisión Interamericana de Derechos Humanos. En 1992, la CIDH se pronunció </w:t>
      </w:r>
      <w:r w:rsidR="006A4732" w:rsidRPr="004E41D3">
        <w:rPr>
          <w:rFonts w:ascii="Arial" w:hAnsi="Arial" w:cs="Arial"/>
          <w:sz w:val="22"/>
          <w:szCs w:val="22"/>
        </w:rPr>
        <w:t xml:space="preserve">al respecto </w:t>
      </w:r>
      <w:r w:rsidR="002873D0" w:rsidRPr="004E41D3">
        <w:rPr>
          <w:rFonts w:ascii="Arial" w:hAnsi="Arial" w:cs="Arial"/>
          <w:sz w:val="22"/>
          <w:szCs w:val="22"/>
        </w:rPr>
        <w:t xml:space="preserve">en el </w:t>
      </w:r>
      <w:r w:rsidR="002873D0" w:rsidRPr="004E41D3">
        <w:rPr>
          <w:rFonts w:ascii="Arial" w:hAnsi="Arial" w:cs="Arial"/>
          <w:i/>
          <w:sz w:val="22"/>
          <w:szCs w:val="22"/>
        </w:rPr>
        <w:t>Informe 28/92</w:t>
      </w:r>
      <w:r w:rsidR="00C33E64" w:rsidRPr="004E41D3">
        <w:rPr>
          <w:rStyle w:val="Refdenotaalpie"/>
          <w:rFonts w:ascii="Arial" w:hAnsi="Arial" w:cs="Arial"/>
          <w:sz w:val="22"/>
          <w:szCs w:val="22"/>
        </w:rPr>
        <w:footnoteReference w:id="8"/>
      </w:r>
      <w:r w:rsidR="002873D0" w:rsidRPr="004E41D3">
        <w:rPr>
          <w:rFonts w:ascii="Arial" w:hAnsi="Arial" w:cs="Arial"/>
          <w:sz w:val="22"/>
          <w:szCs w:val="22"/>
        </w:rPr>
        <w:t xml:space="preserve">. </w:t>
      </w:r>
      <w:r w:rsidR="00EC4429" w:rsidRPr="004E41D3">
        <w:rPr>
          <w:rFonts w:ascii="Arial" w:hAnsi="Arial" w:cs="Arial"/>
          <w:sz w:val="22"/>
          <w:szCs w:val="22"/>
        </w:rPr>
        <w:t xml:space="preserve">El organismo concluyó que </w:t>
      </w:r>
      <w:r w:rsidR="00171C33" w:rsidRPr="004E41D3">
        <w:rPr>
          <w:rFonts w:ascii="Arial" w:hAnsi="Arial" w:cs="Arial"/>
          <w:sz w:val="22"/>
          <w:szCs w:val="22"/>
        </w:rPr>
        <w:t>las leyes de Punto Final y de Obediencia Debida eran incompatibles con los artículos 1, 8 y 25</w:t>
      </w:r>
      <w:r w:rsidR="00171C33" w:rsidRPr="004E41D3">
        <w:rPr>
          <w:rFonts w:ascii="Arial" w:hAnsi="Arial" w:cs="Arial"/>
          <w:position w:val="10"/>
          <w:sz w:val="22"/>
          <w:szCs w:val="22"/>
        </w:rPr>
        <w:t xml:space="preserve"> </w:t>
      </w:r>
      <w:r w:rsidR="00171C33" w:rsidRPr="004E41D3">
        <w:rPr>
          <w:rFonts w:ascii="Arial" w:hAnsi="Arial" w:cs="Arial"/>
          <w:sz w:val="22"/>
          <w:szCs w:val="22"/>
        </w:rPr>
        <w:t xml:space="preserve">de la Convención </w:t>
      </w:r>
      <w:proofErr w:type="gramStart"/>
      <w:r w:rsidR="00171C33" w:rsidRPr="004E41D3">
        <w:rPr>
          <w:rFonts w:ascii="Arial" w:hAnsi="Arial" w:cs="Arial"/>
          <w:sz w:val="22"/>
          <w:szCs w:val="22"/>
        </w:rPr>
        <w:t>Americana</w:t>
      </w:r>
      <w:proofErr w:type="gramEnd"/>
      <w:r w:rsidR="00171C33" w:rsidRPr="004E41D3">
        <w:rPr>
          <w:rFonts w:ascii="Arial" w:hAnsi="Arial" w:cs="Arial"/>
          <w:sz w:val="22"/>
          <w:szCs w:val="22"/>
        </w:rPr>
        <w:t xml:space="preserve"> sobre Derechos Humanos</w:t>
      </w:r>
      <w:r w:rsidR="0009664C" w:rsidRPr="004E41D3">
        <w:rPr>
          <w:rFonts w:ascii="Arial" w:hAnsi="Arial" w:cs="Arial"/>
          <w:sz w:val="22"/>
          <w:szCs w:val="22"/>
        </w:rPr>
        <w:t xml:space="preserve"> (CADH)</w:t>
      </w:r>
      <w:r w:rsidR="00171C33" w:rsidRPr="004E41D3">
        <w:rPr>
          <w:rFonts w:ascii="Arial" w:hAnsi="Arial" w:cs="Arial"/>
          <w:sz w:val="22"/>
          <w:szCs w:val="22"/>
        </w:rPr>
        <w:t xml:space="preserve">, la que había entrado en vigor en Argentina en 1984, </w:t>
      </w:r>
      <w:r w:rsidR="00341D01" w:rsidRPr="004E41D3">
        <w:rPr>
          <w:rFonts w:ascii="Arial" w:hAnsi="Arial" w:cs="Arial"/>
          <w:sz w:val="22"/>
          <w:szCs w:val="22"/>
        </w:rPr>
        <w:t>con anterioridad a</w:t>
      </w:r>
      <w:r w:rsidR="00171C33" w:rsidRPr="004E41D3">
        <w:rPr>
          <w:rFonts w:ascii="Arial" w:hAnsi="Arial" w:cs="Arial"/>
          <w:sz w:val="22"/>
          <w:szCs w:val="22"/>
        </w:rPr>
        <w:t xml:space="preserve"> la promulgación de las normas en cuestión.</w:t>
      </w:r>
      <w:r w:rsidR="001612B4" w:rsidRPr="004E41D3">
        <w:rPr>
          <w:rFonts w:ascii="Arial" w:hAnsi="Arial" w:cs="Arial"/>
          <w:sz w:val="22"/>
          <w:szCs w:val="22"/>
        </w:rPr>
        <w:t xml:space="preserve"> </w:t>
      </w:r>
      <w:r w:rsidR="00D04623" w:rsidRPr="004E41D3">
        <w:rPr>
          <w:rFonts w:ascii="Arial" w:hAnsi="Arial" w:cs="Arial"/>
          <w:sz w:val="22"/>
          <w:szCs w:val="22"/>
        </w:rPr>
        <w:t>Asimismo</w:t>
      </w:r>
      <w:r w:rsidR="002873D0" w:rsidRPr="004E41D3">
        <w:rPr>
          <w:rFonts w:ascii="Arial" w:hAnsi="Arial" w:cs="Arial"/>
          <w:sz w:val="22"/>
          <w:szCs w:val="22"/>
        </w:rPr>
        <w:t xml:space="preserve">, recomendó al </w:t>
      </w:r>
      <w:r w:rsidR="00D04623" w:rsidRPr="004E41D3">
        <w:rPr>
          <w:rFonts w:ascii="Arial" w:hAnsi="Arial" w:cs="Arial"/>
          <w:sz w:val="22"/>
          <w:szCs w:val="22"/>
        </w:rPr>
        <w:t>G</w:t>
      </w:r>
      <w:r w:rsidR="002873D0" w:rsidRPr="004E41D3">
        <w:rPr>
          <w:rFonts w:ascii="Arial" w:hAnsi="Arial" w:cs="Arial"/>
          <w:sz w:val="22"/>
          <w:szCs w:val="22"/>
        </w:rPr>
        <w:t xml:space="preserve">obierno de Argentina la adopción de medidas necesarias para esclarecer los hechos e individualizar a los responsables de las violaciones de derechos humanos ocurridas durante la pasada dictadura </w:t>
      </w:r>
      <w:r w:rsidR="00215DA4" w:rsidRPr="004E41D3">
        <w:rPr>
          <w:rFonts w:ascii="Arial" w:hAnsi="Arial" w:cs="Arial"/>
          <w:sz w:val="22"/>
          <w:szCs w:val="22"/>
        </w:rPr>
        <w:t xml:space="preserve">cívico </w:t>
      </w:r>
      <w:r w:rsidR="002873D0" w:rsidRPr="004E41D3">
        <w:rPr>
          <w:rFonts w:ascii="Arial" w:hAnsi="Arial" w:cs="Arial"/>
          <w:sz w:val="22"/>
          <w:szCs w:val="22"/>
        </w:rPr>
        <w:t xml:space="preserve">militar. </w:t>
      </w:r>
    </w:p>
    <w:p w14:paraId="00A220DD" w14:textId="34805B42" w:rsidR="00D665E9" w:rsidRPr="004E41D3" w:rsidRDefault="001612B4"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Ese mismo año</w:t>
      </w:r>
      <w:r w:rsidR="00BB5B65" w:rsidRPr="004E41D3">
        <w:rPr>
          <w:rFonts w:ascii="Arial" w:hAnsi="Arial" w:cs="Arial"/>
          <w:sz w:val="22"/>
          <w:szCs w:val="22"/>
        </w:rPr>
        <w:t xml:space="preserve">, </w:t>
      </w:r>
      <w:r w:rsidR="001C1B1E" w:rsidRPr="004E41D3">
        <w:rPr>
          <w:rFonts w:ascii="Arial" w:hAnsi="Arial" w:cs="Arial"/>
          <w:sz w:val="22"/>
          <w:szCs w:val="22"/>
        </w:rPr>
        <w:t>en el caso Sofovich</w:t>
      </w:r>
      <w:r w:rsidR="00A00D0D" w:rsidRPr="004E41D3">
        <w:rPr>
          <w:rStyle w:val="Refdenotaalpie"/>
          <w:rFonts w:ascii="Arial" w:hAnsi="Arial" w:cs="Arial"/>
          <w:sz w:val="22"/>
          <w:szCs w:val="22"/>
        </w:rPr>
        <w:footnoteReference w:id="9"/>
      </w:r>
      <w:r w:rsidR="001C1B1E" w:rsidRPr="004E41D3">
        <w:rPr>
          <w:rFonts w:ascii="Arial" w:hAnsi="Arial" w:cs="Arial"/>
          <w:sz w:val="22"/>
          <w:szCs w:val="22"/>
        </w:rPr>
        <w:t>,</w:t>
      </w:r>
      <w:r w:rsidR="00131413" w:rsidRPr="004E41D3">
        <w:rPr>
          <w:rFonts w:ascii="Arial" w:hAnsi="Arial" w:cs="Arial"/>
          <w:sz w:val="22"/>
          <w:szCs w:val="22"/>
        </w:rPr>
        <w:t xml:space="preserve"> </w:t>
      </w:r>
      <w:r w:rsidR="00347CEC" w:rsidRPr="004E41D3">
        <w:rPr>
          <w:rFonts w:ascii="Arial" w:hAnsi="Arial" w:cs="Arial"/>
          <w:sz w:val="22"/>
          <w:szCs w:val="22"/>
        </w:rPr>
        <w:t xml:space="preserve">la Corte Suprema </w:t>
      </w:r>
      <w:r w:rsidR="001C1B1E" w:rsidRPr="004E41D3">
        <w:rPr>
          <w:rFonts w:ascii="Arial" w:hAnsi="Arial" w:cs="Arial"/>
          <w:sz w:val="22"/>
          <w:szCs w:val="22"/>
        </w:rPr>
        <w:t xml:space="preserve">de Justicia de la Nación </w:t>
      </w:r>
      <w:r w:rsidR="00347CEC" w:rsidRPr="004E41D3">
        <w:rPr>
          <w:rFonts w:ascii="Arial" w:hAnsi="Arial" w:cs="Arial"/>
          <w:sz w:val="22"/>
          <w:szCs w:val="22"/>
        </w:rPr>
        <w:t>reconoció la supremacía de los tratados de derechos humanos y, por lo tanto, la obligación internacional de los Estados</w:t>
      </w:r>
      <w:r w:rsidR="00171C33" w:rsidRPr="004E41D3">
        <w:rPr>
          <w:rFonts w:ascii="Arial" w:hAnsi="Arial" w:cs="Arial"/>
          <w:sz w:val="22"/>
          <w:szCs w:val="22"/>
        </w:rPr>
        <w:t xml:space="preserve"> </w:t>
      </w:r>
      <w:r w:rsidR="00347CEC" w:rsidRPr="004E41D3">
        <w:rPr>
          <w:rFonts w:ascii="Arial" w:hAnsi="Arial" w:cs="Arial"/>
          <w:sz w:val="22"/>
          <w:szCs w:val="22"/>
        </w:rPr>
        <w:t xml:space="preserve">de cumplir con </w:t>
      </w:r>
      <w:r w:rsidR="00171C33" w:rsidRPr="004E41D3">
        <w:rPr>
          <w:rFonts w:ascii="Arial" w:hAnsi="Arial" w:cs="Arial"/>
          <w:sz w:val="22"/>
          <w:szCs w:val="22"/>
        </w:rPr>
        <w:t>ellos al ratificarlos</w:t>
      </w:r>
      <w:r w:rsidR="00347CEC" w:rsidRPr="004E41D3">
        <w:rPr>
          <w:rFonts w:ascii="Arial" w:hAnsi="Arial" w:cs="Arial"/>
          <w:sz w:val="22"/>
          <w:szCs w:val="22"/>
        </w:rPr>
        <w:t xml:space="preserve">. </w:t>
      </w:r>
      <w:r w:rsidR="00D03198" w:rsidRPr="004E41D3">
        <w:rPr>
          <w:rFonts w:ascii="Arial" w:hAnsi="Arial" w:cs="Arial"/>
          <w:sz w:val="22"/>
          <w:szCs w:val="22"/>
        </w:rPr>
        <w:t>Asimismo,</w:t>
      </w:r>
      <w:r w:rsidR="00D665E9" w:rsidRPr="004E41D3">
        <w:rPr>
          <w:rFonts w:ascii="Arial" w:hAnsi="Arial" w:cs="Arial"/>
          <w:sz w:val="22"/>
          <w:szCs w:val="22"/>
        </w:rPr>
        <w:t xml:space="preserve"> </w:t>
      </w:r>
      <w:r w:rsidR="00D157CF" w:rsidRPr="004E41D3">
        <w:rPr>
          <w:rFonts w:ascii="Arial" w:hAnsi="Arial" w:cs="Arial"/>
          <w:sz w:val="22"/>
          <w:szCs w:val="22"/>
        </w:rPr>
        <w:lastRenderedPageBreak/>
        <w:t>destacó</w:t>
      </w:r>
      <w:r w:rsidR="00D665E9" w:rsidRPr="004E41D3">
        <w:rPr>
          <w:rFonts w:ascii="Arial" w:hAnsi="Arial" w:cs="Arial"/>
          <w:sz w:val="22"/>
          <w:szCs w:val="22"/>
        </w:rPr>
        <w:t xml:space="preserve"> que</w:t>
      </w:r>
      <w:r w:rsidR="00D157CF" w:rsidRPr="004E41D3">
        <w:rPr>
          <w:rFonts w:ascii="Arial" w:hAnsi="Arial" w:cs="Arial"/>
          <w:sz w:val="22"/>
          <w:szCs w:val="22"/>
        </w:rPr>
        <w:t xml:space="preserve"> la </w:t>
      </w:r>
      <w:r w:rsidR="008609B8" w:rsidRPr="004E41D3">
        <w:rPr>
          <w:rFonts w:ascii="Arial" w:hAnsi="Arial" w:cs="Arial"/>
          <w:sz w:val="22"/>
          <w:szCs w:val="22"/>
        </w:rPr>
        <w:t xml:space="preserve">interpretación debe seguir la </w:t>
      </w:r>
      <w:r w:rsidR="00D157CF" w:rsidRPr="004E41D3">
        <w:rPr>
          <w:rFonts w:ascii="Arial" w:hAnsi="Arial" w:cs="Arial"/>
          <w:sz w:val="22"/>
          <w:szCs w:val="22"/>
        </w:rPr>
        <w:t>jurisprudencia de la Corte Interamericana</w:t>
      </w:r>
      <w:r w:rsidR="008609B8" w:rsidRPr="004E41D3">
        <w:rPr>
          <w:rFonts w:ascii="Arial" w:hAnsi="Arial" w:cs="Arial"/>
          <w:sz w:val="22"/>
          <w:szCs w:val="22"/>
        </w:rPr>
        <w:t>, en tanto</w:t>
      </w:r>
      <w:r w:rsidR="00D157CF" w:rsidRPr="004E41D3">
        <w:rPr>
          <w:rFonts w:ascii="Arial" w:hAnsi="Arial" w:cs="Arial"/>
          <w:sz w:val="22"/>
          <w:szCs w:val="22"/>
        </w:rPr>
        <w:t xml:space="preserve"> pauta interpretativa</w:t>
      </w:r>
      <w:r w:rsidR="00D665E9" w:rsidRPr="004E41D3">
        <w:rPr>
          <w:rFonts w:ascii="Arial" w:hAnsi="Arial" w:cs="Arial"/>
          <w:sz w:val="22"/>
          <w:szCs w:val="22"/>
        </w:rPr>
        <w:t>.</w:t>
      </w:r>
      <w:r w:rsidR="00347CEC" w:rsidRPr="004E41D3">
        <w:rPr>
          <w:rFonts w:ascii="Arial" w:hAnsi="Arial" w:cs="Arial"/>
          <w:sz w:val="22"/>
          <w:szCs w:val="22"/>
        </w:rPr>
        <w:t xml:space="preserve"> </w:t>
      </w:r>
    </w:p>
    <w:p w14:paraId="68538F91" w14:textId="2FF80AE5" w:rsidR="0067785C" w:rsidRPr="004E41D3" w:rsidRDefault="00BB5B65"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Luego</w:t>
      </w:r>
      <w:r w:rsidR="00254677" w:rsidRPr="004E41D3">
        <w:rPr>
          <w:rFonts w:ascii="Arial" w:hAnsi="Arial" w:cs="Arial"/>
          <w:sz w:val="22"/>
          <w:szCs w:val="22"/>
        </w:rPr>
        <w:t xml:space="preserve"> del </w:t>
      </w:r>
      <w:r w:rsidR="00254677" w:rsidRPr="004E41D3">
        <w:rPr>
          <w:rFonts w:ascii="Arial" w:hAnsi="Arial" w:cs="Arial"/>
          <w:i/>
          <w:sz w:val="22"/>
          <w:szCs w:val="22"/>
        </w:rPr>
        <w:t>Informe 28/92</w:t>
      </w:r>
      <w:r w:rsidR="00254677" w:rsidRPr="004E41D3">
        <w:rPr>
          <w:rFonts w:ascii="Arial" w:hAnsi="Arial" w:cs="Arial"/>
          <w:sz w:val="22"/>
          <w:szCs w:val="22"/>
        </w:rPr>
        <w:t xml:space="preserve"> de la </w:t>
      </w:r>
      <w:r w:rsidRPr="004E41D3">
        <w:rPr>
          <w:rFonts w:ascii="Arial" w:hAnsi="Arial" w:cs="Arial"/>
          <w:sz w:val="22"/>
          <w:szCs w:val="22"/>
        </w:rPr>
        <w:t>CIDH</w:t>
      </w:r>
      <w:r w:rsidR="00254677" w:rsidRPr="004E41D3">
        <w:rPr>
          <w:rFonts w:ascii="Arial" w:hAnsi="Arial" w:cs="Arial"/>
          <w:sz w:val="22"/>
          <w:szCs w:val="22"/>
        </w:rPr>
        <w:t xml:space="preserve">, </w:t>
      </w:r>
      <w:r w:rsidR="0067785C" w:rsidRPr="004E41D3">
        <w:rPr>
          <w:rFonts w:ascii="Arial" w:hAnsi="Arial" w:cs="Arial"/>
          <w:sz w:val="22"/>
          <w:szCs w:val="22"/>
        </w:rPr>
        <w:t xml:space="preserve">a partir del año 1995, </w:t>
      </w:r>
      <w:r w:rsidRPr="004E41D3">
        <w:rPr>
          <w:rFonts w:ascii="Arial" w:hAnsi="Arial" w:cs="Arial"/>
          <w:sz w:val="22"/>
          <w:szCs w:val="22"/>
        </w:rPr>
        <w:t>diversos</w:t>
      </w:r>
      <w:r w:rsidR="00254677" w:rsidRPr="004E41D3">
        <w:rPr>
          <w:rFonts w:ascii="Arial" w:hAnsi="Arial" w:cs="Arial"/>
          <w:sz w:val="22"/>
          <w:szCs w:val="22"/>
        </w:rPr>
        <w:t xml:space="preserve"> organismos de derechos humanos </w:t>
      </w:r>
      <w:r w:rsidR="001C1B1E" w:rsidRPr="004E41D3">
        <w:rPr>
          <w:rFonts w:ascii="Arial" w:hAnsi="Arial" w:cs="Arial"/>
          <w:sz w:val="22"/>
          <w:szCs w:val="22"/>
        </w:rPr>
        <w:t>comenzaron</w:t>
      </w:r>
      <w:r w:rsidR="00254677" w:rsidRPr="004E41D3">
        <w:rPr>
          <w:rFonts w:ascii="Arial" w:hAnsi="Arial" w:cs="Arial"/>
          <w:sz w:val="22"/>
          <w:szCs w:val="22"/>
        </w:rPr>
        <w:t xml:space="preserve"> a promover los Juicios por la Verdad. </w:t>
      </w:r>
      <w:r w:rsidR="0067785C" w:rsidRPr="004E41D3">
        <w:rPr>
          <w:rFonts w:ascii="Arial" w:hAnsi="Arial" w:cs="Arial"/>
          <w:sz w:val="22"/>
          <w:szCs w:val="22"/>
        </w:rPr>
        <w:t xml:space="preserve">Ante la imposibilidad de juzgar a los responsables, </w:t>
      </w:r>
      <w:r w:rsidR="008609B8" w:rsidRPr="004E41D3">
        <w:rPr>
          <w:rFonts w:ascii="Arial" w:hAnsi="Arial" w:cs="Arial"/>
          <w:sz w:val="22"/>
          <w:szCs w:val="22"/>
        </w:rPr>
        <w:t>estos procesos</w:t>
      </w:r>
      <w:r w:rsidR="0067785C" w:rsidRPr="004E41D3">
        <w:rPr>
          <w:rFonts w:ascii="Arial" w:hAnsi="Arial" w:cs="Arial"/>
          <w:sz w:val="22"/>
          <w:szCs w:val="22"/>
        </w:rPr>
        <w:t xml:space="preserve"> se convirtieron en una nueva modalidad de justicia transicional, </w:t>
      </w:r>
      <w:r w:rsidR="008609B8" w:rsidRPr="004E41D3">
        <w:rPr>
          <w:rFonts w:ascii="Arial" w:hAnsi="Arial" w:cs="Arial"/>
          <w:sz w:val="22"/>
          <w:szCs w:val="22"/>
        </w:rPr>
        <w:t>enfocada</w:t>
      </w:r>
      <w:r w:rsidR="0067785C" w:rsidRPr="004E41D3">
        <w:rPr>
          <w:rFonts w:ascii="Arial" w:hAnsi="Arial" w:cs="Arial"/>
          <w:sz w:val="22"/>
          <w:szCs w:val="22"/>
        </w:rPr>
        <w:t xml:space="preserve"> en</w:t>
      </w:r>
      <w:r w:rsidR="008609B8" w:rsidRPr="004E41D3">
        <w:rPr>
          <w:rFonts w:ascii="Arial" w:hAnsi="Arial" w:cs="Arial"/>
          <w:sz w:val="22"/>
          <w:szCs w:val="22"/>
        </w:rPr>
        <w:t xml:space="preserve"> la</w:t>
      </w:r>
      <w:r w:rsidR="0067785C" w:rsidRPr="004E41D3">
        <w:rPr>
          <w:rFonts w:ascii="Arial" w:hAnsi="Arial" w:cs="Arial"/>
          <w:sz w:val="22"/>
          <w:szCs w:val="22"/>
        </w:rPr>
        <w:t xml:space="preserve"> investiga</w:t>
      </w:r>
      <w:r w:rsidR="008609B8" w:rsidRPr="004E41D3">
        <w:rPr>
          <w:rFonts w:ascii="Arial" w:hAnsi="Arial" w:cs="Arial"/>
          <w:sz w:val="22"/>
          <w:szCs w:val="22"/>
        </w:rPr>
        <w:t>ción</w:t>
      </w:r>
      <w:r w:rsidR="0067785C" w:rsidRPr="004E41D3">
        <w:rPr>
          <w:rFonts w:ascii="Arial" w:hAnsi="Arial" w:cs="Arial"/>
          <w:sz w:val="22"/>
          <w:szCs w:val="22"/>
        </w:rPr>
        <w:t xml:space="preserve"> y </w:t>
      </w:r>
      <w:r w:rsidR="008609B8" w:rsidRPr="004E41D3">
        <w:rPr>
          <w:rFonts w:ascii="Arial" w:hAnsi="Arial" w:cs="Arial"/>
          <w:sz w:val="22"/>
          <w:szCs w:val="22"/>
        </w:rPr>
        <w:t>el conocimiento de</w:t>
      </w:r>
      <w:r w:rsidR="0067785C" w:rsidRPr="004E41D3">
        <w:rPr>
          <w:rFonts w:ascii="Arial" w:hAnsi="Arial" w:cs="Arial"/>
          <w:sz w:val="22"/>
          <w:szCs w:val="22"/>
        </w:rPr>
        <w:t xml:space="preserve"> los hechos. </w:t>
      </w:r>
    </w:p>
    <w:p w14:paraId="59C6B4FA" w14:textId="74F96ADA" w:rsidR="00F3702C" w:rsidRPr="004E41D3" w:rsidRDefault="00F3702C"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Por su parte, el </w:t>
      </w:r>
      <w:r w:rsidRPr="004E41D3">
        <w:rPr>
          <w:rFonts w:ascii="Arial" w:hAnsi="Arial" w:cs="Arial"/>
          <w:i/>
          <w:iCs/>
          <w:sz w:val="22"/>
          <w:szCs w:val="22"/>
        </w:rPr>
        <w:t>Informe de Solución Amistosa 1/93</w:t>
      </w:r>
      <w:r w:rsidR="00BA63D9" w:rsidRPr="004E41D3">
        <w:rPr>
          <w:rStyle w:val="Refdenotaalpie"/>
          <w:rFonts w:ascii="Arial" w:hAnsi="Arial" w:cs="Arial"/>
          <w:i/>
          <w:iCs/>
          <w:sz w:val="22"/>
          <w:szCs w:val="22"/>
        </w:rPr>
        <w:footnoteReference w:id="10"/>
      </w:r>
      <w:r w:rsidRPr="004E41D3">
        <w:rPr>
          <w:rFonts w:ascii="Arial" w:hAnsi="Arial" w:cs="Arial"/>
          <w:iCs/>
          <w:sz w:val="22"/>
          <w:szCs w:val="22"/>
        </w:rPr>
        <w:t xml:space="preserve"> de la CIDH</w:t>
      </w:r>
      <w:r w:rsidRPr="004E41D3">
        <w:rPr>
          <w:rFonts w:ascii="Arial" w:hAnsi="Arial" w:cs="Arial"/>
          <w:sz w:val="22"/>
          <w:szCs w:val="22"/>
        </w:rPr>
        <w:t xml:space="preserve"> dio lugar a una ley de reparaciones para víctimas de la dictadura </w:t>
      </w:r>
      <w:r w:rsidR="0024253B" w:rsidRPr="004E41D3">
        <w:rPr>
          <w:rFonts w:ascii="Arial" w:hAnsi="Arial" w:cs="Arial"/>
          <w:sz w:val="22"/>
          <w:szCs w:val="22"/>
        </w:rPr>
        <w:t xml:space="preserve">cívico </w:t>
      </w:r>
      <w:r w:rsidRPr="004E41D3">
        <w:rPr>
          <w:rFonts w:ascii="Arial" w:hAnsi="Arial" w:cs="Arial"/>
          <w:sz w:val="22"/>
          <w:szCs w:val="22"/>
        </w:rPr>
        <w:t>militar argentina.</w:t>
      </w:r>
    </w:p>
    <w:p w14:paraId="192A1E9F" w14:textId="02929C98" w:rsidR="0096516E" w:rsidRPr="004E41D3" w:rsidRDefault="0096516E"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En 1994, la reforma </w:t>
      </w:r>
      <w:r w:rsidR="004A7FEA" w:rsidRPr="004E41D3">
        <w:rPr>
          <w:rFonts w:ascii="Arial" w:hAnsi="Arial" w:cs="Arial"/>
          <w:sz w:val="22"/>
          <w:szCs w:val="22"/>
        </w:rPr>
        <w:t>de la Constitución Nacional</w:t>
      </w:r>
      <w:r w:rsidRPr="004E41D3">
        <w:rPr>
          <w:rFonts w:ascii="Arial" w:hAnsi="Arial" w:cs="Arial"/>
          <w:sz w:val="22"/>
          <w:szCs w:val="22"/>
        </w:rPr>
        <w:t xml:space="preserve"> reconoció jerarquía constitucional a once instrumentos internacionales de derechos humanos. Entre ellos, la Convención </w:t>
      </w:r>
      <w:proofErr w:type="gramStart"/>
      <w:r w:rsidRPr="004E41D3">
        <w:rPr>
          <w:rFonts w:ascii="Arial" w:hAnsi="Arial" w:cs="Arial"/>
          <w:sz w:val="22"/>
          <w:szCs w:val="22"/>
        </w:rPr>
        <w:t>Americana</w:t>
      </w:r>
      <w:proofErr w:type="gramEnd"/>
      <w:r w:rsidRPr="004E41D3">
        <w:rPr>
          <w:rFonts w:ascii="Arial" w:hAnsi="Arial" w:cs="Arial"/>
          <w:sz w:val="22"/>
          <w:szCs w:val="22"/>
        </w:rPr>
        <w:t xml:space="preserve"> sobre Derechos Humanos</w:t>
      </w:r>
      <w:r w:rsidRPr="004E41D3">
        <w:rPr>
          <w:rFonts w:ascii="Arial" w:hAnsi="Arial" w:cs="Arial"/>
          <w:position w:val="10"/>
          <w:sz w:val="22"/>
          <w:szCs w:val="22"/>
        </w:rPr>
        <w:t xml:space="preserve"> </w:t>
      </w:r>
      <w:r w:rsidRPr="004E41D3">
        <w:rPr>
          <w:rFonts w:ascii="Arial" w:hAnsi="Arial" w:cs="Arial"/>
          <w:sz w:val="22"/>
          <w:szCs w:val="22"/>
        </w:rPr>
        <w:t xml:space="preserve">y el Pacto Internacional de Derechos Civiles y Políticos, en los que se establece la obligación de los Estados parte de respetar los derechos y libertades en ellos reconocidos y de garantizar el libre y pleno ejercicio de los mismos. </w:t>
      </w:r>
    </w:p>
    <w:p w14:paraId="6FAEED2A" w14:textId="4D8E3681" w:rsidR="00320287" w:rsidRPr="004E41D3" w:rsidRDefault="002B4923"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En 1998, </w:t>
      </w:r>
      <w:r w:rsidR="005C381E" w:rsidRPr="004E41D3">
        <w:rPr>
          <w:rFonts w:ascii="Arial" w:hAnsi="Arial" w:cs="Arial"/>
          <w:sz w:val="22"/>
          <w:szCs w:val="22"/>
        </w:rPr>
        <w:t xml:space="preserve">a partir de </w:t>
      </w:r>
      <w:r w:rsidR="005E6EAC" w:rsidRPr="004E41D3">
        <w:rPr>
          <w:rFonts w:ascii="Arial" w:hAnsi="Arial" w:cs="Arial"/>
          <w:sz w:val="22"/>
          <w:szCs w:val="22"/>
        </w:rPr>
        <w:t>los casos ‘Lapacó’ y</w:t>
      </w:r>
      <w:r w:rsidRPr="004E41D3">
        <w:rPr>
          <w:rFonts w:ascii="Arial" w:hAnsi="Arial" w:cs="Arial"/>
          <w:sz w:val="22"/>
          <w:szCs w:val="22"/>
        </w:rPr>
        <w:t xml:space="preserve"> </w:t>
      </w:r>
      <w:r w:rsidR="00F36C97" w:rsidRPr="004E41D3">
        <w:rPr>
          <w:rFonts w:ascii="Arial" w:hAnsi="Arial" w:cs="Arial"/>
          <w:sz w:val="22"/>
          <w:szCs w:val="22"/>
        </w:rPr>
        <w:t>‘Urteaga</w:t>
      </w:r>
      <w:r w:rsidR="005A7B9A" w:rsidRPr="004E41D3">
        <w:rPr>
          <w:rFonts w:ascii="Arial" w:hAnsi="Arial" w:cs="Arial"/>
          <w:sz w:val="22"/>
          <w:szCs w:val="22"/>
        </w:rPr>
        <w:t>’</w:t>
      </w:r>
      <w:r w:rsidR="005A7B9A" w:rsidRPr="004E41D3">
        <w:rPr>
          <w:rStyle w:val="Refdenotaalpie"/>
          <w:rFonts w:ascii="Arial" w:hAnsi="Arial" w:cs="Arial"/>
          <w:sz w:val="22"/>
          <w:szCs w:val="22"/>
        </w:rPr>
        <w:footnoteReference w:id="11"/>
      </w:r>
      <w:r w:rsidRPr="004E41D3">
        <w:rPr>
          <w:rFonts w:ascii="Arial" w:hAnsi="Arial" w:cs="Arial"/>
          <w:sz w:val="22"/>
          <w:szCs w:val="22"/>
        </w:rPr>
        <w:t xml:space="preserve">, </w:t>
      </w:r>
      <w:r w:rsidR="00FA2245" w:rsidRPr="004E41D3">
        <w:rPr>
          <w:rFonts w:ascii="Arial" w:hAnsi="Arial" w:cs="Arial"/>
          <w:sz w:val="22"/>
          <w:szCs w:val="22"/>
        </w:rPr>
        <w:t xml:space="preserve">la Corte Suprema </w:t>
      </w:r>
      <w:r w:rsidR="00320287" w:rsidRPr="004E41D3">
        <w:rPr>
          <w:rFonts w:ascii="Arial" w:hAnsi="Arial" w:cs="Arial"/>
          <w:sz w:val="22"/>
          <w:szCs w:val="22"/>
        </w:rPr>
        <w:t xml:space="preserve">reconoció que el derecho a la verdad </w:t>
      </w:r>
      <w:r w:rsidR="00FA2245" w:rsidRPr="004E41D3">
        <w:rPr>
          <w:rFonts w:ascii="Arial" w:hAnsi="Arial" w:cs="Arial"/>
          <w:sz w:val="22"/>
          <w:szCs w:val="22"/>
        </w:rPr>
        <w:t>es</w:t>
      </w:r>
      <w:r w:rsidR="00320287" w:rsidRPr="004E41D3">
        <w:rPr>
          <w:rFonts w:ascii="Arial" w:hAnsi="Arial" w:cs="Arial"/>
          <w:sz w:val="22"/>
          <w:szCs w:val="22"/>
        </w:rPr>
        <w:t xml:space="preserve"> un derecho de las familias y la sociedad y que </w:t>
      </w:r>
      <w:r w:rsidR="00FA2245" w:rsidRPr="004E41D3">
        <w:rPr>
          <w:rFonts w:ascii="Arial" w:hAnsi="Arial" w:cs="Arial"/>
          <w:sz w:val="22"/>
          <w:szCs w:val="22"/>
        </w:rPr>
        <w:t>debe</w:t>
      </w:r>
      <w:r w:rsidR="00320287" w:rsidRPr="004E41D3">
        <w:rPr>
          <w:rFonts w:ascii="Arial" w:hAnsi="Arial" w:cs="Arial"/>
          <w:sz w:val="22"/>
          <w:szCs w:val="22"/>
        </w:rPr>
        <w:t xml:space="preserve"> constituirse también como una obligación del Estado de reconstruir el pasado.</w:t>
      </w:r>
    </w:p>
    <w:p w14:paraId="6B048BF5" w14:textId="01CBBDFE" w:rsidR="00812CDF" w:rsidRPr="004E41D3" w:rsidRDefault="00812CDF"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A partir de estos juicios se descubrió </w:t>
      </w:r>
      <w:r w:rsidR="003762E0" w:rsidRPr="004E41D3">
        <w:rPr>
          <w:rFonts w:ascii="Arial" w:hAnsi="Arial" w:cs="Arial"/>
          <w:sz w:val="22"/>
          <w:szCs w:val="22"/>
        </w:rPr>
        <w:t>que</w:t>
      </w:r>
      <w:r w:rsidRPr="004E41D3">
        <w:rPr>
          <w:rFonts w:ascii="Arial" w:hAnsi="Arial" w:cs="Arial"/>
          <w:sz w:val="22"/>
          <w:szCs w:val="22"/>
        </w:rPr>
        <w:t xml:space="preserve"> la apropiación de los bebés nacidos en cautiverio no había quedado amparada por las leyes de impunidad. Este hecho permitió que las organizaciones de derechos humanos reformulasen su estrategia procesal para no sólo pedir la verdad, sino para acusar de apropiación y secuestro de menores y, por lo tanto, iniciar un juicio penal</w:t>
      </w:r>
      <w:r w:rsidR="00D50E63" w:rsidRPr="004E41D3">
        <w:rPr>
          <w:rStyle w:val="Refdenotaalpie"/>
          <w:rFonts w:ascii="Arial" w:hAnsi="Arial" w:cs="Arial"/>
          <w:sz w:val="22"/>
          <w:szCs w:val="22"/>
        </w:rPr>
        <w:footnoteReference w:id="12"/>
      </w:r>
      <w:r w:rsidRPr="004E41D3">
        <w:rPr>
          <w:rFonts w:ascii="Arial" w:hAnsi="Arial" w:cs="Arial"/>
          <w:sz w:val="22"/>
          <w:szCs w:val="22"/>
        </w:rPr>
        <w:t xml:space="preserve">. </w:t>
      </w:r>
    </w:p>
    <w:p w14:paraId="5D9C42B1" w14:textId="6A840422" w:rsidR="00052BA8" w:rsidRPr="004E41D3" w:rsidRDefault="008868CE"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E</w:t>
      </w:r>
      <w:r w:rsidR="00052BA8" w:rsidRPr="004E41D3">
        <w:rPr>
          <w:rFonts w:ascii="Arial" w:hAnsi="Arial" w:cs="Arial"/>
          <w:sz w:val="22"/>
          <w:szCs w:val="22"/>
        </w:rPr>
        <w:t>l 15 de abril de 1998, el Congreso sancionó la Ley 24.952</w:t>
      </w:r>
      <w:r w:rsidR="00755566" w:rsidRPr="004E41D3">
        <w:rPr>
          <w:rStyle w:val="Refdenotaalpie"/>
          <w:rFonts w:ascii="Arial" w:hAnsi="Arial" w:cs="Arial"/>
          <w:sz w:val="22"/>
          <w:szCs w:val="22"/>
        </w:rPr>
        <w:footnoteReference w:id="13"/>
      </w:r>
      <w:r w:rsidR="00052BA8" w:rsidRPr="004E41D3">
        <w:rPr>
          <w:rFonts w:ascii="Arial" w:hAnsi="Arial" w:cs="Arial"/>
          <w:sz w:val="22"/>
          <w:szCs w:val="22"/>
        </w:rPr>
        <w:t xml:space="preserve"> </w:t>
      </w:r>
      <w:r w:rsidRPr="004E41D3">
        <w:rPr>
          <w:rFonts w:ascii="Arial" w:hAnsi="Arial" w:cs="Arial"/>
          <w:sz w:val="22"/>
          <w:szCs w:val="22"/>
        </w:rPr>
        <w:t>que revocó</w:t>
      </w:r>
      <w:r w:rsidR="00052BA8" w:rsidRPr="004E41D3">
        <w:rPr>
          <w:rFonts w:ascii="Arial" w:hAnsi="Arial" w:cs="Arial"/>
          <w:sz w:val="22"/>
          <w:szCs w:val="22"/>
        </w:rPr>
        <w:t xml:space="preserve"> las leyes de Punto Final y Obediencia Debida. </w:t>
      </w:r>
    </w:p>
    <w:p w14:paraId="4EB76AC6" w14:textId="1148C6BA" w:rsidR="000A0BB5" w:rsidRPr="004E41D3" w:rsidRDefault="003C3CF4" w:rsidP="004E41D3">
      <w:pPr>
        <w:pStyle w:val="NormalWeb"/>
        <w:spacing w:line="276" w:lineRule="auto"/>
        <w:jc w:val="both"/>
        <w:rPr>
          <w:rFonts w:ascii="Arial" w:hAnsi="Arial" w:cs="Arial"/>
          <w:sz w:val="22"/>
          <w:szCs w:val="22"/>
        </w:rPr>
      </w:pPr>
      <w:r w:rsidRPr="004E41D3">
        <w:rPr>
          <w:rFonts w:ascii="Arial" w:hAnsi="Arial" w:cs="Arial"/>
          <w:sz w:val="22"/>
          <w:szCs w:val="22"/>
        </w:rPr>
        <w:t>Ese mismo año</w:t>
      </w:r>
      <w:r w:rsidR="000A0BB5" w:rsidRPr="004E41D3">
        <w:rPr>
          <w:rFonts w:ascii="Arial" w:hAnsi="Arial" w:cs="Arial"/>
          <w:sz w:val="22"/>
          <w:szCs w:val="22"/>
        </w:rPr>
        <w:t>, la Corte Interamericana de Derechos Humanos dictó el fallo Velázquez Rodríguez</w:t>
      </w:r>
      <w:r w:rsidR="00D078CB" w:rsidRPr="004E41D3">
        <w:rPr>
          <w:rStyle w:val="Refdenotaalpie"/>
          <w:rFonts w:ascii="Arial" w:hAnsi="Arial" w:cs="Arial"/>
          <w:sz w:val="22"/>
          <w:szCs w:val="22"/>
        </w:rPr>
        <w:footnoteReference w:id="14"/>
      </w:r>
      <w:r w:rsidR="000A0BB5" w:rsidRPr="004E41D3">
        <w:rPr>
          <w:rFonts w:ascii="Arial" w:hAnsi="Arial" w:cs="Arial"/>
          <w:sz w:val="22"/>
          <w:szCs w:val="22"/>
        </w:rPr>
        <w:t xml:space="preserve">, en el que </w:t>
      </w:r>
      <w:r w:rsidR="009B56B0" w:rsidRPr="004E41D3">
        <w:rPr>
          <w:rFonts w:ascii="Arial" w:hAnsi="Arial" w:cs="Arial"/>
          <w:sz w:val="22"/>
          <w:szCs w:val="22"/>
        </w:rPr>
        <w:t>destacó</w:t>
      </w:r>
      <w:r w:rsidR="000A0BB5" w:rsidRPr="004E41D3">
        <w:rPr>
          <w:rFonts w:ascii="Arial" w:hAnsi="Arial" w:cs="Arial"/>
          <w:sz w:val="22"/>
          <w:szCs w:val="22"/>
        </w:rPr>
        <w:t xml:space="preserve"> la obligación de los Estados de prevenir, investigar y punir las violaciones a los derechos humanos reconocidos por la Convención </w:t>
      </w:r>
      <w:proofErr w:type="gramStart"/>
      <w:r w:rsidR="000A0BB5" w:rsidRPr="004E41D3">
        <w:rPr>
          <w:rFonts w:ascii="Arial" w:hAnsi="Arial" w:cs="Arial"/>
          <w:sz w:val="22"/>
          <w:szCs w:val="22"/>
        </w:rPr>
        <w:t>Americana</w:t>
      </w:r>
      <w:proofErr w:type="gramEnd"/>
      <w:r w:rsidR="000A0BB5" w:rsidRPr="004E41D3">
        <w:rPr>
          <w:rFonts w:ascii="Arial" w:hAnsi="Arial" w:cs="Arial"/>
          <w:sz w:val="22"/>
          <w:szCs w:val="22"/>
        </w:rPr>
        <w:t xml:space="preserve">. La Corte Interamericana declaró que es imputable al Estado cualquier violación de los derechos recogidos en la Convención cuando sea </w:t>
      </w:r>
      <w:r w:rsidR="000A0BB5" w:rsidRPr="004E41D3">
        <w:rPr>
          <w:rFonts w:ascii="Arial" w:hAnsi="Arial" w:cs="Arial"/>
          <w:sz w:val="22"/>
          <w:szCs w:val="22"/>
        </w:rPr>
        <w:lastRenderedPageBreak/>
        <w:t xml:space="preserve">perpetrada por un acto de poder público o por personas que actúan bajo las instituciones estatales. </w:t>
      </w:r>
    </w:p>
    <w:p w14:paraId="6D880C0A" w14:textId="75888101" w:rsidR="00CD396E" w:rsidRPr="004E41D3" w:rsidRDefault="00B56DB5"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 xml:space="preserve">En 2001, </w:t>
      </w:r>
      <w:r w:rsidR="00DF7A90" w:rsidRPr="004E41D3">
        <w:rPr>
          <w:rFonts w:ascii="Arial" w:hAnsi="Arial" w:cs="Arial"/>
          <w:sz w:val="22"/>
          <w:szCs w:val="22"/>
        </w:rPr>
        <w:t>en el caso ‘Barrios Altos’</w:t>
      </w:r>
      <w:r w:rsidR="004E7C87" w:rsidRPr="004E41D3">
        <w:rPr>
          <w:rStyle w:val="Refdenotaalpie"/>
          <w:rFonts w:ascii="Arial" w:hAnsi="Arial" w:cs="Arial"/>
          <w:sz w:val="22"/>
          <w:szCs w:val="22"/>
        </w:rPr>
        <w:footnoteReference w:id="15"/>
      </w:r>
      <w:r w:rsidR="00DF7A90" w:rsidRPr="004E41D3">
        <w:rPr>
          <w:rFonts w:ascii="Arial" w:hAnsi="Arial" w:cs="Arial"/>
          <w:sz w:val="22"/>
          <w:szCs w:val="22"/>
        </w:rPr>
        <w:t xml:space="preserve"> la </w:t>
      </w:r>
      <w:r w:rsidRPr="004E41D3">
        <w:rPr>
          <w:rFonts w:ascii="Arial" w:hAnsi="Arial" w:cs="Arial"/>
          <w:sz w:val="22"/>
          <w:szCs w:val="22"/>
        </w:rPr>
        <w:t>Corte IDH</w:t>
      </w:r>
      <w:r w:rsidR="00DF7A90" w:rsidRPr="004E41D3">
        <w:rPr>
          <w:rFonts w:ascii="Arial" w:hAnsi="Arial" w:cs="Arial"/>
          <w:sz w:val="22"/>
          <w:szCs w:val="22"/>
        </w:rPr>
        <w:t xml:space="preserve"> declaró la invalidez y la incompatibilidad de las leyes de amnistía dictadas por el gobierno de facto de Perú. Este fallo </w:t>
      </w:r>
      <w:r w:rsidRPr="004E41D3">
        <w:rPr>
          <w:rFonts w:ascii="Arial" w:hAnsi="Arial" w:cs="Arial"/>
          <w:sz w:val="22"/>
          <w:szCs w:val="22"/>
        </w:rPr>
        <w:t xml:space="preserve">fue determinante </w:t>
      </w:r>
      <w:r w:rsidR="00DF7A90" w:rsidRPr="004E41D3">
        <w:rPr>
          <w:rFonts w:ascii="Arial" w:hAnsi="Arial" w:cs="Arial"/>
          <w:sz w:val="22"/>
          <w:szCs w:val="22"/>
        </w:rPr>
        <w:t>en el cambio de paradigma de</w:t>
      </w:r>
      <w:r w:rsidR="00CD396E" w:rsidRPr="004E41D3">
        <w:rPr>
          <w:rFonts w:ascii="Arial" w:hAnsi="Arial" w:cs="Arial"/>
          <w:sz w:val="22"/>
          <w:szCs w:val="22"/>
        </w:rPr>
        <w:t xml:space="preserve"> la Corte Suprema </w:t>
      </w:r>
      <w:r w:rsidR="00DF7A90" w:rsidRPr="004E41D3">
        <w:rPr>
          <w:rFonts w:ascii="Arial" w:hAnsi="Arial" w:cs="Arial"/>
          <w:sz w:val="22"/>
          <w:szCs w:val="22"/>
        </w:rPr>
        <w:t>de Justicia de la Nación</w:t>
      </w:r>
      <w:r w:rsidR="00052FB8" w:rsidRPr="004E41D3">
        <w:rPr>
          <w:rFonts w:ascii="Arial" w:hAnsi="Arial" w:cs="Arial"/>
          <w:sz w:val="22"/>
          <w:szCs w:val="22"/>
        </w:rPr>
        <w:t>.</w:t>
      </w:r>
    </w:p>
    <w:p w14:paraId="10C9FCFA" w14:textId="039390B2" w:rsidR="00052FB8" w:rsidRPr="004E41D3" w:rsidRDefault="00052FB8"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En 2002, la Ley 25.633</w:t>
      </w:r>
      <w:r w:rsidRPr="004E41D3">
        <w:rPr>
          <w:rStyle w:val="Refdenotaalpie"/>
          <w:rFonts w:ascii="Arial" w:hAnsi="Arial" w:cs="Arial"/>
          <w:sz w:val="22"/>
          <w:szCs w:val="22"/>
        </w:rPr>
        <w:footnoteReference w:id="16"/>
      </w:r>
      <w:r w:rsidRPr="004E41D3">
        <w:rPr>
          <w:rFonts w:ascii="Arial" w:hAnsi="Arial" w:cs="Arial"/>
          <w:sz w:val="22"/>
          <w:szCs w:val="22"/>
        </w:rPr>
        <w:t xml:space="preserve"> declaró el 24 de marzo como Día Nacional de la Memoria por la Verdad y la Justicia en conmemoración de las víctimas del golpe de estado iniciado en esa fecha del año 1976.</w:t>
      </w:r>
    </w:p>
    <w:p w14:paraId="1742BADF" w14:textId="767B211D" w:rsidR="005F1BBF" w:rsidRPr="004E41D3" w:rsidRDefault="00CC6D03"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D</w:t>
      </w:r>
      <w:r w:rsidR="005F1BBF" w:rsidRPr="004E41D3">
        <w:rPr>
          <w:rFonts w:ascii="Arial" w:hAnsi="Arial" w:cs="Arial"/>
          <w:sz w:val="22"/>
          <w:szCs w:val="22"/>
        </w:rPr>
        <w:t>esde mayo de 2003</w:t>
      </w:r>
      <w:r w:rsidRPr="004E41D3">
        <w:rPr>
          <w:rFonts w:ascii="Arial" w:hAnsi="Arial" w:cs="Arial"/>
          <w:sz w:val="22"/>
          <w:szCs w:val="22"/>
        </w:rPr>
        <w:t>, con el cambio de gobier</w:t>
      </w:r>
      <w:r w:rsidR="007365EC" w:rsidRPr="004E41D3">
        <w:rPr>
          <w:rFonts w:ascii="Arial" w:hAnsi="Arial" w:cs="Arial"/>
          <w:sz w:val="22"/>
          <w:szCs w:val="22"/>
        </w:rPr>
        <w:t>no</w:t>
      </w:r>
      <w:r w:rsidR="005F1BBF" w:rsidRPr="004E41D3">
        <w:rPr>
          <w:rFonts w:ascii="Arial" w:hAnsi="Arial" w:cs="Arial"/>
          <w:sz w:val="22"/>
          <w:szCs w:val="22"/>
        </w:rPr>
        <w:t>, las políticas de memoria histórica volvieron a convertirse en políticas de Estado</w:t>
      </w:r>
      <w:r w:rsidR="007365EC" w:rsidRPr="004E41D3">
        <w:rPr>
          <w:rFonts w:ascii="Arial" w:hAnsi="Arial" w:cs="Arial"/>
          <w:sz w:val="22"/>
          <w:szCs w:val="22"/>
        </w:rPr>
        <w:t xml:space="preserve">. </w:t>
      </w:r>
      <w:r w:rsidR="0028122A" w:rsidRPr="004E41D3">
        <w:rPr>
          <w:rFonts w:ascii="Arial" w:hAnsi="Arial" w:cs="Arial"/>
          <w:sz w:val="22"/>
          <w:szCs w:val="22"/>
        </w:rPr>
        <w:t>Se relevaron</w:t>
      </w:r>
      <w:r w:rsidR="005F1BBF" w:rsidRPr="004E41D3">
        <w:rPr>
          <w:rFonts w:ascii="Arial" w:hAnsi="Arial" w:cs="Arial"/>
          <w:sz w:val="22"/>
          <w:szCs w:val="22"/>
        </w:rPr>
        <w:t xml:space="preserve"> algunos miembros de la Corte Suprema, que fueron removidos o bien decidieron renunciar a su cargo</w:t>
      </w:r>
      <w:r w:rsidR="00320D97" w:rsidRPr="004E41D3">
        <w:rPr>
          <w:rFonts w:ascii="Arial" w:hAnsi="Arial" w:cs="Arial"/>
          <w:sz w:val="22"/>
          <w:szCs w:val="22"/>
        </w:rPr>
        <w:t>, y l</w:t>
      </w:r>
      <w:r w:rsidR="005F1BBF" w:rsidRPr="004E41D3">
        <w:rPr>
          <w:rFonts w:ascii="Arial" w:hAnsi="Arial" w:cs="Arial"/>
          <w:sz w:val="22"/>
          <w:szCs w:val="22"/>
        </w:rPr>
        <w:t xml:space="preserve">os nuevos miembros de la Corte fueron </w:t>
      </w:r>
      <w:r w:rsidR="00497B5D" w:rsidRPr="004E41D3">
        <w:rPr>
          <w:rFonts w:ascii="Arial" w:hAnsi="Arial" w:cs="Arial"/>
          <w:sz w:val="22"/>
          <w:szCs w:val="22"/>
        </w:rPr>
        <w:t>elegidos</w:t>
      </w:r>
      <w:r w:rsidR="005F1BBF" w:rsidRPr="004E41D3">
        <w:rPr>
          <w:rFonts w:ascii="Arial" w:hAnsi="Arial" w:cs="Arial"/>
          <w:sz w:val="22"/>
          <w:szCs w:val="22"/>
        </w:rPr>
        <w:t xml:space="preserve"> mediante un proceso de participación de la sociedad civil</w:t>
      </w:r>
      <w:r w:rsidR="001C1975" w:rsidRPr="004E41D3">
        <w:rPr>
          <w:rStyle w:val="Refdenotaalpie"/>
          <w:rFonts w:ascii="Arial" w:hAnsi="Arial" w:cs="Arial"/>
          <w:sz w:val="22"/>
          <w:szCs w:val="22"/>
        </w:rPr>
        <w:footnoteReference w:id="17"/>
      </w:r>
      <w:r w:rsidR="00883EE7" w:rsidRPr="004E41D3">
        <w:rPr>
          <w:rFonts w:ascii="Arial" w:hAnsi="Arial" w:cs="Arial"/>
          <w:sz w:val="22"/>
          <w:szCs w:val="22"/>
        </w:rPr>
        <w:t>.</w:t>
      </w:r>
      <w:r w:rsidR="005F1BBF" w:rsidRPr="004E41D3">
        <w:rPr>
          <w:rFonts w:ascii="Arial" w:hAnsi="Arial" w:cs="Arial"/>
          <w:sz w:val="22"/>
          <w:szCs w:val="22"/>
        </w:rPr>
        <w:t xml:space="preserve"> </w:t>
      </w:r>
    </w:p>
    <w:p w14:paraId="1F4705E1" w14:textId="7E8F8F54" w:rsidR="007A2BD4" w:rsidRPr="004E41D3" w:rsidRDefault="004361B3" w:rsidP="004E41D3">
      <w:pPr>
        <w:pStyle w:val="NormalWeb"/>
        <w:spacing w:line="276" w:lineRule="auto"/>
        <w:jc w:val="both"/>
        <w:rPr>
          <w:rFonts w:ascii="Arial" w:hAnsi="Arial" w:cs="Arial"/>
          <w:sz w:val="22"/>
          <w:szCs w:val="22"/>
        </w:rPr>
      </w:pPr>
      <w:r w:rsidRPr="004E41D3">
        <w:rPr>
          <w:rFonts w:ascii="Arial" w:hAnsi="Arial" w:cs="Arial"/>
          <w:sz w:val="22"/>
          <w:szCs w:val="22"/>
        </w:rPr>
        <w:t>En 2004, en el caso Arancibia Clavel</w:t>
      </w:r>
      <w:r w:rsidRPr="004E41D3">
        <w:rPr>
          <w:rStyle w:val="Refdenotaalpie"/>
          <w:rFonts w:ascii="Arial" w:hAnsi="Arial" w:cs="Arial"/>
          <w:sz w:val="22"/>
          <w:szCs w:val="22"/>
        </w:rPr>
        <w:footnoteReference w:id="18"/>
      </w:r>
      <w:r w:rsidR="00920745" w:rsidRPr="004E41D3">
        <w:rPr>
          <w:rFonts w:ascii="Arial" w:hAnsi="Arial" w:cs="Arial"/>
          <w:sz w:val="22"/>
          <w:szCs w:val="22"/>
        </w:rPr>
        <w:t>, la Corte Suprema declaró</w:t>
      </w:r>
      <w:r w:rsidR="00905027" w:rsidRPr="004E41D3">
        <w:rPr>
          <w:rFonts w:ascii="Arial" w:hAnsi="Arial" w:cs="Arial"/>
          <w:sz w:val="22"/>
          <w:szCs w:val="22"/>
        </w:rPr>
        <w:t xml:space="preserve"> la imprescriptibilidad de los crímenes cometidos durante la última dictadura por tratarse de crímenes de lesa humanidad. </w:t>
      </w:r>
      <w:r w:rsidR="007A2BD4" w:rsidRPr="004E41D3">
        <w:rPr>
          <w:rFonts w:ascii="Arial" w:hAnsi="Arial" w:cs="Arial"/>
          <w:sz w:val="22"/>
          <w:szCs w:val="22"/>
        </w:rPr>
        <w:t>Un mes después de</w:t>
      </w:r>
      <w:r w:rsidR="004F3EAD" w:rsidRPr="004E41D3">
        <w:rPr>
          <w:rFonts w:ascii="Arial" w:hAnsi="Arial" w:cs="Arial"/>
          <w:sz w:val="22"/>
          <w:szCs w:val="22"/>
        </w:rPr>
        <w:t xml:space="preserve"> este</w:t>
      </w:r>
      <w:r w:rsidR="007A2BD4" w:rsidRPr="004E41D3">
        <w:rPr>
          <w:rFonts w:ascii="Arial" w:hAnsi="Arial" w:cs="Arial"/>
          <w:sz w:val="22"/>
          <w:szCs w:val="22"/>
        </w:rPr>
        <w:t xml:space="preserve"> fallo, se promulgó la ley 25.779</w:t>
      </w:r>
      <w:r w:rsidR="003B53D2" w:rsidRPr="004E41D3">
        <w:rPr>
          <w:rStyle w:val="Refdenotaalpie"/>
          <w:rFonts w:ascii="Arial" w:hAnsi="Arial" w:cs="Arial"/>
          <w:sz w:val="22"/>
          <w:szCs w:val="22"/>
        </w:rPr>
        <w:footnoteReference w:id="19"/>
      </w:r>
      <w:r w:rsidR="007A2BD4" w:rsidRPr="004E41D3">
        <w:rPr>
          <w:rFonts w:ascii="Arial" w:hAnsi="Arial" w:cs="Arial"/>
          <w:sz w:val="22"/>
          <w:szCs w:val="22"/>
        </w:rPr>
        <w:t xml:space="preserve"> que declar</w:t>
      </w:r>
      <w:r w:rsidR="0029029D" w:rsidRPr="004E41D3">
        <w:rPr>
          <w:rFonts w:ascii="Arial" w:hAnsi="Arial" w:cs="Arial"/>
          <w:sz w:val="22"/>
          <w:szCs w:val="22"/>
        </w:rPr>
        <w:t>ó</w:t>
      </w:r>
      <w:r w:rsidR="007A2BD4" w:rsidRPr="004E41D3">
        <w:rPr>
          <w:rFonts w:ascii="Arial" w:hAnsi="Arial" w:cs="Arial"/>
          <w:sz w:val="22"/>
          <w:szCs w:val="22"/>
        </w:rPr>
        <w:t xml:space="preserve"> la nulidad de las leyes de Punto Final y Obediencia Debida. </w:t>
      </w:r>
    </w:p>
    <w:p w14:paraId="457B167F" w14:textId="4A929E71" w:rsidR="0024525B" w:rsidRPr="004E41D3" w:rsidRDefault="0033182E"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En 2005,</w:t>
      </w:r>
      <w:r w:rsidR="003D5F69" w:rsidRPr="004E41D3">
        <w:rPr>
          <w:rFonts w:ascii="Arial" w:hAnsi="Arial" w:cs="Arial"/>
          <w:sz w:val="22"/>
          <w:szCs w:val="22"/>
        </w:rPr>
        <w:t xml:space="preserve"> la Corte Suprema dictó el fallo Simón</w:t>
      </w:r>
      <w:r w:rsidR="000311FD" w:rsidRPr="004E41D3">
        <w:rPr>
          <w:rStyle w:val="Refdenotaalpie"/>
          <w:rFonts w:ascii="Arial" w:hAnsi="Arial" w:cs="Arial"/>
          <w:sz w:val="22"/>
          <w:szCs w:val="22"/>
        </w:rPr>
        <w:footnoteReference w:id="20"/>
      </w:r>
      <w:r w:rsidR="003D5F69" w:rsidRPr="004E41D3">
        <w:rPr>
          <w:rFonts w:ascii="Arial" w:hAnsi="Arial" w:cs="Arial"/>
          <w:position w:val="10"/>
          <w:sz w:val="22"/>
          <w:szCs w:val="22"/>
        </w:rPr>
        <w:t xml:space="preserve"> </w:t>
      </w:r>
      <w:r w:rsidRPr="004E41D3">
        <w:rPr>
          <w:rFonts w:ascii="Arial" w:hAnsi="Arial" w:cs="Arial"/>
          <w:sz w:val="22"/>
          <w:szCs w:val="22"/>
        </w:rPr>
        <w:t>que</w:t>
      </w:r>
      <w:r w:rsidR="0024525B" w:rsidRPr="004E41D3">
        <w:rPr>
          <w:rFonts w:ascii="Arial" w:hAnsi="Arial" w:cs="Arial"/>
          <w:sz w:val="22"/>
          <w:szCs w:val="22"/>
        </w:rPr>
        <w:t xml:space="preserve"> declaró que las leyes 23.492 y 23.521, de Punto Final y Obediencia Debida, eran inconstitucionales y contrarias </w:t>
      </w:r>
      <w:r w:rsidR="005F1BBF" w:rsidRPr="004E41D3">
        <w:rPr>
          <w:rFonts w:ascii="Arial" w:hAnsi="Arial" w:cs="Arial"/>
          <w:sz w:val="22"/>
          <w:szCs w:val="22"/>
        </w:rPr>
        <w:t>al</w:t>
      </w:r>
      <w:r w:rsidR="0024525B" w:rsidRPr="004E41D3">
        <w:rPr>
          <w:rFonts w:ascii="Arial" w:hAnsi="Arial" w:cs="Arial"/>
          <w:sz w:val="22"/>
          <w:szCs w:val="22"/>
        </w:rPr>
        <w:t xml:space="preserve"> derecho internacional de los derechos humanos</w:t>
      </w:r>
      <w:r w:rsidR="004F3EAD" w:rsidRPr="004E41D3">
        <w:rPr>
          <w:rFonts w:ascii="Arial" w:hAnsi="Arial" w:cs="Arial"/>
          <w:sz w:val="22"/>
          <w:szCs w:val="22"/>
        </w:rPr>
        <w:t>. S</w:t>
      </w:r>
      <w:r w:rsidR="0024525B" w:rsidRPr="004E41D3">
        <w:rPr>
          <w:rFonts w:ascii="Arial" w:hAnsi="Arial" w:cs="Arial"/>
          <w:sz w:val="22"/>
          <w:szCs w:val="22"/>
        </w:rPr>
        <w:t>iguiendo la interpretación jurisprudencial de la Corte Interamericana en el caso ‘Barrios Altos</w:t>
      </w:r>
      <w:r w:rsidR="004F3EAD" w:rsidRPr="004E41D3">
        <w:rPr>
          <w:rFonts w:ascii="Arial" w:hAnsi="Arial" w:cs="Arial"/>
          <w:sz w:val="22"/>
          <w:szCs w:val="22"/>
        </w:rPr>
        <w:t>’,</w:t>
      </w:r>
      <w:r w:rsidR="0024525B" w:rsidRPr="004E41D3">
        <w:rPr>
          <w:rFonts w:ascii="Arial" w:hAnsi="Arial" w:cs="Arial"/>
          <w:sz w:val="22"/>
          <w:szCs w:val="22"/>
        </w:rPr>
        <w:t xml:space="preserve"> reafirmó la obligación de los Estados de investigar los actos que vulneren los derechos recogidos en la Convención </w:t>
      </w:r>
      <w:proofErr w:type="gramStart"/>
      <w:r w:rsidR="0024525B" w:rsidRPr="004E41D3">
        <w:rPr>
          <w:rFonts w:ascii="Arial" w:hAnsi="Arial" w:cs="Arial"/>
          <w:sz w:val="22"/>
          <w:szCs w:val="22"/>
        </w:rPr>
        <w:t>Americana</w:t>
      </w:r>
      <w:proofErr w:type="gramEnd"/>
      <w:r w:rsidR="0024525B" w:rsidRPr="004E41D3">
        <w:rPr>
          <w:rFonts w:ascii="Arial" w:hAnsi="Arial" w:cs="Arial"/>
          <w:sz w:val="22"/>
          <w:szCs w:val="22"/>
        </w:rPr>
        <w:t xml:space="preserve">, tal como se estableció en el </w:t>
      </w:r>
      <w:r w:rsidR="0024525B" w:rsidRPr="004E41D3">
        <w:rPr>
          <w:rFonts w:ascii="Arial" w:hAnsi="Arial" w:cs="Arial"/>
          <w:i/>
          <w:sz w:val="22"/>
          <w:szCs w:val="22"/>
        </w:rPr>
        <w:t>Informe 28/92</w:t>
      </w:r>
      <w:r w:rsidR="0024525B" w:rsidRPr="004E41D3">
        <w:rPr>
          <w:rFonts w:ascii="Arial" w:hAnsi="Arial" w:cs="Arial"/>
          <w:sz w:val="22"/>
          <w:szCs w:val="22"/>
        </w:rPr>
        <w:t xml:space="preserve"> de la </w:t>
      </w:r>
      <w:r w:rsidR="004F3EAD" w:rsidRPr="004E41D3">
        <w:rPr>
          <w:rFonts w:ascii="Arial" w:hAnsi="Arial" w:cs="Arial"/>
          <w:sz w:val="22"/>
          <w:szCs w:val="22"/>
        </w:rPr>
        <w:t>CIDH</w:t>
      </w:r>
      <w:r w:rsidR="0024525B" w:rsidRPr="004E41D3">
        <w:rPr>
          <w:rFonts w:ascii="Arial" w:hAnsi="Arial" w:cs="Arial"/>
          <w:sz w:val="22"/>
          <w:szCs w:val="22"/>
        </w:rPr>
        <w:t xml:space="preserve">. </w:t>
      </w:r>
      <w:r w:rsidR="004F3EAD" w:rsidRPr="004E41D3">
        <w:rPr>
          <w:rFonts w:ascii="Arial" w:hAnsi="Arial" w:cs="Arial"/>
          <w:sz w:val="22"/>
          <w:szCs w:val="22"/>
        </w:rPr>
        <w:t>L</w:t>
      </w:r>
      <w:r w:rsidR="0024525B" w:rsidRPr="004E41D3">
        <w:rPr>
          <w:rFonts w:ascii="Arial" w:hAnsi="Arial" w:cs="Arial"/>
          <w:sz w:val="22"/>
          <w:szCs w:val="22"/>
        </w:rPr>
        <w:t xml:space="preserve">a Corte Suprema convalidó la interpretación legislativa de la ley 25.779 que declaraba la nulidad de las leyes de impunidad. </w:t>
      </w:r>
    </w:p>
    <w:p w14:paraId="1E1AF0FD" w14:textId="711809F2" w:rsidR="00347CEC" w:rsidRPr="004E41D3" w:rsidRDefault="00FE5DC0"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lastRenderedPageBreak/>
        <w:t xml:space="preserve">En 2007, </w:t>
      </w:r>
      <w:r w:rsidR="00255DD8" w:rsidRPr="004E41D3">
        <w:rPr>
          <w:rFonts w:ascii="Arial" w:hAnsi="Arial" w:cs="Arial"/>
          <w:sz w:val="22"/>
          <w:szCs w:val="22"/>
        </w:rPr>
        <w:t>en el</w:t>
      </w:r>
      <w:r w:rsidR="005F6371" w:rsidRPr="004E41D3">
        <w:rPr>
          <w:rFonts w:ascii="Arial" w:hAnsi="Arial" w:cs="Arial"/>
          <w:sz w:val="22"/>
          <w:szCs w:val="22"/>
        </w:rPr>
        <w:t xml:space="preserve"> fallo Mazzeo</w:t>
      </w:r>
      <w:r w:rsidR="00210476" w:rsidRPr="004E41D3">
        <w:rPr>
          <w:rStyle w:val="Refdenotaalpie"/>
          <w:rFonts w:ascii="Arial" w:hAnsi="Arial" w:cs="Arial"/>
          <w:sz w:val="22"/>
          <w:szCs w:val="22"/>
        </w:rPr>
        <w:footnoteReference w:id="21"/>
      </w:r>
      <w:r w:rsidR="005F6371" w:rsidRPr="004E41D3">
        <w:rPr>
          <w:rFonts w:ascii="Arial" w:hAnsi="Arial" w:cs="Arial"/>
          <w:sz w:val="22"/>
          <w:szCs w:val="22"/>
        </w:rPr>
        <w:t xml:space="preserve"> </w:t>
      </w:r>
      <w:r w:rsidR="004F3EAD" w:rsidRPr="004E41D3">
        <w:rPr>
          <w:rFonts w:ascii="Arial" w:hAnsi="Arial" w:cs="Arial"/>
          <w:sz w:val="22"/>
          <w:szCs w:val="22"/>
        </w:rPr>
        <w:t>la Corte Suprema</w:t>
      </w:r>
      <w:r w:rsidR="00255DD8" w:rsidRPr="004E41D3">
        <w:rPr>
          <w:rFonts w:ascii="Arial" w:hAnsi="Arial" w:cs="Arial"/>
          <w:sz w:val="22"/>
          <w:szCs w:val="22"/>
        </w:rPr>
        <w:t xml:space="preserve"> declaró l</w:t>
      </w:r>
      <w:r w:rsidR="00960A4E" w:rsidRPr="004E41D3">
        <w:rPr>
          <w:rFonts w:ascii="Arial" w:hAnsi="Arial" w:cs="Arial"/>
          <w:sz w:val="22"/>
          <w:szCs w:val="22"/>
        </w:rPr>
        <w:t xml:space="preserve">a inconstitucionalidad de los indultos alegando que los principios de cosa juzgada y </w:t>
      </w:r>
      <w:r w:rsidR="00960A4E" w:rsidRPr="004E41D3">
        <w:rPr>
          <w:rFonts w:ascii="Arial" w:hAnsi="Arial" w:cs="Arial"/>
          <w:i/>
          <w:iCs/>
          <w:sz w:val="22"/>
          <w:szCs w:val="22"/>
        </w:rPr>
        <w:t xml:space="preserve">non bis in idem </w:t>
      </w:r>
      <w:r w:rsidR="00960A4E" w:rsidRPr="004E41D3">
        <w:rPr>
          <w:rFonts w:ascii="Arial" w:hAnsi="Arial" w:cs="Arial"/>
          <w:sz w:val="22"/>
          <w:szCs w:val="22"/>
        </w:rPr>
        <w:t>no tienen aplicación a los crímenes de lesa humanidad. Con esta resolución se revocar</w:t>
      </w:r>
      <w:r w:rsidR="001E3803" w:rsidRPr="004E41D3">
        <w:rPr>
          <w:rFonts w:ascii="Arial" w:hAnsi="Arial" w:cs="Arial"/>
          <w:sz w:val="22"/>
          <w:szCs w:val="22"/>
        </w:rPr>
        <w:t>on</w:t>
      </w:r>
      <w:r w:rsidR="00960A4E" w:rsidRPr="004E41D3">
        <w:rPr>
          <w:rFonts w:ascii="Arial" w:hAnsi="Arial" w:cs="Arial"/>
          <w:sz w:val="22"/>
          <w:szCs w:val="22"/>
        </w:rPr>
        <w:t xml:space="preserve"> todos los instrumentos que </w:t>
      </w:r>
      <w:r w:rsidR="001E3803" w:rsidRPr="004E41D3">
        <w:rPr>
          <w:rFonts w:ascii="Arial" w:hAnsi="Arial" w:cs="Arial"/>
          <w:sz w:val="22"/>
          <w:szCs w:val="22"/>
        </w:rPr>
        <w:t>daban</w:t>
      </w:r>
      <w:r w:rsidR="00960A4E" w:rsidRPr="004E41D3">
        <w:rPr>
          <w:rFonts w:ascii="Arial" w:hAnsi="Arial" w:cs="Arial"/>
          <w:sz w:val="22"/>
          <w:szCs w:val="22"/>
        </w:rPr>
        <w:t xml:space="preserve"> impunidad </w:t>
      </w:r>
      <w:r w:rsidR="001E3803" w:rsidRPr="004E41D3">
        <w:rPr>
          <w:rFonts w:ascii="Arial" w:hAnsi="Arial" w:cs="Arial"/>
          <w:sz w:val="22"/>
          <w:szCs w:val="22"/>
        </w:rPr>
        <w:t>a</w:t>
      </w:r>
      <w:r w:rsidR="00960A4E" w:rsidRPr="004E41D3">
        <w:rPr>
          <w:rFonts w:ascii="Arial" w:hAnsi="Arial" w:cs="Arial"/>
          <w:sz w:val="22"/>
          <w:szCs w:val="22"/>
        </w:rPr>
        <w:t xml:space="preserve"> los responsables de los crímenes de lesa humanidad.</w:t>
      </w:r>
    </w:p>
    <w:p w14:paraId="6A775839" w14:textId="4AA9CB8A" w:rsidR="00B039DC" w:rsidRPr="004E41D3" w:rsidRDefault="0041058C" w:rsidP="004E41D3">
      <w:pPr>
        <w:spacing w:line="276" w:lineRule="auto"/>
        <w:jc w:val="both"/>
        <w:rPr>
          <w:rFonts w:ascii="Arial" w:hAnsi="Arial" w:cs="Arial"/>
          <w:sz w:val="22"/>
          <w:szCs w:val="22"/>
          <w:shd w:val="clear" w:color="auto" w:fill="FFFFFF"/>
        </w:rPr>
      </w:pPr>
      <w:r w:rsidRPr="004E41D3">
        <w:rPr>
          <w:rStyle w:val="Textoennegrita"/>
          <w:rFonts w:ascii="Arial" w:hAnsi="Arial" w:cs="Arial"/>
          <w:b w:val="0"/>
          <w:sz w:val="22"/>
          <w:szCs w:val="22"/>
          <w:shd w:val="clear" w:color="auto" w:fill="FFFFFF"/>
        </w:rPr>
        <w:t xml:space="preserve">En </w:t>
      </w:r>
      <w:r w:rsidR="0045704E" w:rsidRPr="004E41D3">
        <w:rPr>
          <w:rStyle w:val="Textoennegrita"/>
          <w:rFonts w:ascii="Arial" w:hAnsi="Arial" w:cs="Arial"/>
          <w:b w:val="0"/>
          <w:sz w:val="22"/>
          <w:szCs w:val="22"/>
          <w:shd w:val="clear" w:color="auto" w:fill="FFFFFF"/>
        </w:rPr>
        <w:t xml:space="preserve">materia de reparaciones, en </w:t>
      </w:r>
      <w:r w:rsidRPr="004E41D3">
        <w:rPr>
          <w:rStyle w:val="Textoennegrita"/>
          <w:rFonts w:ascii="Arial" w:hAnsi="Arial" w:cs="Arial"/>
          <w:b w:val="0"/>
          <w:sz w:val="22"/>
          <w:szCs w:val="22"/>
          <w:shd w:val="clear" w:color="auto" w:fill="FFFFFF"/>
        </w:rPr>
        <w:t>el ámbito del Ministerio de Justicia y Derechos Humanos de la Nación</w:t>
      </w:r>
      <w:r w:rsidR="0045704E" w:rsidRPr="004E41D3">
        <w:rPr>
          <w:rStyle w:val="Textoennegrita"/>
          <w:rFonts w:ascii="Arial" w:hAnsi="Arial" w:cs="Arial"/>
          <w:b w:val="0"/>
          <w:sz w:val="22"/>
          <w:szCs w:val="22"/>
          <w:shd w:val="clear" w:color="auto" w:fill="FFFFFF"/>
        </w:rPr>
        <w:t xml:space="preserve"> se creó</w:t>
      </w:r>
      <w:r w:rsidRPr="004E41D3">
        <w:rPr>
          <w:rStyle w:val="Textoennegrita"/>
          <w:rFonts w:ascii="Arial" w:hAnsi="Arial" w:cs="Arial"/>
          <w:b w:val="0"/>
          <w:sz w:val="22"/>
          <w:szCs w:val="22"/>
          <w:shd w:val="clear" w:color="auto" w:fill="FFFFFF"/>
        </w:rPr>
        <w:t xml:space="preserve"> la Dirección de Gestión de Políticas Reparatorias</w:t>
      </w:r>
      <w:r w:rsidRPr="004E41D3">
        <w:rPr>
          <w:rFonts w:ascii="Arial" w:hAnsi="Arial" w:cs="Arial"/>
          <w:sz w:val="22"/>
          <w:szCs w:val="22"/>
          <w:shd w:val="clear" w:color="auto" w:fill="FFFFFF"/>
        </w:rPr>
        <w:t> </w:t>
      </w:r>
      <w:r w:rsidR="0045704E" w:rsidRPr="004E41D3">
        <w:rPr>
          <w:rFonts w:ascii="Arial" w:hAnsi="Arial" w:cs="Arial"/>
          <w:sz w:val="22"/>
          <w:szCs w:val="22"/>
          <w:shd w:val="clear" w:color="auto" w:fill="FFFFFF"/>
        </w:rPr>
        <w:t xml:space="preserve">que </w:t>
      </w:r>
      <w:r w:rsidRPr="004E41D3">
        <w:rPr>
          <w:rFonts w:ascii="Arial" w:hAnsi="Arial" w:cs="Arial"/>
          <w:sz w:val="22"/>
          <w:szCs w:val="22"/>
          <w:shd w:val="clear" w:color="auto" w:fill="FFFFFF"/>
        </w:rPr>
        <w:t>tiene como función la ejecución de las leyes reparatorias</w:t>
      </w:r>
      <w:r w:rsidR="00B039DC" w:rsidRPr="004E41D3">
        <w:rPr>
          <w:rStyle w:val="Refdenotaalpie"/>
          <w:rFonts w:ascii="Arial" w:hAnsi="Arial" w:cs="Arial"/>
          <w:sz w:val="22"/>
          <w:szCs w:val="22"/>
          <w:shd w:val="clear" w:color="auto" w:fill="FFFFFF"/>
        </w:rPr>
        <w:footnoteReference w:id="22"/>
      </w:r>
      <w:r w:rsidR="00B039DC" w:rsidRPr="004E41D3">
        <w:rPr>
          <w:rFonts w:ascii="Arial" w:hAnsi="Arial" w:cs="Arial"/>
          <w:sz w:val="22"/>
          <w:szCs w:val="22"/>
          <w:shd w:val="clear" w:color="auto" w:fill="FFFFFF"/>
        </w:rPr>
        <w:t>.</w:t>
      </w:r>
    </w:p>
    <w:p w14:paraId="7ADE335B" w14:textId="77777777" w:rsidR="00B039DC" w:rsidRPr="004E41D3" w:rsidRDefault="00B039DC" w:rsidP="004E41D3">
      <w:pPr>
        <w:spacing w:line="276" w:lineRule="auto"/>
        <w:jc w:val="both"/>
        <w:rPr>
          <w:rFonts w:ascii="Arial" w:hAnsi="Arial" w:cs="Arial"/>
          <w:sz w:val="22"/>
          <w:szCs w:val="22"/>
        </w:rPr>
      </w:pPr>
    </w:p>
    <w:p w14:paraId="050BD7C1" w14:textId="4A9078E7" w:rsidR="006C4863" w:rsidRPr="004E41D3" w:rsidRDefault="00905BC5" w:rsidP="004E41D3">
      <w:pPr>
        <w:spacing w:line="276" w:lineRule="auto"/>
        <w:jc w:val="both"/>
        <w:rPr>
          <w:rFonts w:ascii="Arial" w:hAnsi="Arial" w:cs="Arial"/>
          <w:color w:val="333333"/>
          <w:sz w:val="22"/>
          <w:szCs w:val="22"/>
          <w:shd w:val="clear" w:color="auto" w:fill="FFFFFF"/>
        </w:rPr>
      </w:pPr>
      <w:r w:rsidRPr="004E41D3">
        <w:rPr>
          <w:rFonts w:ascii="Arial" w:hAnsi="Arial" w:cs="Arial"/>
          <w:sz w:val="22"/>
          <w:szCs w:val="22"/>
        </w:rPr>
        <w:t>A nivel institucional, e</w:t>
      </w:r>
      <w:r w:rsidR="00D877C3" w:rsidRPr="004E41D3">
        <w:rPr>
          <w:rFonts w:ascii="Arial" w:hAnsi="Arial" w:cs="Arial"/>
          <w:sz w:val="22"/>
          <w:szCs w:val="22"/>
        </w:rPr>
        <w:t>n 2007 el Ministerio Público Fiscal de la Nación creó la Unidad Fiscal de Coordinación y Seguimiento de las Causas por Violaciones a los Derechos Humanos cometidas durante el Terrorismo de Estado</w:t>
      </w:r>
      <w:r w:rsidR="00D4058B" w:rsidRPr="004E41D3">
        <w:rPr>
          <w:rStyle w:val="Refdenotaalpie"/>
          <w:rFonts w:ascii="Arial" w:hAnsi="Arial" w:cs="Arial"/>
          <w:sz w:val="22"/>
          <w:szCs w:val="22"/>
        </w:rPr>
        <w:footnoteReference w:id="23"/>
      </w:r>
      <w:r w:rsidR="00D877C3" w:rsidRPr="004E41D3">
        <w:rPr>
          <w:rFonts w:ascii="Arial" w:hAnsi="Arial" w:cs="Arial"/>
          <w:sz w:val="22"/>
          <w:szCs w:val="22"/>
        </w:rPr>
        <w:t>.</w:t>
      </w:r>
      <w:r w:rsidRPr="004E41D3">
        <w:rPr>
          <w:rFonts w:ascii="Arial" w:hAnsi="Arial" w:cs="Arial"/>
          <w:color w:val="333333"/>
          <w:sz w:val="22"/>
          <w:szCs w:val="22"/>
          <w:shd w:val="clear" w:color="auto" w:fill="FFFFFF"/>
        </w:rPr>
        <w:t xml:space="preserve"> </w:t>
      </w:r>
      <w:r w:rsidR="006C4863" w:rsidRPr="004E41D3">
        <w:rPr>
          <w:rFonts w:ascii="Arial" w:hAnsi="Arial" w:cs="Arial"/>
          <w:sz w:val="22"/>
          <w:szCs w:val="22"/>
        </w:rPr>
        <w:t xml:space="preserve">La tarea iniciada </w:t>
      </w:r>
      <w:r w:rsidR="00B039DC" w:rsidRPr="004E41D3">
        <w:rPr>
          <w:rFonts w:ascii="Arial" w:hAnsi="Arial" w:cs="Arial"/>
          <w:sz w:val="22"/>
          <w:szCs w:val="22"/>
        </w:rPr>
        <w:t>con la creación de</w:t>
      </w:r>
      <w:r w:rsidR="006C4863" w:rsidRPr="004E41D3">
        <w:rPr>
          <w:rFonts w:ascii="Arial" w:hAnsi="Arial" w:cs="Arial"/>
          <w:sz w:val="22"/>
          <w:szCs w:val="22"/>
        </w:rPr>
        <w:t xml:space="preserve"> </w:t>
      </w:r>
      <w:r w:rsidRPr="004E41D3">
        <w:rPr>
          <w:rFonts w:ascii="Arial" w:hAnsi="Arial" w:cs="Arial"/>
          <w:sz w:val="22"/>
          <w:szCs w:val="22"/>
        </w:rPr>
        <w:t>esta</w:t>
      </w:r>
      <w:r w:rsidR="006C4863" w:rsidRPr="004E41D3">
        <w:rPr>
          <w:rFonts w:ascii="Arial" w:hAnsi="Arial" w:cs="Arial"/>
          <w:sz w:val="22"/>
          <w:szCs w:val="22"/>
        </w:rPr>
        <w:t xml:space="preserve"> </w:t>
      </w:r>
      <w:r w:rsidR="00B039DC" w:rsidRPr="004E41D3">
        <w:rPr>
          <w:rFonts w:ascii="Arial" w:hAnsi="Arial" w:cs="Arial"/>
          <w:sz w:val="22"/>
          <w:szCs w:val="22"/>
        </w:rPr>
        <w:t>dependencia especializada</w:t>
      </w:r>
      <w:r w:rsidR="006C4863" w:rsidRPr="004E41D3">
        <w:rPr>
          <w:rFonts w:ascii="Arial" w:hAnsi="Arial" w:cs="Arial"/>
          <w:sz w:val="22"/>
          <w:szCs w:val="22"/>
        </w:rPr>
        <w:t xml:space="preserve"> continúa actualmente a cargo de la Procuraduría de Crímenes contra la Humanidad</w:t>
      </w:r>
      <w:r w:rsidR="00D4058B" w:rsidRPr="004E41D3">
        <w:rPr>
          <w:rStyle w:val="Refdenotaalpie"/>
          <w:rFonts w:ascii="Arial" w:hAnsi="Arial" w:cs="Arial"/>
          <w:sz w:val="22"/>
          <w:szCs w:val="22"/>
        </w:rPr>
        <w:footnoteReference w:id="24"/>
      </w:r>
      <w:r w:rsidR="006C4863" w:rsidRPr="004E41D3">
        <w:rPr>
          <w:rFonts w:ascii="Arial" w:hAnsi="Arial" w:cs="Arial"/>
          <w:sz w:val="22"/>
          <w:szCs w:val="22"/>
        </w:rPr>
        <w:t xml:space="preserve"> (</w:t>
      </w:r>
      <w:r w:rsidR="00D4058B" w:rsidRPr="004E41D3">
        <w:rPr>
          <w:rFonts w:ascii="Arial" w:hAnsi="Arial" w:cs="Arial"/>
          <w:sz w:val="22"/>
          <w:szCs w:val="22"/>
        </w:rPr>
        <w:t>PCCH</w:t>
      </w:r>
      <w:r w:rsidR="006C4863" w:rsidRPr="004E41D3">
        <w:rPr>
          <w:rFonts w:ascii="Arial" w:hAnsi="Arial" w:cs="Arial"/>
          <w:sz w:val="22"/>
          <w:szCs w:val="22"/>
        </w:rPr>
        <w:t>), en cuyo ámbito funciona la Unidad Especializada para Casos de Apropiación de Niños durante el Terrorismo de Estado</w:t>
      </w:r>
      <w:r w:rsidR="00D4058B" w:rsidRPr="004E41D3">
        <w:rPr>
          <w:rStyle w:val="Refdenotaalpie"/>
          <w:rFonts w:ascii="Arial" w:hAnsi="Arial" w:cs="Arial"/>
          <w:sz w:val="22"/>
          <w:szCs w:val="22"/>
        </w:rPr>
        <w:footnoteReference w:id="25"/>
      </w:r>
      <w:r w:rsidR="006C4863" w:rsidRPr="004E41D3">
        <w:rPr>
          <w:rFonts w:ascii="Arial" w:hAnsi="Arial" w:cs="Arial"/>
          <w:sz w:val="22"/>
          <w:szCs w:val="22"/>
        </w:rPr>
        <w:t xml:space="preserve"> (UFICANTE).</w:t>
      </w:r>
    </w:p>
    <w:p w14:paraId="6E512A59" w14:textId="389D29BA" w:rsidR="00A47F8D" w:rsidRPr="004E41D3" w:rsidRDefault="00F941EF" w:rsidP="004E41D3">
      <w:pPr>
        <w:pStyle w:val="NormalWeb"/>
        <w:spacing w:line="276" w:lineRule="auto"/>
        <w:jc w:val="both"/>
        <w:rPr>
          <w:rFonts w:ascii="Arial" w:hAnsi="Arial" w:cs="Arial"/>
          <w:sz w:val="22"/>
          <w:szCs w:val="22"/>
        </w:rPr>
      </w:pPr>
      <w:r w:rsidRPr="004E41D3">
        <w:rPr>
          <w:rFonts w:ascii="Arial" w:hAnsi="Arial" w:cs="Arial"/>
          <w:sz w:val="22"/>
          <w:szCs w:val="22"/>
        </w:rPr>
        <w:t>En 2014,</w:t>
      </w:r>
      <w:r w:rsidR="006C4863" w:rsidRPr="004E41D3">
        <w:rPr>
          <w:rFonts w:ascii="Arial" w:hAnsi="Arial" w:cs="Arial"/>
          <w:sz w:val="22"/>
          <w:szCs w:val="22"/>
        </w:rPr>
        <w:t xml:space="preserve"> </w:t>
      </w:r>
      <w:r w:rsidR="00B039DC" w:rsidRPr="004E41D3">
        <w:rPr>
          <w:rFonts w:ascii="Arial" w:hAnsi="Arial" w:cs="Arial"/>
          <w:sz w:val="22"/>
          <w:szCs w:val="22"/>
        </w:rPr>
        <w:t>la PCCH</w:t>
      </w:r>
      <w:r w:rsidR="006C4863" w:rsidRPr="004E41D3">
        <w:rPr>
          <w:rFonts w:ascii="Arial" w:hAnsi="Arial" w:cs="Arial"/>
          <w:sz w:val="22"/>
          <w:szCs w:val="22"/>
        </w:rPr>
        <w:t xml:space="preserve"> </w:t>
      </w:r>
      <w:r w:rsidRPr="004E41D3">
        <w:rPr>
          <w:rFonts w:ascii="Arial" w:hAnsi="Arial" w:cs="Arial"/>
          <w:sz w:val="22"/>
          <w:szCs w:val="22"/>
        </w:rPr>
        <w:t xml:space="preserve">emitió </w:t>
      </w:r>
      <w:r w:rsidR="00874335" w:rsidRPr="004E41D3">
        <w:rPr>
          <w:rFonts w:ascii="Arial" w:hAnsi="Arial" w:cs="Arial"/>
          <w:sz w:val="22"/>
          <w:szCs w:val="22"/>
        </w:rPr>
        <w:t>el</w:t>
      </w:r>
      <w:r w:rsidR="006C4863" w:rsidRPr="004E41D3">
        <w:rPr>
          <w:rFonts w:ascii="Arial" w:hAnsi="Arial" w:cs="Arial"/>
          <w:sz w:val="22"/>
          <w:szCs w:val="22"/>
        </w:rPr>
        <w:t xml:space="preserve"> </w:t>
      </w:r>
      <w:r w:rsidR="006C4863" w:rsidRPr="004E41D3">
        <w:rPr>
          <w:rFonts w:ascii="Arial" w:hAnsi="Arial" w:cs="Arial"/>
          <w:i/>
          <w:sz w:val="22"/>
          <w:szCs w:val="22"/>
        </w:rPr>
        <w:t>Protocolo de Medidas Previas para la Investigación de la Responsabilidad Empresarial en Causas de Lesa Humanidad</w:t>
      </w:r>
      <w:r w:rsidRPr="004E41D3">
        <w:rPr>
          <w:rStyle w:val="Refdenotaalpie"/>
          <w:rFonts w:ascii="Arial" w:hAnsi="Arial" w:cs="Arial"/>
          <w:sz w:val="22"/>
          <w:szCs w:val="22"/>
        </w:rPr>
        <w:footnoteReference w:id="26"/>
      </w:r>
      <w:r w:rsidRPr="004E41D3">
        <w:rPr>
          <w:rFonts w:ascii="Arial" w:hAnsi="Arial" w:cs="Arial"/>
          <w:sz w:val="22"/>
          <w:szCs w:val="22"/>
        </w:rPr>
        <w:t xml:space="preserve">. </w:t>
      </w:r>
      <w:r w:rsidR="00B039DC" w:rsidRPr="004E41D3">
        <w:rPr>
          <w:rFonts w:ascii="Arial" w:hAnsi="Arial" w:cs="Arial"/>
          <w:sz w:val="22"/>
          <w:szCs w:val="22"/>
        </w:rPr>
        <w:t>E</w:t>
      </w:r>
      <w:r w:rsidRPr="004E41D3">
        <w:rPr>
          <w:rFonts w:ascii="Arial" w:hAnsi="Arial" w:cs="Arial"/>
          <w:sz w:val="22"/>
          <w:szCs w:val="22"/>
        </w:rPr>
        <w:t xml:space="preserve">n 2016, a 40 años del golpe de Estado, </w:t>
      </w:r>
      <w:r w:rsidR="00BF13D6" w:rsidRPr="004E41D3">
        <w:rPr>
          <w:rFonts w:ascii="Arial" w:hAnsi="Arial" w:cs="Arial"/>
          <w:sz w:val="22"/>
          <w:szCs w:val="22"/>
        </w:rPr>
        <w:t>publicó</w:t>
      </w:r>
      <w:r w:rsidRPr="004E41D3">
        <w:rPr>
          <w:rFonts w:ascii="Arial" w:hAnsi="Arial" w:cs="Arial"/>
          <w:sz w:val="22"/>
          <w:szCs w:val="22"/>
        </w:rPr>
        <w:t xml:space="preserve"> un dossier de sentencias pronunciadas en juicios de lesa humanidad en Argentina</w:t>
      </w:r>
      <w:r w:rsidRPr="004E41D3">
        <w:rPr>
          <w:rStyle w:val="Refdenotaalpie"/>
          <w:rFonts w:ascii="Arial" w:hAnsi="Arial" w:cs="Arial"/>
          <w:sz w:val="22"/>
          <w:szCs w:val="22"/>
        </w:rPr>
        <w:footnoteReference w:id="27"/>
      </w:r>
      <w:r w:rsidR="00D4058B" w:rsidRPr="004E41D3">
        <w:rPr>
          <w:rFonts w:ascii="Arial" w:hAnsi="Arial" w:cs="Arial"/>
          <w:sz w:val="22"/>
          <w:szCs w:val="22"/>
        </w:rPr>
        <w:t>.</w:t>
      </w:r>
    </w:p>
    <w:p w14:paraId="453E930A" w14:textId="12535E7F" w:rsidR="009E349E" w:rsidRPr="004E41D3" w:rsidRDefault="009E349E" w:rsidP="004E41D3">
      <w:pPr>
        <w:spacing w:line="276" w:lineRule="auto"/>
        <w:jc w:val="both"/>
        <w:rPr>
          <w:rFonts w:ascii="Arial" w:hAnsi="Arial" w:cs="Arial"/>
          <w:sz w:val="22"/>
          <w:szCs w:val="22"/>
        </w:rPr>
      </w:pPr>
      <w:r w:rsidRPr="004E41D3">
        <w:rPr>
          <w:rFonts w:ascii="Arial" w:hAnsi="Arial" w:cs="Arial"/>
          <w:sz w:val="22"/>
          <w:szCs w:val="22"/>
        </w:rPr>
        <w:t xml:space="preserve">En </w:t>
      </w:r>
      <w:r w:rsidR="006E59EE" w:rsidRPr="004E41D3">
        <w:rPr>
          <w:rFonts w:ascii="Arial" w:hAnsi="Arial" w:cs="Arial"/>
          <w:sz w:val="22"/>
          <w:szCs w:val="22"/>
        </w:rPr>
        <w:t>su</w:t>
      </w:r>
      <w:r w:rsidRPr="004E41D3">
        <w:rPr>
          <w:rFonts w:ascii="Arial" w:hAnsi="Arial" w:cs="Arial"/>
          <w:sz w:val="22"/>
          <w:szCs w:val="22"/>
        </w:rPr>
        <w:t xml:space="preserve"> último relevamiento</w:t>
      </w:r>
      <w:r w:rsidR="006E59EE" w:rsidRPr="004E41D3">
        <w:rPr>
          <w:rFonts w:ascii="Arial" w:hAnsi="Arial" w:cs="Arial"/>
          <w:sz w:val="22"/>
          <w:szCs w:val="22"/>
        </w:rPr>
        <w:t xml:space="preserve"> sobre el estado del proceso de juzgamiento de los crímenes de lesa humanidad</w:t>
      </w:r>
      <w:r w:rsidRPr="004E41D3">
        <w:rPr>
          <w:rStyle w:val="Refdenotaalpie"/>
          <w:rFonts w:ascii="Arial" w:hAnsi="Arial" w:cs="Arial"/>
          <w:sz w:val="22"/>
          <w:szCs w:val="22"/>
        </w:rPr>
        <w:footnoteReference w:id="28"/>
      </w:r>
      <w:r w:rsidRPr="004E41D3">
        <w:rPr>
          <w:rFonts w:ascii="Arial" w:hAnsi="Arial" w:cs="Arial"/>
          <w:sz w:val="22"/>
          <w:szCs w:val="22"/>
        </w:rPr>
        <w:t xml:space="preserve">, la PCCH </w:t>
      </w:r>
      <w:r w:rsidR="006E59EE" w:rsidRPr="004E41D3">
        <w:rPr>
          <w:rFonts w:ascii="Arial" w:hAnsi="Arial" w:cs="Arial"/>
          <w:sz w:val="22"/>
          <w:szCs w:val="22"/>
        </w:rPr>
        <w:t>informó</w:t>
      </w:r>
      <w:r w:rsidRPr="004E41D3">
        <w:rPr>
          <w:rFonts w:ascii="Arial" w:hAnsi="Arial" w:cs="Arial"/>
          <w:sz w:val="22"/>
          <w:szCs w:val="22"/>
        </w:rPr>
        <w:t xml:space="preserve"> que</w:t>
      </w:r>
      <w:r w:rsidR="00530ABE" w:rsidRPr="004E41D3">
        <w:rPr>
          <w:rFonts w:ascii="Arial" w:hAnsi="Arial" w:cs="Arial"/>
          <w:sz w:val="22"/>
          <w:szCs w:val="22"/>
        </w:rPr>
        <w:t xml:space="preserve"> al 16 de septiembre de 2021</w:t>
      </w:r>
      <w:r w:rsidRPr="004E41D3">
        <w:rPr>
          <w:rFonts w:ascii="Arial" w:hAnsi="Arial" w:cs="Arial"/>
          <w:sz w:val="22"/>
          <w:szCs w:val="22"/>
        </w:rPr>
        <w:t xml:space="preserve"> </w:t>
      </w:r>
      <w:r w:rsidR="006E59EE" w:rsidRPr="004E41D3">
        <w:rPr>
          <w:rFonts w:ascii="Arial" w:hAnsi="Arial" w:cs="Arial"/>
          <w:bCs/>
          <w:sz w:val="22"/>
          <w:szCs w:val="22"/>
        </w:rPr>
        <w:t>s</w:t>
      </w:r>
      <w:r w:rsidR="00F83A86" w:rsidRPr="004E41D3">
        <w:rPr>
          <w:rFonts w:ascii="Arial" w:hAnsi="Arial" w:cs="Arial"/>
          <w:sz w:val="22"/>
          <w:szCs w:val="22"/>
        </w:rPr>
        <w:t>e han dictado 12 sentencias en juicios de lesa humanidad y hay 19 debates orales y públicos en desarrollo en todo el país. L</w:t>
      </w:r>
      <w:r w:rsidRPr="004E41D3">
        <w:rPr>
          <w:rFonts w:ascii="Arial" w:hAnsi="Arial" w:cs="Arial"/>
          <w:sz w:val="22"/>
          <w:szCs w:val="22"/>
        </w:rPr>
        <w:t>a cantidad de personas condenadas desde 2006 en los procesos por violaciones a los derechos humanos durante la época del terrorismo de Estado ascendió a 1044</w:t>
      </w:r>
      <w:r w:rsidR="00E0376B" w:rsidRPr="004E41D3">
        <w:rPr>
          <w:rFonts w:ascii="Arial" w:hAnsi="Arial" w:cs="Arial"/>
          <w:sz w:val="22"/>
          <w:szCs w:val="22"/>
        </w:rPr>
        <w:t>. S</w:t>
      </w:r>
      <w:r w:rsidRPr="004E41D3">
        <w:rPr>
          <w:rFonts w:ascii="Arial" w:hAnsi="Arial" w:cs="Arial"/>
          <w:sz w:val="22"/>
          <w:szCs w:val="22"/>
        </w:rPr>
        <w:t>u responsabilidad fue determinada en 264 sentencias.</w:t>
      </w:r>
    </w:p>
    <w:p w14:paraId="64CC0709" w14:textId="77777777" w:rsidR="00E0376B" w:rsidRPr="004E41D3" w:rsidRDefault="00E0376B" w:rsidP="004E41D3">
      <w:pPr>
        <w:spacing w:line="276" w:lineRule="auto"/>
        <w:jc w:val="both"/>
        <w:rPr>
          <w:rFonts w:ascii="Arial" w:hAnsi="Arial" w:cs="Arial"/>
          <w:sz w:val="22"/>
          <w:szCs w:val="22"/>
        </w:rPr>
      </w:pPr>
    </w:p>
    <w:p w14:paraId="4D285FA8" w14:textId="64FC3C99" w:rsidR="009E349E" w:rsidRPr="004E41D3" w:rsidRDefault="009E349E" w:rsidP="004E41D3">
      <w:pPr>
        <w:spacing w:line="276" w:lineRule="auto"/>
        <w:jc w:val="both"/>
        <w:rPr>
          <w:rFonts w:ascii="Arial" w:hAnsi="Arial" w:cs="Arial"/>
          <w:sz w:val="22"/>
          <w:szCs w:val="22"/>
        </w:rPr>
      </w:pPr>
      <w:r w:rsidRPr="004E41D3">
        <w:rPr>
          <w:rFonts w:ascii="Arial" w:hAnsi="Arial" w:cs="Arial"/>
          <w:sz w:val="22"/>
          <w:szCs w:val="22"/>
        </w:rPr>
        <w:t>La actualización del relevamiento demuestra que la mayoría de las personas vinculadas a estos procesos, los transitan en libertad. Actualmente, 1599 personas se encuentran en esta condición mientras que 824 permanecen detenidas.</w:t>
      </w:r>
      <w:r w:rsidR="00874335" w:rsidRPr="004E41D3">
        <w:rPr>
          <w:rFonts w:ascii="Arial" w:hAnsi="Arial" w:cs="Arial"/>
          <w:sz w:val="22"/>
          <w:szCs w:val="22"/>
        </w:rPr>
        <w:t xml:space="preserve"> </w:t>
      </w:r>
      <w:r w:rsidRPr="004E41D3">
        <w:rPr>
          <w:rFonts w:ascii="Arial" w:hAnsi="Arial" w:cs="Arial"/>
          <w:sz w:val="22"/>
          <w:szCs w:val="22"/>
        </w:rPr>
        <w:t xml:space="preserve">De las personas privadas de la libertad, 619 </w:t>
      </w:r>
      <w:r w:rsidR="00874335" w:rsidRPr="004E41D3">
        <w:rPr>
          <w:rFonts w:ascii="Arial" w:hAnsi="Arial" w:cs="Arial"/>
          <w:sz w:val="22"/>
          <w:szCs w:val="22"/>
        </w:rPr>
        <w:t>transitan la detención</w:t>
      </w:r>
      <w:r w:rsidRPr="004E41D3">
        <w:rPr>
          <w:rFonts w:ascii="Arial" w:hAnsi="Arial" w:cs="Arial"/>
          <w:sz w:val="22"/>
          <w:szCs w:val="22"/>
        </w:rPr>
        <w:t xml:space="preserve"> en arresto domiciliario, 142 permanecen en la cárcel y otras 63 </w:t>
      </w:r>
      <w:r w:rsidR="00874335" w:rsidRPr="004E41D3">
        <w:rPr>
          <w:rFonts w:ascii="Arial" w:hAnsi="Arial" w:cs="Arial"/>
          <w:sz w:val="22"/>
          <w:szCs w:val="22"/>
        </w:rPr>
        <w:t>se encuentran</w:t>
      </w:r>
      <w:r w:rsidRPr="004E41D3">
        <w:rPr>
          <w:rFonts w:ascii="Arial" w:hAnsi="Arial" w:cs="Arial"/>
          <w:sz w:val="22"/>
          <w:szCs w:val="22"/>
        </w:rPr>
        <w:t xml:space="preserve"> alojadas en otros establecimientos</w:t>
      </w:r>
      <w:r w:rsidR="00E0376B" w:rsidRPr="004E41D3">
        <w:rPr>
          <w:rFonts w:ascii="Arial" w:hAnsi="Arial" w:cs="Arial"/>
          <w:sz w:val="22"/>
          <w:szCs w:val="22"/>
        </w:rPr>
        <w:t>.</w:t>
      </w:r>
    </w:p>
    <w:p w14:paraId="7648426B" w14:textId="4D28EA7F" w:rsidR="00C41A37" w:rsidRPr="004E41D3" w:rsidRDefault="00C41A37" w:rsidP="004E41D3">
      <w:pPr>
        <w:spacing w:line="276" w:lineRule="auto"/>
        <w:jc w:val="both"/>
        <w:rPr>
          <w:rFonts w:ascii="Arial" w:hAnsi="Arial" w:cs="Arial"/>
          <w:sz w:val="22"/>
          <w:szCs w:val="22"/>
        </w:rPr>
      </w:pPr>
    </w:p>
    <w:p w14:paraId="03E4ABB6" w14:textId="4E1764BD" w:rsidR="00C41A37" w:rsidRPr="004E41D3" w:rsidRDefault="00C41A37" w:rsidP="004E41D3">
      <w:pPr>
        <w:spacing w:line="276" w:lineRule="auto"/>
        <w:jc w:val="both"/>
        <w:rPr>
          <w:rFonts w:ascii="Arial" w:hAnsi="Arial" w:cs="Arial"/>
          <w:sz w:val="22"/>
          <w:szCs w:val="22"/>
        </w:rPr>
      </w:pPr>
      <w:r w:rsidRPr="004E41D3">
        <w:rPr>
          <w:rFonts w:ascii="Arial" w:hAnsi="Arial" w:cs="Arial"/>
          <w:sz w:val="22"/>
          <w:szCs w:val="22"/>
        </w:rPr>
        <w:t>A la fecha de corte indicada, había 602 personas procesadas en causas en trámite, 67 causas elevadas a juicio a la espera de inicio del debate y 19 procesos orales y públicos en desarrollo en diferentes jurisdicciones.</w:t>
      </w:r>
    </w:p>
    <w:p w14:paraId="7280727C" w14:textId="77777777" w:rsidR="00C41A37" w:rsidRPr="004E41D3" w:rsidRDefault="00C41A37" w:rsidP="004E41D3">
      <w:pPr>
        <w:spacing w:line="276" w:lineRule="auto"/>
        <w:jc w:val="both"/>
        <w:rPr>
          <w:rFonts w:ascii="Arial" w:hAnsi="Arial" w:cs="Arial"/>
          <w:sz w:val="22"/>
          <w:szCs w:val="22"/>
        </w:rPr>
      </w:pPr>
    </w:p>
    <w:p w14:paraId="3F4BF5FF" w14:textId="40C71F85" w:rsidR="00C41A37" w:rsidRPr="004E41D3" w:rsidRDefault="00874335" w:rsidP="004E41D3">
      <w:pPr>
        <w:spacing w:line="276" w:lineRule="auto"/>
        <w:jc w:val="both"/>
        <w:rPr>
          <w:rFonts w:ascii="Arial" w:hAnsi="Arial" w:cs="Arial"/>
          <w:sz w:val="22"/>
          <w:szCs w:val="22"/>
        </w:rPr>
      </w:pPr>
      <w:r w:rsidRPr="004E41D3">
        <w:rPr>
          <w:rFonts w:ascii="Arial" w:hAnsi="Arial" w:cs="Arial"/>
          <w:sz w:val="22"/>
          <w:szCs w:val="22"/>
        </w:rPr>
        <w:t>Según indicó la PCCH</w:t>
      </w:r>
      <w:r w:rsidR="00C41A37" w:rsidRPr="004E41D3">
        <w:rPr>
          <w:rFonts w:ascii="Arial" w:hAnsi="Arial" w:cs="Arial"/>
          <w:sz w:val="22"/>
          <w:szCs w:val="22"/>
        </w:rPr>
        <w:t>, desde la reapertura de los procesos por crímenes de lesa humanidad tras la declaración de inconstitucionalidad de las leyes de Punto Final y Obediencia Debida por parte de la Corte Suprema de Justicia de la Nación en 2005, unas 3525 personas fueron imputadas en estos procesos. En esa cifra se encuentran comprendidas las 1044 condenadas y las 602 procesadas. El total también está compuesto por las 162 que resultaron absueltas al cabo de los procesos, unas 165 que tienen falta de mérito, 97 sobreseídas, 39 indagadas que aguardan la resolución de su situación procesal y otras 581 que están imputadas por el Ministerio Público Fiscal. Los prófugos en estas causas suman 29. Finalmente, el número se completa con 806 personas que fallecieron, sin llegar a obtener sentencia</w:t>
      </w:r>
      <w:r w:rsidR="003C7796" w:rsidRPr="004E41D3">
        <w:rPr>
          <w:rFonts w:ascii="Arial" w:hAnsi="Arial" w:cs="Arial"/>
          <w:sz w:val="22"/>
          <w:szCs w:val="22"/>
        </w:rPr>
        <w:t>.</w:t>
      </w:r>
    </w:p>
    <w:p w14:paraId="169F84F9" w14:textId="00BCF251" w:rsidR="003C7796" w:rsidRPr="004E41D3" w:rsidRDefault="003C7796" w:rsidP="004E41D3">
      <w:pPr>
        <w:spacing w:line="276" w:lineRule="auto"/>
        <w:jc w:val="both"/>
        <w:rPr>
          <w:rFonts w:ascii="Arial" w:hAnsi="Arial" w:cs="Arial"/>
          <w:sz w:val="22"/>
          <w:szCs w:val="22"/>
        </w:rPr>
      </w:pPr>
    </w:p>
    <w:p w14:paraId="44EEA4BA" w14:textId="32111772" w:rsidR="003C7796" w:rsidRPr="004E41D3" w:rsidRDefault="003C7796" w:rsidP="004E41D3">
      <w:pPr>
        <w:spacing w:line="276" w:lineRule="auto"/>
        <w:jc w:val="both"/>
        <w:rPr>
          <w:rFonts w:ascii="Arial" w:hAnsi="Arial" w:cs="Arial"/>
          <w:color w:val="222222"/>
          <w:sz w:val="22"/>
          <w:szCs w:val="22"/>
        </w:rPr>
      </w:pPr>
      <w:r w:rsidRPr="004E41D3">
        <w:rPr>
          <w:rFonts w:ascii="Arial" w:hAnsi="Arial" w:cs="Arial"/>
          <w:color w:val="222222"/>
          <w:sz w:val="22"/>
          <w:szCs w:val="22"/>
        </w:rPr>
        <w:t xml:space="preserve">Respecto a los plazos del proceso, </w:t>
      </w:r>
      <w:r w:rsidR="00F16BBD" w:rsidRPr="004E41D3">
        <w:rPr>
          <w:rFonts w:ascii="Arial" w:hAnsi="Arial" w:cs="Arial"/>
          <w:color w:val="222222"/>
          <w:sz w:val="22"/>
          <w:szCs w:val="22"/>
        </w:rPr>
        <w:t>el último informe anual de la PCCH</w:t>
      </w:r>
      <w:r w:rsidR="00F16BBD" w:rsidRPr="004E41D3">
        <w:rPr>
          <w:rStyle w:val="Refdenotaalpie"/>
          <w:rFonts w:ascii="Arial" w:hAnsi="Arial" w:cs="Arial"/>
          <w:color w:val="222222"/>
          <w:sz w:val="22"/>
          <w:szCs w:val="22"/>
        </w:rPr>
        <w:footnoteReference w:id="29"/>
      </w:r>
      <w:r w:rsidRPr="004E41D3">
        <w:rPr>
          <w:rFonts w:ascii="Arial" w:hAnsi="Arial" w:cs="Arial"/>
          <w:color w:val="222222"/>
          <w:sz w:val="22"/>
          <w:szCs w:val="22"/>
        </w:rPr>
        <w:t xml:space="preserve"> revela que el promedio de tiempo entre el requerimiento de elevación a juicio de la fiscalía y el dictado de la clausura de la instrucción por parte del juez es de 5 meses. Desde la elevación a juicio hasta el veredicto, pasan 2 años y 4 meses en promedio. Y entre la sentencia del tribunal oral y el último fallo de la Corte Suprema pasan 3 años y 7 meses en promedio. </w:t>
      </w:r>
    </w:p>
    <w:p w14:paraId="1A2089F6" w14:textId="77777777" w:rsidR="0001504A" w:rsidRPr="004E41D3" w:rsidRDefault="0001504A" w:rsidP="004E41D3">
      <w:pPr>
        <w:spacing w:line="276" w:lineRule="auto"/>
        <w:jc w:val="both"/>
        <w:rPr>
          <w:rFonts w:ascii="Arial" w:hAnsi="Arial" w:cs="Arial"/>
          <w:sz w:val="22"/>
          <w:szCs w:val="22"/>
        </w:rPr>
      </w:pPr>
    </w:p>
    <w:p w14:paraId="2E3C402A" w14:textId="1D21E744" w:rsidR="00775715" w:rsidRPr="004E41D3" w:rsidRDefault="00E4466D" w:rsidP="004E41D3">
      <w:pPr>
        <w:spacing w:after="283" w:line="276" w:lineRule="auto"/>
        <w:jc w:val="both"/>
        <w:rPr>
          <w:rFonts w:ascii="Arial" w:hAnsi="Arial" w:cs="Arial"/>
          <w:color w:val="222222"/>
          <w:sz w:val="22"/>
          <w:szCs w:val="22"/>
        </w:rPr>
      </w:pPr>
      <w:r w:rsidRPr="004E41D3">
        <w:rPr>
          <w:rFonts w:ascii="Arial" w:hAnsi="Arial" w:cs="Arial"/>
          <w:color w:val="222222"/>
          <w:sz w:val="22"/>
          <w:szCs w:val="22"/>
        </w:rPr>
        <w:t xml:space="preserve">Para </w:t>
      </w:r>
      <w:proofErr w:type="gramStart"/>
      <w:r w:rsidR="00B6701C" w:rsidRPr="004E41D3">
        <w:rPr>
          <w:rFonts w:ascii="Arial" w:hAnsi="Arial" w:cs="Arial"/>
          <w:color w:val="222222"/>
          <w:sz w:val="22"/>
          <w:szCs w:val="22"/>
        </w:rPr>
        <w:t>mayor</w:t>
      </w:r>
      <w:r w:rsidRPr="004E41D3">
        <w:rPr>
          <w:rFonts w:ascii="Arial" w:hAnsi="Arial" w:cs="Arial"/>
          <w:color w:val="222222"/>
          <w:sz w:val="22"/>
          <w:szCs w:val="22"/>
        </w:rPr>
        <w:t xml:space="preserve"> información</w:t>
      </w:r>
      <w:proofErr w:type="gramEnd"/>
      <w:r w:rsidRPr="004E41D3">
        <w:rPr>
          <w:rFonts w:ascii="Arial" w:hAnsi="Arial" w:cs="Arial"/>
          <w:color w:val="222222"/>
          <w:sz w:val="22"/>
          <w:szCs w:val="22"/>
        </w:rPr>
        <w:t xml:space="preserve"> sobre los procesos en etapa de juicio</w:t>
      </w:r>
      <w:r w:rsidR="00B6701C" w:rsidRPr="004E41D3">
        <w:rPr>
          <w:rFonts w:ascii="Arial" w:hAnsi="Arial" w:cs="Arial"/>
          <w:color w:val="222222"/>
          <w:sz w:val="22"/>
          <w:szCs w:val="22"/>
        </w:rPr>
        <w:t>,</w:t>
      </w:r>
      <w:r w:rsidRPr="004E41D3">
        <w:rPr>
          <w:rFonts w:ascii="Arial" w:hAnsi="Arial" w:cs="Arial"/>
          <w:color w:val="222222"/>
          <w:sz w:val="22"/>
          <w:szCs w:val="22"/>
        </w:rPr>
        <w:t xml:space="preserve"> puede accederse al Monitor de la Secretaría de Derechos Hu</w:t>
      </w:r>
      <w:r w:rsidR="00C75B3A" w:rsidRPr="004E41D3">
        <w:rPr>
          <w:rFonts w:ascii="Arial" w:hAnsi="Arial" w:cs="Arial"/>
          <w:color w:val="222222"/>
          <w:sz w:val="22"/>
          <w:szCs w:val="22"/>
        </w:rPr>
        <w:t>ma</w:t>
      </w:r>
      <w:r w:rsidRPr="004E41D3">
        <w:rPr>
          <w:rFonts w:ascii="Arial" w:hAnsi="Arial" w:cs="Arial"/>
          <w:color w:val="222222"/>
          <w:sz w:val="22"/>
          <w:szCs w:val="22"/>
        </w:rPr>
        <w:t>nos de la Nación</w:t>
      </w:r>
      <w:r w:rsidR="00B6701C" w:rsidRPr="004E41D3">
        <w:rPr>
          <w:rStyle w:val="Refdenotaalpie"/>
          <w:rFonts w:ascii="Arial" w:hAnsi="Arial" w:cs="Arial"/>
          <w:color w:val="222222"/>
          <w:sz w:val="22"/>
          <w:szCs w:val="22"/>
        </w:rPr>
        <w:footnoteReference w:id="30"/>
      </w:r>
      <w:r w:rsidR="00B6701C" w:rsidRPr="004E41D3">
        <w:rPr>
          <w:rFonts w:ascii="Arial" w:hAnsi="Arial" w:cs="Arial"/>
          <w:color w:val="222222"/>
          <w:sz w:val="22"/>
          <w:szCs w:val="22"/>
        </w:rPr>
        <w:t>.</w:t>
      </w:r>
    </w:p>
    <w:p w14:paraId="4FF4619D" w14:textId="2493428C" w:rsidR="00B039DC" w:rsidRPr="004E41D3" w:rsidRDefault="00874335" w:rsidP="004E41D3">
      <w:pPr>
        <w:spacing w:after="283" w:line="276" w:lineRule="auto"/>
        <w:jc w:val="both"/>
        <w:rPr>
          <w:rFonts w:ascii="Arial" w:hAnsi="Arial" w:cs="Arial"/>
          <w:color w:val="222222"/>
          <w:sz w:val="22"/>
          <w:szCs w:val="22"/>
        </w:rPr>
      </w:pPr>
      <w:r w:rsidRPr="004E41D3">
        <w:rPr>
          <w:rFonts w:ascii="Arial" w:hAnsi="Arial" w:cs="Arial"/>
          <w:color w:val="222222"/>
          <w:sz w:val="22"/>
          <w:szCs w:val="22"/>
        </w:rPr>
        <w:t>Con motivo de</w:t>
      </w:r>
      <w:r w:rsidR="007613BB" w:rsidRPr="004E41D3">
        <w:rPr>
          <w:rFonts w:ascii="Arial" w:hAnsi="Arial" w:cs="Arial"/>
          <w:color w:val="222222"/>
          <w:sz w:val="22"/>
          <w:szCs w:val="22"/>
        </w:rPr>
        <w:t xml:space="preserve"> las demoras en los juicios de lesa </w:t>
      </w:r>
      <w:r w:rsidR="00B25D64" w:rsidRPr="004E41D3">
        <w:rPr>
          <w:rFonts w:ascii="Arial" w:hAnsi="Arial" w:cs="Arial"/>
          <w:color w:val="222222"/>
          <w:sz w:val="22"/>
          <w:szCs w:val="22"/>
        </w:rPr>
        <w:t>humanidad, e</w:t>
      </w:r>
      <w:r w:rsidR="00B039DC" w:rsidRPr="004E41D3">
        <w:rPr>
          <w:rFonts w:ascii="Arial" w:hAnsi="Arial" w:cs="Arial"/>
          <w:color w:val="222222"/>
          <w:sz w:val="22"/>
          <w:szCs w:val="22"/>
        </w:rPr>
        <w:t xml:space="preserve">n </w:t>
      </w:r>
      <w:r w:rsidR="00BB5A15" w:rsidRPr="004E41D3">
        <w:rPr>
          <w:rFonts w:ascii="Arial" w:hAnsi="Arial" w:cs="Arial"/>
          <w:color w:val="222222"/>
          <w:sz w:val="22"/>
          <w:szCs w:val="22"/>
        </w:rPr>
        <w:t>diciembre de 2020</w:t>
      </w:r>
      <w:r w:rsidR="00B039DC" w:rsidRPr="004E41D3">
        <w:rPr>
          <w:rFonts w:ascii="Arial" w:hAnsi="Arial" w:cs="Arial"/>
          <w:color w:val="222222"/>
          <w:sz w:val="22"/>
          <w:szCs w:val="22"/>
        </w:rPr>
        <w:t xml:space="preserve"> la </w:t>
      </w:r>
      <w:r w:rsidR="00B039DC" w:rsidRPr="004E41D3">
        <w:rPr>
          <w:rFonts w:ascii="Arial" w:hAnsi="Arial" w:cs="Arial"/>
          <w:bCs/>
          <w:color w:val="222222"/>
          <w:sz w:val="22"/>
          <w:szCs w:val="22"/>
        </w:rPr>
        <w:t xml:space="preserve">Secretaría de Derechos Humanos de la </w:t>
      </w:r>
      <w:r w:rsidR="00BB5A15" w:rsidRPr="004E41D3">
        <w:rPr>
          <w:rFonts w:ascii="Arial" w:hAnsi="Arial" w:cs="Arial"/>
          <w:bCs/>
          <w:color w:val="222222"/>
          <w:sz w:val="22"/>
          <w:szCs w:val="22"/>
        </w:rPr>
        <w:t>N</w:t>
      </w:r>
      <w:r w:rsidR="00B039DC" w:rsidRPr="004E41D3">
        <w:rPr>
          <w:rFonts w:ascii="Arial" w:hAnsi="Arial" w:cs="Arial"/>
          <w:bCs/>
          <w:color w:val="222222"/>
          <w:sz w:val="22"/>
          <w:szCs w:val="22"/>
        </w:rPr>
        <w:t>ación</w:t>
      </w:r>
      <w:r w:rsidR="00B039DC" w:rsidRPr="004E41D3">
        <w:rPr>
          <w:rFonts w:ascii="Arial" w:hAnsi="Arial" w:cs="Arial"/>
          <w:color w:val="222222"/>
          <w:sz w:val="22"/>
          <w:szCs w:val="22"/>
        </w:rPr>
        <w:t> </w:t>
      </w:r>
      <w:r w:rsidR="00BB5A15" w:rsidRPr="004E41D3">
        <w:rPr>
          <w:rFonts w:ascii="Arial" w:hAnsi="Arial" w:cs="Arial"/>
          <w:color w:val="222222"/>
          <w:sz w:val="22"/>
          <w:szCs w:val="22"/>
        </w:rPr>
        <w:t>elaboró</w:t>
      </w:r>
      <w:r w:rsidRPr="004E41D3">
        <w:rPr>
          <w:rFonts w:ascii="Arial" w:hAnsi="Arial" w:cs="Arial"/>
          <w:color w:val="222222"/>
          <w:sz w:val="22"/>
          <w:szCs w:val="22"/>
        </w:rPr>
        <w:t xml:space="preserve"> </w:t>
      </w:r>
      <w:r w:rsidR="00BB5A15" w:rsidRPr="004E41D3">
        <w:rPr>
          <w:rFonts w:ascii="Arial" w:hAnsi="Arial" w:cs="Arial"/>
          <w:color w:val="222222"/>
          <w:sz w:val="22"/>
          <w:szCs w:val="22"/>
        </w:rPr>
        <w:t>un Plan Estratégico para acelerar y profundizar el proceso de justicia</w:t>
      </w:r>
      <w:r w:rsidR="00361F0C" w:rsidRPr="004E41D3">
        <w:rPr>
          <w:rStyle w:val="Refdenotaalpie"/>
          <w:rFonts w:ascii="Arial" w:hAnsi="Arial" w:cs="Arial"/>
          <w:color w:val="222222"/>
          <w:sz w:val="22"/>
          <w:szCs w:val="22"/>
        </w:rPr>
        <w:footnoteReference w:id="31"/>
      </w:r>
      <w:r w:rsidR="00BB5A15" w:rsidRPr="004E41D3">
        <w:rPr>
          <w:rFonts w:ascii="Arial" w:hAnsi="Arial" w:cs="Arial"/>
          <w:color w:val="222222"/>
          <w:sz w:val="22"/>
          <w:szCs w:val="22"/>
        </w:rPr>
        <w:t>. En este contexto, i</w:t>
      </w:r>
      <w:r w:rsidR="00B039DC" w:rsidRPr="004E41D3">
        <w:rPr>
          <w:rFonts w:ascii="Arial" w:hAnsi="Arial" w:cs="Arial"/>
          <w:color w:val="222222"/>
          <w:sz w:val="22"/>
          <w:szCs w:val="22"/>
        </w:rPr>
        <w:t>mpulsó medidas para reforzar,</w:t>
      </w:r>
      <w:r w:rsidR="003A31D5" w:rsidRPr="004E41D3">
        <w:rPr>
          <w:rFonts w:ascii="Arial" w:hAnsi="Arial" w:cs="Arial"/>
          <w:color w:val="222222"/>
          <w:sz w:val="22"/>
          <w:szCs w:val="22"/>
        </w:rPr>
        <w:t xml:space="preserve"> </w:t>
      </w:r>
      <w:r w:rsidR="00B039DC" w:rsidRPr="004E41D3">
        <w:rPr>
          <w:rFonts w:ascii="Arial" w:hAnsi="Arial" w:cs="Arial"/>
          <w:color w:val="222222"/>
          <w:sz w:val="22"/>
          <w:szCs w:val="22"/>
        </w:rPr>
        <w:t>ampliar y redefinir las</w:t>
      </w:r>
      <w:r w:rsidR="00B039DC" w:rsidRPr="004E41D3">
        <w:rPr>
          <w:rFonts w:ascii="Arial" w:hAnsi="Arial" w:cs="Arial"/>
          <w:bCs/>
          <w:color w:val="222222"/>
          <w:sz w:val="22"/>
          <w:szCs w:val="22"/>
        </w:rPr>
        <w:t xml:space="preserve"> querellas del Estado</w:t>
      </w:r>
      <w:r w:rsidR="00B039DC" w:rsidRPr="004E41D3">
        <w:rPr>
          <w:rFonts w:ascii="Arial" w:hAnsi="Arial" w:cs="Arial"/>
          <w:color w:val="222222"/>
          <w:sz w:val="22"/>
          <w:szCs w:val="22"/>
        </w:rPr>
        <w:t>, </w:t>
      </w:r>
      <w:r w:rsidR="00B039DC" w:rsidRPr="004E41D3">
        <w:rPr>
          <w:rFonts w:ascii="Arial" w:hAnsi="Arial" w:cs="Arial"/>
          <w:bCs/>
          <w:color w:val="222222"/>
          <w:sz w:val="22"/>
          <w:szCs w:val="22"/>
        </w:rPr>
        <w:t>reanudar investigacione</w:t>
      </w:r>
      <w:r w:rsidR="00B039DC" w:rsidRPr="004E41D3">
        <w:rPr>
          <w:rFonts w:ascii="Arial" w:hAnsi="Arial" w:cs="Arial"/>
          <w:color w:val="222222"/>
          <w:sz w:val="22"/>
          <w:szCs w:val="22"/>
        </w:rPr>
        <w:t>s de esclarecimiento y </w:t>
      </w:r>
      <w:r w:rsidR="00B039DC" w:rsidRPr="004E41D3">
        <w:rPr>
          <w:rFonts w:ascii="Arial" w:hAnsi="Arial" w:cs="Arial"/>
          <w:bCs/>
          <w:color w:val="222222"/>
          <w:sz w:val="22"/>
          <w:szCs w:val="22"/>
        </w:rPr>
        <w:t>generación de pruebas</w:t>
      </w:r>
      <w:r w:rsidR="003170FD" w:rsidRPr="004E41D3">
        <w:rPr>
          <w:rFonts w:ascii="Arial" w:hAnsi="Arial" w:cs="Arial"/>
          <w:bCs/>
          <w:color w:val="222222"/>
          <w:sz w:val="22"/>
          <w:szCs w:val="22"/>
        </w:rPr>
        <w:t xml:space="preserve">. </w:t>
      </w:r>
      <w:r w:rsidRPr="004E41D3">
        <w:rPr>
          <w:rFonts w:ascii="Arial" w:hAnsi="Arial" w:cs="Arial"/>
          <w:bCs/>
          <w:color w:val="222222"/>
          <w:sz w:val="22"/>
          <w:szCs w:val="22"/>
        </w:rPr>
        <w:t>C</w:t>
      </w:r>
      <w:r w:rsidR="003170FD" w:rsidRPr="004E41D3">
        <w:rPr>
          <w:rFonts w:ascii="Arial" w:hAnsi="Arial" w:cs="Arial"/>
          <w:bCs/>
          <w:color w:val="222222"/>
          <w:sz w:val="22"/>
          <w:szCs w:val="22"/>
        </w:rPr>
        <w:t xml:space="preserve">onstituyó un equipo de peritos propio que interviene en todos los casos que la Secretaría es querellante y se encuentra a disposición de </w:t>
      </w:r>
      <w:proofErr w:type="gramStart"/>
      <w:r w:rsidR="003170FD" w:rsidRPr="004E41D3">
        <w:rPr>
          <w:rFonts w:ascii="Arial" w:hAnsi="Arial" w:cs="Arial"/>
          <w:bCs/>
          <w:color w:val="222222"/>
          <w:sz w:val="22"/>
          <w:szCs w:val="22"/>
        </w:rPr>
        <w:t>abogados y abogadas</w:t>
      </w:r>
      <w:proofErr w:type="gramEnd"/>
      <w:r w:rsidR="003170FD" w:rsidRPr="004E41D3">
        <w:rPr>
          <w:rFonts w:ascii="Arial" w:hAnsi="Arial" w:cs="Arial"/>
          <w:bCs/>
          <w:color w:val="222222"/>
          <w:sz w:val="22"/>
          <w:szCs w:val="22"/>
        </w:rPr>
        <w:t xml:space="preserve"> querellantes y organismos en el resto de los casos</w:t>
      </w:r>
      <w:r w:rsidR="00361F0C" w:rsidRPr="004E41D3">
        <w:rPr>
          <w:rStyle w:val="Refdenotaalpie"/>
          <w:rFonts w:ascii="Arial" w:hAnsi="Arial" w:cs="Arial"/>
          <w:color w:val="222222"/>
          <w:sz w:val="22"/>
          <w:szCs w:val="22"/>
        </w:rPr>
        <w:footnoteReference w:id="32"/>
      </w:r>
      <w:r w:rsidR="00B039DC" w:rsidRPr="004E41D3">
        <w:rPr>
          <w:rFonts w:ascii="Arial" w:hAnsi="Arial" w:cs="Arial"/>
          <w:color w:val="222222"/>
          <w:sz w:val="22"/>
          <w:szCs w:val="22"/>
        </w:rPr>
        <w:t>.</w:t>
      </w:r>
    </w:p>
    <w:p w14:paraId="7362B352" w14:textId="10D3BC5E" w:rsidR="00AB413B" w:rsidRPr="004E41D3" w:rsidRDefault="002D6D77" w:rsidP="004E41D3">
      <w:pPr>
        <w:spacing w:line="276" w:lineRule="auto"/>
        <w:jc w:val="both"/>
        <w:rPr>
          <w:rFonts w:ascii="Arial" w:hAnsi="Arial" w:cs="Arial"/>
          <w:bCs/>
          <w:color w:val="222222"/>
          <w:sz w:val="22"/>
          <w:szCs w:val="22"/>
        </w:rPr>
      </w:pPr>
      <w:r w:rsidRPr="004E41D3">
        <w:rPr>
          <w:rFonts w:ascii="Arial" w:hAnsi="Arial" w:cs="Arial"/>
          <w:bCs/>
          <w:color w:val="222222"/>
          <w:sz w:val="22"/>
          <w:szCs w:val="22"/>
        </w:rPr>
        <w:t xml:space="preserve">En 2020, el Poder Ejecutivo envió al Congreso un proyecto de ley para </w:t>
      </w:r>
      <w:r w:rsidR="00AB413B" w:rsidRPr="004E41D3">
        <w:rPr>
          <w:rFonts w:ascii="Arial" w:hAnsi="Arial" w:cs="Arial"/>
          <w:bCs/>
          <w:color w:val="222222"/>
          <w:sz w:val="22"/>
          <w:szCs w:val="22"/>
        </w:rPr>
        <w:t xml:space="preserve">modificar </w:t>
      </w:r>
      <w:r w:rsidRPr="004E41D3">
        <w:rPr>
          <w:rFonts w:ascii="Arial" w:hAnsi="Arial" w:cs="Arial"/>
          <w:bCs/>
          <w:color w:val="222222"/>
          <w:sz w:val="22"/>
          <w:szCs w:val="22"/>
        </w:rPr>
        <w:t>la Organización y Competencia de la Justicia Federal en la Ciudad Autónoma de Buenos Aires y en las provincias</w:t>
      </w:r>
      <w:r w:rsidR="006E2891" w:rsidRPr="004E41D3">
        <w:rPr>
          <w:rStyle w:val="Refdenotaalpie"/>
          <w:rFonts w:ascii="Arial" w:hAnsi="Arial" w:cs="Arial"/>
          <w:bCs/>
          <w:color w:val="222222"/>
          <w:sz w:val="22"/>
          <w:szCs w:val="22"/>
        </w:rPr>
        <w:footnoteReference w:id="33"/>
      </w:r>
      <w:r w:rsidRPr="004E41D3">
        <w:rPr>
          <w:rFonts w:ascii="Arial" w:hAnsi="Arial" w:cs="Arial"/>
          <w:bCs/>
          <w:color w:val="222222"/>
          <w:sz w:val="22"/>
          <w:szCs w:val="22"/>
        </w:rPr>
        <w:t>.</w:t>
      </w:r>
      <w:r w:rsidR="00466A2C" w:rsidRPr="004E41D3">
        <w:rPr>
          <w:rFonts w:ascii="Arial" w:hAnsi="Arial" w:cs="Arial"/>
          <w:bCs/>
          <w:color w:val="222222"/>
          <w:sz w:val="22"/>
          <w:szCs w:val="22"/>
        </w:rPr>
        <w:t xml:space="preserve"> </w:t>
      </w:r>
      <w:r w:rsidR="00AB413B" w:rsidRPr="004E41D3">
        <w:rPr>
          <w:rFonts w:ascii="Arial" w:hAnsi="Arial" w:cs="Arial"/>
          <w:bCs/>
          <w:color w:val="222222"/>
          <w:sz w:val="22"/>
          <w:szCs w:val="22"/>
        </w:rPr>
        <w:t xml:space="preserve">Su principal objetivo es garantizar la real independencia de </w:t>
      </w:r>
      <w:proofErr w:type="gramStart"/>
      <w:r w:rsidR="00AB413B" w:rsidRPr="004E41D3">
        <w:rPr>
          <w:rFonts w:ascii="Arial" w:hAnsi="Arial" w:cs="Arial"/>
          <w:bCs/>
          <w:color w:val="222222"/>
          <w:sz w:val="22"/>
          <w:szCs w:val="22"/>
        </w:rPr>
        <w:t>los jueces y las juezas</w:t>
      </w:r>
      <w:proofErr w:type="gramEnd"/>
      <w:r w:rsidR="00AB413B" w:rsidRPr="004E41D3">
        <w:rPr>
          <w:rFonts w:ascii="Arial" w:hAnsi="Arial" w:cs="Arial"/>
          <w:bCs/>
          <w:color w:val="222222"/>
          <w:sz w:val="22"/>
          <w:szCs w:val="22"/>
        </w:rPr>
        <w:t xml:space="preserve"> </w:t>
      </w:r>
      <w:r w:rsidR="00AB145C" w:rsidRPr="004E41D3">
        <w:rPr>
          <w:rFonts w:ascii="Arial" w:hAnsi="Arial" w:cs="Arial"/>
          <w:bCs/>
          <w:color w:val="222222"/>
          <w:sz w:val="22"/>
          <w:szCs w:val="22"/>
        </w:rPr>
        <w:t>del</w:t>
      </w:r>
      <w:r w:rsidR="00AB413B" w:rsidRPr="004E41D3">
        <w:rPr>
          <w:rFonts w:ascii="Arial" w:hAnsi="Arial" w:cs="Arial"/>
          <w:bCs/>
          <w:color w:val="222222"/>
          <w:sz w:val="22"/>
          <w:szCs w:val="22"/>
        </w:rPr>
        <w:t xml:space="preserve"> poder político, de los poderes económicos y de la actividad de inteligencia</w:t>
      </w:r>
      <w:r w:rsidR="00AB145C" w:rsidRPr="004E41D3">
        <w:rPr>
          <w:rFonts w:ascii="Arial" w:hAnsi="Arial" w:cs="Arial"/>
          <w:bCs/>
          <w:color w:val="222222"/>
          <w:sz w:val="22"/>
          <w:szCs w:val="22"/>
        </w:rPr>
        <w:t xml:space="preserve">. Con ello se pretende </w:t>
      </w:r>
      <w:r w:rsidR="00AB413B" w:rsidRPr="004E41D3">
        <w:rPr>
          <w:rFonts w:ascii="Arial" w:hAnsi="Arial" w:cs="Arial"/>
          <w:bCs/>
          <w:color w:val="222222"/>
          <w:sz w:val="22"/>
          <w:szCs w:val="22"/>
        </w:rPr>
        <w:t xml:space="preserve">restituir la confianza de </w:t>
      </w:r>
      <w:proofErr w:type="gramStart"/>
      <w:r w:rsidR="00AB413B" w:rsidRPr="004E41D3">
        <w:rPr>
          <w:rFonts w:ascii="Arial" w:hAnsi="Arial" w:cs="Arial"/>
          <w:bCs/>
          <w:color w:val="222222"/>
          <w:sz w:val="22"/>
          <w:szCs w:val="22"/>
        </w:rPr>
        <w:t>los ciudadanos y las ciudadanas</w:t>
      </w:r>
      <w:proofErr w:type="gramEnd"/>
      <w:r w:rsidR="00AB413B" w:rsidRPr="004E41D3">
        <w:rPr>
          <w:rFonts w:ascii="Arial" w:hAnsi="Arial" w:cs="Arial"/>
          <w:bCs/>
          <w:color w:val="222222"/>
          <w:sz w:val="22"/>
          <w:szCs w:val="22"/>
        </w:rPr>
        <w:t xml:space="preserve"> en el Poder Judicial.</w:t>
      </w:r>
    </w:p>
    <w:p w14:paraId="337724B8" w14:textId="77777777" w:rsidR="00AB413B" w:rsidRPr="004E41D3" w:rsidRDefault="00AB413B" w:rsidP="004E41D3">
      <w:pPr>
        <w:spacing w:line="276" w:lineRule="auto"/>
        <w:rPr>
          <w:rFonts w:ascii="Arial" w:hAnsi="Arial" w:cs="Arial"/>
          <w:bCs/>
          <w:color w:val="222222"/>
          <w:sz w:val="22"/>
          <w:szCs w:val="22"/>
        </w:rPr>
      </w:pPr>
    </w:p>
    <w:p w14:paraId="0EDE7A4E" w14:textId="39BAAD0E" w:rsidR="0035748E" w:rsidRPr="004E41D3" w:rsidRDefault="00952531" w:rsidP="004E41D3">
      <w:pPr>
        <w:spacing w:after="283" w:line="276" w:lineRule="auto"/>
        <w:jc w:val="both"/>
        <w:rPr>
          <w:rFonts w:ascii="Arial" w:hAnsi="Arial" w:cs="Arial"/>
          <w:color w:val="222222"/>
          <w:sz w:val="22"/>
          <w:szCs w:val="22"/>
        </w:rPr>
      </w:pPr>
      <w:r w:rsidRPr="004E41D3">
        <w:rPr>
          <w:rStyle w:val="Textoennegrita"/>
          <w:rFonts w:ascii="Arial" w:hAnsi="Arial" w:cs="Arial"/>
          <w:b w:val="0"/>
          <w:bCs w:val="0"/>
          <w:color w:val="222222"/>
          <w:sz w:val="22"/>
          <w:szCs w:val="22"/>
        </w:rPr>
        <w:t>L</w:t>
      </w:r>
      <w:r w:rsidR="000E1B34" w:rsidRPr="004E41D3">
        <w:rPr>
          <w:rStyle w:val="Textoennegrita"/>
          <w:rFonts w:ascii="Arial" w:hAnsi="Arial" w:cs="Arial"/>
          <w:b w:val="0"/>
          <w:bCs w:val="0"/>
          <w:color w:val="222222"/>
          <w:sz w:val="22"/>
          <w:szCs w:val="22"/>
        </w:rPr>
        <w:t xml:space="preserve">as medidas indicadas </w:t>
      </w:r>
      <w:r w:rsidR="00584173" w:rsidRPr="004E41D3">
        <w:rPr>
          <w:rStyle w:val="Textoennegrita"/>
          <w:rFonts w:ascii="Arial" w:hAnsi="Arial" w:cs="Arial"/>
          <w:b w:val="0"/>
          <w:bCs w:val="0"/>
          <w:color w:val="222222"/>
          <w:sz w:val="22"/>
          <w:szCs w:val="22"/>
        </w:rPr>
        <w:t>han contribuido a la realización del Objetivo 16 de la Agenda 2030, especialmente en lo relativo a garantizar el acceso a la justicia</w:t>
      </w:r>
      <w:r w:rsidR="005E3551" w:rsidRPr="004E41D3">
        <w:rPr>
          <w:rStyle w:val="Textoennegrita"/>
          <w:rFonts w:ascii="Arial" w:hAnsi="Arial" w:cs="Arial"/>
          <w:b w:val="0"/>
          <w:bCs w:val="0"/>
          <w:color w:val="222222"/>
          <w:sz w:val="22"/>
          <w:szCs w:val="22"/>
        </w:rPr>
        <w:t xml:space="preserve"> y el derecho a la </w:t>
      </w:r>
      <w:r w:rsidR="005E3551" w:rsidRPr="004E41D3">
        <w:rPr>
          <w:rStyle w:val="Textoennegrita"/>
          <w:rFonts w:ascii="Arial" w:hAnsi="Arial" w:cs="Arial"/>
          <w:b w:val="0"/>
          <w:bCs w:val="0"/>
          <w:color w:val="222222"/>
          <w:sz w:val="22"/>
          <w:szCs w:val="22"/>
        </w:rPr>
        <w:lastRenderedPageBreak/>
        <w:t>memoria, verdad y justicia por los crímenes de lesa humanidad cometidos en nuestro país, profundizando reformas institucionales y luchando contra la impunidad</w:t>
      </w:r>
      <w:r w:rsidR="00584173" w:rsidRPr="004E41D3">
        <w:rPr>
          <w:rStyle w:val="Textoennegrita"/>
          <w:rFonts w:ascii="Arial" w:hAnsi="Arial" w:cs="Arial"/>
          <w:b w:val="0"/>
          <w:bCs w:val="0"/>
          <w:color w:val="222222"/>
          <w:sz w:val="22"/>
          <w:szCs w:val="22"/>
        </w:rPr>
        <w:t>.</w:t>
      </w:r>
    </w:p>
    <w:p w14:paraId="549F9833" w14:textId="43632BC1" w:rsidR="004C37C2" w:rsidRPr="004E41D3" w:rsidRDefault="00BE6B39" w:rsidP="004E41D3">
      <w:pPr>
        <w:pStyle w:val="NormalWeb"/>
        <w:spacing w:line="276" w:lineRule="auto"/>
        <w:jc w:val="both"/>
        <w:rPr>
          <w:rFonts w:ascii="Arial" w:hAnsi="Arial" w:cs="Arial"/>
          <w:sz w:val="22"/>
          <w:szCs w:val="22"/>
        </w:rPr>
      </w:pPr>
      <w:r w:rsidRPr="004E41D3">
        <w:rPr>
          <w:rFonts w:ascii="Arial" w:hAnsi="Arial" w:cs="Arial"/>
          <w:sz w:val="22"/>
          <w:szCs w:val="22"/>
        </w:rPr>
        <w:t>El Sistema Interamericano de Derechos Humanos contribu</w:t>
      </w:r>
      <w:r w:rsidR="007B5D9F" w:rsidRPr="004E41D3">
        <w:rPr>
          <w:rFonts w:ascii="Arial" w:hAnsi="Arial" w:cs="Arial"/>
          <w:sz w:val="22"/>
          <w:szCs w:val="22"/>
        </w:rPr>
        <w:t xml:space="preserve">yó </w:t>
      </w:r>
      <w:r w:rsidR="005229C9" w:rsidRPr="004E41D3">
        <w:rPr>
          <w:rFonts w:ascii="Arial" w:hAnsi="Arial" w:cs="Arial"/>
          <w:sz w:val="22"/>
          <w:szCs w:val="22"/>
        </w:rPr>
        <w:t>de manera significativa</w:t>
      </w:r>
      <w:r w:rsidRPr="004E41D3">
        <w:rPr>
          <w:rFonts w:ascii="Arial" w:hAnsi="Arial" w:cs="Arial"/>
          <w:sz w:val="22"/>
          <w:szCs w:val="22"/>
        </w:rPr>
        <w:t xml:space="preserve"> </w:t>
      </w:r>
      <w:r w:rsidR="00942ED2" w:rsidRPr="004E41D3">
        <w:rPr>
          <w:rFonts w:ascii="Arial" w:hAnsi="Arial" w:cs="Arial"/>
          <w:sz w:val="22"/>
          <w:szCs w:val="22"/>
        </w:rPr>
        <w:t>en los avances de la</w:t>
      </w:r>
      <w:r w:rsidRPr="004E41D3">
        <w:rPr>
          <w:rFonts w:ascii="Arial" w:hAnsi="Arial" w:cs="Arial"/>
          <w:sz w:val="22"/>
          <w:szCs w:val="22"/>
        </w:rPr>
        <w:t xml:space="preserve"> justicia transicional argentina</w:t>
      </w:r>
      <w:r w:rsidR="00F43E1C" w:rsidRPr="004E41D3">
        <w:rPr>
          <w:rFonts w:ascii="Arial" w:hAnsi="Arial" w:cs="Arial"/>
          <w:sz w:val="22"/>
          <w:szCs w:val="22"/>
        </w:rPr>
        <w:t xml:space="preserve"> y </w:t>
      </w:r>
      <w:r w:rsidR="000E0583" w:rsidRPr="004E41D3">
        <w:rPr>
          <w:rFonts w:ascii="Arial" w:hAnsi="Arial" w:cs="Arial"/>
          <w:sz w:val="22"/>
          <w:szCs w:val="22"/>
        </w:rPr>
        <w:t xml:space="preserve">en </w:t>
      </w:r>
      <w:r w:rsidR="00045C3F" w:rsidRPr="004E41D3">
        <w:rPr>
          <w:rFonts w:ascii="Arial" w:hAnsi="Arial" w:cs="Arial"/>
          <w:sz w:val="22"/>
          <w:szCs w:val="22"/>
        </w:rPr>
        <w:t xml:space="preserve">la </w:t>
      </w:r>
      <w:r w:rsidR="00F43E1C" w:rsidRPr="004E41D3">
        <w:rPr>
          <w:rFonts w:ascii="Arial" w:hAnsi="Arial" w:cs="Arial"/>
          <w:sz w:val="22"/>
          <w:szCs w:val="22"/>
        </w:rPr>
        <w:t>del resto de los países del hemisferio</w:t>
      </w:r>
      <w:r w:rsidR="00F059A7" w:rsidRPr="004E41D3">
        <w:rPr>
          <w:rFonts w:ascii="Arial" w:hAnsi="Arial" w:cs="Arial"/>
          <w:sz w:val="22"/>
          <w:szCs w:val="22"/>
        </w:rPr>
        <w:t>. Sus órganos han reconocido la importancia del derecho a la verdad como complemento al derecho a la justicia</w:t>
      </w:r>
      <w:r w:rsidR="00CE66DA" w:rsidRPr="004E41D3">
        <w:rPr>
          <w:rFonts w:ascii="Arial" w:hAnsi="Arial" w:cs="Arial"/>
          <w:sz w:val="22"/>
          <w:szCs w:val="22"/>
        </w:rPr>
        <w:t xml:space="preserve"> y han hecho énfasis en la importancia del deber de los Estados de erradicar la impunidad</w:t>
      </w:r>
      <w:r w:rsidR="000E0583" w:rsidRPr="004E41D3">
        <w:rPr>
          <w:rStyle w:val="Refdenotaalpie"/>
          <w:rFonts w:ascii="Arial" w:hAnsi="Arial" w:cs="Arial"/>
          <w:sz w:val="22"/>
          <w:szCs w:val="22"/>
        </w:rPr>
        <w:footnoteReference w:id="34"/>
      </w:r>
      <w:r w:rsidR="00F059A7" w:rsidRPr="004E41D3">
        <w:rPr>
          <w:rFonts w:ascii="Arial" w:hAnsi="Arial" w:cs="Arial"/>
          <w:sz w:val="22"/>
          <w:szCs w:val="22"/>
        </w:rPr>
        <w:t>.</w:t>
      </w:r>
      <w:r w:rsidR="004C37C2" w:rsidRPr="004E41D3">
        <w:rPr>
          <w:rFonts w:ascii="Arial" w:hAnsi="Arial" w:cs="Arial"/>
          <w:sz w:val="22"/>
          <w:szCs w:val="22"/>
        </w:rPr>
        <w:t xml:space="preserve"> </w:t>
      </w:r>
    </w:p>
    <w:p w14:paraId="26BC3E1B" w14:textId="29D2FA90" w:rsidR="00D86C37" w:rsidRPr="004E41D3" w:rsidRDefault="00D86C37" w:rsidP="004E41D3">
      <w:pPr>
        <w:pStyle w:val="NormalWeb"/>
        <w:spacing w:line="276" w:lineRule="auto"/>
        <w:jc w:val="both"/>
        <w:rPr>
          <w:rFonts w:ascii="Arial" w:hAnsi="Arial" w:cs="Arial"/>
          <w:sz w:val="22"/>
          <w:szCs w:val="22"/>
        </w:rPr>
      </w:pPr>
      <w:r w:rsidRPr="004E41D3">
        <w:rPr>
          <w:rFonts w:ascii="Arial" w:hAnsi="Arial" w:cs="Arial"/>
          <w:sz w:val="22"/>
          <w:szCs w:val="22"/>
        </w:rPr>
        <w:t xml:space="preserve">La Corte IDH comenzó a sentar jurisprudencia respecto de las amnistías concedidas a partir de la sentencia del caso </w:t>
      </w:r>
      <w:r w:rsidRPr="004E41D3">
        <w:rPr>
          <w:rFonts w:ascii="Arial" w:hAnsi="Arial" w:cs="Arial"/>
          <w:i/>
          <w:iCs/>
          <w:sz w:val="22"/>
          <w:szCs w:val="22"/>
        </w:rPr>
        <w:t>Barrios Altos vs. Perú</w:t>
      </w:r>
      <w:r w:rsidRPr="004E41D3">
        <w:rPr>
          <w:rFonts w:ascii="Arial" w:hAnsi="Arial" w:cs="Arial"/>
          <w:sz w:val="22"/>
          <w:szCs w:val="22"/>
        </w:rPr>
        <w:t xml:space="preserve">, </w:t>
      </w:r>
      <w:r w:rsidR="00780E62" w:rsidRPr="004E41D3">
        <w:rPr>
          <w:rFonts w:ascii="Arial" w:hAnsi="Arial" w:cs="Arial"/>
          <w:sz w:val="22"/>
          <w:szCs w:val="22"/>
        </w:rPr>
        <w:t>de</w:t>
      </w:r>
      <w:r w:rsidRPr="004E41D3">
        <w:rPr>
          <w:rFonts w:ascii="Arial" w:hAnsi="Arial" w:cs="Arial"/>
          <w:sz w:val="22"/>
          <w:szCs w:val="22"/>
        </w:rPr>
        <w:t xml:space="preserve"> 2001. En 2006, se volvió a pronunciar sobre el uso de amnistías en el contexto de la </w:t>
      </w:r>
      <w:r w:rsidR="005A2C41" w:rsidRPr="004E41D3">
        <w:rPr>
          <w:rFonts w:ascii="Arial" w:hAnsi="Arial" w:cs="Arial"/>
          <w:sz w:val="22"/>
          <w:szCs w:val="22"/>
        </w:rPr>
        <w:t>justicia transicional</w:t>
      </w:r>
      <w:r w:rsidRPr="004E41D3">
        <w:rPr>
          <w:rFonts w:ascii="Arial" w:hAnsi="Arial" w:cs="Arial"/>
          <w:sz w:val="22"/>
          <w:szCs w:val="22"/>
        </w:rPr>
        <w:t xml:space="preserve"> en el caso </w:t>
      </w:r>
      <w:r w:rsidRPr="004E41D3">
        <w:rPr>
          <w:rFonts w:ascii="Arial" w:hAnsi="Arial" w:cs="Arial"/>
          <w:i/>
          <w:iCs/>
          <w:sz w:val="22"/>
          <w:szCs w:val="22"/>
        </w:rPr>
        <w:t>Almonacid vs. Chile</w:t>
      </w:r>
      <w:r w:rsidR="00067502" w:rsidRPr="004E41D3">
        <w:rPr>
          <w:rStyle w:val="Refdenotaalpie"/>
          <w:rFonts w:ascii="Arial" w:hAnsi="Arial" w:cs="Arial"/>
          <w:i/>
          <w:iCs/>
          <w:sz w:val="22"/>
          <w:szCs w:val="22"/>
        </w:rPr>
        <w:footnoteReference w:id="35"/>
      </w:r>
      <w:r w:rsidR="00067502" w:rsidRPr="004E41D3">
        <w:rPr>
          <w:rFonts w:ascii="Arial" w:hAnsi="Arial" w:cs="Arial"/>
          <w:sz w:val="22"/>
          <w:szCs w:val="22"/>
        </w:rPr>
        <w:t xml:space="preserve">, </w:t>
      </w:r>
      <w:r w:rsidR="0060103C" w:rsidRPr="004E41D3">
        <w:rPr>
          <w:rFonts w:ascii="Arial" w:hAnsi="Arial" w:cs="Arial"/>
          <w:sz w:val="22"/>
          <w:szCs w:val="22"/>
        </w:rPr>
        <w:t>vinculado con</w:t>
      </w:r>
      <w:r w:rsidRPr="004E41D3">
        <w:rPr>
          <w:rFonts w:ascii="Arial" w:hAnsi="Arial" w:cs="Arial"/>
          <w:sz w:val="22"/>
          <w:szCs w:val="22"/>
        </w:rPr>
        <w:t xml:space="preserve"> la autoamnistía decretada por el régimen de Pinochet en 1978. Aquí reiteró el estándar de Barrios Altos y consideró que la mera existencia de </w:t>
      </w:r>
      <w:r w:rsidR="00780E62" w:rsidRPr="004E41D3">
        <w:rPr>
          <w:rFonts w:ascii="Arial" w:hAnsi="Arial" w:cs="Arial"/>
          <w:sz w:val="22"/>
          <w:szCs w:val="22"/>
        </w:rPr>
        <w:t>una</w:t>
      </w:r>
      <w:r w:rsidRPr="004E41D3">
        <w:rPr>
          <w:rFonts w:ascii="Arial" w:hAnsi="Arial" w:cs="Arial"/>
          <w:sz w:val="22"/>
          <w:szCs w:val="22"/>
        </w:rPr>
        <w:t xml:space="preserve"> ley </w:t>
      </w:r>
      <w:r w:rsidR="00780E62" w:rsidRPr="004E41D3">
        <w:rPr>
          <w:rFonts w:ascii="Arial" w:hAnsi="Arial" w:cs="Arial"/>
          <w:sz w:val="22"/>
          <w:szCs w:val="22"/>
        </w:rPr>
        <w:t xml:space="preserve">incompatible con la CADH, aun cuando los tribunales nacionales no la aplicaran, </w:t>
      </w:r>
      <w:r w:rsidRPr="004E41D3">
        <w:rPr>
          <w:rFonts w:ascii="Arial" w:hAnsi="Arial" w:cs="Arial"/>
          <w:sz w:val="22"/>
          <w:szCs w:val="22"/>
        </w:rPr>
        <w:t xml:space="preserve">era una violación </w:t>
      </w:r>
      <w:r w:rsidR="00780E62" w:rsidRPr="004E41D3">
        <w:rPr>
          <w:rFonts w:ascii="Arial" w:hAnsi="Arial" w:cs="Arial"/>
          <w:sz w:val="22"/>
          <w:szCs w:val="22"/>
        </w:rPr>
        <w:t>a la Convención</w:t>
      </w:r>
      <w:r w:rsidR="00067502" w:rsidRPr="004E41D3">
        <w:rPr>
          <w:rFonts w:ascii="Arial" w:hAnsi="Arial" w:cs="Arial"/>
          <w:sz w:val="22"/>
          <w:szCs w:val="22"/>
        </w:rPr>
        <w:t>;</w:t>
      </w:r>
      <w:r w:rsidRPr="004E41D3">
        <w:rPr>
          <w:rFonts w:ascii="Arial" w:hAnsi="Arial" w:cs="Arial"/>
          <w:sz w:val="22"/>
          <w:szCs w:val="22"/>
        </w:rPr>
        <w:t xml:space="preserve"> por lo tanto, debía ser derogada. Hizo referencia a las violaciones alegadas como parte de un ataque sistemático y generalizado, es decir, como crímenes de lesa humanidad. </w:t>
      </w:r>
    </w:p>
    <w:p w14:paraId="5D727543" w14:textId="685682C3" w:rsidR="00067502" w:rsidRPr="004E41D3" w:rsidRDefault="00930C9A"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L</w:t>
      </w:r>
      <w:r w:rsidR="00D86C37" w:rsidRPr="004E41D3">
        <w:rPr>
          <w:rFonts w:ascii="Arial" w:hAnsi="Arial" w:cs="Arial"/>
          <w:sz w:val="22"/>
          <w:szCs w:val="22"/>
        </w:rPr>
        <w:t xml:space="preserve">a Corte IDH dejó claro que las amnistías por crímenes de lesa humanidad son incompatibles con la CADH. </w:t>
      </w:r>
      <w:r w:rsidR="003D460F" w:rsidRPr="004E41D3">
        <w:rPr>
          <w:rFonts w:ascii="Arial" w:hAnsi="Arial" w:cs="Arial"/>
          <w:sz w:val="22"/>
          <w:szCs w:val="22"/>
        </w:rPr>
        <w:t>No importa “</w:t>
      </w:r>
      <w:r w:rsidR="003D460F" w:rsidRPr="004E41D3">
        <w:rPr>
          <w:rFonts w:ascii="Arial" w:hAnsi="Arial" w:cs="Arial"/>
          <w:i/>
          <w:sz w:val="22"/>
          <w:szCs w:val="22"/>
        </w:rPr>
        <w:t xml:space="preserve">la forma en que se adoptó la amnistía sino más bien su </w:t>
      </w:r>
      <w:r w:rsidR="003D460F" w:rsidRPr="004E41D3">
        <w:rPr>
          <w:rFonts w:ascii="Arial" w:hAnsi="Arial" w:cs="Arial"/>
          <w:i/>
          <w:iCs/>
          <w:sz w:val="22"/>
          <w:szCs w:val="22"/>
        </w:rPr>
        <w:t>ratio legis</w:t>
      </w:r>
      <w:r w:rsidR="003D460F" w:rsidRPr="004E41D3">
        <w:rPr>
          <w:rFonts w:ascii="Arial" w:hAnsi="Arial" w:cs="Arial"/>
          <w:i/>
          <w:sz w:val="22"/>
          <w:szCs w:val="22"/>
        </w:rPr>
        <w:t>: dejar impune graves violaciones al derecho internacional</w:t>
      </w:r>
      <w:r w:rsidR="003D460F" w:rsidRPr="004E41D3">
        <w:rPr>
          <w:rFonts w:ascii="Arial" w:hAnsi="Arial" w:cs="Arial"/>
          <w:sz w:val="22"/>
          <w:szCs w:val="22"/>
        </w:rPr>
        <w:t>”</w:t>
      </w:r>
      <w:r w:rsidR="003D460F" w:rsidRPr="004E41D3">
        <w:rPr>
          <w:rStyle w:val="Refdenotaalpie"/>
          <w:rFonts w:ascii="Arial" w:hAnsi="Arial" w:cs="Arial"/>
          <w:sz w:val="22"/>
          <w:szCs w:val="22"/>
        </w:rPr>
        <w:footnoteReference w:id="36"/>
      </w:r>
      <w:r w:rsidR="003D460F" w:rsidRPr="004E41D3">
        <w:rPr>
          <w:rFonts w:ascii="Arial" w:hAnsi="Arial" w:cs="Arial"/>
          <w:sz w:val="22"/>
          <w:szCs w:val="22"/>
        </w:rPr>
        <w:t xml:space="preserve">. </w:t>
      </w:r>
    </w:p>
    <w:p w14:paraId="1EA74F2D" w14:textId="14A5EBD7" w:rsidR="00D86C37" w:rsidRPr="004E41D3" w:rsidRDefault="00067502" w:rsidP="004E41D3">
      <w:pPr>
        <w:spacing w:before="100" w:beforeAutospacing="1" w:after="100" w:afterAutospacing="1" w:line="276" w:lineRule="auto"/>
        <w:jc w:val="both"/>
        <w:rPr>
          <w:rFonts w:ascii="Arial" w:hAnsi="Arial" w:cs="Arial"/>
          <w:sz w:val="22"/>
          <w:szCs w:val="22"/>
        </w:rPr>
      </w:pPr>
      <w:r w:rsidRPr="004E41D3">
        <w:rPr>
          <w:rFonts w:ascii="Arial" w:hAnsi="Arial" w:cs="Arial"/>
          <w:sz w:val="22"/>
          <w:szCs w:val="22"/>
        </w:rPr>
        <w:t>E</w:t>
      </w:r>
      <w:r w:rsidR="00D86C37" w:rsidRPr="004E41D3">
        <w:rPr>
          <w:rFonts w:ascii="Arial" w:hAnsi="Arial" w:cs="Arial"/>
          <w:sz w:val="22"/>
          <w:szCs w:val="22"/>
        </w:rPr>
        <w:t>n 2011</w:t>
      </w:r>
      <w:r w:rsidR="00780E62" w:rsidRPr="004E41D3">
        <w:rPr>
          <w:rFonts w:ascii="Arial" w:hAnsi="Arial" w:cs="Arial"/>
          <w:sz w:val="22"/>
          <w:szCs w:val="22"/>
        </w:rPr>
        <w:t>, el tribunal</w:t>
      </w:r>
      <w:r w:rsidR="00D86C37" w:rsidRPr="004E41D3">
        <w:rPr>
          <w:rFonts w:ascii="Arial" w:hAnsi="Arial" w:cs="Arial"/>
          <w:sz w:val="22"/>
          <w:szCs w:val="22"/>
        </w:rPr>
        <w:t xml:space="preserve"> </w:t>
      </w:r>
      <w:r w:rsidRPr="004E41D3">
        <w:rPr>
          <w:rFonts w:ascii="Arial" w:hAnsi="Arial" w:cs="Arial"/>
          <w:sz w:val="22"/>
          <w:szCs w:val="22"/>
        </w:rPr>
        <w:t>volvió a tratar</w:t>
      </w:r>
      <w:r w:rsidR="00D86C37" w:rsidRPr="004E41D3">
        <w:rPr>
          <w:rFonts w:ascii="Arial" w:hAnsi="Arial" w:cs="Arial"/>
          <w:sz w:val="22"/>
          <w:szCs w:val="22"/>
        </w:rPr>
        <w:t xml:space="preserve"> la cuestión de las amnistías por crímenes de lesa humanidad en el caso </w:t>
      </w:r>
      <w:r w:rsidR="00D86C37" w:rsidRPr="004E41D3">
        <w:rPr>
          <w:rFonts w:ascii="Arial" w:hAnsi="Arial" w:cs="Arial"/>
          <w:i/>
          <w:iCs/>
          <w:sz w:val="22"/>
          <w:szCs w:val="22"/>
        </w:rPr>
        <w:t>Gelman vs. Uruguay</w:t>
      </w:r>
      <w:r w:rsidR="00D86C37" w:rsidRPr="004E41D3">
        <w:rPr>
          <w:rFonts w:ascii="Arial" w:hAnsi="Arial" w:cs="Arial"/>
          <w:sz w:val="22"/>
          <w:szCs w:val="22"/>
        </w:rPr>
        <w:t>,</w:t>
      </w:r>
      <w:r w:rsidRPr="004E41D3">
        <w:rPr>
          <w:rFonts w:ascii="Arial" w:hAnsi="Arial" w:cs="Arial"/>
          <w:sz w:val="22"/>
          <w:szCs w:val="22"/>
        </w:rPr>
        <w:t xml:space="preserve"> en el que</w:t>
      </w:r>
      <w:r w:rsidR="00D86C37" w:rsidRPr="004E41D3">
        <w:rPr>
          <w:rFonts w:ascii="Arial" w:hAnsi="Arial" w:cs="Arial"/>
          <w:sz w:val="22"/>
          <w:szCs w:val="22"/>
        </w:rPr>
        <w:t xml:space="preserve"> las amnistías contaban con un apoyo popular y democrático. </w:t>
      </w:r>
      <w:r w:rsidR="00780E62" w:rsidRPr="004E41D3">
        <w:rPr>
          <w:rFonts w:ascii="Arial" w:hAnsi="Arial" w:cs="Arial"/>
          <w:sz w:val="22"/>
          <w:szCs w:val="22"/>
        </w:rPr>
        <w:t>En</w:t>
      </w:r>
      <w:r w:rsidR="00D86C37" w:rsidRPr="004E41D3">
        <w:rPr>
          <w:rFonts w:ascii="Arial" w:hAnsi="Arial" w:cs="Arial"/>
          <w:sz w:val="22"/>
          <w:szCs w:val="22"/>
        </w:rPr>
        <w:t xml:space="preserve"> un plebiscito sobre la validez de las amnistías en la década del 80, el pueblo uruguayo </w:t>
      </w:r>
      <w:r w:rsidR="00780E62" w:rsidRPr="004E41D3">
        <w:rPr>
          <w:rFonts w:ascii="Arial" w:hAnsi="Arial" w:cs="Arial"/>
          <w:sz w:val="22"/>
          <w:szCs w:val="22"/>
        </w:rPr>
        <w:t>había votado</w:t>
      </w:r>
      <w:r w:rsidR="00D86C37" w:rsidRPr="004E41D3">
        <w:rPr>
          <w:rFonts w:ascii="Arial" w:hAnsi="Arial" w:cs="Arial"/>
          <w:sz w:val="22"/>
          <w:szCs w:val="22"/>
        </w:rPr>
        <w:t xml:space="preserve"> a favor de las amnistías. Sin </w:t>
      </w:r>
      <w:r w:rsidR="00C00539" w:rsidRPr="004E41D3">
        <w:rPr>
          <w:rFonts w:ascii="Arial" w:hAnsi="Arial" w:cs="Arial"/>
          <w:sz w:val="22"/>
          <w:szCs w:val="22"/>
        </w:rPr>
        <w:t>perjuicio de ello</w:t>
      </w:r>
      <w:r w:rsidR="00D86C37" w:rsidRPr="004E41D3">
        <w:rPr>
          <w:rFonts w:ascii="Arial" w:hAnsi="Arial" w:cs="Arial"/>
          <w:sz w:val="22"/>
          <w:szCs w:val="22"/>
        </w:rPr>
        <w:t>, la Corte IDH mantuvo su posición de que las amnistías por crímenes de lesa humanidad son incompatibles con la CADH</w:t>
      </w:r>
      <w:r w:rsidR="00082D32" w:rsidRPr="004E41D3">
        <w:rPr>
          <w:rStyle w:val="Refdenotaalpie"/>
          <w:rFonts w:ascii="Arial" w:hAnsi="Arial" w:cs="Arial"/>
          <w:sz w:val="22"/>
          <w:szCs w:val="22"/>
        </w:rPr>
        <w:footnoteReference w:id="37"/>
      </w:r>
      <w:r w:rsidR="00D86C37" w:rsidRPr="004E41D3">
        <w:rPr>
          <w:rFonts w:ascii="Arial" w:hAnsi="Arial" w:cs="Arial"/>
          <w:sz w:val="22"/>
          <w:szCs w:val="22"/>
        </w:rPr>
        <w:t xml:space="preserve">. </w:t>
      </w:r>
    </w:p>
    <w:p w14:paraId="7CEA2B33" w14:textId="01EACEBC" w:rsidR="00D37928" w:rsidRPr="004E41D3" w:rsidRDefault="006B45B2" w:rsidP="004E41D3">
      <w:pPr>
        <w:pStyle w:val="Prrafodelista"/>
        <w:numPr>
          <w:ilvl w:val="0"/>
          <w:numId w:val="2"/>
        </w:numPr>
        <w:spacing w:line="276" w:lineRule="auto"/>
        <w:ind w:left="284" w:hanging="284"/>
        <w:jc w:val="both"/>
        <w:rPr>
          <w:rFonts w:ascii="Arial" w:hAnsi="Arial" w:cs="Arial"/>
          <w:b/>
          <w:i/>
          <w:sz w:val="22"/>
          <w:szCs w:val="22"/>
        </w:rPr>
      </w:pPr>
      <w:r w:rsidRPr="004E41D3">
        <w:rPr>
          <w:rFonts w:ascii="Arial" w:hAnsi="Arial" w:cs="Arial"/>
          <w:b/>
          <w:i/>
          <w:sz w:val="22"/>
          <w:szCs w:val="22"/>
        </w:rPr>
        <w:t>Ejemplos y resultados de procesos de justicia de transición con perspectiva de género, incluyendo medidas específicas para garantizar la participación plena, efectiva e igualitaria de las mujeres y niñas, aumentar su papel en la toma de decisiones y contribuir a su empoderamiento, así como su contribución al sostenimiento de la paz y al desarrollo.</w:t>
      </w:r>
    </w:p>
    <w:p w14:paraId="2809AA3C" w14:textId="77777777" w:rsidR="00DB08D8" w:rsidRPr="004E41D3" w:rsidRDefault="00DB08D8" w:rsidP="004E41D3">
      <w:pPr>
        <w:pStyle w:val="Prrafodelista"/>
        <w:spacing w:line="276" w:lineRule="auto"/>
        <w:ind w:left="284"/>
        <w:jc w:val="both"/>
        <w:rPr>
          <w:rFonts w:ascii="Arial" w:hAnsi="Arial" w:cs="Arial"/>
          <w:b/>
          <w:i/>
          <w:color w:val="00B050"/>
          <w:sz w:val="22"/>
          <w:szCs w:val="22"/>
        </w:rPr>
      </w:pPr>
    </w:p>
    <w:p w14:paraId="3E883C3D" w14:textId="25D8A165" w:rsidR="00D405B1" w:rsidRPr="004E41D3" w:rsidRDefault="00D405B1" w:rsidP="004E41D3">
      <w:pPr>
        <w:spacing w:line="276" w:lineRule="auto"/>
        <w:jc w:val="both"/>
        <w:rPr>
          <w:rFonts w:ascii="Arial" w:hAnsi="Arial" w:cs="Arial"/>
          <w:sz w:val="22"/>
          <w:szCs w:val="22"/>
          <w:lang w:val="es-ES"/>
        </w:rPr>
      </w:pPr>
      <w:r w:rsidRPr="004E41D3">
        <w:rPr>
          <w:rFonts w:ascii="Arial" w:hAnsi="Arial" w:cs="Arial"/>
          <w:sz w:val="22"/>
          <w:szCs w:val="22"/>
          <w:lang w:val="es-ES"/>
        </w:rPr>
        <w:t xml:space="preserve">Si bien no existió una forma planificada de incorporar la participación de las mujeres y de las personas LGBT </w:t>
      </w:r>
      <w:r w:rsidRPr="004E41D3">
        <w:rPr>
          <w:rFonts w:ascii="Arial" w:hAnsi="Arial" w:cs="Arial"/>
          <w:sz w:val="22"/>
          <w:szCs w:val="22"/>
        </w:rPr>
        <w:t>en las estrategias y mecanismos nacionales de justicia transicional</w:t>
      </w:r>
      <w:r w:rsidRPr="004E41D3">
        <w:rPr>
          <w:rFonts w:ascii="Arial" w:hAnsi="Arial" w:cs="Arial"/>
          <w:sz w:val="22"/>
          <w:szCs w:val="22"/>
          <w:lang w:val="es-ES"/>
        </w:rPr>
        <w:t xml:space="preserve">, desde </w:t>
      </w:r>
      <w:r w:rsidR="00DB08D8" w:rsidRPr="004E41D3">
        <w:rPr>
          <w:rFonts w:ascii="Arial" w:hAnsi="Arial" w:cs="Arial"/>
          <w:sz w:val="22"/>
          <w:szCs w:val="22"/>
          <w:lang w:val="es-ES"/>
        </w:rPr>
        <w:t>1983</w:t>
      </w:r>
      <w:r w:rsidRPr="004E41D3">
        <w:rPr>
          <w:rFonts w:ascii="Arial" w:hAnsi="Arial" w:cs="Arial"/>
          <w:sz w:val="22"/>
          <w:szCs w:val="22"/>
          <w:lang w:val="es-ES"/>
        </w:rPr>
        <w:t xml:space="preserve"> la participación de mujeres cis se dio a través de sus testimonios, muchos de ellos incluidos ya en el Informe de la </w:t>
      </w:r>
      <w:r w:rsidRPr="004E41D3">
        <w:rPr>
          <w:rFonts w:ascii="Arial" w:hAnsi="Arial" w:cs="Arial"/>
          <w:sz w:val="22"/>
          <w:szCs w:val="22"/>
        </w:rPr>
        <w:t>Comisión Nacional sobre la Desaparición de Personas</w:t>
      </w:r>
      <w:r w:rsidR="00DB08D8" w:rsidRPr="004E41D3">
        <w:rPr>
          <w:rFonts w:ascii="Arial" w:hAnsi="Arial" w:cs="Arial"/>
          <w:sz w:val="22"/>
          <w:szCs w:val="22"/>
        </w:rPr>
        <w:t xml:space="preserve"> (CONADEP</w:t>
      </w:r>
      <w:r w:rsidRPr="004E41D3">
        <w:rPr>
          <w:rFonts w:ascii="Arial" w:hAnsi="Arial" w:cs="Arial"/>
          <w:sz w:val="22"/>
          <w:szCs w:val="22"/>
        </w:rPr>
        <w:t>)</w:t>
      </w:r>
      <w:r w:rsidRPr="004E41D3">
        <w:rPr>
          <w:rFonts w:ascii="Arial" w:hAnsi="Arial" w:cs="Arial"/>
          <w:sz w:val="22"/>
          <w:szCs w:val="22"/>
          <w:lang w:val="es-ES"/>
        </w:rPr>
        <w:t xml:space="preserve">. Sin embargo, hasta 2010 con las primeras </w:t>
      </w:r>
      <w:r w:rsidRPr="004E41D3">
        <w:rPr>
          <w:rFonts w:ascii="Arial" w:hAnsi="Arial" w:cs="Arial"/>
          <w:sz w:val="22"/>
          <w:szCs w:val="22"/>
          <w:lang w:val="es-ES"/>
        </w:rPr>
        <w:lastRenderedPageBreak/>
        <w:t>sentencias, no hubo referencias específicas a las violencias diferenciales que ellas sufrieron.</w:t>
      </w:r>
    </w:p>
    <w:p w14:paraId="0B7BBB9E" w14:textId="550203FE" w:rsidR="00D405B1" w:rsidRPr="004E41D3" w:rsidRDefault="00D405B1" w:rsidP="004E41D3">
      <w:pPr>
        <w:spacing w:line="276" w:lineRule="auto"/>
        <w:jc w:val="both"/>
        <w:rPr>
          <w:rFonts w:ascii="Arial" w:hAnsi="Arial" w:cs="Arial"/>
          <w:sz w:val="22"/>
          <w:szCs w:val="22"/>
          <w:lang w:val="es-ES"/>
        </w:rPr>
      </w:pPr>
      <w:r w:rsidRPr="004E41D3">
        <w:rPr>
          <w:rFonts w:ascii="Arial" w:hAnsi="Arial" w:cs="Arial"/>
          <w:sz w:val="22"/>
          <w:szCs w:val="22"/>
          <w:lang w:val="es-ES"/>
        </w:rPr>
        <w:t xml:space="preserve">Respecto a las mujeres trans que sufrieron especialmente violencia y persecución durante el terrorismo de Estado, igual que </w:t>
      </w:r>
      <w:proofErr w:type="spellStart"/>
      <w:r w:rsidRPr="004E41D3">
        <w:rPr>
          <w:rFonts w:ascii="Arial" w:hAnsi="Arial" w:cs="Arial"/>
          <w:sz w:val="22"/>
          <w:szCs w:val="22"/>
          <w:lang w:val="es-ES"/>
        </w:rPr>
        <w:t>gays</w:t>
      </w:r>
      <w:proofErr w:type="spellEnd"/>
      <w:r w:rsidRPr="004E41D3">
        <w:rPr>
          <w:rFonts w:ascii="Arial" w:hAnsi="Arial" w:cs="Arial"/>
          <w:sz w:val="22"/>
          <w:szCs w:val="22"/>
          <w:lang w:val="es-ES"/>
        </w:rPr>
        <w:t xml:space="preserve"> y lesbianas visibles en esos años no se buscó una forma de integrar su participación, ni hay demasiados avances sobre el tema. </w:t>
      </w:r>
      <w:r w:rsidR="00DB08D8" w:rsidRPr="004E41D3">
        <w:rPr>
          <w:rFonts w:ascii="Arial" w:hAnsi="Arial" w:cs="Arial"/>
          <w:sz w:val="22"/>
          <w:szCs w:val="22"/>
          <w:lang w:val="es-ES"/>
        </w:rPr>
        <w:t>En el último tiempo</w:t>
      </w:r>
      <w:r w:rsidRPr="004E41D3">
        <w:rPr>
          <w:rFonts w:ascii="Arial" w:hAnsi="Arial" w:cs="Arial"/>
          <w:sz w:val="22"/>
          <w:szCs w:val="22"/>
          <w:lang w:val="es-ES"/>
        </w:rPr>
        <w:t xml:space="preserve">, </w:t>
      </w:r>
      <w:r w:rsidR="00DB08D8" w:rsidRPr="004E41D3">
        <w:rPr>
          <w:rFonts w:ascii="Arial" w:hAnsi="Arial" w:cs="Arial"/>
          <w:sz w:val="22"/>
          <w:szCs w:val="22"/>
          <w:lang w:val="es-ES"/>
        </w:rPr>
        <w:t>han ido</w:t>
      </w:r>
      <w:r w:rsidRPr="004E41D3">
        <w:rPr>
          <w:rFonts w:ascii="Arial" w:hAnsi="Arial" w:cs="Arial"/>
          <w:sz w:val="22"/>
          <w:szCs w:val="22"/>
          <w:lang w:val="es-ES"/>
        </w:rPr>
        <w:t xml:space="preserve"> surgiendo los primeros testimonios. El caso Pozo de Banfield/Pozo de Quilmes es el único en el país con una mujer </w:t>
      </w:r>
      <w:proofErr w:type="gramStart"/>
      <w:r w:rsidRPr="004E41D3">
        <w:rPr>
          <w:rFonts w:ascii="Arial" w:hAnsi="Arial" w:cs="Arial"/>
          <w:sz w:val="22"/>
          <w:szCs w:val="22"/>
          <w:lang w:val="es-ES"/>
        </w:rPr>
        <w:t>trans víctima</w:t>
      </w:r>
      <w:proofErr w:type="gramEnd"/>
      <w:r w:rsidRPr="004E41D3">
        <w:rPr>
          <w:rStyle w:val="Refdenotaalpie"/>
          <w:rFonts w:ascii="Arial" w:hAnsi="Arial" w:cs="Arial"/>
          <w:sz w:val="22"/>
          <w:szCs w:val="22"/>
          <w:lang w:val="es-ES"/>
        </w:rPr>
        <w:footnoteReference w:id="38"/>
      </w:r>
      <w:r w:rsidRPr="004E41D3">
        <w:rPr>
          <w:rFonts w:ascii="Arial" w:hAnsi="Arial" w:cs="Arial"/>
          <w:sz w:val="22"/>
          <w:szCs w:val="22"/>
          <w:lang w:val="es-ES"/>
        </w:rPr>
        <w:t xml:space="preserve">. </w:t>
      </w:r>
    </w:p>
    <w:p w14:paraId="496008AE" w14:textId="77777777" w:rsidR="00173848" w:rsidRPr="004E41D3" w:rsidRDefault="00173848" w:rsidP="004E41D3">
      <w:pPr>
        <w:spacing w:line="276" w:lineRule="auto"/>
        <w:jc w:val="both"/>
        <w:rPr>
          <w:rFonts w:ascii="Arial" w:hAnsi="Arial" w:cs="Arial"/>
          <w:sz w:val="22"/>
          <w:szCs w:val="22"/>
          <w:lang w:val="es-ES"/>
        </w:rPr>
      </w:pPr>
    </w:p>
    <w:p w14:paraId="24D94C81" w14:textId="20EC8F25" w:rsidR="00D405B1" w:rsidRPr="004E41D3" w:rsidRDefault="00D405B1" w:rsidP="004E41D3">
      <w:pPr>
        <w:spacing w:line="276" w:lineRule="auto"/>
        <w:jc w:val="both"/>
        <w:rPr>
          <w:rFonts w:ascii="Arial" w:hAnsi="Arial" w:cs="Arial"/>
          <w:sz w:val="22"/>
          <w:szCs w:val="22"/>
        </w:rPr>
      </w:pPr>
      <w:r w:rsidRPr="004E41D3">
        <w:rPr>
          <w:rFonts w:ascii="Arial" w:hAnsi="Arial" w:cs="Arial"/>
          <w:sz w:val="22"/>
          <w:szCs w:val="22"/>
        </w:rPr>
        <w:t xml:space="preserve">Las mujeres conformaron organizaciones de derechos humanos (Abuelas de Plaza de Mayo, Madres de Plaza de Mayo e H.I.J.O.S) que tuvieron un rol fundamental en la evolución de la justicia transicional argentina. Su incansable lucha fue determinante para lograr el juzgamiento y la condena de los crímenes de lesa humanidad cometidos durante la última dictadura </w:t>
      </w:r>
      <w:r w:rsidR="00180B04" w:rsidRPr="004E41D3">
        <w:rPr>
          <w:rFonts w:ascii="Arial" w:hAnsi="Arial" w:cs="Arial"/>
          <w:sz w:val="22"/>
          <w:szCs w:val="22"/>
        </w:rPr>
        <w:t xml:space="preserve">cívico </w:t>
      </w:r>
      <w:r w:rsidRPr="004E41D3">
        <w:rPr>
          <w:rFonts w:ascii="Arial" w:hAnsi="Arial" w:cs="Arial"/>
          <w:sz w:val="22"/>
          <w:szCs w:val="22"/>
        </w:rPr>
        <w:t xml:space="preserve">militar.   </w:t>
      </w:r>
    </w:p>
    <w:p w14:paraId="3F58BBDE" w14:textId="77777777" w:rsidR="00D405B1" w:rsidRPr="004E41D3" w:rsidRDefault="00D405B1" w:rsidP="004E41D3">
      <w:pPr>
        <w:spacing w:line="276" w:lineRule="auto"/>
        <w:jc w:val="both"/>
        <w:rPr>
          <w:rFonts w:ascii="Arial" w:hAnsi="Arial" w:cs="Arial"/>
          <w:color w:val="00B050"/>
          <w:sz w:val="22"/>
          <w:szCs w:val="22"/>
        </w:rPr>
      </w:pPr>
    </w:p>
    <w:p w14:paraId="4A2C06AB" w14:textId="6008A24A" w:rsidR="005E1323" w:rsidRPr="004E41D3" w:rsidRDefault="005E1323" w:rsidP="004E41D3">
      <w:pPr>
        <w:spacing w:line="276" w:lineRule="auto"/>
        <w:jc w:val="both"/>
        <w:rPr>
          <w:rFonts w:ascii="Arial" w:hAnsi="Arial" w:cs="Arial"/>
          <w:sz w:val="22"/>
          <w:szCs w:val="22"/>
        </w:rPr>
      </w:pPr>
      <w:r w:rsidRPr="004E41D3">
        <w:rPr>
          <w:rFonts w:ascii="Arial" w:hAnsi="Arial" w:cs="Arial"/>
          <w:sz w:val="22"/>
          <w:szCs w:val="22"/>
        </w:rPr>
        <w:t xml:space="preserve">En 2012, en línea con las metas y objetivos del Programa del Ministerio Público Fiscal sobre Políticas de Género, la </w:t>
      </w:r>
      <w:r w:rsidR="00180B04" w:rsidRPr="004E41D3">
        <w:rPr>
          <w:rFonts w:ascii="Arial" w:hAnsi="Arial" w:cs="Arial"/>
          <w:sz w:val="22"/>
          <w:szCs w:val="22"/>
        </w:rPr>
        <w:t xml:space="preserve">Unidad Fiscal de Coordinación y Seguimiento de las Causas por Violaciones a los Derechos Humanos cometidas durante el Terrorismo de Estado </w:t>
      </w:r>
      <w:r w:rsidRPr="004E41D3">
        <w:rPr>
          <w:rFonts w:ascii="Arial" w:hAnsi="Arial" w:cs="Arial"/>
          <w:sz w:val="22"/>
          <w:szCs w:val="22"/>
        </w:rPr>
        <w:t xml:space="preserve">elaboró un documento titulado </w:t>
      </w:r>
      <w:r w:rsidRPr="004E41D3">
        <w:rPr>
          <w:rFonts w:ascii="Arial" w:hAnsi="Arial" w:cs="Arial"/>
          <w:i/>
          <w:sz w:val="22"/>
          <w:szCs w:val="22"/>
        </w:rPr>
        <w:t>Consideraciones sobre el juzgamiento de los abusos sexuales cometidos en el marco del terrorismo de Estado</w:t>
      </w:r>
      <w:r w:rsidRPr="004E41D3">
        <w:rPr>
          <w:rFonts w:ascii="Arial" w:hAnsi="Arial" w:cs="Arial"/>
          <w:sz w:val="22"/>
          <w:szCs w:val="22"/>
        </w:rPr>
        <w:t xml:space="preserve">, que apuntaba a remover los obstáculos originados en patrones socioculturales discriminatorios que impiden a las mujeres víctimas de violencia alcanzar respuestas judiciales eficaces y respetuosas de sus derechos. Por Resolución PGN N° 557/2012, se instruyó a </w:t>
      </w:r>
      <w:r w:rsidR="00B655A2" w:rsidRPr="004E41D3">
        <w:rPr>
          <w:rFonts w:ascii="Arial" w:hAnsi="Arial" w:cs="Arial"/>
          <w:sz w:val="22"/>
          <w:szCs w:val="22"/>
        </w:rPr>
        <w:t>las</w:t>
      </w:r>
      <w:r w:rsidRPr="004E41D3">
        <w:rPr>
          <w:rFonts w:ascii="Arial" w:hAnsi="Arial" w:cs="Arial"/>
          <w:sz w:val="22"/>
          <w:szCs w:val="22"/>
        </w:rPr>
        <w:t xml:space="preserve"> y l</w:t>
      </w:r>
      <w:r w:rsidR="00B655A2" w:rsidRPr="004E41D3">
        <w:rPr>
          <w:rFonts w:ascii="Arial" w:hAnsi="Arial" w:cs="Arial"/>
          <w:sz w:val="22"/>
          <w:szCs w:val="22"/>
        </w:rPr>
        <w:t>o</w:t>
      </w:r>
      <w:r w:rsidRPr="004E41D3">
        <w:rPr>
          <w:rFonts w:ascii="Arial" w:hAnsi="Arial" w:cs="Arial"/>
          <w:sz w:val="22"/>
          <w:szCs w:val="22"/>
        </w:rPr>
        <w:t>s fiscales para que tengan en consideración dicho documento</w:t>
      </w:r>
      <w:r w:rsidRPr="004E41D3">
        <w:rPr>
          <w:rStyle w:val="Refdenotaalpie"/>
          <w:rFonts w:ascii="Arial" w:hAnsi="Arial" w:cs="Arial"/>
          <w:i/>
          <w:sz w:val="22"/>
          <w:szCs w:val="22"/>
        </w:rPr>
        <w:footnoteReference w:id="39"/>
      </w:r>
      <w:r w:rsidRPr="004E41D3">
        <w:rPr>
          <w:rFonts w:ascii="Arial" w:hAnsi="Arial" w:cs="Arial"/>
          <w:sz w:val="22"/>
          <w:szCs w:val="22"/>
        </w:rPr>
        <w:t>.</w:t>
      </w:r>
    </w:p>
    <w:p w14:paraId="74A26354" w14:textId="77777777" w:rsidR="00B655A2" w:rsidRPr="004E41D3" w:rsidRDefault="00B655A2" w:rsidP="004E41D3">
      <w:pPr>
        <w:spacing w:line="276" w:lineRule="auto"/>
        <w:jc w:val="both"/>
        <w:rPr>
          <w:rFonts w:ascii="Arial" w:hAnsi="Arial" w:cs="Arial"/>
          <w:sz w:val="22"/>
          <w:szCs w:val="22"/>
        </w:rPr>
      </w:pPr>
    </w:p>
    <w:p w14:paraId="0179A498" w14:textId="14C97E36" w:rsidR="005E1323" w:rsidRPr="004E41D3" w:rsidRDefault="005E1323" w:rsidP="004E41D3">
      <w:pPr>
        <w:spacing w:line="276" w:lineRule="auto"/>
        <w:jc w:val="both"/>
        <w:rPr>
          <w:rFonts w:ascii="Arial" w:hAnsi="Arial" w:cs="Arial"/>
          <w:sz w:val="22"/>
          <w:szCs w:val="22"/>
        </w:rPr>
      </w:pPr>
      <w:r w:rsidRPr="004E41D3">
        <w:rPr>
          <w:rFonts w:ascii="Arial" w:hAnsi="Arial" w:cs="Arial"/>
          <w:sz w:val="22"/>
          <w:szCs w:val="22"/>
        </w:rPr>
        <w:t xml:space="preserve">El documental “Lesa Humanidad” (2011) es el resultado de una investigación llevada a cabo por el Programa “Violencias de género en contextos represivos” de la Subsecretaría de Derechos Humanos de la provincia de Córdoba. </w:t>
      </w:r>
    </w:p>
    <w:p w14:paraId="10FB984A" w14:textId="77777777" w:rsidR="00B655A2" w:rsidRPr="004E41D3" w:rsidRDefault="00B655A2" w:rsidP="004E41D3">
      <w:pPr>
        <w:spacing w:line="276" w:lineRule="auto"/>
        <w:jc w:val="both"/>
        <w:rPr>
          <w:rFonts w:ascii="Arial" w:hAnsi="Arial" w:cs="Arial"/>
          <w:sz w:val="22"/>
          <w:szCs w:val="22"/>
        </w:rPr>
      </w:pPr>
    </w:p>
    <w:p w14:paraId="32AC0E2C" w14:textId="2033A461" w:rsidR="005E1323" w:rsidRPr="004E41D3" w:rsidRDefault="005E1323" w:rsidP="004E41D3">
      <w:pPr>
        <w:spacing w:line="276" w:lineRule="auto"/>
        <w:jc w:val="both"/>
        <w:rPr>
          <w:rFonts w:ascii="Arial" w:hAnsi="Arial" w:cs="Arial"/>
          <w:sz w:val="22"/>
          <w:szCs w:val="22"/>
        </w:rPr>
      </w:pPr>
      <w:r w:rsidRPr="004E41D3">
        <w:rPr>
          <w:rFonts w:ascii="Arial" w:hAnsi="Arial" w:cs="Arial"/>
          <w:sz w:val="22"/>
          <w:szCs w:val="22"/>
        </w:rPr>
        <w:t xml:space="preserve">El 8 de marzo de 2019 se llevó a cabo una muestra en el Museo de la ex ESMA en la que se buscó visibilizar en particular las violencias sufridas por mujeres. </w:t>
      </w:r>
    </w:p>
    <w:p w14:paraId="7835EE4F" w14:textId="77777777" w:rsidR="005312F3" w:rsidRPr="004E41D3" w:rsidRDefault="005312F3" w:rsidP="004E41D3">
      <w:pPr>
        <w:spacing w:line="276" w:lineRule="auto"/>
        <w:jc w:val="both"/>
        <w:rPr>
          <w:rFonts w:ascii="Arial" w:hAnsi="Arial" w:cs="Arial"/>
          <w:sz w:val="22"/>
          <w:szCs w:val="22"/>
        </w:rPr>
      </w:pPr>
    </w:p>
    <w:p w14:paraId="0DA8753F" w14:textId="77777777" w:rsidR="00D25AF1" w:rsidRPr="004E41D3" w:rsidRDefault="00D25AF1" w:rsidP="004E41D3">
      <w:pPr>
        <w:spacing w:line="276" w:lineRule="auto"/>
        <w:jc w:val="both"/>
        <w:rPr>
          <w:rFonts w:ascii="Arial" w:hAnsi="Arial" w:cs="Arial"/>
          <w:sz w:val="22"/>
          <w:szCs w:val="22"/>
        </w:rPr>
      </w:pPr>
      <w:r w:rsidRPr="004E41D3">
        <w:rPr>
          <w:rFonts w:ascii="Arial" w:hAnsi="Arial" w:cs="Arial"/>
          <w:sz w:val="22"/>
          <w:szCs w:val="22"/>
        </w:rPr>
        <w:t xml:space="preserve">Se desconoce la existencia de procedimientos específicos para asegurar la participación de mujeres o personas LGBT en los procesos. En el caso de las mujeres, la participación se ha dado al asumir ellas mismas el rol de querellantes. </w:t>
      </w:r>
    </w:p>
    <w:p w14:paraId="12A6A6E7" w14:textId="77777777" w:rsidR="005E1323" w:rsidRPr="004E41D3" w:rsidRDefault="005E1323" w:rsidP="004E41D3">
      <w:pPr>
        <w:spacing w:line="276" w:lineRule="auto"/>
        <w:jc w:val="both"/>
        <w:rPr>
          <w:rFonts w:ascii="Arial" w:hAnsi="Arial" w:cs="Arial"/>
          <w:color w:val="00B050"/>
          <w:sz w:val="22"/>
          <w:szCs w:val="22"/>
        </w:rPr>
      </w:pPr>
    </w:p>
    <w:p w14:paraId="1E5D9FCF" w14:textId="1F0E0AFA" w:rsidR="003519E2" w:rsidRPr="004E41D3" w:rsidRDefault="003519E2" w:rsidP="004E41D3">
      <w:pPr>
        <w:spacing w:line="276" w:lineRule="auto"/>
        <w:jc w:val="both"/>
        <w:rPr>
          <w:rFonts w:ascii="Arial" w:hAnsi="Arial" w:cs="Arial"/>
          <w:sz w:val="22"/>
          <w:szCs w:val="22"/>
        </w:rPr>
      </w:pPr>
      <w:r w:rsidRPr="004E41D3">
        <w:rPr>
          <w:rFonts w:ascii="Arial" w:hAnsi="Arial" w:cs="Arial"/>
          <w:sz w:val="22"/>
          <w:szCs w:val="22"/>
        </w:rPr>
        <w:t>Uno de los avances en materia de género y justicia transicional argentina es la visibilización de la violencia sexual cometida durante el terrorismo de Estado a partir del reconocimiento de la violación como delito autónomo en 2010</w:t>
      </w:r>
      <w:r w:rsidRPr="004E41D3">
        <w:rPr>
          <w:rStyle w:val="Refdenotaalpie"/>
          <w:rFonts w:ascii="Arial" w:hAnsi="Arial" w:cs="Arial"/>
          <w:sz w:val="22"/>
          <w:szCs w:val="22"/>
        </w:rPr>
        <w:footnoteReference w:id="40"/>
      </w:r>
      <w:r w:rsidRPr="004E41D3">
        <w:rPr>
          <w:rFonts w:ascii="Arial" w:hAnsi="Arial" w:cs="Arial"/>
          <w:sz w:val="22"/>
          <w:szCs w:val="22"/>
        </w:rPr>
        <w:t xml:space="preserve">. </w:t>
      </w:r>
    </w:p>
    <w:p w14:paraId="78C7E638" w14:textId="77777777" w:rsidR="00B655A2" w:rsidRPr="004E41D3" w:rsidRDefault="00B655A2" w:rsidP="004E41D3">
      <w:pPr>
        <w:spacing w:line="276" w:lineRule="auto"/>
        <w:jc w:val="both"/>
        <w:rPr>
          <w:rFonts w:ascii="Arial" w:hAnsi="Arial" w:cs="Arial"/>
          <w:sz w:val="22"/>
          <w:szCs w:val="22"/>
        </w:rPr>
      </w:pPr>
    </w:p>
    <w:p w14:paraId="08C886A8" w14:textId="428B3320" w:rsidR="003519E2" w:rsidRPr="004E41D3" w:rsidRDefault="003519E2" w:rsidP="004E41D3">
      <w:pPr>
        <w:spacing w:line="276" w:lineRule="auto"/>
        <w:jc w:val="both"/>
        <w:rPr>
          <w:rFonts w:ascii="Arial" w:hAnsi="Arial" w:cs="Arial"/>
          <w:sz w:val="22"/>
          <w:szCs w:val="22"/>
        </w:rPr>
      </w:pPr>
      <w:r w:rsidRPr="004E41D3">
        <w:rPr>
          <w:rFonts w:ascii="Arial" w:hAnsi="Arial" w:cs="Arial"/>
          <w:sz w:val="22"/>
          <w:szCs w:val="22"/>
        </w:rPr>
        <w:t xml:space="preserve">Actualmente, subsisten diversos obstáculos para judicializar estos hechos. El carácter sexista y discriminatorio en términos de género que el poder judicial reproduce, la falta de sensibilización por parte de los operadores del sistema y el hecho de que sean delitos de instancia privada son dificultades a las que aún se enfrentan las víctimas de </w:t>
      </w:r>
      <w:r w:rsidRPr="004E41D3">
        <w:rPr>
          <w:rFonts w:ascii="Arial" w:hAnsi="Arial" w:cs="Arial"/>
          <w:sz w:val="22"/>
          <w:szCs w:val="22"/>
        </w:rPr>
        <w:lastRenderedPageBreak/>
        <w:t>este tipo de delitos. Por otra parte, ciertas interpretaciones vinculadas a la valoración de la prueba, al carácter de delito de lesa humanidad de estos ilícitos y a la autoría (aplicación de la teoría de los delitos por mano propia que no admite participación e impide responsabilizar a los superiores por estos hechos -obstáculo que no se presenta al juzgar delitos de tortura), así como una tendencia a subsumir el tipo penal de violación en el de tormentos, invisibilizando todo el contenido del injusto de un abuso sexual, constituyen verdaderos impedimentos para enjuiciar y castigar los incidentes de violencia sexual perpetrados durante la última dictadura militar</w:t>
      </w:r>
      <w:r w:rsidRPr="004E41D3">
        <w:rPr>
          <w:rStyle w:val="Refdenotaalpie"/>
          <w:rFonts w:ascii="Arial" w:hAnsi="Arial" w:cs="Arial"/>
          <w:sz w:val="22"/>
          <w:szCs w:val="22"/>
        </w:rPr>
        <w:footnoteReference w:id="41"/>
      </w:r>
      <w:r w:rsidRPr="004E41D3">
        <w:rPr>
          <w:rFonts w:ascii="Arial" w:hAnsi="Arial" w:cs="Arial"/>
          <w:sz w:val="22"/>
          <w:szCs w:val="22"/>
        </w:rPr>
        <w:t xml:space="preserve">. </w:t>
      </w:r>
    </w:p>
    <w:p w14:paraId="71351D8D" w14:textId="77777777" w:rsidR="00FA2669" w:rsidRPr="004E41D3" w:rsidRDefault="00FA2669" w:rsidP="004E41D3">
      <w:pPr>
        <w:spacing w:line="276" w:lineRule="auto"/>
        <w:jc w:val="both"/>
        <w:rPr>
          <w:rFonts w:ascii="Arial" w:hAnsi="Arial" w:cs="Arial"/>
          <w:sz w:val="22"/>
          <w:szCs w:val="22"/>
        </w:rPr>
      </w:pPr>
    </w:p>
    <w:p w14:paraId="0FE28A94" w14:textId="1DBB9CA4" w:rsidR="003519E2" w:rsidRPr="004E41D3" w:rsidRDefault="003519E2" w:rsidP="004E41D3">
      <w:pPr>
        <w:spacing w:line="276" w:lineRule="auto"/>
        <w:jc w:val="both"/>
        <w:rPr>
          <w:rFonts w:ascii="Arial" w:hAnsi="Arial" w:cs="Arial"/>
          <w:sz w:val="22"/>
          <w:szCs w:val="22"/>
        </w:rPr>
      </w:pPr>
      <w:r w:rsidRPr="004E41D3">
        <w:rPr>
          <w:rFonts w:ascii="Arial" w:hAnsi="Arial" w:cs="Arial"/>
          <w:sz w:val="22"/>
          <w:szCs w:val="22"/>
        </w:rPr>
        <w:t>Una de las principales limitaciones para juzgar los delitos contra la integridad sexual</w:t>
      </w:r>
      <w:r w:rsidRPr="004E41D3">
        <w:rPr>
          <w:rStyle w:val="Refdenotaalpie"/>
          <w:rFonts w:ascii="Arial" w:hAnsi="Arial" w:cs="Arial"/>
          <w:sz w:val="22"/>
          <w:szCs w:val="22"/>
        </w:rPr>
        <w:footnoteReference w:id="42"/>
      </w:r>
      <w:r w:rsidRPr="004E41D3">
        <w:rPr>
          <w:rFonts w:ascii="Arial" w:hAnsi="Arial" w:cs="Arial"/>
          <w:sz w:val="22"/>
          <w:szCs w:val="22"/>
        </w:rPr>
        <w:t xml:space="preserve"> es que se trata de delitos de instancia privada</w:t>
      </w:r>
      <w:r w:rsidRPr="004E41D3">
        <w:rPr>
          <w:rStyle w:val="Refdenotaalpie"/>
          <w:rFonts w:ascii="Arial" w:hAnsi="Arial" w:cs="Arial"/>
          <w:sz w:val="22"/>
          <w:szCs w:val="22"/>
        </w:rPr>
        <w:footnoteReference w:id="43"/>
      </w:r>
      <w:r w:rsidRPr="004E41D3">
        <w:rPr>
          <w:rFonts w:ascii="Arial" w:hAnsi="Arial" w:cs="Arial"/>
          <w:sz w:val="22"/>
          <w:szCs w:val="22"/>
        </w:rPr>
        <w:t xml:space="preserve">, por </w:t>
      </w:r>
      <w:proofErr w:type="gramStart"/>
      <w:r w:rsidRPr="004E41D3">
        <w:rPr>
          <w:rFonts w:ascii="Arial" w:hAnsi="Arial" w:cs="Arial"/>
          <w:sz w:val="22"/>
          <w:szCs w:val="22"/>
        </w:rPr>
        <w:t>tanto</w:t>
      </w:r>
      <w:proofErr w:type="gramEnd"/>
      <w:r w:rsidRPr="004E41D3">
        <w:rPr>
          <w:rFonts w:ascii="Arial" w:hAnsi="Arial" w:cs="Arial"/>
          <w:sz w:val="22"/>
          <w:szCs w:val="22"/>
        </w:rPr>
        <w:t xml:space="preserve"> la acción penal sólo puede ser ejercida con la voluntad expresa de la víctima, salvo que ésta resulte muerta o se configuren lesiones gravísimas. La Ley 27.455</w:t>
      </w:r>
      <w:r w:rsidRPr="004E41D3">
        <w:rPr>
          <w:rStyle w:val="Refdenotaalpie"/>
          <w:rFonts w:ascii="Arial" w:hAnsi="Arial" w:cs="Arial"/>
          <w:sz w:val="22"/>
          <w:szCs w:val="22"/>
        </w:rPr>
        <w:footnoteReference w:id="44"/>
      </w:r>
      <w:r w:rsidRPr="004E41D3">
        <w:rPr>
          <w:rFonts w:ascii="Arial" w:hAnsi="Arial" w:cs="Arial"/>
          <w:sz w:val="22"/>
          <w:szCs w:val="22"/>
        </w:rPr>
        <w:t xml:space="preserve"> modificó el Código Penal y habilitó la intervención de oficio cuando la persona ofendida fuera menor de 18 años o hubiera sido declarada incapaz, y para los casos de lesiones leves “</w:t>
      </w:r>
      <w:r w:rsidRPr="004E41D3">
        <w:rPr>
          <w:rFonts w:ascii="Arial" w:hAnsi="Arial" w:cs="Arial"/>
          <w:i/>
          <w:sz w:val="22"/>
          <w:szCs w:val="22"/>
        </w:rPr>
        <w:t>cuando mediaren razones de seguridad o interés público</w:t>
      </w:r>
      <w:r w:rsidRPr="004E41D3">
        <w:rPr>
          <w:rFonts w:ascii="Arial" w:hAnsi="Arial" w:cs="Arial"/>
          <w:sz w:val="22"/>
          <w:szCs w:val="22"/>
        </w:rPr>
        <w:t xml:space="preserve">”. Sin embargo, la reforma no hizo ninguna salvedad respecto a los delitos sexuales cometidos durante el terrorismo de Estado. </w:t>
      </w:r>
    </w:p>
    <w:p w14:paraId="41750124" w14:textId="77777777" w:rsidR="00FA2669" w:rsidRPr="004E41D3" w:rsidRDefault="00FA2669" w:rsidP="004E41D3">
      <w:pPr>
        <w:spacing w:line="276" w:lineRule="auto"/>
        <w:jc w:val="both"/>
        <w:rPr>
          <w:rFonts w:ascii="Arial" w:hAnsi="Arial" w:cs="Arial"/>
          <w:sz w:val="22"/>
          <w:szCs w:val="22"/>
        </w:rPr>
      </w:pPr>
    </w:p>
    <w:p w14:paraId="24E4D576" w14:textId="31621098" w:rsidR="003519E2" w:rsidRPr="004E41D3" w:rsidRDefault="003519E2" w:rsidP="004E41D3">
      <w:pPr>
        <w:spacing w:line="276" w:lineRule="auto"/>
        <w:jc w:val="both"/>
        <w:rPr>
          <w:rFonts w:ascii="Arial" w:hAnsi="Arial" w:cs="Arial"/>
          <w:sz w:val="22"/>
          <w:szCs w:val="22"/>
        </w:rPr>
      </w:pPr>
      <w:r w:rsidRPr="004E41D3">
        <w:rPr>
          <w:rFonts w:ascii="Arial" w:hAnsi="Arial" w:cs="Arial"/>
          <w:sz w:val="22"/>
          <w:szCs w:val="22"/>
        </w:rPr>
        <w:t>Aún no se han desarrollado suficientes mecanismos para garantizar plena información y contención a las víctimas de estos delitos para que su decisión de impulsar la investigación sea libre y no implique una revictimización. La participación de las mujeres y la población LGBT en el diseño de estos mecanismos será crucial para asegurar que respondan adecuadamente a sus necesidades.</w:t>
      </w:r>
    </w:p>
    <w:p w14:paraId="1A235E07" w14:textId="77777777" w:rsidR="008037B1" w:rsidRPr="004E41D3" w:rsidRDefault="008037B1" w:rsidP="004E41D3">
      <w:pPr>
        <w:spacing w:line="276" w:lineRule="auto"/>
        <w:jc w:val="both"/>
        <w:rPr>
          <w:rFonts w:ascii="Arial" w:hAnsi="Arial" w:cs="Arial"/>
          <w:sz w:val="22"/>
          <w:szCs w:val="22"/>
        </w:rPr>
      </w:pPr>
    </w:p>
    <w:p w14:paraId="79DDDEEA" w14:textId="77777777" w:rsidR="003519E2" w:rsidRPr="004E41D3" w:rsidRDefault="003519E2" w:rsidP="004E41D3">
      <w:pPr>
        <w:spacing w:line="276" w:lineRule="auto"/>
        <w:jc w:val="both"/>
        <w:rPr>
          <w:rFonts w:ascii="Arial" w:hAnsi="Arial" w:cs="Arial"/>
          <w:sz w:val="22"/>
          <w:szCs w:val="22"/>
        </w:rPr>
      </w:pPr>
      <w:r w:rsidRPr="004E41D3">
        <w:rPr>
          <w:rFonts w:ascii="Arial" w:hAnsi="Arial" w:cs="Arial"/>
          <w:sz w:val="22"/>
          <w:szCs w:val="22"/>
        </w:rPr>
        <w:t>Esta INDH entiende que las reglas para la valoración de la prueba utilizadas por los tribunales penales internacionales</w:t>
      </w:r>
      <w:r w:rsidRPr="004E41D3">
        <w:rPr>
          <w:rStyle w:val="Refdenotaalpie"/>
          <w:rFonts w:ascii="Arial" w:hAnsi="Arial" w:cs="Arial"/>
          <w:sz w:val="22"/>
          <w:szCs w:val="22"/>
        </w:rPr>
        <w:footnoteReference w:id="45"/>
      </w:r>
      <w:r w:rsidRPr="004E41D3">
        <w:rPr>
          <w:rFonts w:ascii="Arial" w:hAnsi="Arial" w:cs="Arial"/>
          <w:sz w:val="22"/>
          <w:szCs w:val="22"/>
        </w:rPr>
        <w:t xml:space="preserve"> deben ser consideradas por los tribunales argentinos al momento de juzgar abusos sexuales cometidos durante el terrorismo de Estado.</w:t>
      </w:r>
    </w:p>
    <w:p w14:paraId="4FBDA90C" w14:textId="77777777" w:rsidR="003519E2" w:rsidRPr="004E41D3" w:rsidRDefault="003519E2" w:rsidP="004E41D3">
      <w:pPr>
        <w:spacing w:line="276" w:lineRule="auto"/>
        <w:jc w:val="both"/>
        <w:rPr>
          <w:rFonts w:ascii="Arial" w:hAnsi="Arial" w:cs="Arial"/>
          <w:color w:val="00B050"/>
          <w:sz w:val="22"/>
          <w:szCs w:val="22"/>
        </w:rPr>
      </w:pPr>
    </w:p>
    <w:p w14:paraId="14FE3CD1" w14:textId="77777777" w:rsidR="007554A9" w:rsidRPr="004E41D3" w:rsidRDefault="00F07078" w:rsidP="004E41D3">
      <w:pPr>
        <w:spacing w:line="276" w:lineRule="auto"/>
        <w:jc w:val="both"/>
        <w:rPr>
          <w:rFonts w:ascii="Arial" w:hAnsi="Arial" w:cs="Arial"/>
          <w:sz w:val="22"/>
          <w:szCs w:val="22"/>
        </w:rPr>
      </w:pPr>
      <w:r w:rsidRPr="004E41D3">
        <w:rPr>
          <w:rFonts w:ascii="Arial" w:hAnsi="Arial" w:cs="Arial"/>
          <w:sz w:val="22"/>
          <w:szCs w:val="22"/>
        </w:rPr>
        <w:t>Sin perjuicio de los avances antes descriptos, los incidentes de violencia sexual cometidos en el marco del terrorismo de Estado aún no reciben el tratamiento adecuado en la práctica judicial.</w:t>
      </w:r>
    </w:p>
    <w:p w14:paraId="75484802" w14:textId="77777777" w:rsidR="007554A9" w:rsidRPr="004E41D3" w:rsidRDefault="007554A9" w:rsidP="004E41D3">
      <w:pPr>
        <w:spacing w:line="276" w:lineRule="auto"/>
        <w:jc w:val="both"/>
        <w:rPr>
          <w:rFonts w:ascii="Arial" w:hAnsi="Arial" w:cs="Arial"/>
          <w:sz w:val="22"/>
          <w:szCs w:val="22"/>
        </w:rPr>
      </w:pPr>
    </w:p>
    <w:p w14:paraId="11595526" w14:textId="786FD4EC" w:rsidR="00794FFD" w:rsidRPr="004E41D3" w:rsidRDefault="000714F3" w:rsidP="004E41D3">
      <w:pPr>
        <w:spacing w:line="276" w:lineRule="auto"/>
        <w:jc w:val="both"/>
        <w:rPr>
          <w:rFonts w:ascii="Arial" w:hAnsi="Arial" w:cs="Arial"/>
          <w:sz w:val="22"/>
          <w:szCs w:val="22"/>
        </w:rPr>
      </w:pPr>
      <w:r w:rsidRPr="004E41D3">
        <w:rPr>
          <w:rFonts w:ascii="Arial" w:hAnsi="Arial" w:cs="Arial"/>
          <w:sz w:val="22"/>
          <w:szCs w:val="22"/>
        </w:rPr>
        <w:t>Al evaluar la visibilización de los crímenes de genero, l</w:t>
      </w:r>
      <w:r w:rsidR="00F07078" w:rsidRPr="004E41D3">
        <w:rPr>
          <w:rFonts w:ascii="Arial" w:hAnsi="Arial" w:cs="Arial"/>
          <w:sz w:val="22"/>
          <w:szCs w:val="22"/>
        </w:rPr>
        <w:t>as últimas estadísticas de la Procuraduría de Crímenes contra la Humanidad (PCCH)</w:t>
      </w:r>
      <w:r w:rsidR="00F07078" w:rsidRPr="004E41D3">
        <w:rPr>
          <w:rStyle w:val="Refdenotaalpie"/>
          <w:rFonts w:ascii="Arial" w:hAnsi="Arial" w:cs="Arial"/>
          <w:sz w:val="22"/>
          <w:szCs w:val="22"/>
        </w:rPr>
        <w:footnoteReference w:id="46"/>
      </w:r>
      <w:r w:rsidR="00F07078" w:rsidRPr="004E41D3">
        <w:rPr>
          <w:rFonts w:ascii="Arial" w:hAnsi="Arial" w:cs="Arial"/>
          <w:sz w:val="22"/>
          <w:szCs w:val="22"/>
        </w:rPr>
        <w:t xml:space="preserve"> revelan que</w:t>
      </w:r>
      <w:r w:rsidR="00794FFD" w:rsidRPr="004E41D3">
        <w:rPr>
          <w:rFonts w:ascii="Arial" w:hAnsi="Arial" w:cs="Arial"/>
          <w:sz w:val="22"/>
          <w:szCs w:val="22"/>
        </w:rPr>
        <w:t xml:space="preserve"> en 36 de las 254 sentencias dictadas desde 2006 hasta marzo de 2021 se abordan delitos sexuales. Los condenados representan el 11% del total</w:t>
      </w:r>
      <w:r w:rsidR="00F07078" w:rsidRPr="004E41D3">
        <w:rPr>
          <w:rFonts w:ascii="Arial" w:hAnsi="Arial" w:cs="Arial"/>
          <w:sz w:val="22"/>
          <w:szCs w:val="22"/>
        </w:rPr>
        <w:t xml:space="preserve">. </w:t>
      </w:r>
    </w:p>
    <w:p w14:paraId="2A6C8109" w14:textId="77777777" w:rsidR="00794FFD" w:rsidRPr="004E41D3" w:rsidRDefault="00794FFD" w:rsidP="004E41D3">
      <w:pPr>
        <w:spacing w:line="276" w:lineRule="auto"/>
        <w:jc w:val="both"/>
        <w:rPr>
          <w:rFonts w:ascii="Arial" w:hAnsi="Arial" w:cs="Arial"/>
          <w:sz w:val="22"/>
          <w:szCs w:val="22"/>
        </w:rPr>
      </w:pPr>
    </w:p>
    <w:p w14:paraId="2C65C04D" w14:textId="6CAA4BCE" w:rsidR="00794FFD" w:rsidRPr="004E41D3" w:rsidRDefault="00794FFD" w:rsidP="004E41D3">
      <w:pPr>
        <w:spacing w:line="276" w:lineRule="auto"/>
        <w:jc w:val="both"/>
        <w:rPr>
          <w:rFonts w:ascii="Arial" w:hAnsi="Arial" w:cs="Arial"/>
          <w:sz w:val="22"/>
          <w:szCs w:val="22"/>
        </w:rPr>
      </w:pPr>
      <w:r w:rsidRPr="004E41D3">
        <w:rPr>
          <w:rFonts w:ascii="Arial" w:hAnsi="Arial" w:cs="Arial"/>
          <w:sz w:val="22"/>
          <w:szCs w:val="22"/>
        </w:rPr>
        <w:t>De un total de 1024 personas condenadas por crímenes de lesa humanidad, 121 fueron responsabilizadas por delitos sexuales y otras trece llegaron acusadas a debate y resultaron absueltas. </w:t>
      </w:r>
    </w:p>
    <w:p w14:paraId="326828CC" w14:textId="6E4256B9" w:rsidR="00794FFD" w:rsidRPr="004E41D3" w:rsidRDefault="00794FFD" w:rsidP="004E41D3">
      <w:pPr>
        <w:spacing w:line="276" w:lineRule="auto"/>
        <w:jc w:val="both"/>
        <w:rPr>
          <w:rFonts w:ascii="Arial" w:hAnsi="Arial" w:cs="Arial"/>
          <w:sz w:val="22"/>
          <w:szCs w:val="22"/>
        </w:rPr>
      </w:pPr>
    </w:p>
    <w:p w14:paraId="013707F9" w14:textId="357A6C47" w:rsidR="008D1736" w:rsidRPr="004E41D3" w:rsidRDefault="004816B9" w:rsidP="004E41D3">
      <w:pPr>
        <w:spacing w:line="276" w:lineRule="auto"/>
        <w:jc w:val="both"/>
        <w:rPr>
          <w:rFonts w:ascii="Arial" w:hAnsi="Arial" w:cs="Arial"/>
          <w:sz w:val="22"/>
          <w:szCs w:val="22"/>
        </w:rPr>
      </w:pPr>
      <w:r w:rsidRPr="004E41D3">
        <w:rPr>
          <w:rFonts w:ascii="Arial" w:hAnsi="Arial" w:cs="Arial"/>
          <w:sz w:val="22"/>
          <w:szCs w:val="22"/>
        </w:rPr>
        <w:t>En aquellas 36 sentencias, que representan un 14% del total, se abordaron delitos de violencia sexual contra 136 víctimas: 112 mujeres y 24 varones.</w:t>
      </w:r>
      <w:r w:rsidR="008D1736" w:rsidRPr="004E41D3">
        <w:rPr>
          <w:rFonts w:ascii="Arial" w:hAnsi="Arial" w:cs="Arial"/>
          <w:sz w:val="22"/>
          <w:szCs w:val="22"/>
        </w:rPr>
        <w:t xml:space="preserve"> Las investigaciones demuestran que las prácticas de abuso, violación sexual, tocamientos y aborto forzado fueron extendidas en todo el país durante la represión ilegal</w:t>
      </w:r>
      <w:r w:rsidR="00D4491A" w:rsidRPr="004E41D3">
        <w:rPr>
          <w:rFonts w:ascii="Arial" w:hAnsi="Arial" w:cs="Arial"/>
          <w:sz w:val="22"/>
          <w:szCs w:val="22"/>
        </w:rPr>
        <w:t>.</w:t>
      </w:r>
    </w:p>
    <w:p w14:paraId="3498ADCB" w14:textId="605021F5" w:rsidR="00D4491A" w:rsidRPr="004E41D3" w:rsidRDefault="00D4491A" w:rsidP="004E41D3">
      <w:pPr>
        <w:spacing w:line="276" w:lineRule="auto"/>
        <w:jc w:val="both"/>
        <w:rPr>
          <w:rFonts w:ascii="Arial" w:hAnsi="Arial" w:cs="Arial"/>
          <w:sz w:val="22"/>
          <w:szCs w:val="22"/>
        </w:rPr>
      </w:pPr>
    </w:p>
    <w:p w14:paraId="0593A058" w14:textId="528A28EF" w:rsidR="00D4491A" w:rsidRPr="004E41D3" w:rsidRDefault="00D4491A" w:rsidP="004E41D3">
      <w:pPr>
        <w:spacing w:line="276" w:lineRule="auto"/>
        <w:jc w:val="both"/>
        <w:rPr>
          <w:rFonts w:ascii="Arial" w:hAnsi="Arial" w:cs="Arial"/>
          <w:sz w:val="22"/>
          <w:szCs w:val="22"/>
        </w:rPr>
      </w:pPr>
      <w:r w:rsidRPr="004E41D3">
        <w:rPr>
          <w:rFonts w:ascii="Arial" w:hAnsi="Arial" w:cs="Arial"/>
          <w:sz w:val="22"/>
          <w:szCs w:val="22"/>
        </w:rPr>
        <w:t>Desde 2012, el Ministerio Público Fiscal de la Nación viene impulsando la persecución penal de los crímenes de violencia sexual cometidos durante el terrorismo de Estado, considerándolos delitos autónomos, buscando visibilizarlos y procurando identificar a los responsables.</w:t>
      </w:r>
    </w:p>
    <w:p w14:paraId="19514925" w14:textId="5E6FCEA1" w:rsidR="00D4491A" w:rsidRPr="004E41D3" w:rsidRDefault="00D4491A" w:rsidP="004E41D3">
      <w:pPr>
        <w:spacing w:line="276" w:lineRule="auto"/>
        <w:jc w:val="both"/>
        <w:rPr>
          <w:rFonts w:ascii="Arial" w:hAnsi="Arial" w:cs="Arial"/>
          <w:sz w:val="22"/>
          <w:szCs w:val="22"/>
        </w:rPr>
      </w:pPr>
    </w:p>
    <w:p w14:paraId="0256ED8E" w14:textId="1BF3CA63" w:rsidR="00D4491A" w:rsidRPr="004E41D3" w:rsidRDefault="00D4491A" w:rsidP="004E41D3">
      <w:pPr>
        <w:spacing w:line="276" w:lineRule="auto"/>
        <w:jc w:val="both"/>
        <w:rPr>
          <w:rFonts w:ascii="Arial" w:hAnsi="Arial" w:cs="Arial"/>
          <w:sz w:val="22"/>
          <w:szCs w:val="22"/>
        </w:rPr>
      </w:pPr>
      <w:r w:rsidRPr="004E41D3">
        <w:rPr>
          <w:rFonts w:ascii="Arial" w:hAnsi="Arial" w:cs="Arial"/>
          <w:sz w:val="22"/>
          <w:szCs w:val="22"/>
        </w:rPr>
        <w:t>Sin duda, todas estas medidas también contribuyen a la realización del Objetivo 16 de la Agenda 2030</w:t>
      </w:r>
      <w:r w:rsidR="009C3875" w:rsidRPr="004E41D3">
        <w:rPr>
          <w:rFonts w:ascii="Arial" w:hAnsi="Arial" w:cs="Arial"/>
          <w:sz w:val="22"/>
          <w:szCs w:val="22"/>
        </w:rPr>
        <w:t>.</w:t>
      </w:r>
    </w:p>
    <w:p w14:paraId="12BB9D1E" w14:textId="77777777" w:rsidR="00F07078" w:rsidRPr="004E41D3" w:rsidRDefault="00F07078" w:rsidP="004E41D3">
      <w:pPr>
        <w:pStyle w:val="NormalWeb"/>
        <w:spacing w:line="276" w:lineRule="auto"/>
        <w:jc w:val="both"/>
        <w:rPr>
          <w:rFonts w:ascii="Arial" w:hAnsi="Arial" w:cs="Arial"/>
          <w:sz w:val="22"/>
          <w:szCs w:val="22"/>
        </w:rPr>
      </w:pPr>
      <w:r w:rsidRPr="004E41D3">
        <w:rPr>
          <w:rFonts w:ascii="Arial" w:hAnsi="Arial" w:cs="Arial"/>
          <w:sz w:val="22"/>
          <w:szCs w:val="22"/>
        </w:rPr>
        <w:t xml:space="preserve">Como ejemplos de buenas prácticas pueden mencionarse la primera condena emitida por un Tribunal Oral Federal en nuestro país por delitos contra la integridad sexual cometidos en un centro clandestino, dictada en la ciudad de Mar del Plata el 9 de junio de 2010. Se trató del primer juicio oral en que la violación sexual fue considerada como delito autónomo, a partir de la denuncia de dos de las víctimas. </w:t>
      </w:r>
    </w:p>
    <w:p w14:paraId="03BE7525" w14:textId="083C9B94" w:rsidR="00F07078" w:rsidRPr="004E41D3" w:rsidRDefault="00F07078" w:rsidP="004E41D3">
      <w:pPr>
        <w:spacing w:line="276" w:lineRule="auto"/>
        <w:jc w:val="both"/>
        <w:rPr>
          <w:rFonts w:ascii="Arial" w:hAnsi="Arial" w:cs="Arial"/>
          <w:sz w:val="22"/>
          <w:szCs w:val="22"/>
        </w:rPr>
      </w:pPr>
      <w:r w:rsidRPr="004E41D3">
        <w:rPr>
          <w:rFonts w:ascii="Arial" w:hAnsi="Arial" w:cs="Arial"/>
          <w:color w:val="14171A"/>
          <w:sz w:val="22"/>
          <w:szCs w:val="22"/>
        </w:rPr>
        <w:t>El 14 de mayo</w:t>
      </w:r>
      <w:r w:rsidR="005C075F" w:rsidRPr="004E41D3">
        <w:rPr>
          <w:rFonts w:ascii="Arial" w:hAnsi="Arial" w:cs="Arial"/>
          <w:color w:val="14171A"/>
          <w:sz w:val="22"/>
          <w:szCs w:val="22"/>
        </w:rPr>
        <w:t xml:space="preserve"> de 2020</w:t>
      </w:r>
      <w:r w:rsidRPr="004E41D3">
        <w:rPr>
          <w:rFonts w:ascii="Arial" w:hAnsi="Arial" w:cs="Arial"/>
          <w:color w:val="14171A"/>
          <w:sz w:val="22"/>
          <w:szCs w:val="22"/>
        </w:rPr>
        <w:t xml:space="preserve">, </w:t>
      </w:r>
      <w:r w:rsidRPr="004E41D3">
        <w:rPr>
          <w:rFonts w:ascii="Arial" w:hAnsi="Arial" w:cs="Arial"/>
          <w:sz w:val="22"/>
          <w:szCs w:val="22"/>
        </w:rPr>
        <w:t>el Tribunal Oral Federal II de Rosario</w:t>
      </w:r>
      <w:r w:rsidRPr="004E41D3">
        <w:rPr>
          <w:rFonts w:ascii="Arial" w:hAnsi="Arial" w:cs="Arial"/>
          <w:color w:val="14171A"/>
          <w:sz w:val="22"/>
          <w:szCs w:val="22"/>
        </w:rPr>
        <w:t xml:space="preserve"> dictó la </w:t>
      </w:r>
      <w:r w:rsidRPr="004E41D3">
        <w:rPr>
          <w:rFonts w:ascii="Arial" w:hAnsi="Arial" w:cs="Arial"/>
          <w:sz w:val="22"/>
          <w:szCs w:val="22"/>
        </w:rPr>
        <w:t xml:space="preserve">primera condena por abuso sexual agravado en las </w:t>
      </w:r>
      <w:r w:rsidRPr="004E41D3">
        <w:rPr>
          <w:rFonts w:ascii="Arial" w:hAnsi="Arial" w:cs="Arial"/>
          <w:color w:val="333333"/>
          <w:sz w:val="22"/>
          <w:szCs w:val="22"/>
          <w:shd w:val="clear" w:color="auto" w:fill="FFFFFF"/>
        </w:rPr>
        <w:t>causas Feced III y IV</w:t>
      </w:r>
      <w:r w:rsidRPr="004E41D3">
        <w:rPr>
          <w:rStyle w:val="Refdenotaalpie"/>
          <w:rFonts w:ascii="Arial" w:hAnsi="Arial" w:cs="Arial"/>
          <w:sz w:val="22"/>
          <w:szCs w:val="22"/>
        </w:rPr>
        <w:footnoteReference w:id="47"/>
      </w:r>
      <w:r w:rsidRPr="004E41D3">
        <w:rPr>
          <w:rFonts w:ascii="Arial" w:hAnsi="Arial" w:cs="Arial"/>
          <w:color w:val="333333"/>
          <w:sz w:val="22"/>
          <w:szCs w:val="22"/>
          <w:shd w:val="clear" w:color="auto" w:fill="FFFFFF"/>
        </w:rPr>
        <w:t xml:space="preserve">. </w:t>
      </w:r>
      <w:r w:rsidRPr="004E41D3">
        <w:rPr>
          <w:rFonts w:ascii="Arial" w:hAnsi="Arial" w:cs="Arial"/>
          <w:sz w:val="22"/>
          <w:szCs w:val="22"/>
        </w:rPr>
        <w:t>El Ministerio Público Fiscal pidió la calificación correcta de los delitos y que se incluyera la violación en la acusación, al igual que las querellas y el Tribunal Oral (con dos de los tres jueces a favor). Sin embargo, quedaron excluidos los pedidos de condena por aborto forzoso.</w:t>
      </w:r>
    </w:p>
    <w:p w14:paraId="3CA0B4AE" w14:textId="77777777" w:rsidR="00F07078" w:rsidRPr="004E41D3" w:rsidRDefault="00F07078" w:rsidP="004E41D3">
      <w:pPr>
        <w:spacing w:line="276" w:lineRule="auto"/>
        <w:jc w:val="both"/>
        <w:rPr>
          <w:rFonts w:ascii="Arial" w:hAnsi="Arial" w:cs="Arial"/>
          <w:color w:val="00B050"/>
          <w:sz w:val="22"/>
          <w:szCs w:val="22"/>
        </w:rPr>
      </w:pPr>
    </w:p>
    <w:p w14:paraId="7C403F70" w14:textId="46371468" w:rsidR="00F07078" w:rsidRPr="004E41D3" w:rsidRDefault="00F07078" w:rsidP="004E41D3">
      <w:pPr>
        <w:spacing w:line="276" w:lineRule="auto"/>
        <w:jc w:val="both"/>
        <w:rPr>
          <w:rFonts w:ascii="Arial" w:hAnsi="Arial" w:cs="Arial"/>
          <w:sz w:val="22"/>
          <w:szCs w:val="22"/>
        </w:rPr>
      </w:pPr>
      <w:r w:rsidRPr="004E41D3">
        <w:rPr>
          <w:rFonts w:ascii="Arial" w:hAnsi="Arial" w:cs="Arial"/>
          <w:sz w:val="22"/>
          <w:szCs w:val="22"/>
        </w:rPr>
        <w:t xml:space="preserve">Si bien no hay una estrategia concreta de implementación sensible, existe un deber de visibilizar las violencias específicas hacia mujeres y población LGBT. En tal sentido, respecto a la violencia sexual sufrida durante la última dictadura militar, como ya se indicó, el Ministerio Público Fiscal instruyó a los y las fiscales para que tengan en cuenta las </w:t>
      </w:r>
      <w:r w:rsidRPr="004E41D3">
        <w:rPr>
          <w:rFonts w:ascii="Arial" w:hAnsi="Arial" w:cs="Arial"/>
          <w:i/>
          <w:sz w:val="22"/>
          <w:szCs w:val="22"/>
        </w:rPr>
        <w:t>Consideraciones sobre el juzgamiento de los abusos sexuales cometidos en el marco del terrorismo de Estado</w:t>
      </w:r>
      <w:r w:rsidRPr="004E41D3">
        <w:rPr>
          <w:rFonts w:ascii="Arial" w:hAnsi="Arial" w:cs="Arial"/>
          <w:sz w:val="22"/>
          <w:szCs w:val="22"/>
        </w:rPr>
        <w:t>.</w:t>
      </w:r>
    </w:p>
    <w:p w14:paraId="4A16AF46" w14:textId="77777777" w:rsidR="00D4491A" w:rsidRPr="004E41D3" w:rsidRDefault="00D4491A" w:rsidP="004E41D3">
      <w:pPr>
        <w:spacing w:line="276" w:lineRule="auto"/>
        <w:jc w:val="both"/>
        <w:rPr>
          <w:rFonts w:ascii="Arial" w:hAnsi="Arial" w:cs="Arial"/>
          <w:sz w:val="22"/>
          <w:szCs w:val="22"/>
        </w:rPr>
      </w:pPr>
    </w:p>
    <w:p w14:paraId="47CEAFC9" w14:textId="634EF3EF" w:rsidR="00F07078" w:rsidRPr="004E41D3" w:rsidRDefault="00F07078" w:rsidP="004E41D3">
      <w:pPr>
        <w:spacing w:line="276" w:lineRule="auto"/>
        <w:jc w:val="both"/>
        <w:rPr>
          <w:rFonts w:ascii="Arial" w:hAnsi="Arial" w:cs="Arial"/>
          <w:sz w:val="22"/>
          <w:szCs w:val="22"/>
        </w:rPr>
      </w:pPr>
      <w:r w:rsidRPr="004E41D3">
        <w:rPr>
          <w:rFonts w:ascii="Arial" w:hAnsi="Arial" w:cs="Arial"/>
          <w:sz w:val="22"/>
          <w:szCs w:val="22"/>
        </w:rPr>
        <w:t>A nivel general, en el marco del Plan de Capacitación Permanente de la Oficina de la Mujer de la Corte Suprema de Justicia de la Nación se han dictado talleres destinados a jueces de todo el país para introducir la perspectiva de género en el Poder Judicial.</w:t>
      </w:r>
    </w:p>
    <w:p w14:paraId="66F0FA0E" w14:textId="77777777" w:rsidR="00D4491A" w:rsidRPr="004E41D3" w:rsidRDefault="00D4491A" w:rsidP="004E41D3">
      <w:pPr>
        <w:spacing w:line="276" w:lineRule="auto"/>
        <w:jc w:val="both"/>
        <w:rPr>
          <w:rFonts w:ascii="Arial" w:hAnsi="Arial" w:cs="Arial"/>
          <w:sz w:val="22"/>
          <w:szCs w:val="22"/>
        </w:rPr>
      </w:pPr>
    </w:p>
    <w:p w14:paraId="492A0F2F" w14:textId="7D767FDC" w:rsidR="00D4491A" w:rsidRPr="004E41D3" w:rsidRDefault="00F07078" w:rsidP="004E41D3">
      <w:pPr>
        <w:spacing w:line="276" w:lineRule="auto"/>
        <w:jc w:val="both"/>
        <w:rPr>
          <w:rFonts w:ascii="Arial" w:hAnsi="Arial" w:cs="Arial"/>
          <w:sz w:val="22"/>
          <w:szCs w:val="22"/>
        </w:rPr>
      </w:pPr>
      <w:r w:rsidRPr="004E41D3">
        <w:rPr>
          <w:rFonts w:ascii="Arial" w:hAnsi="Arial" w:cs="Arial"/>
          <w:sz w:val="22"/>
          <w:szCs w:val="22"/>
        </w:rPr>
        <w:t>Por su parte, la Ley 27.499</w:t>
      </w:r>
      <w:r w:rsidR="00695F25" w:rsidRPr="004E41D3">
        <w:rPr>
          <w:rStyle w:val="Refdenotaalpie"/>
          <w:rFonts w:ascii="Arial" w:hAnsi="Arial" w:cs="Arial"/>
          <w:sz w:val="22"/>
          <w:szCs w:val="22"/>
        </w:rPr>
        <w:footnoteReference w:id="48"/>
      </w:r>
      <w:r w:rsidRPr="004E41D3">
        <w:rPr>
          <w:rFonts w:ascii="Arial" w:hAnsi="Arial" w:cs="Arial"/>
          <w:sz w:val="22"/>
          <w:szCs w:val="22"/>
        </w:rPr>
        <w:t xml:space="preserve"> (Ley Micaela) establece la capacitación obligatoria en género y violencia contra las mujeres para todas las personas que integran los tres poderes del Estado. </w:t>
      </w:r>
    </w:p>
    <w:p w14:paraId="17A4E34D" w14:textId="77777777" w:rsidR="00D4491A" w:rsidRPr="004E41D3" w:rsidRDefault="00D4491A" w:rsidP="004E41D3">
      <w:pPr>
        <w:spacing w:line="276" w:lineRule="auto"/>
        <w:jc w:val="both"/>
        <w:rPr>
          <w:rFonts w:ascii="Arial" w:hAnsi="Arial" w:cs="Arial"/>
          <w:sz w:val="22"/>
          <w:szCs w:val="22"/>
        </w:rPr>
      </w:pPr>
    </w:p>
    <w:p w14:paraId="60BC5C73" w14:textId="77777777" w:rsidR="00A352DA" w:rsidRPr="004E41D3" w:rsidRDefault="00A352DA" w:rsidP="004E41D3">
      <w:pPr>
        <w:spacing w:line="276" w:lineRule="auto"/>
        <w:jc w:val="both"/>
        <w:rPr>
          <w:rFonts w:ascii="Arial" w:hAnsi="Arial" w:cs="Arial"/>
          <w:color w:val="00B050"/>
          <w:sz w:val="22"/>
          <w:szCs w:val="22"/>
        </w:rPr>
      </w:pPr>
    </w:p>
    <w:p w14:paraId="7DEE0219" w14:textId="600C9611" w:rsidR="00426E19" w:rsidRPr="004E41D3" w:rsidRDefault="00426E19" w:rsidP="004E41D3">
      <w:pPr>
        <w:spacing w:line="276" w:lineRule="auto"/>
        <w:rPr>
          <w:rFonts w:ascii="Arial" w:hAnsi="Arial" w:cs="Arial"/>
          <w:color w:val="00B050"/>
          <w:sz w:val="22"/>
          <w:szCs w:val="22"/>
        </w:rPr>
      </w:pPr>
    </w:p>
    <w:p w14:paraId="5DE60535" w14:textId="77777777" w:rsidR="001E0C1F" w:rsidRPr="004E41D3" w:rsidRDefault="001E0C1F" w:rsidP="004E41D3">
      <w:pPr>
        <w:spacing w:line="276" w:lineRule="auto"/>
        <w:rPr>
          <w:rFonts w:ascii="Arial" w:hAnsi="Arial" w:cs="Arial"/>
          <w:color w:val="00B050"/>
          <w:sz w:val="22"/>
          <w:szCs w:val="22"/>
        </w:rPr>
      </w:pPr>
    </w:p>
    <w:p w14:paraId="1A717891" w14:textId="77777777" w:rsidR="00BE1E3E" w:rsidRPr="004E41D3" w:rsidRDefault="00BE1E3E" w:rsidP="004E41D3">
      <w:pPr>
        <w:spacing w:line="276" w:lineRule="auto"/>
        <w:rPr>
          <w:rFonts w:ascii="Arial" w:hAnsi="Arial" w:cs="Arial"/>
          <w:color w:val="00B050"/>
          <w:sz w:val="22"/>
          <w:szCs w:val="22"/>
        </w:rPr>
      </w:pPr>
    </w:p>
    <w:sectPr w:rsidR="00BE1E3E" w:rsidRPr="004E41D3" w:rsidSect="00477FF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B19E" w14:textId="77777777" w:rsidR="00FD556D" w:rsidRDefault="00FD556D" w:rsidP="00050F71">
      <w:r>
        <w:separator/>
      </w:r>
    </w:p>
  </w:endnote>
  <w:endnote w:type="continuationSeparator" w:id="0">
    <w:p w14:paraId="2068732A" w14:textId="77777777" w:rsidR="00FD556D" w:rsidRDefault="00FD556D" w:rsidP="0005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7BCB" w14:textId="77777777" w:rsidR="00FD556D" w:rsidRDefault="00FD556D" w:rsidP="00050F71">
      <w:r>
        <w:separator/>
      </w:r>
    </w:p>
  </w:footnote>
  <w:footnote w:type="continuationSeparator" w:id="0">
    <w:p w14:paraId="4B05657D" w14:textId="77777777" w:rsidR="00FD556D" w:rsidRDefault="00FD556D" w:rsidP="00050F71">
      <w:r>
        <w:continuationSeparator/>
      </w:r>
    </w:p>
  </w:footnote>
  <w:footnote w:id="1">
    <w:p w14:paraId="2A0C774E" w14:textId="3FAC9A35" w:rsidR="007D61CA" w:rsidRPr="00AE3D8C" w:rsidRDefault="007D61CA">
      <w:pPr>
        <w:pStyle w:val="Textonotapie"/>
      </w:pPr>
      <w:r>
        <w:rPr>
          <w:rStyle w:val="Refdenotaalpie"/>
        </w:rPr>
        <w:footnoteRef/>
      </w:r>
      <w:r>
        <w:t xml:space="preserve"> </w:t>
      </w:r>
      <w:r>
        <w:rPr>
          <w:rFonts w:ascii="TimesNewRomanPSMT" w:hAnsi="TimesNewRomanPSMT" w:cs="TimesNewRomanPSMT"/>
        </w:rPr>
        <w:t xml:space="preserve">Publicado en el Boletín Oficial el 19/12/83. </w:t>
      </w:r>
      <w:r>
        <w:t xml:space="preserve">Texto disponible en </w:t>
      </w:r>
      <w:hyperlink r:id="rId1" w:history="1">
        <w:r w:rsidRPr="00640C74">
          <w:rPr>
            <w:rStyle w:val="Hipervnculo"/>
          </w:rPr>
          <w:t>https://tinyurl.com/w744ec3w</w:t>
        </w:r>
      </w:hyperlink>
      <w:r>
        <w:t xml:space="preserve">. </w:t>
      </w:r>
    </w:p>
  </w:footnote>
  <w:footnote w:id="2">
    <w:p w14:paraId="5F663959" w14:textId="77F00171" w:rsidR="007D61CA" w:rsidRPr="00D8193E" w:rsidRDefault="007D61CA">
      <w:pPr>
        <w:pStyle w:val="Textonotapie"/>
      </w:pPr>
      <w:r>
        <w:rPr>
          <w:rStyle w:val="Refdenotaalpie"/>
        </w:rPr>
        <w:footnoteRef/>
      </w:r>
      <w:r>
        <w:t xml:space="preserve"> Disponible en </w:t>
      </w:r>
      <w:hyperlink r:id="rId2" w:history="1">
        <w:r w:rsidRPr="00640C74">
          <w:rPr>
            <w:rStyle w:val="Hipervnculo"/>
          </w:rPr>
          <w:t>https://bit.ly/3AypsSv</w:t>
        </w:r>
      </w:hyperlink>
      <w:r>
        <w:t xml:space="preserve">. </w:t>
      </w:r>
    </w:p>
  </w:footnote>
  <w:footnote w:id="3">
    <w:p w14:paraId="08818A61" w14:textId="436DCC6C" w:rsidR="007D61CA" w:rsidRPr="005507CB" w:rsidRDefault="007D61CA">
      <w:pPr>
        <w:pStyle w:val="Textonotapie"/>
      </w:pPr>
      <w:r>
        <w:rPr>
          <w:rStyle w:val="Refdenotaalpie"/>
        </w:rPr>
        <w:footnoteRef/>
      </w:r>
      <w:r>
        <w:t xml:space="preserve"> Publicada en el Boletín Oficial el 29/12/83. Texto disponible en </w:t>
      </w:r>
      <w:hyperlink r:id="rId3" w:history="1">
        <w:r w:rsidRPr="00640C74">
          <w:rPr>
            <w:rStyle w:val="Hipervnculo"/>
          </w:rPr>
          <w:t>https://tinyurl.com/4schnb9s</w:t>
        </w:r>
      </w:hyperlink>
      <w:r>
        <w:t xml:space="preserve">. </w:t>
      </w:r>
    </w:p>
  </w:footnote>
  <w:footnote w:id="4">
    <w:p w14:paraId="7A8CA58E" w14:textId="333269D8" w:rsidR="007D61CA" w:rsidRPr="0033778A" w:rsidRDefault="007D61CA">
      <w:pPr>
        <w:pStyle w:val="Textonotapie"/>
      </w:pPr>
      <w:r>
        <w:rPr>
          <w:rStyle w:val="Refdenotaalpie"/>
        </w:rPr>
        <w:footnoteRef/>
      </w:r>
      <w:r>
        <w:t xml:space="preserve"> Fallo disponible en  </w:t>
      </w:r>
      <w:hyperlink r:id="rId4" w:history="1">
        <w:r w:rsidRPr="00640C74">
          <w:rPr>
            <w:rStyle w:val="Hipervnculo"/>
          </w:rPr>
          <w:t>https://bit.ly/3mKIHDr</w:t>
        </w:r>
      </w:hyperlink>
      <w:r>
        <w:t xml:space="preserve">. </w:t>
      </w:r>
    </w:p>
  </w:footnote>
  <w:footnote w:id="5">
    <w:p w14:paraId="30971784" w14:textId="79BB4684" w:rsidR="007D61CA" w:rsidRPr="00FC11FE" w:rsidRDefault="007D61CA" w:rsidP="00FC11FE">
      <w:pPr>
        <w:pStyle w:val="NormalWeb"/>
        <w:spacing w:before="0" w:beforeAutospacing="0" w:after="0" w:afterAutospacing="0"/>
        <w:jc w:val="both"/>
        <w:rPr>
          <w:sz w:val="20"/>
          <w:szCs w:val="20"/>
        </w:rPr>
      </w:pPr>
      <w:r w:rsidRPr="00FC11FE">
        <w:rPr>
          <w:rStyle w:val="Refdenotaalpie"/>
          <w:sz w:val="20"/>
          <w:szCs w:val="20"/>
        </w:rPr>
        <w:footnoteRef/>
      </w:r>
      <w:r w:rsidRPr="00FC11FE">
        <w:rPr>
          <w:sz w:val="20"/>
          <w:szCs w:val="20"/>
        </w:rPr>
        <w:t xml:space="preserve"> </w:t>
      </w:r>
      <w:r w:rsidRPr="00FC11FE">
        <w:rPr>
          <w:rFonts w:ascii="TimesNewRomanPSMT" w:hAnsi="TimesNewRomanPSMT" w:cs="TimesNewRomanPSMT"/>
          <w:sz w:val="20"/>
          <w:szCs w:val="20"/>
        </w:rPr>
        <w:t>L</w:t>
      </w:r>
      <w:r w:rsidRPr="00FB0ED5">
        <w:rPr>
          <w:rFonts w:ascii="TimesNewRomanPSMT" w:hAnsi="TimesNewRomanPSMT" w:cs="TimesNewRomanPSMT"/>
          <w:sz w:val="20"/>
          <w:szCs w:val="20"/>
        </w:rPr>
        <w:t xml:space="preserve">a Ley 23.492, conocida como ley de Punto </w:t>
      </w:r>
      <w:r w:rsidRPr="00FC11FE">
        <w:rPr>
          <w:rFonts w:ascii="TimesNewRomanPSMT" w:hAnsi="TimesNewRomanPSMT" w:cs="TimesNewRomanPSMT"/>
          <w:sz w:val="20"/>
          <w:szCs w:val="20"/>
        </w:rPr>
        <w:t xml:space="preserve">Final (BO 24/12/86), imponía un límite temporal de sólo 60 días para iniciar la acción penal que daría lugar al proceso penal. </w:t>
      </w:r>
      <w:r>
        <w:rPr>
          <w:rFonts w:ascii="TimesNewRomanPSMT" w:hAnsi="TimesNewRomanPSMT" w:cs="TimesNewRomanPSMT"/>
          <w:sz w:val="20"/>
          <w:szCs w:val="20"/>
        </w:rPr>
        <w:t xml:space="preserve">Texto disponible en </w:t>
      </w:r>
      <w:hyperlink r:id="rId5" w:history="1">
        <w:r w:rsidRPr="00640C74">
          <w:rPr>
            <w:rStyle w:val="Hipervnculo"/>
            <w:rFonts w:ascii="TimesNewRomanPSMT" w:hAnsi="TimesNewRomanPSMT" w:cs="TimesNewRomanPSMT"/>
            <w:sz w:val="20"/>
            <w:szCs w:val="20"/>
          </w:rPr>
          <w:t>https://tinyurl.com/7r4p9hw6</w:t>
        </w:r>
      </w:hyperlink>
      <w:r>
        <w:rPr>
          <w:rFonts w:ascii="TimesNewRomanPSMT" w:hAnsi="TimesNewRomanPSMT" w:cs="TimesNewRomanPSMT"/>
          <w:sz w:val="20"/>
          <w:szCs w:val="20"/>
        </w:rPr>
        <w:t xml:space="preserve">. </w:t>
      </w:r>
    </w:p>
  </w:footnote>
  <w:footnote w:id="6">
    <w:p w14:paraId="299348E7" w14:textId="1B688D58" w:rsidR="007D61CA" w:rsidRPr="00FC11FE" w:rsidRDefault="007D61CA" w:rsidP="00EF1B12">
      <w:pPr>
        <w:pStyle w:val="Textonotapie"/>
        <w:jc w:val="both"/>
      </w:pPr>
      <w:r>
        <w:rPr>
          <w:rStyle w:val="Refdenotaalpie"/>
        </w:rPr>
        <w:footnoteRef/>
      </w:r>
      <w:r>
        <w:t xml:space="preserve"> L</w:t>
      </w:r>
      <w:r w:rsidRPr="00FC11FE">
        <w:t>a Ley 23.521 de Obediencia Debida</w:t>
      </w:r>
      <w:r>
        <w:t xml:space="preserve"> (BO 9/6/87)</w:t>
      </w:r>
      <w:r w:rsidRPr="00FC11FE">
        <w:t xml:space="preserve"> </w:t>
      </w:r>
      <w:r>
        <w:t>disponía la presunción</w:t>
      </w:r>
      <w:r w:rsidRPr="00FC11FE">
        <w:t xml:space="preserve"> </w:t>
      </w:r>
      <w:r w:rsidRPr="00FC11FE">
        <w:rPr>
          <w:i/>
          <w:iCs/>
        </w:rPr>
        <w:t>iuris et de iure</w:t>
      </w:r>
      <w:r>
        <w:rPr>
          <w:i/>
          <w:iCs/>
        </w:rPr>
        <w:t>,</w:t>
      </w:r>
      <w:r w:rsidRPr="00FC11FE">
        <w:rPr>
          <w:i/>
          <w:iCs/>
        </w:rPr>
        <w:t xml:space="preserve"> </w:t>
      </w:r>
      <w:r w:rsidRPr="00FC11FE">
        <w:t xml:space="preserve">es decir, </w:t>
      </w:r>
      <w:r>
        <w:t>sin admitir</w:t>
      </w:r>
      <w:r w:rsidRPr="00FC11FE">
        <w:t xml:space="preserve"> prueba en contrario, que los “</w:t>
      </w:r>
      <w:r w:rsidRPr="001478F8">
        <w:rPr>
          <w:i/>
        </w:rPr>
        <w:t>oficiales jefes, oficiales subalternos, suboficiales y personal de tropa de las Fuerzas Armadas, de seguridad, policiales y penitenciarias</w:t>
      </w:r>
      <w:r w:rsidRPr="00FC11FE">
        <w:t xml:space="preserve">” no </w:t>
      </w:r>
      <w:r>
        <w:t>eran punibles</w:t>
      </w:r>
      <w:r w:rsidRPr="00FC11FE">
        <w:t xml:space="preserve"> </w:t>
      </w:r>
      <w:r>
        <w:t>por las violaciones a los derechos humanos cometidas entre el 24/03/76 y el 26/09/83 por haber obrado</w:t>
      </w:r>
      <w:r w:rsidRPr="00FC11FE">
        <w:t xml:space="preserve"> bajo las órdenes de sus superiores y, por lo tanto, en virtud de la obediencia debida. </w:t>
      </w:r>
      <w:r>
        <w:t xml:space="preserve">Texto disponible en </w:t>
      </w:r>
      <w:hyperlink r:id="rId6" w:history="1">
        <w:r w:rsidRPr="00640C74">
          <w:rPr>
            <w:rStyle w:val="Hipervnculo"/>
          </w:rPr>
          <w:t>https://tinyurl.com/28vvcc3c</w:t>
        </w:r>
      </w:hyperlink>
      <w:r>
        <w:t xml:space="preserve">. </w:t>
      </w:r>
    </w:p>
  </w:footnote>
  <w:footnote w:id="7">
    <w:p w14:paraId="1A0532D0" w14:textId="7A732D21" w:rsidR="007D61CA" w:rsidRPr="00EF1B12" w:rsidRDefault="007D61CA">
      <w:pPr>
        <w:pStyle w:val="Textonotapie"/>
      </w:pPr>
      <w:r>
        <w:rPr>
          <w:rStyle w:val="Refdenotaalpie"/>
        </w:rPr>
        <w:footnoteRef/>
      </w:r>
      <w:r>
        <w:t xml:space="preserve"> Disponible en </w:t>
      </w:r>
      <w:hyperlink r:id="rId7" w:history="1">
        <w:r w:rsidRPr="00640C74">
          <w:rPr>
            <w:rStyle w:val="Hipervnculo"/>
          </w:rPr>
          <w:t>https://tinyurl.com/t6crrexm</w:t>
        </w:r>
      </w:hyperlink>
      <w:r>
        <w:t>.</w:t>
      </w:r>
    </w:p>
  </w:footnote>
  <w:footnote w:id="8">
    <w:p w14:paraId="16C99D2E" w14:textId="4C6DFC22" w:rsidR="007D61CA" w:rsidRPr="00C33E64" w:rsidRDefault="007D61CA">
      <w:pPr>
        <w:pStyle w:val="Textonotapie"/>
      </w:pPr>
      <w:r>
        <w:rPr>
          <w:rStyle w:val="Refdenotaalpie"/>
        </w:rPr>
        <w:footnoteRef/>
      </w:r>
      <w:r>
        <w:t xml:space="preserve"> Disponible en </w:t>
      </w:r>
      <w:hyperlink r:id="rId8" w:history="1">
        <w:r w:rsidRPr="00640C74">
          <w:rPr>
            <w:rStyle w:val="Hipervnculo"/>
          </w:rPr>
          <w:t>https://bit.ly/3lv5gg1</w:t>
        </w:r>
      </w:hyperlink>
      <w:r>
        <w:t xml:space="preserve">. </w:t>
      </w:r>
    </w:p>
  </w:footnote>
  <w:footnote w:id="9">
    <w:p w14:paraId="5AD7E2F7" w14:textId="419DAF3D" w:rsidR="007D61CA" w:rsidRPr="00A00D0D" w:rsidRDefault="007D61CA">
      <w:pPr>
        <w:pStyle w:val="Textonotapie"/>
      </w:pPr>
      <w:r>
        <w:rPr>
          <w:rStyle w:val="Refdenotaalpie"/>
        </w:rPr>
        <w:footnoteRef/>
      </w:r>
      <w:r>
        <w:t xml:space="preserve"> Fallo disponible en </w:t>
      </w:r>
      <w:hyperlink r:id="rId9" w:history="1">
        <w:r w:rsidRPr="00640C74">
          <w:rPr>
            <w:rStyle w:val="Hipervnculo"/>
          </w:rPr>
          <w:t>https://bit.ly/3oZamDy</w:t>
        </w:r>
      </w:hyperlink>
      <w:r>
        <w:t xml:space="preserve">. </w:t>
      </w:r>
    </w:p>
  </w:footnote>
  <w:footnote w:id="10">
    <w:p w14:paraId="16CCD3C4" w14:textId="36EA4843" w:rsidR="00BA63D9" w:rsidRPr="00BA63D9" w:rsidRDefault="00BA63D9" w:rsidP="00960BCF">
      <w:pPr>
        <w:pStyle w:val="Textonotapie"/>
        <w:jc w:val="both"/>
      </w:pPr>
      <w:r>
        <w:rPr>
          <w:rStyle w:val="Refdenotaalpie"/>
        </w:rPr>
        <w:footnoteRef/>
      </w:r>
      <w:r>
        <w:t xml:space="preserve"> Disponible en </w:t>
      </w:r>
      <w:hyperlink r:id="rId10" w:history="1">
        <w:r w:rsidRPr="00640C74">
          <w:rPr>
            <w:rStyle w:val="Hipervnculo"/>
          </w:rPr>
          <w:t>http://www.cidh.org/annualrep/92span/Argentina10.288.htm</w:t>
        </w:r>
      </w:hyperlink>
      <w:r w:rsidR="00960BCF">
        <w:t xml:space="preserve">. </w:t>
      </w:r>
      <w:r w:rsidR="00960BCF" w:rsidRPr="00960BCF">
        <w:t xml:space="preserve">El monto previsto para las indemnizaciones fue la treintava parte de la remuneración mensual asignada a la más alta categoría del escalafón para el personal civil de la administración pública, por cada mes de detención. En el caso de personas que hubieran fallecido durante su detención, fue establecido el equivalente a cinco años de detención como indemnización adicional, más el período de su detención; en casos de personas que hubieran sufrido lesiones gravísimas, fue establecida la compensación por detención, más el 70 por ciento de la compensación que recibieran los familiares de un fallecido. </w:t>
      </w:r>
      <w:r>
        <w:t xml:space="preserve"> </w:t>
      </w:r>
    </w:p>
  </w:footnote>
  <w:footnote w:id="11">
    <w:p w14:paraId="52A3E419" w14:textId="5CBBDD5B" w:rsidR="007D61CA" w:rsidRPr="005A7B9A" w:rsidRDefault="007D61CA">
      <w:pPr>
        <w:pStyle w:val="Textonotapie"/>
      </w:pPr>
      <w:r>
        <w:rPr>
          <w:rStyle w:val="Refdenotaalpie"/>
        </w:rPr>
        <w:footnoteRef/>
      </w:r>
      <w:r>
        <w:t xml:space="preserve"> Fallo disponible en </w:t>
      </w:r>
      <w:hyperlink r:id="rId11" w:history="1">
        <w:r w:rsidRPr="00640C74">
          <w:rPr>
            <w:rStyle w:val="Hipervnculo"/>
          </w:rPr>
          <w:t>https://bit.ly/2YKQ99a</w:t>
        </w:r>
      </w:hyperlink>
      <w:r>
        <w:t xml:space="preserve">. </w:t>
      </w:r>
    </w:p>
  </w:footnote>
  <w:footnote w:id="12">
    <w:p w14:paraId="0044731F" w14:textId="1C2630E4" w:rsidR="007D61CA" w:rsidRPr="00D50E63" w:rsidRDefault="007D61CA" w:rsidP="00D50E63">
      <w:pPr>
        <w:pStyle w:val="Textonotapie"/>
        <w:jc w:val="both"/>
      </w:pPr>
      <w:r>
        <w:rPr>
          <w:rStyle w:val="Refdenotaalpie"/>
        </w:rPr>
        <w:footnoteRef/>
      </w:r>
      <w:r>
        <w:t xml:space="preserve"> </w:t>
      </w:r>
      <w:r w:rsidRPr="00D50E63">
        <w:t xml:space="preserve">MOMPRADÉ VÁZQUEZ, Laura. </w:t>
      </w:r>
      <w:r w:rsidRPr="00D50E63">
        <w:rPr>
          <w:i/>
        </w:rPr>
        <w:t>El proceso de justicia transicional en Argentina. Evolución del paradigma de enjuiciamiento a los responsables de crímenes contra la humanidad</w:t>
      </w:r>
      <w:r w:rsidRPr="00D50E63">
        <w:t>. Trabajo de grado. Universidad Autónoma de Barcelona</w:t>
      </w:r>
      <w:r>
        <w:t>, p. 39.</w:t>
      </w:r>
    </w:p>
  </w:footnote>
  <w:footnote w:id="13">
    <w:p w14:paraId="659F7A58" w14:textId="7AD4A4A3" w:rsidR="007D61CA" w:rsidRPr="00755566" w:rsidRDefault="007D61CA">
      <w:pPr>
        <w:pStyle w:val="Textonotapie"/>
      </w:pPr>
      <w:r>
        <w:rPr>
          <w:rStyle w:val="Refdenotaalpie"/>
        </w:rPr>
        <w:footnoteRef/>
      </w:r>
      <w:r>
        <w:t xml:space="preserve"> Publicada en el Boletín Oficial el 17/04/98. Texto disponible en </w:t>
      </w:r>
      <w:hyperlink r:id="rId12" w:history="1">
        <w:r w:rsidRPr="00640C74">
          <w:rPr>
            <w:rStyle w:val="Hipervnculo"/>
          </w:rPr>
          <w:t>https://tinyurl.com/c274vdvz</w:t>
        </w:r>
      </w:hyperlink>
      <w:r>
        <w:t xml:space="preserve">. </w:t>
      </w:r>
    </w:p>
  </w:footnote>
  <w:footnote w:id="14">
    <w:p w14:paraId="152145BC" w14:textId="52335EBF" w:rsidR="007D61CA" w:rsidRPr="00D078CB" w:rsidRDefault="007D61CA">
      <w:pPr>
        <w:pStyle w:val="Textonotapie"/>
      </w:pPr>
      <w:r>
        <w:rPr>
          <w:rStyle w:val="Refdenotaalpie"/>
        </w:rPr>
        <w:footnoteRef/>
      </w:r>
      <w:r>
        <w:t xml:space="preserve"> Fallo disponible en </w:t>
      </w:r>
      <w:hyperlink r:id="rId13" w:history="1">
        <w:r w:rsidRPr="00640C74">
          <w:rPr>
            <w:rStyle w:val="Hipervnculo"/>
          </w:rPr>
          <w:t>https://www.corteidh.or.cr/docs/casos/articulos/seriec_04_esp.pdf</w:t>
        </w:r>
      </w:hyperlink>
      <w:r>
        <w:t xml:space="preserve"> </w:t>
      </w:r>
    </w:p>
  </w:footnote>
  <w:footnote w:id="15">
    <w:p w14:paraId="12608ED4" w14:textId="22DAD11C" w:rsidR="007D61CA" w:rsidRPr="004E7C87" w:rsidRDefault="007D61CA" w:rsidP="004361B3">
      <w:pPr>
        <w:pStyle w:val="Textonotapie"/>
        <w:jc w:val="both"/>
      </w:pPr>
      <w:r>
        <w:rPr>
          <w:rStyle w:val="Refdenotaalpie"/>
        </w:rPr>
        <w:footnoteRef/>
      </w:r>
      <w:r>
        <w:t xml:space="preserve"> L</w:t>
      </w:r>
      <w:r w:rsidRPr="004E7C87">
        <w:t xml:space="preserve">a Corte </w:t>
      </w:r>
      <w:r>
        <w:t xml:space="preserve">IDH </w:t>
      </w:r>
      <w:r w:rsidRPr="004E7C87">
        <w:t xml:space="preserve">declaró la responsabilidad del Perú por la violación del derecho a la vida (artículo 4 de la Convención) y del derecho a la integridad personal, en el que se incluyen el derecho a las garantías judiciales y a la protección judicial (artículos 8 y 25 de la Convención). También declaró el incumplimiento de los artículos 1.1. y 2 de la Convención por haber promulgado las leyes de amnistía, incumpliendo así el deber de esclarecimiento de los hechos y la obligación de adecuar el derecho interno. </w:t>
      </w:r>
      <w:r>
        <w:t xml:space="preserve">Fallo disponible en </w:t>
      </w:r>
      <w:hyperlink r:id="rId14" w:history="1">
        <w:r w:rsidRPr="00640C74">
          <w:rPr>
            <w:rStyle w:val="Hipervnculo"/>
          </w:rPr>
          <w:t>https://www.corteidh.or.cr/docs/casos/articulos/Seriec_75_esp.pdf</w:t>
        </w:r>
      </w:hyperlink>
      <w:r>
        <w:t xml:space="preserve">. </w:t>
      </w:r>
    </w:p>
  </w:footnote>
  <w:footnote w:id="16">
    <w:p w14:paraId="31B09212" w14:textId="08496AD1" w:rsidR="00052FB8" w:rsidRPr="00052FB8" w:rsidRDefault="00052FB8">
      <w:pPr>
        <w:pStyle w:val="Textonotapie"/>
      </w:pPr>
      <w:r>
        <w:rPr>
          <w:rStyle w:val="Refdenotaalpie"/>
        </w:rPr>
        <w:footnoteRef/>
      </w:r>
      <w:r>
        <w:t xml:space="preserve"> </w:t>
      </w:r>
      <w:r w:rsidR="003C1783">
        <w:t xml:space="preserve">Publicada en el Boletín Oficial el 23/8/02. Texto disponible en </w:t>
      </w:r>
      <w:hyperlink r:id="rId15" w:history="1">
        <w:r w:rsidR="003C1783" w:rsidRPr="00640C74">
          <w:rPr>
            <w:rStyle w:val="Hipervnculo"/>
          </w:rPr>
          <w:t>https://tinyurl.com/hvj682wa</w:t>
        </w:r>
      </w:hyperlink>
      <w:r w:rsidR="003C1783">
        <w:t xml:space="preserve">. </w:t>
      </w:r>
    </w:p>
  </w:footnote>
  <w:footnote w:id="17">
    <w:p w14:paraId="3E105126" w14:textId="36E15BFD" w:rsidR="007D61CA" w:rsidRPr="001C1975" w:rsidRDefault="007D61CA" w:rsidP="001437DB">
      <w:pPr>
        <w:pStyle w:val="Textonotapie"/>
        <w:jc w:val="both"/>
      </w:pPr>
      <w:r>
        <w:rPr>
          <w:rStyle w:val="Refdenotaalpie"/>
        </w:rPr>
        <w:footnoteRef/>
      </w:r>
      <w:r>
        <w:t xml:space="preserve"> </w:t>
      </w:r>
      <w:r w:rsidRPr="001437DB">
        <w:t xml:space="preserve">GUEMBE, María José (2005), </w:t>
      </w:r>
      <w:r w:rsidRPr="001437DB">
        <w:rPr>
          <w:i/>
          <w:iCs/>
        </w:rPr>
        <w:t xml:space="preserve">La reapertura de los juicios por los crímenes de la dictadura militar argentina. </w:t>
      </w:r>
      <w:r w:rsidRPr="001437DB">
        <w:t>Sur – Revista Internacional de los Derechos Humanos. No 3</w:t>
      </w:r>
      <w:r>
        <w:t>.</w:t>
      </w:r>
      <w:r w:rsidRPr="001437DB">
        <w:t xml:space="preserve"> Disponible en: </w:t>
      </w:r>
      <w:hyperlink r:id="rId16" w:history="1">
        <w:r w:rsidRPr="00640C74">
          <w:rPr>
            <w:rStyle w:val="Hipervnculo"/>
          </w:rPr>
          <w:t>http://www.scielo.br/pdf/sur/v2n3/es_a08v02n3.pdf</w:t>
        </w:r>
      </w:hyperlink>
      <w:r>
        <w:t>. Citado por</w:t>
      </w:r>
      <w:r w:rsidRPr="001437DB">
        <w:t xml:space="preserve"> </w:t>
      </w:r>
      <w:r w:rsidRPr="00D50E63">
        <w:t>MOMPRADÉ VÁZQUEZ, Laura</w:t>
      </w:r>
      <w:r>
        <w:t xml:space="preserve"> en</w:t>
      </w:r>
      <w:r w:rsidRPr="00D50E63">
        <w:t xml:space="preserve"> </w:t>
      </w:r>
      <w:r w:rsidRPr="00D50E63">
        <w:rPr>
          <w:i/>
        </w:rPr>
        <w:t>El proceso</w:t>
      </w:r>
      <w:r>
        <w:rPr>
          <w:i/>
        </w:rPr>
        <w:t xml:space="preserve"> de justicia transicional…, </w:t>
      </w:r>
      <w:r>
        <w:t>p. 47.</w:t>
      </w:r>
    </w:p>
  </w:footnote>
  <w:footnote w:id="18">
    <w:p w14:paraId="3B38BAE8" w14:textId="463C2DD4" w:rsidR="007D61CA" w:rsidRPr="004361B3" w:rsidRDefault="007D61CA" w:rsidP="00D4058B">
      <w:pPr>
        <w:pStyle w:val="Textonotapie"/>
        <w:jc w:val="both"/>
      </w:pPr>
      <w:r>
        <w:rPr>
          <w:rStyle w:val="Refdenotaalpie"/>
        </w:rPr>
        <w:footnoteRef/>
      </w:r>
      <w:r>
        <w:t xml:space="preserve"> </w:t>
      </w:r>
      <w:r w:rsidRPr="004361B3">
        <w:t xml:space="preserve">El problema que se planteó en este caso fue que Argentina había ratificado la Convención sobre la Imprescriptibilidad de los Crímenes de Guerra y los Crímenes de Lesa Humanidad, adoptada por la Asamblea General de la ONU, tiempo después de la comisión de los hechos investigados (Guembe, 2005, 126). Sin embargo, ante tal impedimento la Corte Suprema afirmó que la imprescriptibilidad de estos crímenes era una norma de </w:t>
      </w:r>
      <w:r w:rsidRPr="004361B3">
        <w:rPr>
          <w:i/>
          <w:iCs/>
        </w:rPr>
        <w:t xml:space="preserve">ius cogens </w:t>
      </w:r>
      <w:r w:rsidRPr="004361B3">
        <w:t>y, por lo tanto, no requería de un instrumento jurídico como la Convención para constituirse como norma. La Corte Suprema resolvió condenar a Ara</w:t>
      </w:r>
      <w:r>
        <w:t>nc</w:t>
      </w:r>
      <w:r w:rsidRPr="004361B3">
        <w:t>ibia Clavel por los hechos cometidos en 1974.</w:t>
      </w:r>
    </w:p>
  </w:footnote>
  <w:footnote w:id="19">
    <w:p w14:paraId="3D5A2C79" w14:textId="51EB61CE" w:rsidR="007D61CA" w:rsidRPr="003B53D2" w:rsidRDefault="007D61CA">
      <w:pPr>
        <w:pStyle w:val="Textonotapie"/>
      </w:pPr>
      <w:r>
        <w:rPr>
          <w:rStyle w:val="Refdenotaalpie"/>
        </w:rPr>
        <w:footnoteRef/>
      </w:r>
      <w:r>
        <w:t xml:space="preserve"> Publicada en el Boletín Oficial el 3/9/03. Texto disponible en </w:t>
      </w:r>
      <w:hyperlink r:id="rId17" w:history="1">
        <w:r w:rsidRPr="00640C74">
          <w:rPr>
            <w:rStyle w:val="Hipervnculo"/>
          </w:rPr>
          <w:t>https://tinyurl.com/59dhmmzc</w:t>
        </w:r>
      </w:hyperlink>
      <w:r>
        <w:t xml:space="preserve">. </w:t>
      </w:r>
    </w:p>
  </w:footnote>
  <w:footnote w:id="20">
    <w:p w14:paraId="7B2A9E23" w14:textId="61FD7F50" w:rsidR="007D61CA" w:rsidRPr="000311FD" w:rsidRDefault="007D61CA">
      <w:pPr>
        <w:pStyle w:val="Textonotapie"/>
      </w:pPr>
      <w:r>
        <w:rPr>
          <w:rStyle w:val="Refdenotaalpie"/>
        </w:rPr>
        <w:footnoteRef/>
      </w:r>
      <w:r>
        <w:t xml:space="preserve"> Fallo disponible en </w:t>
      </w:r>
      <w:hyperlink r:id="rId18" w:history="1">
        <w:r w:rsidRPr="00640C74">
          <w:rPr>
            <w:rStyle w:val="Hipervnculo"/>
          </w:rPr>
          <w:t>https://bit.ly/3lE2S6W</w:t>
        </w:r>
      </w:hyperlink>
      <w:r>
        <w:t xml:space="preserve">. </w:t>
      </w:r>
    </w:p>
  </w:footnote>
  <w:footnote w:id="21">
    <w:p w14:paraId="6F336DAC" w14:textId="5CF79BFA" w:rsidR="007D61CA" w:rsidRPr="00210476" w:rsidRDefault="007D61CA">
      <w:pPr>
        <w:pStyle w:val="Textonotapie"/>
      </w:pPr>
      <w:r>
        <w:rPr>
          <w:rStyle w:val="Refdenotaalpie"/>
        </w:rPr>
        <w:footnoteRef/>
      </w:r>
      <w:r>
        <w:t xml:space="preserve"> Fallo disponible en </w:t>
      </w:r>
      <w:hyperlink r:id="rId19" w:history="1">
        <w:r w:rsidRPr="00640C74">
          <w:rPr>
            <w:rStyle w:val="Hipervnculo"/>
          </w:rPr>
          <w:t>https://bit.ly/3FGwg4n</w:t>
        </w:r>
      </w:hyperlink>
      <w:r>
        <w:t xml:space="preserve">. </w:t>
      </w:r>
    </w:p>
  </w:footnote>
  <w:footnote w:id="22">
    <w:p w14:paraId="563EF36B" w14:textId="77777777" w:rsidR="007D61CA" w:rsidRPr="00A84EDB" w:rsidRDefault="007D61CA" w:rsidP="00B039DC">
      <w:pPr>
        <w:pStyle w:val="Textonotapie"/>
        <w:jc w:val="both"/>
        <w:rPr>
          <w:lang w:val="es-ES"/>
        </w:rPr>
      </w:pPr>
      <w:r>
        <w:rPr>
          <w:rStyle w:val="Refdenotaalpie"/>
        </w:rPr>
        <w:footnoteRef/>
      </w:r>
      <w:r>
        <w:t xml:space="preserve"> En la página web del organismo se encuentra el detalle de leyes de reparación patrimonial para víctimas del terrorismo de Estado: </w:t>
      </w:r>
      <w:hyperlink r:id="rId20" w:history="1">
        <w:r w:rsidRPr="00640C74">
          <w:rPr>
            <w:rStyle w:val="Hipervnculo"/>
          </w:rPr>
          <w:t>https://bit.ly/3iYcuHH</w:t>
        </w:r>
      </w:hyperlink>
      <w:r>
        <w:t xml:space="preserve">. </w:t>
      </w:r>
    </w:p>
  </w:footnote>
  <w:footnote w:id="23">
    <w:p w14:paraId="21409CDD" w14:textId="76116F4B" w:rsidR="007D61CA" w:rsidRPr="00D4058B" w:rsidRDefault="007D61CA">
      <w:pPr>
        <w:pStyle w:val="Textonotapie"/>
      </w:pPr>
      <w:r>
        <w:rPr>
          <w:rStyle w:val="Refdenotaalpie"/>
        </w:rPr>
        <w:footnoteRef/>
      </w:r>
      <w:r>
        <w:t xml:space="preserve"> </w:t>
      </w:r>
      <w:r w:rsidRPr="00C02094">
        <w:t>Res</w:t>
      </w:r>
      <w:r>
        <w:t>olución</w:t>
      </w:r>
      <w:r w:rsidRPr="00C02094">
        <w:t xml:space="preserve"> PGN N°14/07</w:t>
      </w:r>
      <w:r>
        <w:t>.</w:t>
      </w:r>
    </w:p>
  </w:footnote>
  <w:footnote w:id="24">
    <w:p w14:paraId="18F4917E" w14:textId="518DE411" w:rsidR="007D61CA" w:rsidRPr="00D4058B" w:rsidRDefault="007D61CA">
      <w:pPr>
        <w:pStyle w:val="Textonotapie"/>
        <w:rPr>
          <w:lang w:val="es-ES"/>
        </w:rPr>
      </w:pPr>
      <w:r>
        <w:rPr>
          <w:rStyle w:val="Refdenotaalpie"/>
        </w:rPr>
        <w:footnoteRef/>
      </w:r>
      <w:r>
        <w:t xml:space="preserve"> </w:t>
      </w:r>
      <w:r w:rsidRPr="00C02094">
        <w:t>Res</w:t>
      </w:r>
      <w:r>
        <w:t>olución</w:t>
      </w:r>
      <w:r w:rsidRPr="00C02094">
        <w:t xml:space="preserve"> PGN N°1442/13</w:t>
      </w:r>
      <w:r>
        <w:t>.</w:t>
      </w:r>
    </w:p>
  </w:footnote>
  <w:footnote w:id="25">
    <w:p w14:paraId="590DEB29" w14:textId="2FC11102" w:rsidR="007D61CA" w:rsidRPr="00D4058B" w:rsidRDefault="007D61CA">
      <w:pPr>
        <w:pStyle w:val="Textonotapie"/>
        <w:rPr>
          <w:lang w:val="es-ES"/>
        </w:rPr>
      </w:pPr>
      <w:r>
        <w:rPr>
          <w:rStyle w:val="Refdenotaalpie"/>
        </w:rPr>
        <w:footnoteRef/>
      </w:r>
      <w:r>
        <w:t xml:space="preserve"> </w:t>
      </w:r>
      <w:r w:rsidRPr="004E3D60">
        <w:t>Resolución PGN N° 435/12</w:t>
      </w:r>
    </w:p>
  </w:footnote>
  <w:footnote w:id="26">
    <w:p w14:paraId="09134BA6" w14:textId="05C0415B" w:rsidR="007D61CA" w:rsidRPr="00F941EF" w:rsidRDefault="007D61CA">
      <w:pPr>
        <w:pStyle w:val="Textonotapie"/>
      </w:pPr>
      <w:r>
        <w:rPr>
          <w:rStyle w:val="Refdenotaalpie"/>
        </w:rPr>
        <w:footnoteRef/>
      </w:r>
      <w:r>
        <w:t xml:space="preserve"> </w:t>
      </w:r>
      <w:hyperlink r:id="rId21" w:history="1">
        <w:r w:rsidRPr="00640C74">
          <w:rPr>
            <w:rStyle w:val="Hipervnculo"/>
          </w:rPr>
          <w:t>https://www.mpf.gob.ar/dafi/files/2017/10/Lesa_Protocolo-1.pdf</w:t>
        </w:r>
      </w:hyperlink>
      <w:r>
        <w:t xml:space="preserve"> </w:t>
      </w:r>
    </w:p>
  </w:footnote>
  <w:footnote w:id="27">
    <w:p w14:paraId="68276575" w14:textId="262AC3D6" w:rsidR="007D61CA" w:rsidRPr="00F83A86" w:rsidRDefault="007D61CA" w:rsidP="00F941EF">
      <w:pPr>
        <w:rPr>
          <w:color w:val="7A81FF"/>
          <w:sz w:val="20"/>
          <w:szCs w:val="20"/>
        </w:rPr>
      </w:pPr>
      <w:r w:rsidRPr="00F83A86">
        <w:rPr>
          <w:rStyle w:val="Refdenotaalpie"/>
          <w:sz w:val="20"/>
          <w:szCs w:val="20"/>
        </w:rPr>
        <w:footnoteRef/>
      </w:r>
      <w:r w:rsidRPr="00F83A86">
        <w:rPr>
          <w:sz w:val="20"/>
          <w:szCs w:val="20"/>
        </w:rPr>
        <w:t xml:space="preserve"> </w:t>
      </w:r>
      <w:hyperlink r:id="rId22" w:history="1">
        <w:r w:rsidRPr="00F83A86">
          <w:rPr>
            <w:rStyle w:val="Hipervnculo"/>
            <w:sz w:val="20"/>
            <w:szCs w:val="20"/>
          </w:rPr>
          <w:t>https://www.fiscales.gob.ar/wp-content/uploads/2016/05/LH_Dossier_16-5_1.pdf</w:t>
        </w:r>
      </w:hyperlink>
    </w:p>
  </w:footnote>
  <w:footnote w:id="28">
    <w:p w14:paraId="6F4EDE6A" w14:textId="77777777" w:rsidR="007D61CA" w:rsidRPr="009E349E" w:rsidRDefault="007D61CA">
      <w:pPr>
        <w:pStyle w:val="Textonotapie"/>
        <w:rPr>
          <w:lang w:val="es-ES"/>
        </w:rPr>
      </w:pPr>
      <w:r>
        <w:rPr>
          <w:rStyle w:val="Refdenotaalpie"/>
        </w:rPr>
        <w:footnoteRef/>
      </w:r>
      <w:r>
        <w:t xml:space="preserve"> </w:t>
      </w:r>
      <w:r>
        <w:rPr>
          <w:lang w:val="es-ES"/>
        </w:rPr>
        <w:t xml:space="preserve">Disponible en </w:t>
      </w:r>
      <w:hyperlink r:id="rId23" w:history="1">
        <w:r w:rsidRPr="00640C74">
          <w:rPr>
            <w:rStyle w:val="Hipervnculo"/>
            <w:lang w:val="es-ES"/>
          </w:rPr>
          <w:t>https://www.fiscales.gob.ar/lesa-humanidad/son-1044-las-personas-condenadas-en-264-sentencias-en-causas-por-crimenes-de-lesa-humanidad/</w:t>
        </w:r>
      </w:hyperlink>
      <w:r>
        <w:rPr>
          <w:lang w:val="es-ES"/>
        </w:rPr>
        <w:t xml:space="preserve"> </w:t>
      </w:r>
    </w:p>
  </w:footnote>
  <w:footnote w:id="29">
    <w:p w14:paraId="3175DE45" w14:textId="77777777" w:rsidR="00F16BBD" w:rsidRDefault="00F16BBD" w:rsidP="00F16BBD">
      <w:pPr>
        <w:pStyle w:val="Textonotapie"/>
        <w:jc w:val="both"/>
      </w:pPr>
      <w:r w:rsidRPr="00F83A86">
        <w:rPr>
          <w:rFonts w:cs="Tahoma"/>
        </w:rPr>
        <w:footnoteRef/>
      </w:r>
      <w:r w:rsidRPr="00F83A86">
        <w:rPr>
          <w:rFonts w:cs="Tahoma"/>
        </w:rPr>
        <w:t xml:space="preserve"> </w:t>
      </w:r>
      <w:r>
        <w:rPr>
          <w:rFonts w:cs="Tahoma"/>
        </w:rPr>
        <w:t xml:space="preserve">Informe estadístico sobre el estado de las causas por delitos de lesa humanidad en Argentina. Diagnóstico 2020. Procuraduría de Crímenes contra la Humanidad. Ministerio Público Fiscal de la Nación. Disponible en </w:t>
      </w:r>
      <w:hyperlink r:id="rId24" w:history="1">
        <w:r w:rsidRPr="00640C74">
          <w:rPr>
            <w:rStyle w:val="Hipervnculo"/>
            <w:rFonts w:cs="Tahoma"/>
          </w:rPr>
          <w:t>https://bit.ly/3v3TI6C</w:t>
        </w:r>
      </w:hyperlink>
      <w:r>
        <w:rPr>
          <w:rFonts w:cs="Tahoma"/>
        </w:rPr>
        <w:t xml:space="preserve">. </w:t>
      </w:r>
    </w:p>
  </w:footnote>
  <w:footnote w:id="30">
    <w:p w14:paraId="76C878AF" w14:textId="1D3D0845" w:rsidR="007D61CA" w:rsidRPr="00B6701C" w:rsidRDefault="007D61CA">
      <w:pPr>
        <w:pStyle w:val="Textonotapie"/>
      </w:pPr>
      <w:r>
        <w:rPr>
          <w:rStyle w:val="Refdenotaalpie"/>
        </w:rPr>
        <w:footnoteRef/>
      </w:r>
      <w:r>
        <w:t xml:space="preserve"> </w:t>
      </w:r>
      <w:hyperlink r:id="rId25" w:anchor="!/" w:history="1">
        <w:r w:rsidRPr="00B6701C">
          <w:rPr>
            <w:rStyle w:val="Hipervnculo"/>
          </w:rPr>
          <w:t>http://www.juiciosdelesahumanidad.ar/#!/</w:t>
        </w:r>
      </w:hyperlink>
    </w:p>
  </w:footnote>
  <w:footnote w:id="31">
    <w:p w14:paraId="1C82043F" w14:textId="73BCDEC4" w:rsidR="007D61CA" w:rsidRPr="00BB5A15" w:rsidRDefault="007D61CA" w:rsidP="00361F0C">
      <w:pPr>
        <w:pStyle w:val="Textonotapie"/>
        <w:rPr>
          <w:lang w:val="es-ES"/>
        </w:rPr>
      </w:pPr>
      <w:r>
        <w:rPr>
          <w:rStyle w:val="Refdenotaalpie"/>
        </w:rPr>
        <w:footnoteRef/>
      </w:r>
      <w:r>
        <w:t xml:space="preserve"> </w:t>
      </w:r>
      <w:r w:rsidR="000E0583">
        <w:t xml:space="preserve">Ver </w:t>
      </w:r>
      <w:hyperlink r:id="rId26" w:history="1">
        <w:r w:rsidR="000E0583" w:rsidRPr="00640C74">
          <w:rPr>
            <w:rStyle w:val="Hipervnculo"/>
          </w:rPr>
          <w:t>https://bit.ly/3FJgxBF</w:t>
        </w:r>
      </w:hyperlink>
      <w:r w:rsidR="000E0583">
        <w:t>.</w:t>
      </w:r>
      <w:r>
        <w:t xml:space="preserve"> </w:t>
      </w:r>
    </w:p>
  </w:footnote>
  <w:footnote w:id="32">
    <w:p w14:paraId="16561BA9" w14:textId="660A7E31" w:rsidR="007D61CA" w:rsidRPr="00361F0C" w:rsidRDefault="007D61CA">
      <w:pPr>
        <w:pStyle w:val="Textonotapie"/>
      </w:pPr>
      <w:r>
        <w:rPr>
          <w:rStyle w:val="Refdenotaalpie"/>
        </w:rPr>
        <w:footnoteRef/>
      </w:r>
      <w:r>
        <w:t xml:space="preserve"> Noticia disponible en </w:t>
      </w:r>
      <w:hyperlink r:id="rId27" w:history="1">
        <w:r w:rsidRPr="00640C74">
          <w:rPr>
            <w:rStyle w:val="Hipervnculo"/>
          </w:rPr>
          <w:t>https://bit.ly/2YOfFLk</w:t>
        </w:r>
      </w:hyperlink>
      <w:r>
        <w:t xml:space="preserve">. </w:t>
      </w:r>
    </w:p>
  </w:footnote>
  <w:footnote w:id="33">
    <w:p w14:paraId="787E5170" w14:textId="34C784CF" w:rsidR="006E2891" w:rsidRPr="006E2891" w:rsidRDefault="006E2891">
      <w:pPr>
        <w:pStyle w:val="Textonotapie"/>
      </w:pPr>
      <w:r>
        <w:rPr>
          <w:rStyle w:val="Refdenotaalpie"/>
        </w:rPr>
        <w:footnoteRef/>
      </w:r>
      <w:r w:rsidRPr="006E2891">
        <w:t xml:space="preserve"> Disponib</w:t>
      </w:r>
      <w:r>
        <w:t>le en</w:t>
      </w:r>
      <w:r w:rsidRPr="006E2891">
        <w:t xml:space="preserve"> </w:t>
      </w:r>
      <w:hyperlink r:id="rId28" w:history="1">
        <w:r w:rsidRPr="006E2891">
          <w:rPr>
            <w:rStyle w:val="Hipervnculo"/>
          </w:rPr>
          <w:t>https://tinyurl.com/yt2rpfrp</w:t>
        </w:r>
      </w:hyperlink>
      <w:r w:rsidRPr="006E2891">
        <w:t xml:space="preserve">. </w:t>
      </w:r>
    </w:p>
  </w:footnote>
  <w:footnote w:id="34">
    <w:p w14:paraId="0B87CB6A" w14:textId="77777777" w:rsidR="000E0583" w:rsidRDefault="000E0583" w:rsidP="000E0583">
      <w:pPr>
        <w:pStyle w:val="Textonotapie"/>
        <w:jc w:val="both"/>
      </w:pPr>
      <w:r>
        <w:rPr>
          <w:rStyle w:val="Refdenotaalpie"/>
        </w:rPr>
        <w:footnoteRef/>
      </w:r>
      <w:r>
        <w:t xml:space="preserve"> FEDERICO SERSALE DI CERISANO. </w:t>
      </w:r>
      <w:r w:rsidRPr="005A2C41">
        <w:rPr>
          <w:bCs/>
          <w:i/>
        </w:rPr>
        <w:t>Justicia transicional en las Américas. El impacto del Sistema Interamericano</w:t>
      </w:r>
      <w:r w:rsidRPr="005A2C41">
        <w:t>. Revista IIDH, vol. 57</w:t>
      </w:r>
      <w:r>
        <w:t xml:space="preserve"> (pp. 126 y 134)</w:t>
      </w:r>
      <w:r w:rsidRPr="005A2C41">
        <w:t xml:space="preserve">. </w:t>
      </w:r>
    </w:p>
    <w:p w14:paraId="739364A4" w14:textId="77777777" w:rsidR="000E0583" w:rsidRPr="00067502" w:rsidRDefault="000E0583" w:rsidP="000E0583">
      <w:pPr>
        <w:pStyle w:val="Textonotapie"/>
        <w:jc w:val="both"/>
      </w:pPr>
      <w:r w:rsidRPr="005A2C41">
        <w:t xml:space="preserve">Disponible en </w:t>
      </w:r>
      <w:hyperlink r:id="rId29" w:history="1">
        <w:r w:rsidRPr="00640C74">
          <w:rPr>
            <w:rStyle w:val="Hipervnculo"/>
          </w:rPr>
          <w:t>https://www.corteidh.or.cr/tablas/r32271.pdf</w:t>
        </w:r>
      </w:hyperlink>
      <w:r>
        <w:t xml:space="preserve"> </w:t>
      </w:r>
    </w:p>
  </w:footnote>
  <w:footnote w:id="35">
    <w:p w14:paraId="27BDC02F" w14:textId="075CA7C2" w:rsidR="007D61CA" w:rsidRPr="00067502" w:rsidRDefault="007D61CA">
      <w:pPr>
        <w:pStyle w:val="Textonotapie"/>
      </w:pPr>
      <w:r>
        <w:rPr>
          <w:rStyle w:val="Refdenotaalpie"/>
        </w:rPr>
        <w:footnoteRef/>
      </w:r>
      <w:r>
        <w:t xml:space="preserve"> Fallo disponible en </w:t>
      </w:r>
      <w:hyperlink r:id="rId30" w:history="1">
        <w:r w:rsidRPr="00640C74">
          <w:rPr>
            <w:rStyle w:val="Hipervnculo"/>
          </w:rPr>
          <w:t>https://www.corteidh.or.cr/docs/casos/articulos/seriec_154_esp.pdf</w:t>
        </w:r>
      </w:hyperlink>
      <w:r>
        <w:t xml:space="preserve"> </w:t>
      </w:r>
    </w:p>
  </w:footnote>
  <w:footnote w:id="36">
    <w:p w14:paraId="6A5F32E9" w14:textId="77777777" w:rsidR="003D460F" w:rsidRPr="00295ACA" w:rsidRDefault="003D460F" w:rsidP="003D460F">
      <w:pPr>
        <w:pStyle w:val="Textonotapie"/>
        <w:jc w:val="both"/>
      </w:pPr>
      <w:r>
        <w:rPr>
          <w:rStyle w:val="Refdenotaalpie"/>
        </w:rPr>
        <w:footnoteRef/>
      </w:r>
      <w:r>
        <w:t xml:space="preserve"> Corte IDH. </w:t>
      </w:r>
      <w:r w:rsidRPr="00D1778B">
        <w:rPr>
          <w:i/>
        </w:rPr>
        <w:t>Caso Gomes Lund y otros (Guerrilha do Araguaia) vs. Brasil</w:t>
      </w:r>
      <w:r w:rsidRPr="00D1778B">
        <w:t>. Excepciones Preliminares, Fondo, Reparaciones y Costas. Sentencia de 24 de noviembre de 2010. Serie C, núm. 219, párr. 175</w:t>
      </w:r>
      <w:r>
        <w:t xml:space="preserve">. Disponible en </w:t>
      </w:r>
      <w:hyperlink r:id="rId31" w:history="1">
        <w:r w:rsidRPr="00640C74">
          <w:rPr>
            <w:rStyle w:val="Hipervnculo"/>
          </w:rPr>
          <w:t>https://www.corteidh.or.cr/docs/casos/articulos/seriec_219_esp.pdf</w:t>
        </w:r>
      </w:hyperlink>
      <w:r>
        <w:t xml:space="preserve">. </w:t>
      </w:r>
    </w:p>
  </w:footnote>
  <w:footnote w:id="37">
    <w:p w14:paraId="3E513E37" w14:textId="39F35553" w:rsidR="007D61CA" w:rsidRPr="00015BEA" w:rsidRDefault="007D61CA">
      <w:pPr>
        <w:pStyle w:val="Textonotapie"/>
      </w:pPr>
      <w:r>
        <w:rPr>
          <w:rStyle w:val="Refdenotaalpie"/>
        </w:rPr>
        <w:footnoteRef/>
      </w:r>
      <w:r>
        <w:t xml:space="preserve"> FEDERICO SERSALE DI CERISANO. </w:t>
      </w:r>
      <w:r w:rsidRPr="005A2C41">
        <w:rPr>
          <w:bCs/>
          <w:i/>
        </w:rPr>
        <w:t>Justicia transicional</w:t>
      </w:r>
      <w:r>
        <w:rPr>
          <w:bCs/>
          <w:i/>
        </w:rPr>
        <w:t>…,</w:t>
      </w:r>
      <w:r>
        <w:rPr>
          <w:bCs/>
        </w:rPr>
        <w:t>p. 129,</w:t>
      </w:r>
      <w:r>
        <w:rPr>
          <w:bCs/>
          <w:i/>
        </w:rPr>
        <w:t xml:space="preserve"> </w:t>
      </w:r>
      <w:r>
        <w:rPr>
          <w:bCs/>
        </w:rPr>
        <w:t xml:space="preserve">op. cit. </w:t>
      </w:r>
    </w:p>
  </w:footnote>
  <w:footnote w:id="38">
    <w:p w14:paraId="43B742C0" w14:textId="77777777" w:rsidR="007D61CA" w:rsidRPr="001F5729" w:rsidRDefault="007D61CA" w:rsidP="00D405B1">
      <w:pPr>
        <w:pStyle w:val="Textonotapie"/>
        <w:jc w:val="both"/>
      </w:pPr>
      <w:r>
        <w:rPr>
          <w:rStyle w:val="Refdenotaalpie"/>
        </w:rPr>
        <w:footnoteRef/>
      </w:r>
      <w:r>
        <w:t xml:space="preserve"> </w:t>
      </w:r>
      <w:r>
        <w:rPr>
          <w:lang w:val="es-ES"/>
        </w:rPr>
        <w:t xml:space="preserve">Entrevista con </w:t>
      </w:r>
      <w:r w:rsidRPr="00E9212C">
        <w:rPr>
          <w:lang w:val="es-ES"/>
        </w:rPr>
        <w:t xml:space="preserve">Ana </w:t>
      </w:r>
      <w:proofErr w:type="spellStart"/>
      <w:r w:rsidRPr="00E9212C">
        <w:rPr>
          <w:lang w:val="es-ES"/>
        </w:rPr>
        <w:t>Oberlin</w:t>
      </w:r>
      <w:proofErr w:type="spellEnd"/>
      <w:r>
        <w:rPr>
          <w:lang w:val="es-ES"/>
        </w:rPr>
        <w:t xml:space="preserve">, abogada de víctimas y de Abuelas de Plaza de Mayo, ex </w:t>
      </w:r>
      <w:r w:rsidRPr="001F5729">
        <w:t>Directora Nacional de Asuntos Jurídicos en Materia de Derechos Humanos</w:t>
      </w:r>
      <w:r>
        <w:t xml:space="preserve">, </w:t>
      </w:r>
      <w:r>
        <w:rPr>
          <w:lang w:val="es-ES"/>
        </w:rPr>
        <w:t>Fiscal ad hoc de la Justicia Federal de Santa Fe.</w:t>
      </w:r>
    </w:p>
  </w:footnote>
  <w:footnote w:id="39">
    <w:p w14:paraId="68889F48" w14:textId="77777777" w:rsidR="007D61CA" w:rsidRPr="00210C74" w:rsidRDefault="007D61CA" w:rsidP="005E1323">
      <w:pPr>
        <w:pStyle w:val="Textonotapie"/>
        <w:rPr>
          <w:lang w:val="es-ES"/>
        </w:rPr>
      </w:pPr>
      <w:r>
        <w:rPr>
          <w:rStyle w:val="Refdenotaalpie"/>
        </w:rPr>
        <w:footnoteRef/>
      </w:r>
      <w:r>
        <w:t xml:space="preserve"> </w:t>
      </w:r>
      <w:r>
        <w:rPr>
          <w:lang w:val="es-ES"/>
        </w:rPr>
        <w:t xml:space="preserve">Disponible en </w:t>
      </w:r>
      <w:hyperlink r:id="rId32" w:history="1">
        <w:r w:rsidRPr="00BB449C">
          <w:rPr>
            <w:rStyle w:val="Hipervnculo"/>
            <w:lang w:val="es-ES"/>
          </w:rPr>
          <w:t>https://bit.ly/2B0NVGW</w:t>
        </w:r>
      </w:hyperlink>
      <w:r>
        <w:rPr>
          <w:lang w:val="es-ES"/>
        </w:rPr>
        <w:t xml:space="preserve">. </w:t>
      </w:r>
    </w:p>
  </w:footnote>
  <w:footnote w:id="40">
    <w:p w14:paraId="5C537DB2" w14:textId="77777777" w:rsidR="007D61CA" w:rsidRPr="009E7EC8" w:rsidRDefault="007D61CA" w:rsidP="003519E2">
      <w:pPr>
        <w:pStyle w:val="Textonotapie"/>
        <w:rPr>
          <w:lang w:val="es-ES"/>
        </w:rPr>
      </w:pPr>
      <w:r>
        <w:rPr>
          <w:rStyle w:val="Refdenotaalpie"/>
        </w:rPr>
        <w:footnoteRef/>
      </w:r>
      <w:r>
        <w:t xml:space="preserve"> </w:t>
      </w:r>
      <w:r>
        <w:rPr>
          <w:lang w:val="es-ES"/>
        </w:rPr>
        <w:t>Entrevista a María Ángeles Ramos, fiscal a cargo de la Procuraduría de Crímenes contra la Humanidad.</w:t>
      </w:r>
    </w:p>
  </w:footnote>
  <w:footnote w:id="41">
    <w:p w14:paraId="0A0A0F20" w14:textId="77777777" w:rsidR="007D61CA" w:rsidRDefault="007D61CA" w:rsidP="003519E2">
      <w:pPr>
        <w:jc w:val="both"/>
        <w:rPr>
          <w:sz w:val="20"/>
          <w:szCs w:val="20"/>
        </w:rPr>
      </w:pPr>
      <w:r w:rsidRPr="0077264B">
        <w:rPr>
          <w:rStyle w:val="Refdenotaalpie"/>
          <w:sz w:val="20"/>
          <w:szCs w:val="20"/>
        </w:rPr>
        <w:footnoteRef/>
      </w:r>
      <w:r w:rsidRPr="0077264B">
        <w:rPr>
          <w:sz w:val="20"/>
          <w:szCs w:val="20"/>
        </w:rPr>
        <w:t xml:space="preserve"> Lorena Balardini, Ana Oberlin y Laura Sobredo, </w:t>
      </w:r>
      <w:r w:rsidRPr="0077264B">
        <w:rPr>
          <w:i/>
          <w:sz w:val="20"/>
          <w:szCs w:val="20"/>
        </w:rPr>
        <w:t>Violencia de género y abusos sexuales en centros clandestinos de detención. Un aporte a la comprensión de la experiencia argentina</w:t>
      </w:r>
      <w:r w:rsidRPr="0077264B">
        <w:rPr>
          <w:sz w:val="20"/>
          <w:szCs w:val="20"/>
        </w:rPr>
        <w:t>, en CELS e ICTJ editores, Buenos Aires, Editorial Siglo XXI</w:t>
      </w:r>
      <w:r>
        <w:rPr>
          <w:sz w:val="20"/>
          <w:szCs w:val="20"/>
        </w:rPr>
        <w:t xml:space="preserve">. Disponible en </w:t>
      </w:r>
      <w:hyperlink r:id="rId33" w:history="1">
        <w:r w:rsidRPr="00BB449C">
          <w:rPr>
            <w:rStyle w:val="Hipervnculo"/>
            <w:sz w:val="20"/>
            <w:szCs w:val="20"/>
          </w:rPr>
          <w:t>https://bit.ly/36ysHfq</w:t>
        </w:r>
      </w:hyperlink>
      <w:r>
        <w:rPr>
          <w:sz w:val="20"/>
          <w:szCs w:val="20"/>
        </w:rPr>
        <w:t xml:space="preserve">. </w:t>
      </w:r>
    </w:p>
    <w:p w14:paraId="3EF302F6" w14:textId="77777777" w:rsidR="007D61CA" w:rsidRPr="0077264B" w:rsidRDefault="007D61CA" w:rsidP="003519E2">
      <w:pPr>
        <w:jc w:val="both"/>
        <w:rPr>
          <w:sz w:val="20"/>
          <w:szCs w:val="20"/>
        </w:rPr>
      </w:pPr>
      <w:r>
        <w:rPr>
          <w:sz w:val="20"/>
          <w:szCs w:val="20"/>
        </w:rPr>
        <w:t xml:space="preserve">Ministerio Público Fiscal, </w:t>
      </w:r>
      <w:r w:rsidRPr="0078315E">
        <w:rPr>
          <w:i/>
          <w:sz w:val="20"/>
          <w:szCs w:val="20"/>
        </w:rPr>
        <w:t>Consideraciones</w:t>
      </w:r>
      <w:r>
        <w:rPr>
          <w:sz w:val="20"/>
          <w:szCs w:val="20"/>
        </w:rPr>
        <w:t>…, op. cit.</w:t>
      </w:r>
    </w:p>
  </w:footnote>
  <w:footnote w:id="42">
    <w:p w14:paraId="0BC56406" w14:textId="77777777" w:rsidR="007D61CA" w:rsidRPr="001262AD" w:rsidRDefault="007D61CA" w:rsidP="003519E2">
      <w:pPr>
        <w:pStyle w:val="Textonotapie"/>
        <w:rPr>
          <w:lang w:val="en-US"/>
        </w:rPr>
      </w:pPr>
      <w:r>
        <w:rPr>
          <w:rStyle w:val="Refdenotaalpie"/>
        </w:rPr>
        <w:footnoteRef/>
      </w:r>
      <w:r w:rsidRPr="001262AD">
        <w:rPr>
          <w:lang w:val="en-US"/>
        </w:rPr>
        <w:t xml:space="preserve"> CP arts. 119, 120 y 130.</w:t>
      </w:r>
    </w:p>
  </w:footnote>
  <w:footnote w:id="43">
    <w:p w14:paraId="2E9AE6B0" w14:textId="77777777" w:rsidR="007D61CA" w:rsidRPr="001262AD" w:rsidRDefault="007D61CA" w:rsidP="003519E2">
      <w:pPr>
        <w:pStyle w:val="Textonotapie"/>
        <w:rPr>
          <w:lang w:val="en-US"/>
        </w:rPr>
      </w:pPr>
      <w:r>
        <w:rPr>
          <w:rStyle w:val="Refdenotaalpie"/>
        </w:rPr>
        <w:footnoteRef/>
      </w:r>
      <w:r w:rsidRPr="001262AD">
        <w:rPr>
          <w:lang w:val="en-US"/>
        </w:rPr>
        <w:t xml:space="preserve"> CP art. 72.</w:t>
      </w:r>
    </w:p>
  </w:footnote>
  <w:footnote w:id="44">
    <w:p w14:paraId="0790C3BC" w14:textId="77777777" w:rsidR="007D61CA" w:rsidRPr="00CC5883" w:rsidRDefault="007D61CA" w:rsidP="003519E2">
      <w:pPr>
        <w:pStyle w:val="Textonotapie"/>
        <w:rPr>
          <w:lang w:val="es-ES"/>
        </w:rPr>
      </w:pPr>
      <w:r>
        <w:rPr>
          <w:rStyle w:val="Refdenotaalpie"/>
        </w:rPr>
        <w:footnoteRef/>
      </w:r>
      <w:r>
        <w:t xml:space="preserve"> BO 25/10/18.</w:t>
      </w:r>
    </w:p>
  </w:footnote>
  <w:footnote w:id="45">
    <w:p w14:paraId="579DFD06" w14:textId="77777777" w:rsidR="007D61CA" w:rsidRPr="00685DF4" w:rsidRDefault="007D61CA" w:rsidP="003519E2">
      <w:pPr>
        <w:pStyle w:val="Textonotapie"/>
        <w:jc w:val="both"/>
        <w:rPr>
          <w:lang w:val="es-ES"/>
        </w:rPr>
      </w:pPr>
      <w:r>
        <w:rPr>
          <w:rStyle w:val="Refdenotaalpie"/>
        </w:rPr>
        <w:footnoteRef/>
      </w:r>
      <w:r>
        <w:t xml:space="preserve"> </w:t>
      </w:r>
      <w:r w:rsidRPr="00486B1C">
        <w:t>Reg</w:t>
      </w:r>
      <w:r>
        <w:t>l</w:t>
      </w:r>
      <w:r w:rsidRPr="00486B1C">
        <w:t>as de Procedimiento y Prueba de la Corte Penal Internacional, adoptadas por la Asamblea General de los Estados Parte del Estatuto de Roma, el 9 de septiembre de 2002  y la</w:t>
      </w:r>
      <w:r>
        <w:t>s</w:t>
      </w:r>
      <w:r w:rsidRPr="00486B1C">
        <w:t xml:space="preserve"> Reglas de procedimiento y prueba del Tribunal Internacional para la ex Yugoslavia</w:t>
      </w:r>
      <w:r>
        <w:t>.</w:t>
      </w:r>
    </w:p>
  </w:footnote>
  <w:footnote w:id="46">
    <w:p w14:paraId="314ACF34" w14:textId="1B204F68" w:rsidR="007D61CA" w:rsidRPr="00BA573A" w:rsidRDefault="007D61CA" w:rsidP="00F07078">
      <w:pPr>
        <w:pStyle w:val="Textonotapie"/>
        <w:jc w:val="both"/>
        <w:rPr>
          <w:i/>
        </w:rPr>
      </w:pPr>
      <w:r>
        <w:rPr>
          <w:rStyle w:val="Refdenotaalpie"/>
        </w:rPr>
        <w:footnoteRef/>
      </w:r>
      <w:r>
        <w:t xml:space="preserve"> Ministerio Público Fiscal, </w:t>
      </w:r>
      <w:r w:rsidR="00BA573A" w:rsidRPr="00BA573A">
        <w:rPr>
          <w:bCs/>
          <w:i/>
        </w:rPr>
        <w:t>Son 121 los condenados por violencia sexual en las sentencias por crímenes de lesa humanidad</w:t>
      </w:r>
      <w:r w:rsidR="00BA573A">
        <w:rPr>
          <w:i/>
        </w:rPr>
        <w:t xml:space="preserve"> </w:t>
      </w:r>
      <w:r>
        <w:t>(</w:t>
      </w:r>
      <w:r w:rsidR="00BA573A">
        <w:t>4</w:t>
      </w:r>
      <w:r>
        <w:t>/</w:t>
      </w:r>
      <w:r w:rsidR="00BA573A">
        <w:t>3</w:t>
      </w:r>
      <w:r>
        <w:t>/</w:t>
      </w:r>
      <w:r w:rsidR="00BA573A">
        <w:t>21</w:t>
      </w:r>
      <w:r>
        <w:t>). Disponible</w:t>
      </w:r>
      <w:r w:rsidR="00AD09A2">
        <w:t xml:space="preserve"> en</w:t>
      </w:r>
      <w:r>
        <w:t xml:space="preserve"> </w:t>
      </w:r>
      <w:hyperlink r:id="rId34" w:history="1">
        <w:r w:rsidR="00AD09A2" w:rsidRPr="00640C74">
          <w:rPr>
            <w:rStyle w:val="Hipervnculo"/>
          </w:rPr>
          <w:t>https://bit.ly/3DE3KOV</w:t>
        </w:r>
      </w:hyperlink>
      <w:r w:rsidR="00AD09A2">
        <w:t xml:space="preserve">. </w:t>
      </w:r>
      <w:r>
        <w:t xml:space="preserve"> </w:t>
      </w:r>
    </w:p>
  </w:footnote>
  <w:footnote w:id="47">
    <w:p w14:paraId="3BCAEF4A" w14:textId="77777777" w:rsidR="007D61CA" w:rsidRPr="00E61E50" w:rsidRDefault="007D61CA" w:rsidP="00F07078">
      <w:pPr>
        <w:pStyle w:val="Textonotapie"/>
        <w:rPr>
          <w:lang w:val="es-ES"/>
        </w:rPr>
      </w:pPr>
      <w:r>
        <w:rPr>
          <w:rStyle w:val="Refdenotaalpie"/>
        </w:rPr>
        <w:footnoteRef/>
      </w:r>
      <w:r>
        <w:t xml:space="preserve"> </w:t>
      </w:r>
      <w:r>
        <w:rPr>
          <w:lang w:val="es-ES"/>
        </w:rPr>
        <w:t xml:space="preserve">Sentencia disponible en </w:t>
      </w:r>
      <w:hyperlink r:id="rId35" w:history="1">
        <w:r w:rsidRPr="00BB449C">
          <w:rPr>
            <w:rStyle w:val="Hipervnculo"/>
            <w:lang w:val="es-ES"/>
          </w:rPr>
          <w:t>https://bit.ly/2TKyY2x</w:t>
        </w:r>
      </w:hyperlink>
      <w:r>
        <w:rPr>
          <w:lang w:val="es-ES"/>
        </w:rPr>
        <w:t xml:space="preserve">. </w:t>
      </w:r>
    </w:p>
  </w:footnote>
  <w:footnote w:id="48">
    <w:p w14:paraId="66C87455" w14:textId="7ABE0BCE" w:rsidR="00695F25" w:rsidRPr="00695F25" w:rsidRDefault="00695F25">
      <w:pPr>
        <w:pStyle w:val="Textonotapie"/>
        <w:rPr>
          <w:lang w:val="es-ES"/>
        </w:rPr>
      </w:pPr>
      <w:r>
        <w:rPr>
          <w:rStyle w:val="Refdenotaalpie"/>
        </w:rPr>
        <w:footnoteRef/>
      </w:r>
      <w:r>
        <w:t xml:space="preserve"> </w:t>
      </w:r>
      <w:r>
        <w:rPr>
          <w:lang w:val="es-ES"/>
        </w:rPr>
        <w:t xml:space="preserve">Publicada en el Boletín Oficial el 10/01/19. Texto disponible en </w:t>
      </w:r>
      <w:hyperlink r:id="rId36" w:history="1">
        <w:r w:rsidRPr="00640C74">
          <w:rPr>
            <w:rStyle w:val="Hipervnculo"/>
            <w:lang w:val="es-ES"/>
          </w:rPr>
          <w:t>https://tinyurl.com/52uy9pf5</w:t>
        </w:r>
      </w:hyperlink>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1343241B"/>
    <w:multiLevelType w:val="hybridMultilevel"/>
    <w:tmpl w:val="29C017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8792AA6"/>
    <w:multiLevelType w:val="hybridMultilevel"/>
    <w:tmpl w:val="D83AD1DC"/>
    <w:lvl w:ilvl="0" w:tplc="14602AA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FE914C0"/>
    <w:multiLevelType w:val="hybridMultilevel"/>
    <w:tmpl w:val="C2724208"/>
    <w:lvl w:ilvl="0" w:tplc="14602AA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7"/>
    <w:rsid w:val="0001504A"/>
    <w:rsid w:val="00015BEA"/>
    <w:rsid w:val="00016BED"/>
    <w:rsid w:val="000311FD"/>
    <w:rsid w:val="00045C3F"/>
    <w:rsid w:val="000507AB"/>
    <w:rsid w:val="00050F71"/>
    <w:rsid w:val="00051925"/>
    <w:rsid w:val="00052BA8"/>
    <w:rsid w:val="00052FB8"/>
    <w:rsid w:val="00067502"/>
    <w:rsid w:val="000714F3"/>
    <w:rsid w:val="00072199"/>
    <w:rsid w:val="00082D32"/>
    <w:rsid w:val="0009664C"/>
    <w:rsid w:val="000A0BB5"/>
    <w:rsid w:val="000A6B56"/>
    <w:rsid w:val="000C41D5"/>
    <w:rsid w:val="000D5943"/>
    <w:rsid w:val="000E0583"/>
    <w:rsid w:val="000E1B34"/>
    <w:rsid w:val="00103AC9"/>
    <w:rsid w:val="0011066C"/>
    <w:rsid w:val="00111A94"/>
    <w:rsid w:val="0012107B"/>
    <w:rsid w:val="00121E09"/>
    <w:rsid w:val="00131413"/>
    <w:rsid w:val="00131E79"/>
    <w:rsid w:val="00137FB2"/>
    <w:rsid w:val="001437DB"/>
    <w:rsid w:val="00146FF5"/>
    <w:rsid w:val="001478F8"/>
    <w:rsid w:val="001612B4"/>
    <w:rsid w:val="00161AFC"/>
    <w:rsid w:val="00171C33"/>
    <w:rsid w:val="00173848"/>
    <w:rsid w:val="00180B04"/>
    <w:rsid w:val="0019032B"/>
    <w:rsid w:val="0019319D"/>
    <w:rsid w:val="001933AE"/>
    <w:rsid w:val="0019453F"/>
    <w:rsid w:val="001C1975"/>
    <w:rsid w:val="001C1B1E"/>
    <w:rsid w:val="001E016F"/>
    <w:rsid w:val="001E0C1F"/>
    <w:rsid w:val="001E3803"/>
    <w:rsid w:val="00210476"/>
    <w:rsid w:val="00215DA4"/>
    <w:rsid w:val="00226DC0"/>
    <w:rsid w:val="00227470"/>
    <w:rsid w:val="00230ABA"/>
    <w:rsid w:val="0024066E"/>
    <w:rsid w:val="0024253B"/>
    <w:rsid w:val="0024525B"/>
    <w:rsid w:val="00254677"/>
    <w:rsid w:val="00255DD8"/>
    <w:rsid w:val="0025671F"/>
    <w:rsid w:val="00266EE3"/>
    <w:rsid w:val="002723B6"/>
    <w:rsid w:val="00274999"/>
    <w:rsid w:val="0028122A"/>
    <w:rsid w:val="002832B6"/>
    <w:rsid w:val="002850CA"/>
    <w:rsid w:val="002873D0"/>
    <w:rsid w:val="0028781E"/>
    <w:rsid w:val="0029029D"/>
    <w:rsid w:val="00295ACA"/>
    <w:rsid w:val="002A63F2"/>
    <w:rsid w:val="002B4923"/>
    <w:rsid w:val="002C39CB"/>
    <w:rsid w:val="002C3C6F"/>
    <w:rsid w:val="002D0116"/>
    <w:rsid w:val="002D6D77"/>
    <w:rsid w:val="002F0E22"/>
    <w:rsid w:val="0030049E"/>
    <w:rsid w:val="00305597"/>
    <w:rsid w:val="00310E1D"/>
    <w:rsid w:val="003170FD"/>
    <w:rsid w:val="00320287"/>
    <w:rsid w:val="00320D97"/>
    <w:rsid w:val="0032115D"/>
    <w:rsid w:val="0033182E"/>
    <w:rsid w:val="0033778A"/>
    <w:rsid w:val="00341D01"/>
    <w:rsid w:val="003436E0"/>
    <w:rsid w:val="003472D1"/>
    <w:rsid w:val="00347CEC"/>
    <w:rsid w:val="003519E2"/>
    <w:rsid w:val="0035748E"/>
    <w:rsid w:val="00361F0C"/>
    <w:rsid w:val="003762E0"/>
    <w:rsid w:val="00382819"/>
    <w:rsid w:val="00391A93"/>
    <w:rsid w:val="003A0285"/>
    <w:rsid w:val="003A31D5"/>
    <w:rsid w:val="003B1BFC"/>
    <w:rsid w:val="003B3466"/>
    <w:rsid w:val="003B53D2"/>
    <w:rsid w:val="003C1783"/>
    <w:rsid w:val="003C3600"/>
    <w:rsid w:val="003C3761"/>
    <w:rsid w:val="003C3CF4"/>
    <w:rsid w:val="003C444D"/>
    <w:rsid w:val="003C7796"/>
    <w:rsid w:val="003D460F"/>
    <w:rsid w:val="003D5CD6"/>
    <w:rsid w:val="003D5F69"/>
    <w:rsid w:val="003E4383"/>
    <w:rsid w:val="003F152C"/>
    <w:rsid w:val="003F38F5"/>
    <w:rsid w:val="004056BE"/>
    <w:rsid w:val="0041058C"/>
    <w:rsid w:val="00423B32"/>
    <w:rsid w:val="00425E8C"/>
    <w:rsid w:val="00426634"/>
    <w:rsid w:val="00426E19"/>
    <w:rsid w:val="004361B3"/>
    <w:rsid w:val="00442D78"/>
    <w:rsid w:val="004562B0"/>
    <w:rsid w:val="0045685C"/>
    <w:rsid w:val="0045704E"/>
    <w:rsid w:val="00466A2C"/>
    <w:rsid w:val="00471B51"/>
    <w:rsid w:val="004734B4"/>
    <w:rsid w:val="0047432E"/>
    <w:rsid w:val="00477FFB"/>
    <w:rsid w:val="004816B9"/>
    <w:rsid w:val="0048191F"/>
    <w:rsid w:val="00494BA8"/>
    <w:rsid w:val="00497B5D"/>
    <w:rsid w:val="004A2B71"/>
    <w:rsid w:val="004A401F"/>
    <w:rsid w:val="004A7FEA"/>
    <w:rsid w:val="004C37C2"/>
    <w:rsid w:val="004D4584"/>
    <w:rsid w:val="004E41D3"/>
    <w:rsid w:val="004E7C87"/>
    <w:rsid w:val="004F340D"/>
    <w:rsid w:val="004F3EAD"/>
    <w:rsid w:val="00511D83"/>
    <w:rsid w:val="00511FBE"/>
    <w:rsid w:val="005229C9"/>
    <w:rsid w:val="00530ABE"/>
    <w:rsid w:val="005312F3"/>
    <w:rsid w:val="005314CD"/>
    <w:rsid w:val="00537DE8"/>
    <w:rsid w:val="005507CB"/>
    <w:rsid w:val="00560FAB"/>
    <w:rsid w:val="005645E4"/>
    <w:rsid w:val="00566BD8"/>
    <w:rsid w:val="00582F1A"/>
    <w:rsid w:val="00584173"/>
    <w:rsid w:val="00592FEB"/>
    <w:rsid w:val="005A2C41"/>
    <w:rsid w:val="005A7B9A"/>
    <w:rsid w:val="005A7ED6"/>
    <w:rsid w:val="005B5E19"/>
    <w:rsid w:val="005C075F"/>
    <w:rsid w:val="005C381E"/>
    <w:rsid w:val="005C4F13"/>
    <w:rsid w:val="005D21AB"/>
    <w:rsid w:val="005E1323"/>
    <w:rsid w:val="005E2C1B"/>
    <w:rsid w:val="005E3551"/>
    <w:rsid w:val="005E6EAC"/>
    <w:rsid w:val="005F1BBF"/>
    <w:rsid w:val="005F6371"/>
    <w:rsid w:val="0060103C"/>
    <w:rsid w:val="00614573"/>
    <w:rsid w:val="00616D4B"/>
    <w:rsid w:val="00627A98"/>
    <w:rsid w:val="006343C8"/>
    <w:rsid w:val="006353CB"/>
    <w:rsid w:val="00645BCD"/>
    <w:rsid w:val="006664B0"/>
    <w:rsid w:val="00674ED3"/>
    <w:rsid w:val="0067597C"/>
    <w:rsid w:val="0067785C"/>
    <w:rsid w:val="0069076D"/>
    <w:rsid w:val="00695F25"/>
    <w:rsid w:val="00697A2E"/>
    <w:rsid w:val="006A4732"/>
    <w:rsid w:val="006A4E64"/>
    <w:rsid w:val="006B45B2"/>
    <w:rsid w:val="006B4E50"/>
    <w:rsid w:val="006B6D5C"/>
    <w:rsid w:val="006C4863"/>
    <w:rsid w:val="006C74BF"/>
    <w:rsid w:val="006D1736"/>
    <w:rsid w:val="006E241A"/>
    <w:rsid w:val="006E2891"/>
    <w:rsid w:val="006E2E61"/>
    <w:rsid w:val="006E5342"/>
    <w:rsid w:val="006E59EE"/>
    <w:rsid w:val="006F6067"/>
    <w:rsid w:val="006F6B5D"/>
    <w:rsid w:val="00721B36"/>
    <w:rsid w:val="00722288"/>
    <w:rsid w:val="00727BC1"/>
    <w:rsid w:val="007336C2"/>
    <w:rsid w:val="007365EC"/>
    <w:rsid w:val="00745691"/>
    <w:rsid w:val="007554A9"/>
    <w:rsid w:val="00755566"/>
    <w:rsid w:val="00756610"/>
    <w:rsid w:val="0076078C"/>
    <w:rsid w:val="007613BB"/>
    <w:rsid w:val="007624E8"/>
    <w:rsid w:val="00775715"/>
    <w:rsid w:val="00780E62"/>
    <w:rsid w:val="00794FFD"/>
    <w:rsid w:val="007956E7"/>
    <w:rsid w:val="007A02A8"/>
    <w:rsid w:val="007A1D19"/>
    <w:rsid w:val="007A2BD4"/>
    <w:rsid w:val="007B2635"/>
    <w:rsid w:val="007B5D9F"/>
    <w:rsid w:val="007B6F95"/>
    <w:rsid w:val="007C449A"/>
    <w:rsid w:val="007C6A39"/>
    <w:rsid w:val="007D61CA"/>
    <w:rsid w:val="007E0C5C"/>
    <w:rsid w:val="007F1BF0"/>
    <w:rsid w:val="00801F8C"/>
    <w:rsid w:val="008037B1"/>
    <w:rsid w:val="008053C8"/>
    <w:rsid w:val="00812CDF"/>
    <w:rsid w:val="00816C22"/>
    <w:rsid w:val="00825F24"/>
    <w:rsid w:val="00833D20"/>
    <w:rsid w:val="0085389C"/>
    <w:rsid w:val="008571F1"/>
    <w:rsid w:val="0085792C"/>
    <w:rsid w:val="008609B8"/>
    <w:rsid w:val="00866F8D"/>
    <w:rsid w:val="0086736D"/>
    <w:rsid w:val="00870E04"/>
    <w:rsid w:val="00874335"/>
    <w:rsid w:val="00883EE7"/>
    <w:rsid w:val="008868CE"/>
    <w:rsid w:val="00890F8D"/>
    <w:rsid w:val="008922F6"/>
    <w:rsid w:val="008926EE"/>
    <w:rsid w:val="008A1229"/>
    <w:rsid w:val="008B05C8"/>
    <w:rsid w:val="008B300F"/>
    <w:rsid w:val="008D1736"/>
    <w:rsid w:val="008E6ABE"/>
    <w:rsid w:val="00905027"/>
    <w:rsid w:val="00905BC5"/>
    <w:rsid w:val="0092024B"/>
    <w:rsid w:val="00920745"/>
    <w:rsid w:val="00930C9A"/>
    <w:rsid w:val="00932A10"/>
    <w:rsid w:val="00941D4D"/>
    <w:rsid w:val="00942ED2"/>
    <w:rsid w:val="00951349"/>
    <w:rsid w:val="00952531"/>
    <w:rsid w:val="009545C3"/>
    <w:rsid w:val="00960A4E"/>
    <w:rsid w:val="00960BCF"/>
    <w:rsid w:val="009614A1"/>
    <w:rsid w:val="00962FDD"/>
    <w:rsid w:val="0096516E"/>
    <w:rsid w:val="00975D98"/>
    <w:rsid w:val="00981C58"/>
    <w:rsid w:val="00991336"/>
    <w:rsid w:val="009B0969"/>
    <w:rsid w:val="009B5420"/>
    <w:rsid w:val="009B56B0"/>
    <w:rsid w:val="009C3875"/>
    <w:rsid w:val="009D3C32"/>
    <w:rsid w:val="009E341A"/>
    <w:rsid w:val="009E349E"/>
    <w:rsid w:val="009E3FD5"/>
    <w:rsid w:val="009E788F"/>
    <w:rsid w:val="00A00D0D"/>
    <w:rsid w:val="00A01CB4"/>
    <w:rsid w:val="00A13682"/>
    <w:rsid w:val="00A301F2"/>
    <w:rsid w:val="00A3281E"/>
    <w:rsid w:val="00A352DA"/>
    <w:rsid w:val="00A409AF"/>
    <w:rsid w:val="00A4477E"/>
    <w:rsid w:val="00A47F8D"/>
    <w:rsid w:val="00A672B1"/>
    <w:rsid w:val="00A6777D"/>
    <w:rsid w:val="00A7273B"/>
    <w:rsid w:val="00A84EDB"/>
    <w:rsid w:val="00A9536C"/>
    <w:rsid w:val="00AA3E7C"/>
    <w:rsid w:val="00AA594B"/>
    <w:rsid w:val="00AB145C"/>
    <w:rsid w:val="00AB413B"/>
    <w:rsid w:val="00AB75E9"/>
    <w:rsid w:val="00AD09A2"/>
    <w:rsid w:val="00AD1EAB"/>
    <w:rsid w:val="00AD4B21"/>
    <w:rsid w:val="00AD67C5"/>
    <w:rsid w:val="00AE2EAD"/>
    <w:rsid w:val="00AE3D8C"/>
    <w:rsid w:val="00AF04A2"/>
    <w:rsid w:val="00B039DC"/>
    <w:rsid w:val="00B0709D"/>
    <w:rsid w:val="00B14F75"/>
    <w:rsid w:val="00B25D64"/>
    <w:rsid w:val="00B303D2"/>
    <w:rsid w:val="00B305E9"/>
    <w:rsid w:val="00B34895"/>
    <w:rsid w:val="00B4145D"/>
    <w:rsid w:val="00B45F81"/>
    <w:rsid w:val="00B511A6"/>
    <w:rsid w:val="00B56CB4"/>
    <w:rsid w:val="00B56DB5"/>
    <w:rsid w:val="00B655A2"/>
    <w:rsid w:val="00B6701C"/>
    <w:rsid w:val="00B71209"/>
    <w:rsid w:val="00B85A1C"/>
    <w:rsid w:val="00BA482B"/>
    <w:rsid w:val="00BA5309"/>
    <w:rsid w:val="00BA573A"/>
    <w:rsid w:val="00BA63D9"/>
    <w:rsid w:val="00BB5A15"/>
    <w:rsid w:val="00BB5B65"/>
    <w:rsid w:val="00BC0917"/>
    <w:rsid w:val="00BC53A6"/>
    <w:rsid w:val="00BD050F"/>
    <w:rsid w:val="00BE1E3E"/>
    <w:rsid w:val="00BE6B39"/>
    <w:rsid w:val="00BE7D6A"/>
    <w:rsid w:val="00BF13D6"/>
    <w:rsid w:val="00C00539"/>
    <w:rsid w:val="00C058B2"/>
    <w:rsid w:val="00C07C53"/>
    <w:rsid w:val="00C13446"/>
    <w:rsid w:val="00C17D58"/>
    <w:rsid w:val="00C327ED"/>
    <w:rsid w:val="00C33E64"/>
    <w:rsid w:val="00C41760"/>
    <w:rsid w:val="00C41A37"/>
    <w:rsid w:val="00C4572E"/>
    <w:rsid w:val="00C50B91"/>
    <w:rsid w:val="00C60E3F"/>
    <w:rsid w:val="00C75B3A"/>
    <w:rsid w:val="00C85C81"/>
    <w:rsid w:val="00C85F25"/>
    <w:rsid w:val="00CA165E"/>
    <w:rsid w:val="00CC28F6"/>
    <w:rsid w:val="00CC6D03"/>
    <w:rsid w:val="00CD33E2"/>
    <w:rsid w:val="00CD396E"/>
    <w:rsid w:val="00CD4BB5"/>
    <w:rsid w:val="00CE2620"/>
    <w:rsid w:val="00CE2A6C"/>
    <w:rsid w:val="00CE66DA"/>
    <w:rsid w:val="00D00F7B"/>
    <w:rsid w:val="00D03198"/>
    <w:rsid w:val="00D033ED"/>
    <w:rsid w:val="00D04623"/>
    <w:rsid w:val="00D078CB"/>
    <w:rsid w:val="00D157CF"/>
    <w:rsid w:val="00D1778B"/>
    <w:rsid w:val="00D23BD2"/>
    <w:rsid w:val="00D25AF1"/>
    <w:rsid w:val="00D26ECF"/>
    <w:rsid w:val="00D37928"/>
    <w:rsid w:val="00D4058B"/>
    <w:rsid w:val="00D405B1"/>
    <w:rsid w:val="00D4491A"/>
    <w:rsid w:val="00D50E63"/>
    <w:rsid w:val="00D56BB2"/>
    <w:rsid w:val="00D60C2F"/>
    <w:rsid w:val="00D665E9"/>
    <w:rsid w:val="00D76D8B"/>
    <w:rsid w:val="00D8053D"/>
    <w:rsid w:val="00D8193E"/>
    <w:rsid w:val="00D86C37"/>
    <w:rsid w:val="00D877C3"/>
    <w:rsid w:val="00DA15E5"/>
    <w:rsid w:val="00DA46D1"/>
    <w:rsid w:val="00DA708E"/>
    <w:rsid w:val="00DB08D8"/>
    <w:rsid w:val="00DB3343"/>
    <w:rsid w:val="00DC5D92"/>
    <w:rsid w:val="00DC7EC2"/>
    <w:rsid w:val="00DE27C1"/>
    <w:rsid w:val="00DE2DA7"/>
    <w:rsid w:val="00DF7A90"/>
    <w:rsid w:val="00DF7B0D"/>
    <w:rsid w:val="00E01B75"/>
    <w:rsid w:val="00E03092"/>
    <w:rsid w:val="00E0376B"/>
    <w:rsid w:val="00E04A0F"/>
    <w:rsid w:val="00E12342"/>
    <w:rsid w:val="00E16D18"/>
    <w:rsid w:val="00E16FEB"/>
    <w:rsid w:val="00E270B2"/>
    <w:rsid w:val="00E300E5"/>
    <w:rsid w:val="00E41062"/>
    <w:rsid w:val="00E4466D"/>
    <w:rsid w:val="00E47CE6"/>
    <w:rsid w:val="00E65BFE"/>
    <w:rsid w:val="00E721D2"/>
    <w:rsid w:val="00E749E0"/>
    <w:rsid w:val="00E754BD"/>
    <w:rsid w:val="00E87301"/>
    <w:rsid w:val="00E946BF"/>
    <w:rsid w:val="00EA3F62"/>
    <w:rsid w:val="00EB689E"/>
    <w:rsid w:val="00EC4429"/>
    <w:rsid w:val="00ED22B1"/>
    <w:rsid w:val="00ED5BF1"/>
    <w:rsid w:val="00EE06AA"/>
    <w:rsid w:val="00EE2FD3"/>
    <w:rsid w:val="00EF1B12"/>
    <w:rsid w:val="00F059A7"/>
    <w:rsid w:val="00F05B46"/>
    <w:rsid w:val="00F07078"/>
    <w:rsid w:val="00F16BBD"/>
    <w:rsid w:val="00F36C97"/>
    <w:rsid w:val="00F3702C"/>
    <w:rsid w:val="00F37E05"/>
    <w:rsid w:val="00F43E1C"/>
    <w:rsid w:val="00F567A4"/>
    <w:rsid w:val="00F6635D"/>
    <w:rsid w:val="00F83A86"/>
    <w:rsid w:val="00F8512F"/>
    <w:rsid w:val="00F8567D"/>
    <w:rsid w:val="00F941EF"/>
    <w:rsid w:val="00FA155A"/>
    <w:rsid w:val="00FA2245"/>
    <w:rsid w:val="00FA2669"/>
    <w:rsid w:val="00FA7D46"/>
    <w:rsid w:val="00FB40AC"/>
    <w:rsid w:val="00FB5203"/>
    <w:rsid w:val="00FC11FE"/>
    <w:rsid w:val="00FC1E82"/>
    <w:rsid w:val="00FC20BC"/>
    <w:rsid w:val="00FD556D"/>
    <w:rsid w:val="00FE5D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16933"/>
  <w14:defaultImageDpi w14:val="32767"/>
  <w15:docId w15:val="{774B893F-4938-420F-B9D9-865FB458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83"/>
    <w:rPr>
      <w:rFonts w:ascii="Times New Roman" w:eastAsia="Times New Roman" w:hAnsi="Times New Roman" w:cs="Times New Roman"/>
      <w:lang w:val="es-AR" w:eastAsia="es-ES_tradnl"/>
    </w:rPr>
  </w:style>
  <w:style w:type="paragraph" w:styleId="Ttulo3">
    <w:name w:val="heading 3"/>
    <w:basedOn w:val="Normal"/>
    <w:link w:val="Ttulo3Car"/>
    <w:uiPriority w:val="9"/>
    <w:qFormat/>
    <w:rsid w:val="005B5E1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1D83"/>
    <w:pPr>
      <w:ind w:left="720"/>
      <w:contextualSpacing/>
    </w:pPr>
  </w:style>
  <w:style w:type="paragraph" w:styleId="NormalWeb">
    <w:name w:val="Normal (Web)"/>
    <w:basedOn w:val="Normal"/>
    <w:uiPriority w:val="99"/>
    <w:unhideWhenUsed/>
    <w:rsid w:val="006B4E50"/>
    <w:pPr>
      <w:spacing w:before="100" w:beforeAutospacing="1" w:after="100" w:afterAutospacing="1"/>
    </w:pPr>
  </w:style>
  <w:style w:type="character" w:styleId="Hipervnculo">
    <w:name w:val="Hyperlink"/>
    <w:basedOn w:val="Fuentedeprrafopredeter"/>
    <w:uiPriority w:val="99"/>
    <w:unhideWhenUsed/>
    <w:rsid w:val="003B1BFC"/>
    <w:rPr>
      <w:color w:val="0563C1" w:themeColor="hyperlink"/>
      <w:u w:val="single"/>
    </w:rPr>
  </w:style>
  <w:style w:type="character" w:customStyle="1" w:styleId="Mencinsinresolver1">
    <w:name w:val="Mención sin resolver1"/>
    <w:basedOn w:val="Fuentedeprrafopredeter"/>
    <w:uiPriority w:val="99"/>
    <w:rsid w:val="003B1BFC"/>
    <w:rPr>
      <w:color w:val="605E5C"/>
      <w:shd w:val="clear" w:color="auto" w:fill="E1DFDD"/>
    </w:rPr>
  </w:style>
  <w:style w:type="paragraph" w:styleId="Textonotapie">
    <w:name w:val="footnote text"/>
    <w:basedOn w:val="Normal"/>
    <w:link w:val="TextonotapieCar"/>
    <w:unhideWhenUsed/>
    <w:rsid w:val="00050F71"/>
    <w:rPr>
      <w:sz w:val="20"/>
      <w:szCs w:val="20"/>
    </w:rPr>
  </w:style>
  <w:style w:type="character" w:customStyle="1" w:styleId="TextonotapieCar">
    <w:name w:val="Texto nota pie Car"/>
    <w:basedOn w:val="Fuentedeprrafopredeter"/>
    <w:link w:val="Textonotapie"/>
    <w:rsid w:val="00050F71"/>
    <w:rPr>
      <w:rFonts w:ascii="Times New Roman" w:eastAsia="Times New Roman" w:hAnsi="Times New Roman" w:cs="Times New Roman"/>
      <w:sz w:val="20"/>
      <w:szCs w:val="20"/>
      <w:lang w:val="es-AR" w:eastAsia="es-ES_tradnl"/>
    </w:rPr>
  </w:style>
  <w:style w:type="character" w:styleId="Refdenotaalpie">
    <w:name w:val="footnote reference"/>
    <w:basedOn w:val="Fuentedeprrafopredeter"/>
    <w:unhideWhenUsed/>
    <w:rsid w:val="00050F71"/>
    <w:rPr>
      <w:vertAlign w:val="superscript"/>
    </w:rPr>
  </w:style>
  <w:style w:type="paragraph" w:styleId="HTMLconformatoprevio">
    <w:name w:val="HTML Preformatted"/>
    <w:basedOn w:val="Normal"/>
    <w:link w:val="HTMLconformatoprevioCar"/>
    <w:uiPriority w:val="99"/>
    <w:semiHidden/>
    <w:unhideWhenUsed/>
    <w:rsid w:val="0067597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7597C"/>
    <w:rPr>
      <w:rFonts w:ascii="Consolas" w:eastAsia="Times New Roman" w:hAnsi="Consolas" w:cs="Consolas"/>
      <w:sz w:val="20"/>
      <w:szCs w:val="20"/>
      <w:lang w:val="es-AR" w:eastAsia="es-ES_tradnl"/>
    </w:rPr>
  </w:style>
  <w:style w:type="character" w:customStyle="1" w:styleId="Ttulo3Car">
    <w:name w:val="Título 3 Car"/>
    <w:basedOn w:val="Fuentedeprrafopredeter"/>
    <w:link w:val="Ttulo3"/>
    <w:uiPriority w:val="9"/>
    <w:rsid w:val="005B5E19"/>
    <w:rPr>
      <w:rFonts w:ascii="Times New Roman" w:eastAsia="Times New Roman" w:hAnsi="Times New Roman" w:cs="Times New Roman"/>
      <w:b/>
      <w:bCs/>
      <w:sz w:val="27"/>
      <w:szCs w:val="27"/>
      <w:lang w:val="es-AR" w:eastAsia="es-ES_tradnl"/>
    </w:rPr>
  </w:style>
  <w:style w:type="character" w:styleId="Textoennegrita">
    <w:name w:val="Strong"/>
    <w:basedOn w:val="Fuentedeprrafopredeter"/>
    <w:uiPriority w:val="22"/>
    <w:qFormat/>
    <w:rsid w:val="005B5E19"/>
    <w:rPr>
      <w:b/>
      <w:bCs/>
    </w:rPr>
  </w:style>
  <w:style w:type="character" w:customStyle="1" w:styleId="Caracteresdenotaalpie">
    <w:name w:val="Caracteres de nota al pie"/>
    <w:rsid w:val="00E4466D"/>
  </w:style>
  <w:style w:type="paragraph" w:styleId="Textodeglobo">
    <w:name w:val="Balloon Text"/>
    <w:basedOn w:val="Normal"/>
    <w:link w:val="TextodegloboCar"/>
    <w:uiPriority w:val="99"/>
    <w:semiHidden/>
    <w:unhideWhenUsed/>
    <w:rsid w:val="00E4466D"/>
    <w:rPr>
      <w:sz w:val="18"/>
      <w:szCs w:val="18"/>
    </w:rPr>
  </w:style>
  <w:style w:type="character" w:customStyle="1" w:styleId="TextodegloboCar">
    <w:name w:val="Texto de globo Car"/>
    <w:basedOn w:val="Fuentedeprrafopredeter"/>
    <w:link w:val="Textodeglobo"/>
    <w:uiPriority w:val="99"/>
    <w:semiHidden/>
    <w:rsid w:val="00E4466D"/>
    <w:rPr>
      <w:rFonts w:ascii="Times New Roman" w:eastAsia="Times New Roman" w:hAnsi="Times New Roman" w:cs="Times New Roman"/>
      <w:sz w:val="18"/>
      <w:szCs w:val="18"/>
      <w:lang w:val="es-AR" w:eastAsia="es-ES_tradnl"/>
    </w:rPr>
  </w:style>
  <w:style w:type="paragraph" w:styleId="Revisin">
    <w:name w:val="Revision"/>
    <w:hidden/>
    <w:uiPriority w:val="99"/>
    <w:semiHidden/>
    <w:rsid w:val="00A47F8D"/>
    <w:rPr>
      <w:rFonts w:ascii="Times New Roman" w:eastAsia="Times New Roman" w:hAnsi="Times New Roman" w:cs="Times New Roman"/>
      <w:lang w:val="es-AR" w:eastAsia="es-ES_tradnl"/>
    </w:rPr>
  </w:style>
  <w:style w:type="character" w:styleId="Hipervnculovisitado">
    <w:name w:val="FollowedHyperlink"/>
    <w:basedOn w:val="Fuentedeprrafopredeter"/>
    <w:uiPriority w:val="99"/>
    <w:semiHidden/>
    <w:unhideWhenUsed/>
    <w:rsid w:val="00511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247">
      <w:bodyDiv w:val="1"/>
      <w:marLeft w:val="0"/>
      <w:marRight w:val="0"/>
      <w:marTop w:val="0"/>
      <w:marBottom w:val="0"/>
      <w:divBdr>
        <w:top w:val="none" w:sz="0" w:space="0" w:color="auto"/>
        <w:left w:val="none" w:sz="0" w:space="0" w:color="auto"/>
        <w:bottom w:val="none" w:sz="0" w:space="0" w:color="auto"/>
        <w:right w:val="none" w:sz="0" w:space="0" w:color="auto"/>
      </w:divBdr>
    </w:div>
    <w:div w:id="130482930">
      <w:bodyDiv w:val="1"/>
      <w:marLeft w:val="0"/>
      <w:marRight w:val="0"/>
      <w:marTop w:val="0"/>
      <w:marBottom w:val="0"/>
      <w:divBdr>
        <w:top w:val="none" w:sz="0" w:space="0" w:color="auto"/>
        <w:left w:val="none" w:sz="0" w:space="0" w:color="auto"/>
        <w:bottom w:val="none" w:sz="0" w:space="0" w:color="auto"/>
        <w:right w:val="none" w:sz="0" w:space="0" w:color="auto"/>
      </w:divBdr>
    </w:div>
    <w:div w:id="164633427">
      <w:bodyDiv w:val="1"/>
      <w:marLeft w:val="0"/>
      <w:marRight w:val="0"/>
      <w:marTop w:val="0"/>
      <w:marBottom w:val="0"/>
      <w:divBdr>
        <w:top w:val="none" w:sz="0" w:space="0" w:color="auto"/>
        <w:left w:val="none" w:sz="0" w:space="0" w:color="auto"/>
        <w:bottom w:val="none" w:sz="0" w:space="0" w:color="auto"/>
        <w:right w:val="none" w:sz="0" w:space="0" w:color="auto"/>
      </w:divBdr>
    </w:div>
    <w:div w:id="246425016">
      <w:bodyDiv w:val="1"/>
      <w:marLeft w:val="0"/>
      <w:marRight w:val="0"/>
      <w:marTop w:val="0"/>
      <w:marBottom w:val="0"/>
      <w:divBdr>
        <w:top w:val="none" w:sz="0" w:space="0" w:color="auto"/>
        <w:left w:val="none" w:sz="0" w:space="0" w:color="auto"/>
        <w:bottom w:val="none" w:sz="0" w:space="0" w:color="auto"/>
        <w:right w:val="none" w:sz="0" w:space="0" w:color="auto"/>
      </w:divBdr>
    </w:div>
    <w:div w:id="298076663">
      <w:bodyDiv w:val="1"/>
      <w:marLeft w:val="0"/>
      <w:marRight w:val="0"/>
      <w:marTop w:val="0"/>
      <w:marBottom w:val="0"/>
      <w:divBdr>
        <w:top w:val="none" w:sz="0" w:space="0" w:color="auto"/>
        <w:left w:val="none" w:sz="0" w:space="0" w:color="auto"/>
        <w:bottom w:val="none" w:sz="0" w:space="0" w:color="auto"/>
        <w:right w:val="none" w:sz="0" w:space="0" w:color="auto"/>
      </w:divBdr>
    </w:div>
    <w:div w:id="379944568">
      <w:bodyDiv w:val="1"/>
      <w:marLeft w:val="0"/>
      <w:marRight w:val="0"/>
      <w:marTop w:val="0"/>
      <w:marBottom w:val="0"/>
      <w:divBdr>
        <w:top w:val="none" w:sz="0" w:space="0" w:color="auto"/>
        <w:left w:val="none" w:sz="0" w:space="0" w:color="auto"/>
        <w:bottom w:val="none" w:sz="0" w:space="0" w:color="auto"/>
        <w:right w:val="none" w:sz="0" w:space="0" w:color="auto"/>
      </w:divBdr>
    </w:div>
    <w:div w:id="407263991">
      <w:bodyDiv w:val="1"/>
      <w:marLeft w:val="0"/>
      <w:marRight w:val="0"/>
      <w:marTop w:val="0"/>
      <w:marBottom w:val="0"/>
      <w:divBdr>
        <w:top w:val="none" w:sz="0" w:space="0" w:color="auto"/>
        <w:left w:val="none" w:sz="0" w:space="0" w:color="auto"/>
        <w:bottom w:val="none" w:sz="0" w:space="0" w:color="auto"/>
        <w:right w:val="none" w:sz="0" w:space="0" w:color="auto"/>
      </w:divBdr>
    </w:div>
    <w:div w:id="456073901">
      <w:bodyDiv w:val="1"/>
      <w:marLeft w:val="0"/>
      <w:marRight w:val="0"/>
      <w:marTop w:val="0"/>
      <w:marBottom w:val="0"/>
      <w:divBdr>
        <w:top w:val="none" w:sz="0" w:space="0" w:color="auto"/>
        <w:left w:val="none" w:sz="0" w:space="0" w:color="auto"/>
        <w:bottom w:val="none" w:sz="0" w:space="0" w:color="auto"/>
        <w:right w:val="none" w:sz="0" w:space="0" w:color="auto"/>
      </w:divBdr>
    </w:div>
    <w:div w:id="501045442">
      <w:bodyDiv w:val="1"/>
      <w:marLeft w:val="0"/>
      <w:marRight w:val="0"/>
      <w:marTop w:val="0"/>
      <w:marBottom w:val="0"/>
      <w:divBdr>
        <w:top w:val="none" w:sz="0" w:space="0" w:color="auto"/>
        <w:left w:val="none" w:sz="0" w:space="0" w:color="auto"/>
        <w:bottom w:val="none" w:sz="0" w:space="0" w:color="auto"/>
        <w:right w:val="none" w:sz="0" w:space="0" w:color="auto"/>
      </w:divBdr>
      <w:divsChild>
        <w:div w:id="1145584451">
          <w:marLeft w:val="0"/>
          <w:marRight w:val="0"/>
          <w:marTop w:val="0"/>
          <w:marBottom w:val="0"/>
          <w:divBdr>
            <w:top w:val="none" w:sz="0" w:space="0" w:color="auto"/>
            <w:left w:val="none" w:sz="0" w:space="0" w:color="auto"/>
            <w:bottom w:val="none" w:sz="0" w:space="0" w:color="auto"/>
            <w:right w:val="none" w:sz="0" w:space="0" w:color="auto"/>
          </w:divBdr>
          <w:divsChild>
            <w:div w:id="1793479491">
              <w:marLeft w:val="0"/>
              <w:marRight w:val="0"/>
              <w:marTop w:val="0"/>
              <w:marBottom w:val="0"/>
              <w:divBdr>
                <w:top w:val="none" w:sz="0" w:space="0" w:color="auto"/>
                <w:left w:val="none" w:sz="0" w:space="0" w:color="auto"/>
                <w:bottom w:val="none" w:sz="0" w:space="0" w:color="auto"/>
                <w:right w:val="none" w:sz="0" w:space="0" w:color="auto"/>
              </w:divBdr>
              <w:divsChild>
                <w:div w:id="1679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884">
      <w:bodyDiv w:val="1"/>
      <w:marLeft w:val="0"/>
      <w:marRight w:val="0"/>
      <w:marTop w:val="0"/>
      <w:marBottom w:val="0"/>
      <w:divBdr>
        <w:top w:val="none" w:sz="0" w:space="0" w:color="auto"/>
        <w:left w:val="none" w:sz="0" w:space="0" w:color="auto"/>
        <w:bottom w:val="none" w:sz="0" w:space="0" w:color="auto"/>
        <w:right w:val="none" w:sz="0" w:space="0" w:color="auto"/>
      </w:divBdr>
    </w:div>
    <w:div w:id="595989430">
      <w:bodyDiv w:val="1"/>
      <w:marLeft w:val="0"/>
      <w:marRight w:val="0"/>
      <w:marTop w:val="0"/>
      <w:marBottom w:val="0"/>
      <w:divBdr>
        <w:top w:val="none" w:sz="0" w:space="0" w:color="auto"/>
        <w:left w:val="none" w:sz="0" w:space="0" w:color="auto"/>
        <w:bottom w:val="none" w:sz="0" w:space="0" w:color="auto"/>
        <w:right w:val="none" w:sz="0" w:space="0" w:color="auto"/>
      </w:divBdr>
    </w:div>
    <w:div w:id="642271516">
      <w:bodyDiv w:val="1"/>
      <w:marLeft w:val="0"/>
      <w:marRight w:val="0"/>
      <w:marTop w:val="0"/>
      <w:marBottom w:val="0"/>
      <w:divBdr>
        <w:top w:val="none" w:sz="0" w:space="0" w:color="auto"/>
        <w:left w:val="none" w:sz="0" w:space="0" w:color="auto"/>
        <w:bottom w:val="none" w:sz="0" w:space="0" w:color="auto"/>
        <w:right w:val="none" w:sz="0" w:space="0" w:color="auto"/>
      </w:divBdr>
      <w:divsChild>
        <w:div w:id="759913966">
          <w:marLeft w:val="0"/>
          <w:marRight w:val="0"/>
          <w:marTop w:val="0"/>
          <w:marBottom w:val="0"/>
          <w:divBdr>
            <w:top w:val="none" w:sz="0" w:space="0" w:color="auto"/>
            <w:left w:val="none" w:sz="0" w:space="0" w:color="auto"/>
            <w:bottom w:val="none" w:sz="0" w:space="0" w:color="auto"/>
            <w:right w:val="none" w:sz="0" w:space="0" w:color="auto"/>
          </w:divBdr>
          <w:divsChild>
            <w:div w:id="149442603">
              <w:marLeft w:val="0"/>
              <w:marRight w:val="0"/>
              <w:marTop w:val="0"/>
              <w:marBottom w:val="0"/>
              <w:divBdr>
                <w:top w:val="none" w:sz="0" w:space="0" w:color="auto"/>
                <w:left w:val="none" w:sz="0" w:space="0" w:color="auto"/>
                <w:bottom w:val="none" w:sz="0" w:space="0" w:color="auto"/>
                <w:right w:val="none" w:sz="0" w:space="0" w:color="auto"/>
              </w:divBdr>
              <w:divsChild>
                <w:div w:id="2934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3852">
      <w:bodyDiv w:val="1"/>
      <w:marLeft w:val="0"/>
      <w:marRight w:val="0"/>
      <w:marTop w:val="0"/>
      <w:marBottom w:val="0"/>
      <w:divBdr>
        <w:top w:val="none" w:sz="0" w:space="0" w:color="auto"/>
        <w:left w:val="none" w:sz="0" w:space="0" w:color="auto"/>
        <w:bottom w:val="none" w:sz="0" w:space="0" w:color="auto"/>
        <w:right w:val="none" w:sz="0" w:space="0" w:color="auto"/>
      </w:divBdr>
    </w:div>
    <w:div w:id="725762244">
      <w:bodyDiv w:val="1"/>
      <w:marLeft w:val="0"/>
      <w:marRight w:val="0"/>
      <w:marTop w:val="0"/>
      <w:marBottom w:val="0"/>
      <w:divBdr>
        <w:top w:val="none" w:sz="0" w:space="0" w:color="auto"/>
        <w:left w:val="none" w:sz="0" w:space="0" w:color="auto"/>
        <w:bottom w:val="none" w:sz="0" w:space="0" w:color="auto"/>
        <w:right w:val="none" w:sz="0" w:space="0" w:color="auto"/>
      </w:divBdr>
    </w:div>
    <w:div w:id="765542244">
      <w:bodyDiv w:val="1"/>
      <w:marLeft w:val="0"/>
      <w:marRight w:val="0"/>
      <w:marTop w:val="0"/>
      <w:marBottom w:val="0"/>
      <w:divBdr>
        <w:top w:val="none" w:sz="0" w:space="0" w:color="auto"/>
        <w:left w:val="none" w:sz="0" w:space="0" w:color="auto"/>
        <w:bottom w:val="none" w:sz="0" w:space="0" w:color="auto"/>
        <w:right w:val="none" w:sz="0" w:space="0" w:color="auto"/>
      </w:divBdr>
    </w:div>
    <w:div w:id="806976183">
      <w:bodyDiv w:val="1"/>
      <w:marLeft w:val="0"/>
      <w:marRight w:val="0"/>
      <w:marTop w:val="0"/>
      <w:marBottom w:val="0"/>
      <w:divBdr>
        <w:top w:val="none" w:sz="0" w:space="0" w:color="auto"/>
        <w:left w:val="none" w:sz="0" w:space="0" w:color="auto"/>
        <w:bottom w:val="none" w:sz="0" w:space="0" w:color="auto"/>
        <w:right w:val="none" w:sz="0" w:space="0" w:color="auto"/>
      </w:divBdr>
    </w:div>
    <w:div w:id="849684063">
      <w:bodyDiv w:val="1"/>
      <w:marLeft w:val="0"/>
      <w:marRight w:val="0"/>
      <w:marTop w:val="0"/>
      <w:marBottom w:val="0"/>
      <w:divBdr>
        <w:top w:val="none" w:sz="0" w:space="0" w:color="auto"/>
        <w:left w:val="none" w:sz="0" w:space="0" w:color="auto"/>
        <w:bottom w:val="none" w:sz="0" w:space="0" w:color="auto"/>
        <w:right w:val="none" w:sz="0" w:space="0" w:color="auto"/>
      </w:divBdr>
    </w:div>
    <w:div w:id="849950301">
      <w:bodyDiv w:val="1"/>
      <w:marLeft w:val="0"/>
      <w:marRight w:val="0"/>
      <w:marTop w:val="0"/>
      <w:marBottom w:val="0"/>
      <w:divBdr>
        <w:top w:val="none" w:sz="0" w:space="0" w:color="auto"/>
        <w:left w:val="none" w:sz="0" w:space="0" w:color="auto"/>
        <w:bottom w:val="none" w:sz="0" w:space="0" w:color="auto"/>
        <w:right w:val="none" w:sz="0" w:space="0" w:color="auto"/>
      </w:divBdr>
    </w:div>
    <w:div w:id="874317809">
      <w:bodyDiv w:val="1"/>
      <w:marLeft w:val="0"/>
      <w:marRight w:val="0"/>
      <w:marTop w:val="0"/>
      <w:marBottom w:val="0"/>
      <w:divBdr>
        <w:top w:val="none" w:sz="0" w:space="0" w:color="auto"/>
        <w:left w:val="none" w:sz="0" w:space="0" w:color="auto"/>
        <w:bottom w:val="none" w:sz="0" w:space="0" w:color="auto"/>
        <w:right w:val="none" w:sz="0" w:space="0" w:color="auto"/>
      </w:divBdr>
    </w:div>
    <w:div w:id="877352206">
      <w:bodyDiv w:val="1"/>
      <w:marLeft w:val="0"/>
      <w:marRight w:val="0"/>
      <w:marTop w:val="0"/>
      <w:marBottom w:val="0"/>
      <w:divBdr>
        <w:top w:val="none" w:sz="0" w:space="0" w:color="auto"/>
        <w:left w:val="none" w:sz="0" w:space="0" w:color="auto"/>
        <w:bottom w:val="none" w:sz="0" w:space="0" w:color="auto"/>
        <w:right w:val="none" w:sz="0" w:space="0" w:color="auto"/>
      </w:divBdr>
    </w:div>
    <w:div w:id="939339778">
      <w:bodyDiv w:val="1"/>
      <w:marLeft w:val="0"/>
      <w:marRight w:val="0"/>
      <w:marTop w:val="0"/>
      <w:marBottom w:val="0"/>
      <w:divBdr>
        <w:top w:val="none" w:sz="0" w:space="0" w:color="auto"/>
        <w:left w:val="none" w:sz="0" w:space="0" w:color="auto"/>
        <w:bottom w:val="none" w:sz="0" w:space="0" w:color="auto"/>
        <w:right w:val="none" w:sz="0" w:space="0" w:color="auto"/>
      </w:divBdr>
      <w:divsChild>
        <w:div w:id="863710986">
          <w:marLeft w:val="0"/>
          <w:marRight w:val="0"/>
          <w:marTop w:val="0"/>
          <w:marBottom w:val="0"/>
          <w:divBdr>
            <w:top w:val="none" w:sz="0" w:space="0" w:color="auto"/>
            <w:left w:val="none" w:sz="0" w:space="0" w:color="auto"/>
            <w:bottom w:val="none" w:sz="0" w:space="0" w:color="auto"/>
            <w:right w:val="none" w:sz="0" w:space="0" w:color="auto"/>
          </w:divBdr>
          <w:divsChild>
            <w:div w:id="640425917">
              <w:marLeft w:val="0"/>
              <w:marRight w:val="0"/>
              <w:marTop w:val="0"/>
              <w:marBottom w:val="0"/>
              <w:divBdr>
                <w:top w:val="none" w:sz="0" w:space="0" w:color="auto"/>
                <w:left w:val="none" w:sz="0" w:space="0" w:color="auto"/>
                <w:bottom w:val="none" w:sz="0" w:space="0" w:color="auto"/>
                <w:right w:val="none" w:sz="0" w:space="0" w:color="auto"/>
              </w:divBdr>
              <w:divsChild>
                <w:div w:id="18384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1509">
      <w:bodyDiv w:val="1"/>
      <w:marLeft w:val="0"/>
      <w:marRight w:val="0"/>
      <w:marTop w:val="0"/>
      <w:marBottom w:val="0"/>
      <w:divBdr>
        <w:top w:val="none" w:sz="0" w:space="0" w:color="auto"/>
        <w:left w:val="none" w:sz="0" w:space="0" w:color="auto"/>
        <w:bottom w:val="none" w:sz="0" w:space="0" w:color="auto"/>
        <w:right w:val="none" w:sz="0" w:space="0" w:color="auto"/>
      </w:divBdr>
    </w:div>
    <w:div w:id="961809734">
      <w:bodyDiv w:val="1"/>
      <w:marLeft w:val="0"/>
      <w:marRight w:val="0"/>
      <w:marTop w:val="0"/>
      <w:marBottom w:val="0"/>
      <w:divBdr>
        <w:top w:val="none" w:sz="0" w:space="0" w:color="auto"/>
        <w:left w:val="none" w:sz="0" w:space="0" w:color="auto"/>
        <w:bottom w:val="none" w:sz="0" w:space="0" w:color="auto"/>
        <w:right w:val="none" w:sz="0" w:space="0" w:color="auto"/>
      </w:divBdr>
    </w:div>
    <w:div w:id="1003240191">
      <w:bodyDiv w:val="1"/>
      <w:marLeft w:val="0"/>
      <w:marRight w:val="0"/>
      <w:marTop w:val="0"/>
      <w:marBottom w:val="0"/>
      <w:divBdr>
        <w:top w:val="none" w:sz="0" w:space="0" w:color="auto"/>
        <w:left w:val="none" w:sz="0" w:space="0" w:color="auto"/>
        <w:bottom w:val="none" w:sz="0" w:space="0" w:color="auto"/>
        <w:right w:val="none" w:sz="0" w:space="0" w:color="auto"/>
      </w:divBdr>
      <w:divsChild>
        <w:div w:id="740636657">
          <w:marLeft w:val="0"/>
          <w:marRight w:val="0"/>
          <w:marTop w:val="0"/>
          <w:marBottom w:val="0"/>
          <w:divBdr>
            <w:top w:val="none" w:sz="0" w:space="0" w:color="auto"/>
            <w:left w:val="none" w:sz="0" w:space="0" w:color="auto"/>
            <w:bottom w:val="none" w:sz="0" w:space="0" w:color="auto"/>
            <w:right w:val="none" w:sz="0" w:space="0" w:color="auto"/>
          </w:divBdr>
          <w:divsChild>
            <w:div w:id="1034649049">
              <w:marLeft w:val="0"/>
              <w:marRight w:val="0"/>
              <w:marTop w:val="0"/>
              <w:marBottom w:val="0"/>
              <w:divBdr>
                <w:top w:val="none" w:sz="0" w:space="0" w:color="auto"/>
                <w:left w:val="none" w:sz="0" w:space="0" w:color="auto"/>
                <w:bottom w:val="none" w:sz="0" w:space="0" w:color="auto"/>
                <w:right w:val="none" w:sz="0" w:space="0" w:color="auto"/>
              </w:divBdr>
              <w:divsChild>
                <w:div w:id="499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0585">
      <w:bodyDiv w:val="1"/>
      <w:marLeft w:val="0"/>
      <w:marRight w:val="0"/>
      <w:marTop w:val="0"/>
      <w:marBottom w:val="0"/>
      <w:divBdr>
        <w:top w:val="none" w:sz="0" w:space="0" w:color="auto"/>
        <w:left w:val="none" w:sz="0" w:space="0" w:color="auto"/>
        <w:bottom w:val="none" w:sz="0" w:space="0" w:color="auto"/>
        <w:right w:val="none" w:sz="0" w:space="0" w:color="auto"/>
      </w:divBdr>
    </w:div>
    <w:div w:id="1019549073">
      <w:bodyDiv w:val="1"/>
      <w:marLeft w:val="0"/>
      <w:marRight w:val="0"/>
      <w:marTop w:val="0"/>
      <w:marBottom w:val="0"/>
      <w:divBdr>
        <w:top w:val="none" w:sz="0" w:space="0" w:color="auto"/>
        <w:left w:val="none" w:sz="0" w:space="0" w:color="auto"/>
        <w:bottom w:val="none" w:sz="0" w:space="0" w:color="auto"/>
        <w:right w:val="none" w:sz="0" w:space="0" w:color="auto"/>
      </w:divBdr>
    </w:div>
    <w:div w:id="1023674388">
      <w:bodyDiv w:val="1"/>
      <w:marLeft w:val="0"/>
      <w:marRight w:val="0"/>
      <w:marTop w:val="0"/>
      <w:marBottom w:val="0"/>
      <w:divBdr>
        <w:top w:val="none" w:sz="0" w:space="0" w:color="auto"/>
        <w:left w:val="none" w:sz="0" w:space="0" w:color="auto"/>
        <w:bottom w:val="none" w:sz="0" w:space="0" w:color="auto"/>
        <w:right w:val="none" w:sz="0" w:space="0" w:color="auto"/>
      </w:divBdr>
    </w:div>
    <w:div w:id="1042635500">
      <w:bodyDiv w:val="1"/>
      <w:marLeft w:val="0"/>
      <w:marRight w:val="0"/>
      <w:marTop w:val="0"/>
      <w:marBottom w:val="0"/>
      <w:divBdr>
        <w:top w:val="none" w:sz="0" w:space="0" w:color="auto"/>
        <w:left w:val="none" w:sz="0" w:space="0" w:color="auto"/>
        <w:bottom w:val="none" w:sz="0" w:space="0" w:color="auto"/>
        <w:right w:val="none" w:sz="0" w:space="0" w:color="auto"/>
      </w:divBdr>
    </w:div>
    <w:div w:id="1061176324">
      <w:bodyDiv w:val="1"/>
      <w:marLeft w:val="0"/>
      <w:marRight w:val="0"/>
      <w:marTop w:val="0"/>
      <w:marBottom w:val="0"/>
      <w:divBdr>
        <w:top w:val="none" w:sz="0" w:space="0" w:color="auto"/>
        <w:left w:val="none" w:sz="0" w:space="0" w:color="auto"/>
        <w:bottom w:val="none" w:sz="0" w:space="0" w:color="auto"/>
        <w:right w:val="none" w:sz="0" w:space="0" w:color="auto"/>
      </w:divBdr>
    </w:div>
    <w:div w:id="1095128252">
      <w:bodyDiv w:val="1"/>
      <w:marLeft w:val="0"/>
      <w:marRight w:val="0"/>
      <w:marTop w:val="0"/>
      <w:marBottom w:val="0"/>
      <w:divBdr>
        <w:top w:val="none" w:sz="0" w:space="0" w:color="auto"/>
        <w:left w:val="none" w:sz="0" w:space="0" w:color="auto"/>
        <w:bottom w:val="none" w:sz="0" w:space="0" w:color="auto"/>
        <w:right w:val="none" w:sz="0" w:space="0" w:color="auto"/>
      </w:divBdr>
    </w:div>
    <w:div w:id="1224559490">
      <w:bodyDiv w:val="1"/>
      <w:marLeft w:val="0"/>
      <w:marRight w:val="0"/>
      <w:marTop w:val="0"/>
      <w:marBottom w:val="0"/>
      <w:divBdr>
        <w:top w:val="none" w:sz="0" w:space="0" w:color="auto"/>
        <w:left w:val="none" w:sz="0" w:space="0" w:color="auto"/>
        <w:bottom w:val="none" w:sz="0" w:space="0" w:color="auto"/>
        <w:right w:val="none" w:sz="0" w:space="0" w:color="auto"/>
      </w:divBdr>
    </w:div>
    <w:div w:id="1255936522">
      <w:bodyDiv w:val="1"/>
      <w:marLeft w:val="0"/>
      <w:marRight w:val="0"/>
      <w:marTop w:val="0"/>
      <w:marBottom w:val="0"/>
      <w:divBdr>
        <w:top w:val="none" w:sz="0" w:space="0" w:color="auto"/>
        <w:left w:val="none" w:sz="0" w:space="0" w:color="auto"/>
        <w:bottom w:val="none" w:sz="0" w:space="0" w:color="auto"/>
        <w:right w:val="none" w:sz="0" w:space="0" w:color="auto"/>
      </w:divBdr>
    </w:div>
    <w:div w:id="1257209199">
      <w:bodyDiv w:val="1"/>
      <w:marLeft w:val="0"/>
      <w:marRight w:val="0"/>
      <w:marTop w:val="0"/>
      <w:marBottom w:val="0"/>
      <w:divBdr>
        <w:top w:val="none" w:sz="0" w:space="0" w:color="auto"/>
        <w:left w:val="none" w:sz="0" w:space="0" w:color="auto"/>
        <w:bottom w:val="none" w:sz="0" w:space="0" w:color="auto"/>
        <w:right w:val="none" w:sz="0" w:space="0" w:color="auto"/>
      </w:divBdr>
    </w:div>
    <w:div w:id="1281641307">
      <w:bodyDiv w:val="1"/>
      <w:marLeft w:val="0"/>
      <w:marRight w:val="0"/>
      <w:marTop w:val="0"/>
      <w:marBottom w:val="0"/>
      <w:divBdr>
        <w:top w:val="none" w:sz="0" w:space="0" w:color="auto"/>
        <w:left w:val="none" w:sz="0" w:space="0" w:color="auto"/>
        <w:bottom w:val="none" w:sz="0" w:space="0" w:color="auto"/>
        <w:right w:val="none" w:sz="0" w:space="0" w:color="auto"/>
      </w:divBdr>
    </w:div>
    <w:div w:id="1353722226">
      <w:bodyDiv w:val="1"/>
      <w:marLeft w:val="0"/>
      <w:marRight w:val="0"/>
      <w:marTop w:val="0"/>
      <w:marBottom w:val="0"/>
      <w:divBdr>
        <w:top w:val="none" w:sz="0" w:space="0" w:color="auto"/>
        <w:left w:val="none" w:sz="0" w:space="0" w:color="auto"/>
        <w:bottom w:val="none" w:sz="0" w:space="0" w:color="auto"/>
        <w:right w:val="none" w:sz="0" w:space="0" w:color="auto"/>
      </w:divBdr>
      <w:divsChild>
        <w:div w:id="201750005">
          <w:marLeft w:val="0"/>
          <w:marRight w:val="0"/>
          <w:marTop w:val="0"/>
          <w:marBottom w:val="0"/>
          <w:divBdr>
            <w:top w:val="none" w:sz="0" w:space="0" w:color="auto"/>
            <w:left w:val="none" w:sz="0" w:space="0" w:color="auto"/>
            <w:bottom w:val="none" w:sz="0" w:space="0" w:color="auto"/>
            <w:right w:val="none" w:sz="0" w:space="0" w:color="auto"/>
          </w:divBdr>
          <w:divsChild>
            <w:div w:id="1836917015">
              <w:marLeft w:val="0"/>
              <w:marRight w:val="0"/>
              <w:marTop w:val="0"/>
              <w:marBottom w:val="0"/>
              <w:divBdr>
                <w:top w:val="none" w:sz="0" w:space="0" w:color="auto"/>
                <w:left w:val="none" w:sz="0" w:space="0" w:color="auto"/>
                <w:bottom w:val="none" w:sz="0" w:space="0" w:color="auto"/>
                <w:right w:val="none" w:sz="0" w:space="0" w:color="auto"/>
              </w:divBdr>
              <w:divsChild>
                <w:div w:id="387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5511">
      <w:bodyDiv w:val="1"/>
      <w:marLeft w:val="0"/>
      <w:marRight w:val="0"/>
      <w:marTop w:val="0"/>
      <w:marBottom w:val="0"/>
      <w:divBdr>
        <w:top w:val="none" w:sz="0" w:space="0" w:color="auto"/>
        <w:left w:val="none" w:sz="0" w:space="0" w:color="auto"/>
        <w:bottom w:val="none" w:sz="0" w:space="0" w:color="auto"/>
        <w:right w:val="none" w:sz="0" w:space="0" w:color="auto"/>
      </w:divBdr>
    </w:div>
    <w:div w:id="1396776324">
      <w:bodyDiv w:val="1"/>
      <w:marLeft w:val="0"/>
      <w:marRight w:val="0"/>
      <w:marTop w:val="0"/>
      <w:marBottom w:val="0"/>
      <w:divBdr>
        <w:top w:val="none" w:sz="0" w:space="0" w:color="auto"/>
        <w:left w:val="none" w:sz="0" w:space="0" w:color="auto"/>
        <w:bottom w:val="none" w:sz="0" w:space="0" w:color="auto"/>
        <w:right w:val="none" w:sz="0" w:space="0" w:color="auto"/>
      </w:divBdr>
    </w:div>
    <w:div w:id="1403135200">
      <w:bodyDiv w:val="1"/>
      <w:marLeft w:val="0"/>
      <w:marRight w:val="0"/>
      <w:marTop w:val="0"/>
      <w:marBottom w:val="0"/>
      <w:divBdr>
        <w:top w:val="none" w:sz="0" w:space="0" w:color="auto"/>
        <w:left w:val="none" w:sz="0" w:space="0" w:color="auto"/>
        <w:bottom w:val="none" w:sz="0" w:space="0" w:color="auto"/>
        <w:right w:val="none" w:sz="0" w:space="0" w:color="auto"/>
      </w:divBdr>
    </w:div>
    <w:div w:id="1410738382">
      <w:bodyDiv w:val="1"/>
      <w:marLeft w:val="0"/>
      <w:marRight w:val="0"/>
      <w:marTop w:val="0"/>
      <w:marBottom w:val="0"/>
      <w:divBdr>
        <w:top w:val="none" w:sz="0" w:space="0" w:color="auto"/>
        <w:left w:val="none" w:sz="0" w:space="0" w:color="auto"/>
        <w:bottom w:val="none" w:sz="0" w:space="0" w:color="auto"/>
        <w:right w:val="none" w:sz="0" w:space="0" w:color="auto"/>
      </w:divBdr>
    </w:div>
    <w:div w:id="1444303993">
      <w:bodyDiv w:val="1"/>
      <w:marLeft w:val="0"/>
      <w:marRight w:val="0"/>
      <w:marTop w:val="0"/>
      <w:marBottom w:val="0"/>
      <w:divBdr>
        <w:top w:val="none" w:sz="0" w:space="0" w:color="auto"/>
        <w:left w:val="none" w:sz="0" w:space="0" w:color="auto"/>
        <w:bottom w:val="none" w:sz="0" w:space="0" w:color="auto"/>
        <w:right w:val="none" w:sz="0" w:space="0" w:color="auto"/>
      </w:divBdr>
    </w:div>
    <w:div w:id="1465587311">
      <w:bodyDiv w:val="1"/>
      <w:marLeft w:val="0"/>
      <w:marRight w:val="0"/>
      <w:marTop w:val="0"/>
      <w:marBottom w:val="0"/>
      <w:divBdr>
        <w:top w:val="none" w:sz="0" w:space="0" w:color="auto"/>
        <w:left w:val="none" w:sz="0" w:space="0" w:color="auto"/>
        <w:bottom w:val="none" w:sz="0" w:space="0" w:color="auto"/>
        <w:right w:val="none" w:sz="0" w:space="0" w:color="auto"/>
      </w:divBdr>
    </w:div>
    <w:div w:id="1478760475">
      <w:bodyDiv w:val="1"/>
      <w:marLeft w:val="0"/>
      <w:marRight w:val="0"/>
      <w:marTop w:val="0"/>
      <w:marBottom w:val="0"/>
      <w:divBdr>
        <w:top w:val="none" w:sz="0" w:space="0" w:color="auto"/>
        <w:left w:val="none" w:sz="0" w:space="0" w:color="auto"/>
        <w:bottom w:val="none" w:sz="0" w:space="0" w:color="auto"/>
        <w:right w:val="none" w:sz="0" w:space="0" w:color="auto"/>
      </w:divBdr>
    </w:div>
    <w:div w:id="1494952211">
      <w:bodyDiv w:val="1"/>
      <w:marLeft w:val="0"/>
      <w:marRight w:val="0"/>
      <w:marTop w:val="0"/>
      <w:marBottom w:val="0"/>
      <w:divBdr>
        <w:top w:val="none" w:sz="0" w:space="0" w:color="auto"/>
        <w:left w:val="none" w:sz="0" w:space="0" w:color="auto"/>
        <w:bottom w:val="none" w:sz="0" w:space="0" w:color="auto"/>
        <w:right w:val="none" w:sz="0" w:space="0" w:color="auto"/>
      </w:divBdr>
      <w:divsChild>
        <w:div w:id="657999068">
          <w:marLeft w:val="0"/>
          <w:marRight w:val="0"/>
          <w:marTop w:val="0"/>
          <w:marBottom w:val="0"/>
          <w:divBdr>
            <w:top w:val="none" w:sz="0" w:space="0" w:color="auto"/>
            <w:left w:val="none" w:sz="0" w:space="0" w:color="auto"/>
            <w:bottom w:val="none" w:sz="0" w:space="0" w:color="auto"/>
            <w:right w:val="none" w:sz="0" w:space="0" w:color="auto"/>
          </w:divBdr>
          <w:divsChild>
            <w:div w:id="707726608">
              <w:marLeft w:val="0"/>
              <w:marRight w:val="0"/>
              <w:marTop w:val="0"/>
              <w:marBottom w:val="0"/>
              <w:divBdr>
                <w:top w:val="none" w:sz="0" w:space="0" w:color="auto"/>
                <w:left w:val="none" w:sz="0" w:space="0" w:color="auto"/>
                <w:bottom w:val="none" w:sz="0" w:space="0" w:color="auto"/>
                <w:right w:val="none" w:sz="0" w:space="0" w:color="auto"/>
              </w:divBdr>
              <w:divsChild>
                <w:div w:id="21274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3644">
      <w:bodyDiv w:val="1"/>
      <w:marLeft w:val="0"/>
      <w:marRight w:val="0"/>
      <w:marTop w:val="0"/>
      <w:marBottom w:val="0"/>
      <w:divBdr>
        <w:top w:val="none" w:sz="0" w:space="0" w:color="auto"/>
        <w:left w:val="none" w:sz="0" w:space="0" w:color="auto"/>
        <w:bottom w:val="none" w:sz="0" w:space="0" w:color="auto"/>
        <w:right w:val="none" w:sz="0" w:space="0" w:color="auto"/>
      </w:divBdr>
    </w:div>
    <w:div w:id="1540703287">
      <w:bodyDiv w:val="1"/>
      <w:marLeft w:val="0"/>
      <w:marRight w:val="0"/>
      <w:marTop w:val="0"/>
      <w:marBottom w:val="0"/>
      <w:divBdr>
        <w:top w:val="none" w:sz="0" w:space="0" w:color="auto"/>
        <w:left w:val="none" w:sz="0" w:space="0" w:color="auto"/>
        <w:bottom w:val="none" w:sz="0" w:space="0" w:color="auto"/>
        <w:right w:val="none" w:sz="0" w:space="0" w:color="auto"/>
      </w:divBdr>
    </w:div>
    <w:div w:id="1542595773">
      <w:bodyDiv w:val="1"/>
      <w:marLeft w:val="0"/>
      <w:marRight w:val="0"/>
      <w:marTop w:val="0"/>
      <w:marBottom w:val="0"/>
      <w:divBdr>
        <w:top w:val="none" w:sz="0" w:space="0" w:color="auto"/>
        <w:left w:val="none" w:sz="0" w:space="0" w:color="auto"/>
        <w:bottom w:val="none" w:sz="0" w:space="0" w:color="auto"/>
        <w:right w:val="none" w:sz="0" w:space="0" w:color="auto"/>
      </w:divBdr>
      <w:divsChild>
        <w:div w:id="2048987463">
          <w:marLeft w:val="0"/>
          <w:marRight w:val="0"/>
          <w:marTop w:val="0"/>
          <w:marBottom w:val="0"/>
          <w:divBdr>
            <w:top w:val="none" w:sz="0" w:space="0" w:color="auto"/>
            <w:left w:val="none" w:sz="0" w:space="0" w:color="auto"/>
            <w:bottom w:val="none" w:sz="0" w:space="0" w:color="auto"/>
            <w:right w:val="none" w:sz="0" w:space="0" w:color="auto"/>
          </w:divBdr>
          <w:divsChild>
            <w:div w:id="1078208831">
              <w:marLeft w:val="0"/>
              <w:marRight w:val="0"/>
              <w:marTop w:val="0"/>
              <w:marBottom w:val="0"/>
              <w:divBdr>
                <w:top w:val="none" w:sz="0" w:space="0" w:color="auto"/>
                <w:left w:val="none" w:sz="0" w:space="0" w:color="auto"/>
                <w:bottom w:val="none" w:sz="0" w:space="0" w:color="auto"/>
                <w:right w:val="none" w:sz="0" w:space="0" w:color="auto"/>
              </w:divBdr>
              <w:divsChild>
                <w:div w:id="13734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1912">
      <w:bodyDiv w:val="1"/>
      <w:marLeft w:val="0"/>
      <w:marRight w:val="0"/>
      <w:marTop w:val="0"/>
      <w:marBottom w:val="0"/>
      <w:divBdr>
        <w:top w:val="none" w:sz="0" w:space="0" w:color="auto"/>
        <w:left w:val="none" w:sz="0" w:space="0" w:color="auto"/>
        <w:bottom w:val="none" w:sz="0" w:space="0" w:color="auto"/>
        <w:right w:val="none" w:sz="0" w:space="0" w:color="auto"/>
      </w:divBdr>
    </w:div>
    <w:div w:id="1578248061">
      <w:bodyDiv w:val="1"/>
      <w:marLeft w:val="0"/>
      <w:marRight w:val="0"/>
      <w:marTop w:val="0"/>
      <w:marBottom w:val="0"/>
      <w:divBdr>
        <w:top w:val="none" w:sz="0" w:space="0" w:color="auto"/>
        <w:left w:val="none" w:sz="0" w:space="0" w:color="auto"/>
        <w:bottom w:val="none" w:sz="0" w:space="0" w:color="auto"/>
        <w:right w:val="none" w:sz="0" w:space="0" w:color="auto"/>
      </w:divBdr>
    </w:div>
    <w:div w:id="1641419428">
      <w:bodyDiv w:val="1"/>
      <w:marLeft w:val="0"/>
      <w:marRight w:val="0"/>
      <w:marTop w:val="0"/>
      <w:marBottom w:val="0"/>
      <w:divBdr>
        <w:top w:val="none" w:sz="0" w:space="0" w:color="auto"/>
        <w:left w:val="none" w:sz="0" w:space="0" w:color="auto"/>
        <w:bottom w:val="none" w:sz="0" w:space="0" w:color="auto"/>
        <w:right w:val="none" w:sz="0" w:space="0" w:color="auto"/>
      </w:divBdr>
    </w:div>
    <w:div w:id="1648708066">
      <w:bodyDiv w:val="1"/>
      <w:marLeft w:val="0"/>
      <w:marRight w:val="0"/>
      <w:marTop w:val="0"/>
      <w:marBottom w:val="0"/>
      <w:divBdr>
        <w:top w:val="none" w:sz="0" w:space="0" w:color="auto"/>
        <w:left w:val="none" w:sz="0" w:space="0" w:color="auto"/>
        <w:bottom w:val="none" w:sz="0" w:space="0" w:color="auto"/>
        <w:right w:val="none" w:sz="0" w:space="0" w:color="auto"/>
      </w:divBdr>
    </w:div>
    <w:div w:id="1717510712">
      <w:bodyDiv w:val="1"/>
      <w:marLeft w:val="0"/>
      <w:marRight w:val="0"/>
      <w:marTop w:val="0"/>
      <w:marBottom w:val="0"/>
      <w:divBdr>
        <w:top w:val="none" w:sz="0" w:space="0" w:color="auto"/>
        <w:left w:val="none" w:sz="0" w:space="0" w:color="auto"/>
        <w:bottom w:val="none" w:sz="0" w:space="0" w:color="auto"/>
        <w:right w:val="none" w:sz="0" w:space="0" w:color="auto"/>
      </w:divBdr>
    </w:div>
    <w:div w:id="1723867347">
      <w:bodyDiv w:val="1"/>
      <w:marLeft w:val="0"/>
      <w:marRight w:val="0"/>
      <w:marTop w:val="0"/>
      <w:marBottom w:val="0"/>
      <w:divBdr>
        <w:top w:val="none" w:sz="0" w:space="0" w:color="auto"/>
        <w:left w:val="none" w:sz="0" w:space="0" w:color="auto"/>
        <w:bottom w:val="none" w:sz="0" w:space="0" w:color="auto"/>
        <w:right w:val="none" w:sz="0" w:space="0" w:color="auto"/>
      </w:divBdr>
    </w:div>
    <w:div w:id="1752433553">
      <w:bodyDiv w:val="1"/>
      <w:marLeft w:val="0"/>
      <w:marRight w:val="0"/>
      <w:marTop w:val="0"/>
      <w:marBottom w:val="0"/>
      <w:divBdr>
        <w:top w:val="none" w:sz="0" w:space="0" w:color="auto"/>
        <w:left w:val="none" w:sz="0" w:space="0" w:color="auto"/>
        <w:bottom w:val="none" w:sz="0" w:space="0" w:color="auto"/>
        <w:right w:val="none" w:sz="0" w:space="0" w:color="auto"/>
      </w:divBdr>
    </w:div>
    <w:div w:id="1812752686">
      <w:bodyDiv w:val="1"/>
      <w:marLeft w:val="0"/>
      <w:marRight w:val="0"/>
      <w:marTop w:val="0"/>
      <w:marBottom w:val="0"/>
      <w:divBdr>
        <w:top w:val="none" w:sz="0" w:space="0" w:color="auto"/>
        <w:left w:val="none" w:sz="0" w:space="0" w:color="auto"/>
        <w:bottom w:val="none" w:sz="0" w:space="0" w:color="auto"/>
        <w:right w:val="none" w:sz="0" w:space="0" w:color="auto"/>
      </w:divBdr>
    </w:div>
    <w:div w:id="1847284271">
      <w:bodyDiv w:val="1"/>
      <w:marLeft w:val="0"/>
      <w:marRight w:val="0"/>
      <w:marTop w:val="0"/>
      <w:marBottom w:val="0"/>
      <w:divBdr>
        <w:top w:val="none" w:sz="0" w:space="0" w:color="auto"/>
        <w:left w:val="none" w:sz="0" w:space="0" w:color="auto"/>
        <w:bottom w:val="none" w:sz="0" w:space="0" w:color="auto"/>
        <w:right w:val="none" w:sz="0" w:space="0" w:color="auto"/>
      </w:divBdr>
    </w:div>
    <w:div w:id="1862088641">
      <w:bodyDiv w:val="1"/>
      <w:marLeft w:val="0"/>
      <w:marRight w:val="0"/>
      <w:marTop w:val="0"/>
      <w:marBottom w:val="0"/>
      <w:divBdr>
        <w:top w:val="none" w:sz="0" w:space="0" w:color="auto"/>
        <w:left w:val="none" w:sz="0" w:space="0" w:color="auto"/>
        <w:bottom w:val="none" w:sz="0" w:space="0" w:color="auto"/>
        <w:right w:val="none" w:sz="0" w:space="0" w:color="auto"/>
      </w:divBdr>
      <w:divsChild>
        <w:div w:id="494304871">
          <w:marLeft w:val="0"/>
          <w:marRight w:val="0"/>
          <w:marTop w:val="0"/>
          <w:marBottom w:val="0"/>
          <w:divBdr>
            <w:top w:val="none" w:sz="0" w:space="0" w:color="auto"/>
            <w:left w:val="none" w:sz="0" w:space="0" w:color="auto"/>
            <w:bottom w:val="none" w:sz="0" w:space="0" w:color="auto"/>
            <w:right w:val="none" w:sz="0" w:space="0" w:color="auto"/>
          </w:divBdr>
          <w:divsChild>
            <w:div w:id="1951547190">
              <w:marLeft w:val="0"/>
              <w:marRight w:val="0"/>
              <w:marTop w:val="0"/>
              <w:marBottom w:val="0"/>
              <w:divBdr>
                <w:top w:val="none" w:sz="0" w:space="0" w:color="auto"/>
                <w:left w:val="none" w:sz="0" w:space="0" w:color="auto"/>
                <w:bottom w:val="none" w:sz="0" w:space="0" w:color="auto"/>
                <w:right w:val="none" w:sz="0" w:space="0" w:color="auto"/>
              </w:divBdr>
              <w:divsChild>
                <w:div w:id="10265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70043">
      <w:bodyDiv w:val="1"/>
      <w:marLeft w:val="0"/>
      <w:marRight w:val="0"/>
      <w:marTop w:val="0"/>
      <w:marBottom w:val="0"/>
      <w:divBdr>
        <w:top w:val="none" w:sz="0" w:space="0" w:color="auto"/>
        <w:left w:val="none" w:sz="0" w:space="0" w:color="auto"/>
        <w:bottom w:val="none" w:sz="0" w:space="0" w:color="auto"/>
        <w:right w:val="none" w:sz="0" w:space="0" w:color="auto"/>
      </w:divBdr>
    </w:div>
    <w:div w:id="1889799153">
      <w:bodyDiv w:val="1"/>
      <w:marLeft w:val="0"/>
      <w:marRight w:val="0"/>
      <w:marTop w:val="0"/>
      <w:marBottom w:val="0"/>
      <w:divBdr>
        <w:top w:val="none" w:sz="0" w:space="0" w:color="auto"/>
        <w:left w:val="none" w:sz="0" w:space="0" w:color="auto"/>
        <w:bottom w:val="none" w:sz="0" w:space="0" w:color="auto"/>
        <w:right w:val="none" w:sz="0" w:space="0" w:color="auto"/>
      </w:divBdr>
    </w:div>
    <w:div w:id="1903251114">
      <w:bodyDiv w:val="1"/>
      <w:marLeft w:val="0"/>
      <w:marRight w:val="0"/>
      <w:marTop w:val="0"/>
      <w:marBottom w:val="0"/>
      <w:divBdr>
        <w:top w:val="none" w:sz="0" w:space="0" w:color="auto"/>
        <w:left w:val="none" w:sz="0" w:space="0" w:color="auto"/>
        <w:bottom w:val="none" w:sz="0" w:space="0" w:color="auto"/>
        <w:right w:val="none" w:sz="0" w:space="0" w:color="auto"/>
      </w:divBdr>
    </w:div>
    <w:div w:id="1910339635">
      <w:bodyDiv w:val="1"/>
      <w:marLeft w:val="0"/>
      <w:marRight w:val="0"/>
      <w:marTop w:val="0"/>
      <w:marBottom w:val="0"/>
      <w:divBdr>
        <w:top w:val="none" w:sz="0" w:space="0" w:color="auto"/>
        <w:left w:val="none" w:sz="0" w:space="0" w:color="auto"/>
        <w:bottom w:val="none" w:sz="0" w:space="0" w:color="auto"/>
        <w:right w:val="none" w:sz="0" w:space="0" w:color="auto"/>
      </w:divBdr>
    </w:div>
    <w:div w:id="1916354271">
      <w:bodyDiv w:val="1"/>
      <w:marLeft w:val="0"/>
      <w:marRight w:val="0"/>
      <w:marTop w:val="0"/>
      <w:marBottom w:val="0"/>
      <w:divBdr>
        <w:top w:val="none" w:sz="0" w:space="0" w:color="auto"/>
        <w:left w:val="none" w:sz="0" w:space="0" w:color="auto"/>
        <w:bottom w:val="none" w:sz="0" w:space="0" w:color="auto"/>
        <w:right w:val="none" w:sz="0" w:space="0" w:color="auto"/>
      </w:divBdr>
    </w:div>
    <w:div w:id="1921016237">
      <w:bodyDiv w:val="1"/>
      <w:marLeft w:val="0"/>
      <w:marRight w:val="0"/>
      <w:marTop w:val="0"/>
      <w:marBottom w:val="0"/>
      <w:divBdr>
        <w:top w:val="none" w:sz="0" w:space="0" w:color="auto"/>
        <w:left w:val="none" w:sz="0" w:space="0" w:color="auto"/>
        <w:bottom w:val="none" w:sz="0" w:space="0" w:color="auto"/>
        <w:right w:val="none" w:sz="0" w:space="0" w:color="auto"/>
      </w:divBdr>
    </w:div>
    <w:div w:id="1960329612">
      <w:bodyDiv w:val="1"/>
      <w:marLeft w:val="0"/>
      <w:marRight w:val="0"/>
      <w:marTop w:val="0"/>
      <w:marBottom w:val="0"/>
      <w:divBdr>
        <w:top w:val="none" w:sz="0" w:space="0" w:color="auto"/>
        <w:left w:val="none" w:sz="0" w:space="0" w:color="auto"/>
        <w:bottom w:val="none" w:sz="0" w:space="0" w:color="auto"/>
        <w:right w:val="none" w:sz="0" w:space="0" w:color="auto"/>
      </w:divBdr>
    </w:div>
    <w:div w:id="1970210345">
      <w:bodyDiv w:val="1"/>
      <w:marLeft w:val="0"/>
      <w:marRight w:val="0"/>
      <w:marTop w:val="0"/>
      <w:marBottom w:val="0"/>
      <w:divBdr>
        <w:top w:val="none" w:sz="0" w:space="0" w:color="auto"/>
        <w:left w:val="none" w:sz="0" w:space="0" w:color="auto"/>
        <w:bottom w:val="none" w:sz="0" w:space="0" w:color="auto"/>
        <w:right w:val="none" w:sz="0" w:space="0" w:color="auto"/>
      </w:divBdr>
    </w:div>
    <w:div w:id="2031103288">
      <w:bodyDiv w:val="1"/>
      <w:marLeft w:val="0"/>
      <w:marRight w:val="0"/>
      <w:marTop w:val="0"/>
      <w:marBottom w:val="0"/>
      <w:divBdr>
        <w:top w:val="none" w:sz="0" w:space="0" w:color="auto"/>
        <w:left w:val="none" w:sz="0" w:space="0" w:color="auto"/>
        <w:bottom w:val="none" w:sz="0" w:space="0" w:color="auto"/>
        <w:right w:val="none" w:sz="0" w:space="0" w:color="auto"/>
      </w:divBdr>
      <w:divsChild>
        <w:div w:id="454952840">
          <w:marLeft w:val="0"/>
          <w:marRight w:val="0"/>
          <w:marTop w:val="0"/>
          <w:marBottom w:val="0"/>
          <w:divBdr>
            <w:top w:val="none" w:sz="0" w:space="0" w:color="auto"/>
            <w:left w:val="none" w:sz="0" w:space="0" w:color="auto"/>
            <w:bottom w:val="none" w:sz="0" w:space="0" w:color="auto"/>
            <w:right w:val="none" w:sz="0" w:space="0" w:color="auto"/>
          </w:divBdr>
          <w:divsChild>
            <w:div w:id="338046119">
              <w:marLeft w:val="0"/>
              <w:marRight w:val="0"/>
              <w:marTop w:val="0"/>
              <w:marBottom w:val="0"/>
              <w:divBdr>
                <w:top w:val="none" w:sz="0" w:space="0" w:color="auto"/>
                <w:left w:val="none" w:sz="0" w:space="0" w:color="auto"/>
                <w:bottom w:val="none" w:sz="0" w:space="0" w:color="auto"/>
                <w:right w:val="none" w:sz="0" w:space="0" w:color="auto"/>
              </w:divBdr>
              <w:divsChild>
                <w:div w:id="15129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2928">
      <w:bodyDiv w:val="1"/>
      <w:marLeft w:val="0"/>
      <w:marRight w:val="0"/>
      <w:marTop w:val="0"/>
      <w:marBottom w:val="0"/>
      <w:divBdr>
        <w:top w:val="none" w:sz="0" w:space="0" w:color="auto"/>
        <w:left w:val="none" w:sz="0" w:space="0" w:color="auto"/>
        <w:bottom w:val="none" w:sz="0" w:space="0" w:color="auto"/>
        <w:right w:val="none" w:sz="0" w:space="0" w:color="auto"/>
      </w:divBdr>
    </w:div>
    <w:div w:id="2108309715">
      <w:bodyDiv w:val="1"/>
      <w:marLeft w:val="0"/>
      <w:marRight w:val="0"/>
      <w:marTop w:val="0"/>
      <w:marBottom w:val="0"/>
      <w:divBdr>
        <w:top w:val="none" w:sz="0" w:space="0" w:color="auto"/>
        <w:left w:val="none" w:sz="0" w:space="0" w:color="auto"/>
        <w:bottom w:val="none" w:sz="0" w:space="0" w:color="auto"/>
        <w:right w:val="none" w:sz="0" w:space="0" w:color="auto"/>
      </w:divBdr>
    </w:div>
    <w:div w:id="2136555368">
      <w:bodyDiv w:val="1"/>
      <w:marLeft w:val="0"/>
      <w:marRight w:val="0"/>
      <w:marTop w:val="0"/>
      <w:marBottom w:val="0"/>
      <w:divBdr>
        <w:top w:val="none" w:sz="0" w:space="0" w:color="auto"/>
        <w:left w:val="none" w:sz="0" w:space="0" w:color="auto"/>
        <w:bottom w:val="none" w:sz="0" w:space="0" w:color="auto"/>
        <w:right w:val="none" w:sz="0" w:space="0" w:color="auto"/>
      </w:divBdr>
    </w:div>
    <w:div w:id="21374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lv5gg1" TargetMode="External"/><Relationship Id="rId13" Type="http://schemas.openxmlformats.org/officeDocument/2006/relationships/hyperlink" Target="https://www.corteidh.or.cr/docs/casos/articulos/seriec_04_esp.pdf" TargetMode="External"/><Relationship Id="rId18" Type="http://schemas.openxmlformats.org/officeDocument/2006/relationships/hyperlink" Target="https://bit.ly/3lE2S6W" TargetMode="External"/><Relationship Id="rId26" Type="http://schemas.openxmlformats.org/officeDocument/2006/relationships/hyperlink" Target="https://bit.ly/3FJgxBF" TargetMode="External"/><Relationship Id="rId3" Type="http://schemas.openxmlformats.org/officeDocument/2006/relationships/hyperlink" Target="https://tinyurl.com/4schnb9s" TargetMode="External"/><Relationship Id="rId21" Type="http://schemas.openxmlformats.org/officeDocument/2006/relationships/hyperlink" Target="https://www.mpf.gob.ar/dafi/files/2017/10/Lesa_Protocolo-1.pdf" TargetMode="External"/><Relationship Id="rId34" Type="http://schemas.openxmlformats.org/officeDocument/2006/relationships/hyperlink" Target="https://bit.ly/3DE3KOV" TargetMode="External"/><Relationship Id="rId7" Type="http://schemas.openxmlformats.org/officeDocument/2006/relationships/hyperlink" Target="https://tinyurl.com/t6crrexm" TargetMode="External"/><Relationship Id="rId12" Type="http://schemas.openxmlformats.org/officeDocument/2006/relationships/hyperlink" Target="https://tinyurl.com/c274vdvz" TargetMode="External"/><Relationship Id="rId17" Type="http://schemas.openxmlformats.org/officeDocument/2006/relationships/hyperlink" Target="https://tinyurl.com/59dhmmzc" TargetMode="External"/><Relationship Id="rId25" Type="http://schemas.openxmlformats.org/officeDocument/2006/relationships/hyperlink" Target="http://www.juiciosdelesahumanidad.ar/" TargetMode="External"/><Relationship Id="rId33" Type="http://schemas.openxmlformats.org/officeDocument/2006/relationships/hyperlink" Target="https://bit.ly/36ysHfq" TargetMode="External"/><Relationship Id="rId2" Type="http://schemas.openxmlformats.org/officeDocument/2006/relationships/hyperlink" Target="https://bit.ly/3AypsSv" TargetMode="External"/><Relationship Id="rId16" Type="http://schemas.openxmlformats.org/officeDocument/2006/relationships/hyperlink" Target="http://www.scielo.br/pdf/sur/v2n3/es_a08v02n3.pdf" TargetMode="External"/><Relationship Id="rId20" Type="http://schemas.openxmlformats.org/officeDocument/2006/relationships/hyperlink" Target="https://bit.ly/3iYcuHH" TargetMode="External"/><Relationship Id="rId29" Type="http://schemas.openxmlformats.org/officeDocument/2006/relationships/hyperlink" Target="https://www.corteidh.or.cr/tablas/r32271.pdf" TargetMode="External"/><Relationship Id="rId1" Type="http://schemas.openxmlformats.org/officeDocument/2006/relationships/hyperlink" Target="https://tinyurl.com/w744ec3w" TargetMode="External"/><Relationship Id="rId6" Type="http://schemas.openxmlformats.org/officeDocument/2006/relationships/hyperlink" Target="https://tinyurl.com/28vvcc3c" TargetMode="External"/><Relationship Id="rId11" Type="http://schemas.openxmlformats.org/officeDocument/2006/relationships/hyperlink" Target="https://bit.ly/2YKQ99a" TargetMode="External"/><Relationship Id="rId24" Type="http://schemas.openxmlformats.org/officeDocument/2006/relationships/hyperlink" Target="https://bit.ly/3v3TI6C" TargetMode="External"/><Relationship Id="rId32" Type="http://schemas.openxmlformats.org/officeDocument/2006/relationships/hyperlink" Target="https://bit.ly/2B0NVGW" TargetMode="External"/><Relationship Id="rId5" Type="http://schemas.openxmlformats.org/officeDocument/2006/relationships/hyperlink" Target="https://tinyurl.com/7r4p9hw6" TargetMode="External"/><Relationship Id="rId15" Type="http://schemas.openxmlformats.org/officeDocument/2006/relationships/hyperlink" Target="https://tinyurl.com/hvj682wa" TargetMode="External"/><Relationship Id="rId23" Type="http://schemas.openxmlformats.org/officeDocument/2006/relationships/hyperlink" Target="https://www.fiscales.gob.ar/lesa-humanidad/son-1044-las-personas-condenadas-en-264-sentencias-en-causas-por-crimenes-de-lesa-humanidad/" TargetMode="External"/><Relationship Id="rId28" Type="http://schemas.openxmlformats.org/officeDocument/2006/relationships/hyperlink" Target="https://tinyurl.com/yt2rpfrp" TargetMode="External"/><Relationship Id="rId36" Type="http://schemas.openxmlformats.org/officeDocument/2006/relationships/hyperlink" Target="https://tinyurl.com/52uy9pf5" TargetMode="External"/><Relationship Id="rId10" Type="http://schemas.openxmlformats.org/officeDocument/2006/relationships/hyperlink" Target="http://www.cidh.org/annualrep/92span/Argentina10.288.htm" TargetMode="External"/><Relationship Id="rId19" Type="http://schemas.openxmlformats.org/officeDocument/2006/relationships/hyperlink" Target="https://bit.ly/3FGwg4n" TargetMode="External"/><Relationship Id="rId31" Type="http://schemas.openxmlformats.org/officeDocument/2006/relationships/hyperlink" Target="https://www.corteidh.or.cr/docs/casos/articulos/seriec_219_esp.pdf" TargetMode="External"/><Relationship Id="rId4" Type="http://schemas.openxmlformats.org/officeDocument/2006/relationships/hyperlink" Target="https://bit.ly/3mKIHDr" TargetMode="External"/><Relationship Id="rId9" Type="http://schemas.openxmlformats.org/officeDocument/2006/relationships/hyperlink" Target="https://bit.ly/3oZamDy" TargetMode="External"/><Relationship Id="rId14" Type="http://schemas.openxmlformats.org/officeDocument/2006/relationships/hyperlink" Target="https://www.corteidh.or.cr/docs/casos/articulos/Seriec_75_esp.pdf" TargetMode="External"/><Relationship Id="rId22" Type="http://schemas.openxmlformats.org/officeDocument/2006/relationships/hyperlink" Target="https://www.fiscales.gob.ar/wp-content/uploads/2016/05/LH_Dossier_16-5_1.pdf" TargetMode="External"/><Relationship Id="rId27" Type="http://schemas.openxmlformats.org/officeDocument/2006/relationships/hyperlink" Target="https://bit.ly/2YOfFLk" TargetMode="External"/><Relationship Id="rId30" Type="http://schemas.openxmlformats.org/officeDocument/2006/relationships/hyperlink" Target="https://www.corteidh.or.cr/docs/casos/articulos/seriec_154_esp.pdf" TargetMode="External"/><Relationship Id="rId35" Type="http://schemas.openxmlformats.org/officeDocument/2006/relationships/hyperlink" Target="https://bit.ly/2TKyY2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236C-4FED-3743-8A9D-1797E8D9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3770</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Múgica</dc:creator>
  <cp:keywords/>
  <dc:description/>
  <cp:lastModifiedBy>CAROLINA GARCIA GONZALEZ</cp:lastModifiedBy>
  <cp:revision>2</cp:revision>
  <dcterms:created xsi:type="dcterms:W3CDTF">2021-10-29T18:28:00Z</dcterms:created>
  <dcterms:modified xsi:type="dcterms:W3CDTF">2021-10-29T18:28:00Z</dcterms:modified>
</cp:coreProperties>
</file>