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183F165" w:rsidR="00814732" w:rsidRPr="008F5592" w:rsidRDefault="004B7A95">
      <w:pPr>
        <w:ind w:firstLine="720"/>
        <w:rPr>
          <w:rFonts w:ascii="Times New Roman" w:hAnsi="Times New Roman" w:cs="Times New Roman"/>
          <w:sz w:val="28"/>
          <w:szCs w:val="28"/>
        </w:rPr>
      </w:pPr>
      <w:bookmarkStart w:id="0" w:name="_GoBack"/>
      <w:bookmarkEnd w:id="0"/>
      <w:r w:rsidRPr="008F5592">
        <w:rPr>
          <w:rFonts w:ascii="Times New Roman" w:hAnsi="Times New Roman" w:cs="Times New Roman"/>
          <w:sz w:val="28"/>
          <w:szCs w:val="28"/>
        </w:rPr>
        <w:t xml:space="preserve">I am pleased to have the opportunity today to address the Expert Mechanism on the Rights of Indigenous Peoples </w:t>
      </w:r>
      <w:r w:rsidR="009927D2" w:rsidRPr="008F5592">
        <w:rPr>
          <w:rFonts w:ascii="Times New Roman" w:hAnsi="Times New Roman" w:cs="Times New Roman"/>
          <w:sz w:val="28"/>
          <w:szCs w:val="28"/>
        </w:rPr>
        <w:t>in my role as</w:t>
      </w:r>
      <w:r w:rsidRPr="008F5592">
        <w:rPr>
          <w:rFonts w:ascii="Times New Roman" w:hAnsi="Times New Roman" w:cs="Times New Roman"/>
          <w:sz w:val="28"/>
          <w:szCs w:val="28"/>
        </w:rPr>
        <w:t xml:space="preserve"> Special Rapporteur on the rights of indigenous peoples, and in a spirit of cooperation and coordination between UN mechanisms to protect the human rights of indigenous peoples.</w:t>
      </w:r>
      <w:r w:rsidR="006C0815" w:rsidRPr="008F5592">
        <w:rPr>
          <w:rFonts w:ascii="Times New Roman" w:hAnsi="Times New Roman" w:cs="Times New Roman"/>
          <w:sz w:val="28"/>
          <w:szCs w:val="28"/>
        </w:rPr>
        <w:t xml:space="preserve"> Th</w:t>
      </w:r>
      <w:r w:rsidR="00971F5C" w:rsidRPr="008F5592">
        <w:rPr>
          <w:rFonts w:ascii="Times New Roman" w:hAnsi="Times New Roman" w:cs="Times New Roman"/>
          <w:sz w:val="28"/>
          <w:szCs w:val="28"/>
        </w:rPr>
        <w:t>e current</w:t>
      </w:r>
      <w:r w:rsidR="006C0815" w:rsidRPr="008F5592">
        <w:rPr>
          <w:rFonts w:ascii="Times New Roman" w:hAnsi="Times New Roman" w:cs="Times New Roman"/>
          <w:sz w:val="28"/>
          <w:szCs w:val="28"/>
        </w:rPr>
        <w:t xml:space="preserve"> </w:t>
      </w:r>
      <w:r w:rsidR="00985BCF" w:rsidRPr="008F5592">
        <w:rPr>
          <w:rFonts w:ascii="Times New Roman" w:hAnsi="Times New Roman" w:cs="Times New Roman"/>
          <w:sz w:val="28"/>
          <w:szCs w:val="28"/>
        </w:rPr>
        <w:t>study is an important follow up to the Final Report of UN Rapporteur</w:t>
      </w:r>
      <w:r w:rsidR="00DD57AB" w:rsidRPr="008F5592">
        <w:rPr>
          <w:rFonts w:ascii="Times New Roman" w:hAnsi="Times New Roman" w:cs="Times New Roman"/>
          <w:sz w:val="28"/>
          <w:szCs w:val="28"/>
        </w:rPr>
        <w:t xml:space="preserve"> </w:t>
      </w:r>
      <w:r w:rsidR="00985BCF" w:rsidRPr="008F5592">
        <w:rPr>
          <w:rFonts w:ascii="Times New Roman" w:hAnsi="Times New Roman" w:cs="Times New Roman"/>
          <w:sz w:val="28"/>
          <w:szCs w:val="28"/>
        </w:rPr>
        <w:t>Dr. Miguel Alfonso Martinez</w:t>
      </w:r>
      <w:r w:rsidR="00DB2FFA" w:rsidRPr="008F5592">
        <w:rPr>
          <w:rStyle w:val="FootnoteReference"/>
          <w:rFonts w:ascii="Times New Roman" w:hAnsi="Times New Roman" w:cs="Times New Roman"/>
          <w:sz w:val="28"/>
          <w:szCs w:val="28"/>
        </w:rPr>
        <w:footnoteReference w:id="1"/>
      </w:r>
      <w:r w:rsidR="00985BCF" w:rsidRPr="008F5592">
        <w:rPr>
          <w:rFonts w:ascii="Times New Roman" w:hAnsi="Times New Roman" w:cs="Times New Roman"/>
          <w:sz w:val="28"/>
          <w:szCs w:val="28"/>
        </w:rPr>
        <w:t xml:space="preserve"> and previous </w:t>
      </w:r>
      <w:r w:rsidR="00610EF3" w:rsidRPr="008F5592">
        <w:rPr>
          <w:rFonts w:ascii="Times New Roman" w:hAnsi="Times New Roman" w:cs="Times New Roman"/>
          <w:sz w:val="28"/>
          <w:szCs w:val="28"/>
        </w:rPr>
        <w:t>UN</w:t>
      </w:r>
      <w:r w:rsidR="00EC4034" w:rsidRPr="008F5592">
        <w:rPr>
          <w:rFonts w:ascii="Times New Roman" w:hAnsi="Times New Roman" w:cs="Times New Roman"/>
          <w:sz w:val="28"/>
          <w:szCs w:val="28"/>
        </w:rPr>
        <w:t xml:space="preserve"> Seminars on Treaties, Agreements and Other Constructive Arrangements</w:t>
      </w:r>
      <w:r w:rsidR="0017036F" w:rsidRPr="008F5592">
        <w:rPr>
          <w:rFonts w:ascii="Times New Roman" w:hAnsi="Times New Roman" w:cs="Times New Roman"/>
          <w:sz w:val="28"/>
          <w:szCs w:val="28"/>
        </w:rPr>
        <w:t xml:space="preserve"> held in</w:t>
      </w:r>
      <w:r w:rsidR="00BC6145" w:rsidRPr="008F5592">
        <w:rPr>
          <w:rFonts w:ascii="Times New Roman" w:hAnsi="Times New Roman" w:cs="Times New Roman"/>
          <w:sz w:val="28"/>
          <w:szCs w:val="28"/>
        </w:rPr>
        <w:t xml:space="preserve"> </w:t>
      </w:r>
      <w:r w:rsidR="00985BCF" w:rsidRPr="008F5592">
        <w:rPr>
          <w:rFonts w:ascii="Times New Roman" w:hAnsi="Times New Roman" w:cs="Times New Roman"/>
          <w:sz w:val="28"/>
          <w:szCs w:val="28"/>
        </w:rPr>
        <w:t>2003</w:t>
      </w:r>
      <w:r w:rsidR="002825D6" w:rsidRPr="008F5592">
        <w:rPr>
          <w:rFonts w:ascii="Times New Roman" w:hAnsi="Times New Roman" w:cs="Times New Roman"/>
          <w:sz w:val="28"/>
          <w:szCs w:val="28"/>
        </w:rPr>
        <w:t>,</w:t>
      </w:r>
      <w:r w:rsidR="00BC6145" w:rsidRPr="008F5592">
        <w:rPr>
          <w:rStyle w:val="FootnoteReference"/>
          <w:rFonts w:ascii="Times New Roman" w:hAnsi="Times New Roman" w:cs="Times New Roman"/>
          <w:sz w:val="28"/>
          <w:szCs w:val="28"/>
        </w:rPr>
        <w:footnoteReference w:id="2"/>
      </w:r>
      <w:r w:rsidR="00985BCF" w:rsidRPr="008F5592">
        <w:rPr>
          <w:rFonts w:ascii="Times New Roman" w:hAnsi="Times New Roman" w:cs="Times New Roman"/>
          <w:sz w:val="28"/>
          <w:szCs w:val="28"/>
        </w:rPr>
        <w:t xml:space="preserve"> 2006</w:t>
      </w:r>
      <w:r w:rsidR="002825D6" w:rsidRPr="008F5592">
        <w:rPr>
          <w:rFonts w:ascii="Times New Roman" w:hAnsi="Times New Roman" w:cs="Times New Roman"/>
          <w:sz w:val="28"/>
          <w:szCs w:val="28"/>
        </w:rPr>
        <w:t>,</w:t>
      </w:r>
      <w:r w:rsidR="00482F17" w:rsidRPr="008F5592">
        <w:rPr>
          <w:rStyle w:val="FootnoteReference"/>
          <w:rFonts w:ascii="Times New Roman" w:hAnsi="Times New Roman" w:cs="Times New Roman"/>
          <w:sz w:val="28"/>
          <w:szCs w:val="28"/>
        </w:rPr>
        <w:footnoteReference w:id="3"/>
      </w:r>
      <w:r w:rsidR="00985BCF" w:rsidRPr="008F5592">
        <w:rPr>
          <w:rFonts w:ascii="Times New Roman" w:hAnsi="Times New Roman" w:cs="Times New Roman"/>
          <w:sz w:val="28"/>
          <w:szCs w:val="28"/>
        </w:rPr>
        <w:t xml:space="preserve"> </w:t>
      </w:r>
      <w:r w:rsidR="00DB2FFA" w:rsidRPr="008F5592">
        <w:rPr>
          <w:rFonts w:ascii="Times New Roman" w:hAnsi="Times New Roman" w:cs="Times New Roman"/>
          <w:sz w:val="28"/>
          <w:szCs w:val="28"/>
        </w:rPr>
        <w:t>and 2012</w:t>
      </w:r>
      <w:r w:rsidR="00501D14" w:rsidRPr="008F5592">
        <w:rPr>
          <w:rFonts w:ascii="Times New Roman" w:hAnsi="Times New Roman" w:cs="Times New Roman"/>
          <w:sz w:val="28"/>
          <w:szCs w:val="28"/>
        </w:rPr>
        <w:t>.</w:t>
      </w:r>
      <w:r w:rsidR="00B45335" w:rsidRPr="008F5592">
        <w:rPr>
          <w:rStyle w:val="FootnoteReference"/>
          <w:rFonts w:ascii="Times New Roman" w:hAnsi="Times New Roman" w:cs="Times New Roman"/>
          <w:sz w:val="28"/>
          <w:szCs w:val="28"/>
        </w:rPr>
        <w:footnoteReference w:id="4"/>
      </w:r>
    </w:p>
    <w:p w14:paraId="47A8D818" w14:textId="77777777" w:rsidR="00F26747" w:rsidRPr="008F5592" w:rsidRDefault="00F26747">
      <w:pPr>
        <w:ind w:firstLine="720"/>
        <w:rPr>
          <w:rFonts w:ascii="Times New Roman" w:hAnsi="Times New Roman" w:cs="Times New Roman"/>
          <w:sz w:val="28"/>
          <w:szCs w:val="28"/>
        </w:rPr>
      </w:pPr>
    </w:p>
    <w:p w14:paraId="00000002" w14:textId="42E47331" w:rsidR="00814732" w:rsidRPr="008F5592" w:rsidRDefault="009F4742">
      <w:pPr>
        <w:ind w:firstLine="720"/>
        <w:rPr>
          <w:rFonts w:ascii="Times New Roman" w:hAnsi="Times New Roman" w:cs="Times New Roman"/>
          <w:sz w:val="28"/>
          <w:szCs w:val="28"/>
        </w:rPr>
      </w:pPr>
      <w:r w:rsidRPr="008F5592">
        <w:rPr>
          <w:rFonts w:ascii="Times New Roman" w:hAnsi="Times New Roman" w:cs="Times New Roman"/>
          <w:sz w:val="28"/>
          <w:szCs w:val="28"/>
        </w:rPr>
        <w:t>The UN Declaration on the Rights of Indigenous Peoples</w:t>
      </w:r>
      <w:r w:rsidR="004B7A95" w:rsidRPr="008F5592">
        <w:rPr>
          <w:rFonts w:ascii="Times New Roman" w:hAnsi="Times New Roman" w:cs="Times New Roman"/>
          <w:sz w:val="28"/>
          <w:szCs w:val="28"/>
        </w:rPr>
        <w:t xml:space="preserve"> </w:t>
      </w:r>
      <w:r w:rsidR="00962669" w:rsidRPr="008F5592">
        <w:rPr>
          <w:rFonts w:ascii="Times New Roman" w:hAnsi="Times New Roman" w:cs="Times New Roman"/>
          <w:sz w:val="28"/>
          <w:szCs w:val="28"/>
        </w:rPr>
        <w:t xml:space="preserve">preamble </w:t>
      </w:r>
      <w:r w:rsidR="004B7A95" w:rsidRPr="008F5592">
        <w:rPr>
          <w:rFonts w:ascii="Times New Roman" w:hAnsi="Times New Roman" w:cs="Times New Roman"/>
          <w:sz w:val="28"/>
          <w:szCs w:val="28"/>
        </w:rPr>
        <w:t xml:space="preserve">provides </w:t>
      </w:r>
      <w:r w:rsidR="00962669" w:rsidRPr="008F5592">
        <w:rPr>
          <w:rFonts w:ascii="Times New Roman" w:hAnsi="Times New Roman" w:cs="Times New Roman"/>
          <w:sz w:val="28"/>
          <w:szCs w:val="28"/>
        </w:rPr>
        <w:t>that</w:t>
      </w:r>
      <w:r w:rsidR="004B7A95" w:rsidRPr="008F5592">
        <w:rPr>
          <w:rFonts w:ascii="Times New Roman" w:hAnsi="Times New Roman" w:cs="Times New Roman"/>
          <w:sz w:val="28"/>
          <w:szCs w:val="28"/>
        </w:rPr>
        <w:t xml:space="preserve"> treaties, agreements</w:t>
      </w:r>
      <w:r w:rsidR="00962669" w:rsidRPr="008F5592">
        <w:rPr>
          <w:rFonts w:ascii="Times New Roman" w:hAnsi="Times New Roman" w:cs="Times New Roman"/>
          <w:sz w:val="28"/>
          <w:szCs w:val="28"/>
        </w:rPr>
        <w:t xml:space="preserve"> and other</w:t>
      </w:r>
      <w:r w:rsidR="004B7A95" w:rsidRPr="008F5592">
        <w:rPr>
          <w:rFonts w:ascii="Times New Roman" w:hAnsi="Times New Roman" w:cs="Times New Roman"/>
          <w:sz w:val="28"/>
          <w:szCs w:val="28"/>
        </w:rPr>
        <w:t xml:space="preserve"> constructive arrangements</w:t>
      </w:r>
      <w:r w:rsidR="00962669" w:rsidRPr="008F5592">
        <w:rPr>
          <w:rFonts w:ascii="Times New Roman" w:hAnsi="Times New Roman" w:cs="Times New Roman"/>
          <w:sz w:val="28"/>
          <w:szCs w:val="28"/>
        </w:rPr>
        <w:t xml:space="preserve"> are</w:t>
      </w:r>
      <w:r w:rsidR="004B7A95" w:rsidRPr="008F5592">
        <w:rPr>
          <w:rFonts w:ascii="Times New Roman" w:hAnsi="Times New Roman" w:cs="Times New Roman"/>
          <w:sz w:val="28"/>
          <w:szCs w:val="28"/>
        </w:rPr>
        <w:t xml:space="preserve"> “the basis for a strengthened partnership between indigenous peoples and States.”</w:t>
      </w:r>
      <w:r w:rsidR="004B7A95" w:rsidRPr="008F5592">
        <w:rPr>
          <w:rFonts w:ascii="Times New Roman" w:hAnsi="Times New Roman" w:cs="Times New Roman"/>
          <w:sz w:val="28"/>
          <w:szCs w:val="28"/>
          <w:vertAlign w:val="superscript"/>
        </w:rPr>
        <w:footnoteReference w:id="5"/>
      </w:r>
      <w:r w:rsidR="004B7A95" w:rsidRPr="008F5592">
        <w:rPr>
          <w:rFonts w:ascii="Times New Roman" w:hAnsi="Times New Roman" w:cs="Times New Roman"/>
          <w:sz w:val="28"/>
          <w:szCs w:val="28"/>
        </w:rPr>
        <w:t xml:space="preserve"> </w:t>
      </w:r>
      <w:r w:rsidR="00104020" w:rsidRPr="008F5592">
        <w:rPr>
          <w:rFonts w:ascii="Times New Roman" w:hAnsi="Times New Roman" w:cs="Times New Roman"/>
          <w:sz w:val="28"/>
          <w:szCs w:val="28"/>
        </w:rPr>
        <w:t xml:space="preserve">Examples include the hundreds of treaties signed </w:t>
      </w:r>
      <w:r w:rsidR="00E4415A" w:rsidRPr="008F5592">
        <w:rPr>
          <w:rFonts w:ascii="Times New Roman" w:hAnsi="Times New Roman" w:cs="Times New Roman"/>
          <w:sz w:val="28"/>
          <w:szCs w:val="28"/>
        </w:rPr>
        <w:t>with tribes in the</w:t>
      </w:r>
      <w:r w:rsidR="00104020" w:rsidRPr="008F5592">
        <w:rPr>
          <w:rFonts w:ascii="Times New Roman" w:hAnsi="Times New Roman" w:cs="Times New Roman"/>
          <w:sz w:val="28"/>
          <w:szCs w:val="28"/>
        </w:rPr>
        <w:t xml:space="preserve"> United States</w:t>
      </w:r>
      <w:r w:rsidR="00586C52" w:rsidRPr="008F5592">
        <w:rPr>
          <w:rFonts w:ascii="Times New Roman" w:hAnsi="Times New Roman" w:cs="Times New Roman"/>
          <w:sz w:val="28"/>
          <w:szCs w:val="28"/>
        </w:rPr>
        <w:t xml:space="preserve">, the specific and comprehensive claim </w:t>
      </w:r>
      <w:r w:rsidR="002567AF" w:rsidRPr="008F5592">
        <w:rPr>
          <w:rFonts w:ascii="Times New Roman" w:hAnsi="Times New Roman" w:cs="Times New Roman"/>
          <w:sz w:val="28"/>
          <w:szCs w:val="28"/>
        </w:rPr>
        <w:t>negotiations with</w:t>
      </w:r>
      <w:r w:rsidR="00104020" w:rsidRPr="008F5592">
        <w:rPr>
          <w:rFonts w:ascii="Times New Roman" w:hAnsi="Times New Roman" w:cs="Times New Roman"/>
          <w:sz w:val="28"/>
          <w:szCs w:val="28"/>
        </w:rPr>
        <w:t xml:space="preserve"> </w:t>
      </w:r>
      <w:r w:rsidR="00BA5519" w:rsidRPr="008F5592">
        <w:rPr>
          <w:rFonts w:ascii="Times New Roman" w:hAnsi="Times New Roman" w:cs="Times New Roman"/>
          <w:sz w:val="28"/>
          <w:szCs w:val="28"/>
        </w:rPr>
        <w:t xml:space="preserve">the </w:t>
      </w:r>
      <w:r w:rsidR="00104020" w:rsidRPr="008F5592">
        <w:rPr>
          <w:rFonts w:ascii="Times New Roman" w:hAnsi="Times New Roman" w:cs="Times New Roman"/>
          <w:sz w:val="28"/>
          <w:szCs w:val="28"/>
        </w:rPr>
        <w:t xml:space="preserve">First Nations </w:t>
      </w:r>
      <w:r w:rsidR="00E4415A" w:rsidRPr="008F5592">
        <w:rPr>
          <w:rFonts w:ascii="Times New Roman" w:hAnsi="Times New Roman" w:cs="Times New Roman"/>
          <w:sz w:val="28"/>
          <w:szCs w:val="28"/>
        </w:rPr>
        <w:t>of</w:t>
      </w:r>
      <w:r w:rsidR="00104020" w:rsidRPr="008F5592">
        <w:rPr>
          <w:rFonts w:ascii="Times New Roman" w:hAnsi="Times New Roman" w:cs="Times New Roman"/>
          <w:sz w:val="28"/>
          <w:szCs w:val="28"/>
        </w:rPr>
        <w:t xml:space="preserve"> Canada</w:t>
      </w:r>
      <w:r w:rsidR="008D1190" w:rsidRPr="008F5592">
        <w:rPr>
          <w:rFonts w:ascii="Times New Roman" w:hAnsi="Times New Roman" w:cs="Times New Roman"/>
          <w:sz w:val="28"/>
          <w:szCs w:val="28"/>
        </w:rPr>
        <w:t xml:space="preserve"> as well as the Treaty of Waitangi between New Zealand and the Maori people</w:t>
      </w:r>
      <w:r w:rsidR="00104020" w:rsidRPr="008F5592">
        <w:rPr>
          <w:rFonts w:ascii="Times New Roman" w:hAnsi="Times New Roman" w:cs="Times New Roman"/>
          <w:sz w:val="28"/>
          <w:szCs w:val="28"/>
        </w:rPr>
        <w:t xml:space="preserve">. </w:t>
      </w:r>
      <w:r w:rsidR="005529B2" w:rsidRPr="008F5592">
        <w:rPr>
          <w:rFonts w:ascii="Times New Roman" w:hAnsi="Times New Roman" w:cs="Times New Roman"/>
          <w:sz w:val="28"/>
          <w:szCs w:val="28"/>
        </w:rPr>
        <w:t xml:space="preserve">Peace accords, reconciliation initiatives, and constitutional recognition are also important tools for strengthened partnerships between indigenous peoples and States, and for protection of the rights of indigenous peoples. Peace accords are formed to end conflicts within states and may confer rights upon indigenous peoples, </w:t>
      </w:r>
      <w:r w:rsidR="002F3A29" w:rsidRPr="008F5592">
        <w:rPr>
          <w:rFonts w:ascii="Times New Roman" w:hAnsi="Times New Roman" w:cs="Times New Roman"/>
          <w:sz w:val="28"/>
          <w:szCs w:val="28"/>
        </w:rPr>
        <w:t>as we have seen</w:t>
      </w:r>
      <w:r w:rsidR="005529B2" w:rsidRPr="008F5592">
        <w:rPr>
          <w:rFonts w:ascii="Times New Roman" w:hAnsi="Times New Roman" w:cs="Times New Roman"/>
          <w:sz w:val="28"/>
          <w:szCs w:val="28"/>
        </w:rPr>
        <w:t xml:space="preserve"> in Guatemala and Colombia</w:t>
      </w:r>
      <w:r w:rsidR="000C1CB5" w:rsidRPr="008F5592">
        <w:rPr>
          <w:rStyle w:val="FootnoteReference"/>
          <w:rFonts w:ascii="Times New Roman" w:hAnsi="Times New Roman" w:cs="Times New Roman"/>
          <w:sz w:val="28"/>
          <w:szCs w:val="28"/>
        </w:rPr>
        <w:footnoteReference w:id="6"/>
      </w:r>
      <w:r w:rsidR="005529B2" w:rsidRPr="008F5592">
        <w:rPr>
          <w:rFonts w:ascii="Times New Roman" w:hAnsi="Times New Roman" w:cs="Times New Roman"/>
          <w:sz w:val="28"/>
          <w:szCs w:val="28"/>
        </w:rPr>
        <w:t xml:space="preserve">. </w:t>
      </w:r>
      <w:r w:rsidR="004B7A95" w:rsidRPr="008F5592">
        <w:rPr>
          <w:rFonts w:ascii="Times New Roman" w:hAnsi="Times New Roman" w:cs="Times New Roman"/>
          <w:sz w:val="28"/>
          <w:szCs w:val="28"/>
        </w:rPr>
        <w:t xml:space="preserve">States </w:t>
      </w:r>
      <w:r w:rsidR="00962669" w:rsidRPr="008F5592">
        <w:rPr>
          <w:rFonts w:ascii="Times New Roman" w:hAnsi="Times New Roman" w:cs="Times New Roman"/>
          <w:sz w:val="28"/>
          <w:szCs w:val="28"/>
        </w:rPr>
        <w:t>must</w:t>
      </w:r>
      <w:r w:rsidR="004B7A95" w:rsidRPr="008F5592">
        <w:rPr>
          <w:rFonts w:ascii="Times New Roman" w:hAnsi="Times New Roman" w:cs="Times New Roman"/>
          <w:sz w:val="28"/>
          <w:szCs w:val="28"/>
        </w:rPr>
        <w:t xml:space="preserve"> </w:t>
      </w:r>
      <w:r w:rsidR="002A378C" w:rsidRPr="008F5592">
        <w:rPr>
          <w:rFonts w:ascii="Times New Roman" w:hAnsi="Times New Roman" w:cs="Times New Roman"/>
          <w:sz w:val="28"/>
          <w:szCs w:val="28"/>
        </w:rPr>
        <w:t>engage in</w:t>
      </w:r>
      <w:r w:rsidR="004B7A95" w:rsidRPr="008F5592">
        <w:rPr>
          <w:rFonts w:ascii="Times New Roman" w:hAnsi="Times New Roman" w:cs="Times New Roman"/>
          <w:sz w:val="28"/>
          <w:szCs w:val="28"/>
        </w:rPr>
        <w:t xml:space="preserve"> ongoing intercultural dialogue to effectively implement and enforce treaties, agreements, constructive arrangements, peace accords, reconciliation initiatives and constitutional recognition in domestic legal regimes. </w:t>
      </w:r>
    </w:p>
    <w:p w14:paraId="00000003" w14:textId="08AD4C13" w:rsidR="00814732" w:rsidRPr="008F5592" w:rsidRDefault="00814732">
      <w:pPr>
        <w:rPr>
          <w:rFonts w:ascii="Times New Roman" w:hAnsi="Times New Roman" w:cs="Times New Roman"/>
          <w:sz w:val="28"/>
          <w:szCs w:val="28"/>
          <w:u w:val="single"/>
        </w:rPr>
      </w:pPr>
    </w:p>
    <w:p w14:paraId="00000004" w14:textId="7F716343" w:rsidR="00814732" w:rsidRPr="008F5592" w:rsidRDefault="002A378C" w:rsidP="002557A1">
      <w:pPr>
        <w:ind w:firstLine="720"/>
        <w:rPr>
          <w:rFonts w:ascii="Times New Roman" w:hAnsi="Times New Roman" w:cs="Times New Roman"/>
          <w:sz w:val="28"/>
          <w:szCs w:val="28"/>
        </w:rPr>
      </w:pPr>
      <w:r w:rsidRPr="008F5592">
        <w:rPr>
          <w:rFonts w:ascii="Times New Roman" w:hAnsi="Times New Roman" w:cs="Times New Roman"/>
          <w:sz w:val="28"/>
          <w:szCs w:val="28"/>
        </w:rPr>
        <w:t>H</w:t>
      </w:r>
      <w:r w:rsidR="004B7A95" w:rsidRPr="008F5592">
        <w:rPr>
          <w:rFonts w:ascii="Times New Roman" w:hAnsi="Times New Roman" w:cs="Times New Roman"/>
          <w:sz w:val="28"/>
          <w:szCs w:val="28"/>
        </w:rPr>
        <w:t>istorical treaties an</w:t>
      </w:r>
      <w:r w:rsidR="00E163DE" w:rsidRPr="008F5592">
        <w:rPr>
          <w:rFonts w:ascii="Times New Roman" w:hAnsi="Times New Roman" w:cs="Times New Roman"/>
          <w:sz w:val="28"/>
          <w:szCs w:val="28"/>
        </w:rPr>
        <w:t>d nation</w:t>
      </w:r>
      <w:r w:rsidR="00104020" w:rsidRPr="008F5592">
        <w:rPr>
          <w:rFonts w:ascii="Times New Roman" w:hAnsi="Times New Roman" w:cs="Times New Roman"/>
          <w:sz w:val="28"/>
          <w:szCs w:val="28"/>
        </w:rPr>
        <w:t>-to-</w:t>
      </w:r>
      <w:r w:rsidR="00E163DE" w:rsidRPr="008F5592">
        <w:rPr>
          <w:rFonts w:ascii="Times New Roman" w:hAnsi="Times New Roman" w:cs="Times New Roman"/>
          <w:sz w:val="28"/>
          <w:szCs w:val="28"/>
        </w:rPr>
        <w:t>nation</w:t>
      </w:r>
      <w:r w:rsidR="00104020" w:rsidRPr="008F5592">
        <w:rPr>
          <w:rFonts w:ascii="Times New Roman" w:hAnsi="Times New Roman" w:cs="Times New Roman"/>
          <w:sz w:val="28"/>
          <w:szCs w:val="28"/>
        </w:rPr>
        <w:t xml:space="preserve"> </w:t>
      </w:r>
      <w:r w:rsidR="004B7A95" w:rsidRPr="008F5592">
        <w:rPr>
          <w:rFonts w:ascii="Times New Roman" w:hAnsi="Times New Roman" w:cs="Times New Roman"/>
          <w:sz w:val="28"/>
          <w:szCs w:val="28"/>
        </w:rPr>
        <w:t>agreements between States and indigenous peoples retain the force of law</w:t>
      </w:r>
      <w:r w:rsidR="004800B2" w:rsidRPr="008F5592">
        <w:rPr>
          <w:rFonts w:ascii="Times New Roman" w:hAnsi="Times New Roman" w:cs="Times New Roman"/>
          <w:sz w:val="28"/>
          <w:szCs w:val="28"/>
        </w:rPr>
        <w:t xml:space="preserve"> and should not be diminished </w:t>
      </w:r>
      <w:r w:rsidR="00892BBA" w:rsidRPr="008F5592">
        <w:rPr>
          <w:rFonts w:ascii="Times New Roman" w:hAnsi="Times New Roman" w:cs="Times New Roman"/>
          <w:sz w:val="28"/>
          <w:szCs w:val="28"/>
        </w:rPr>
        <w:t>through judicial interpretations</w:t>
      </w:r>
      <w:r w:rsidR="00AC6459" w:rsidRPr="008F5592">
        <w:rPr>
          <w:rFonts w:ascii="Times New Roman" w:hAnsi="Times New Roman" w:cs="Times New Roman"/>
          <w:sz w:val="28"/>
          <w:szCs w:val="28"/>
        </w:rPr>
        <w:t xml:space="preserve"> that conflict with international standards </w:t>
      </w:r>
      <w:r w:rsidR="00FC09ED" w:rsidRPr="008F5592">
        <w:rPr>
          <w:rFonts w:ascii="Times New Roman" w:hAnsi="Times New Roman" w:cs="Times New Roman"/>
          <w:sz w:val="28"/>
          <w:szCs w:val="28"/>
        </w:rPr>
        <w:t xml:space="preserve">such </w:t>
      </w:r>
      <w:r w:rsidR="00AC6459" w:rsidRPr="008F5592">
        <w:rPr>
          <w:rFonts w:ascii="Times New Roman" w:hAnsi="Times New Roman" w:cs="Times New Roman"/>
          <w:sz w:val="28"/>
          <w:szCs w:val="28"/>
        </w:rPr>
        <w:t>as the UN Declaration</w:t>
      </w:r>
      <w:r w:rsidR="004C4114" w:rsidRPr="008F5592">
        <w:rPr>
          <w:rFonts w:ascii="Times New Roman" w:hAnsi="Times New Roman" w:cs="Times New Roman"/>
          <w:sz w:val="28"/>
          <w:szCs w:val="28"/>
        </w:rPr>
        <w:t xml:space="preserve"> on the Rights of Indigenous Peoples</w:t>
      </w:r>
      <w:r w:rsidR="00485064" w:rsidRPr="008F5592">
        <w:rPr>
          <w:rFonts w:ascii="Times New Roman" w:hAnsi="Times New Roman" w:cs="Times New Roman"/>
          <w:sz w:val="28"/>
          <w:szCs w:val="28"/>
        </w:rPr>
        <w:t>, the American Declaration on the Rights of Indigenous Peoples</w:t>
      </w:r>
      <w:r w:rsidR="00AC6459" w:rsidRPr="008F5592">
        <w:rPr>
          <w:rFonts w:ascii="Times New Roman" w:hAnsi="Times New Roman" w:cs="Times New Roman"/>
          <w:sz w:val="28"/>
          <w:szCs w:val="28"/>
        </w:rPr>
        <w:t xml:space="preserve"> and the Vienna Convention on the Law of Treaties</w:t>
      </w:r>
      <w:r w:rsidR="004B7A95" w:rsidRPr="008F5592">
        <w:rPr>
          <w:rFonts w:ascii="Times New Roman" w:hAnsi="Times New Roman" w:cs="Times New Roman"/>
          <w:sz w:val="28"/>
          <w:szCs w:val="28"/>
        </w:rPr>
        <w:t xml:space="preserve">. </w:t>
      </w:r>
      <w:r w:rsidR="008D7270" w:rsidRPr="008F5592">
        <w:rPr>
          <w:rFonts w:ascii="Times New Roman" w:hAnsi="Times New Roman" w:cs="Times New Roman"/>
          <w:sz w:val="28"/>
          <w:szCs w:val="28"/>
        </w:rPr>
        <w:lastRenderedPageBreak/>
        <w:t>T</w:t>
      </w:r>
      <w:r w:rsidR="0065462D" w:rsidRPr="008F5592">
        <w:rPr>
          <w:rFonts w:ascii="Times New Roman" w:hAnsi="Times New Roman" w:cs="Times New Roman"/>
          <w:sz w:val="28"/>
          <w:szCs w:val="28"/>
        </w:rPr>
        <w:t>reaties and agreement</w:t>
      </w:r>
      <w:r w:rsidR="008D7270" w:rsidRPr="008F5592">
        <w:rPr>
          <w:rFonts w:ascii="Times New Roman" w:hAnsi="Times New Roman" w:cs="Times New Roman"/>
          <w:sz w:val="28"/>
          <w:szCs w:val="28"/>
        </w:rPr>
        <w:t>s</w:t>
      </w:r>
      <w:r w:rsidR="0065462D" w:rsidRPr="008F5592">
        <w:rPr>
          <w:rFonts w:ascii="Times New Roman" w:hAnsi="Times New Roman" w:cs="Times New Roman"/>
          <w:sz w:val="28"/>
          <w:szCs w:val="28"/>
        </w:rPr>
        <w:t xml:space="preserve"> with</w:t>
      </w:r>
      <w:r w:rsidR="0008319F" w:rsidRPr="008F5592">
        <w:rPr>
          <w:rFonts w:ascii="Times New Roman" w:hAnsi="Times New Roman" w:cs="Times New Roman"/>
          <w:sz w:val="28"/>
          <w:szCs w:val="28"/>
        </w:rPr>
        <w:t xml:space="preserve"> indigenous peoples’ </w:t>
      </w:r>
      <w:r w:rsidR="0065462D" w:rsidRPr="008F5592">
        <w:rPr>
          <w:rFonts w:ascii="Times New Roman" w:hAnsi="Times New Roman" w:cs="Times New Roman"/>
          <w:sz w:val="28"/>
          <w:szCs w:val="28"/>
        </w:rPr>
        <w:t>or</w:t>
      </w:r>
      <w:r w:rsidR="009A0DE6" w:rsidRPr="008F5592">
        <w:rPr>
          <w:rFonts w:ascii="Times New Roman" w:hAnsi="Times New Roman" w:cs="Times New Roman"/>
          <w:sz w:val="28"/>
          <w:szCs w:val="28"/>
        </w:rPr>
        <w:t xml:space="preserve"> legal arrang</w:t>
      </w:r>
      <w:r w:rsidR="002E2F63" w:rsidRPr="008F5592">
        <w:rPr>
          <w:rFonts w:ascii="Times New Roman" w:hAnsi="Times New Roman" w:cs="Times New Roman"/>
          <w:sz w:val="28"/>
          <w:szCs w:val="28"/>
        </w:rPr>
        <w:t>e</w:t>
      </w:r>
      <w:r w:rsidR="009A0DE6" w:rsidRPr="008F5592">
        <w:rPr>
          <w:rFonts w:ascii="Times New Roman" w:hAnsi="Times New Roman" w:cs="Times New Roman"/>
          <w:sz w:val="28"/>
          <w:szCs w:val="28"/>
        </w:rPr>
        <w:t>ments</w:t>
      </w:r>
      <w:r w:rsidR="0065462D" w:rsidRPr="008F5592">
        <w:rPr>
          <w:rFonts w:ascii="Times New Roman" w:hAnsi="Times New Roman" w:cs="Times New Roman"/>
          <w:sz w:val="28"/>
          <w:szCs w:val="28"/>
        </w:rPr>
        <w:t xml:space="preserve"> that impact their </w:t>
      </w:r>
      <w:r w:rsidR="0008319F" w:rsidRPr="008F5592">
        <w:rPr>
          <w:rFonts w:ascii="Times New Roman" w:hAnsi="Times New Roman" w:cs="Times New Roman"/>
          <w:sz w:val="28"/>
          <w:szCs w:val="28"/>
        </w:rPr>
        <w:t>rights</w:t>
      </w:r>
      <w:r w:rsidR="004B7A95" w:rsidRPr="008F5592">
        <w:rPr>
          <w:rFonts w:ascii="Times New Roman" w:hAnsi="Times New Roman" w:cs="Times New Roman"/>
          <w:sz w:val="28"/>
          <w:szCs w:val="28"/>
        </w:rPr>
        <w:t xml:space="preserve"> must be</w:t>
      </w:r>
      <w:r w:rsidR="00104020" w:rsidRPr="008F5592">
        <w:rPr>
          <w:rFonts w:ascii="Times New Roman" w:hAnsi="Times New Roman" w:cs="Times New Roman"/>
          <w:sz w:val="28"/>
          <w:szCs w:val="28"/>
        </w:rPr>
        <w:t xml:space="preserve"> observed,</w:t>
      </w:r>
      <w:r w:rsidR="004B7A95" w:rsidRPr="008F5592">
        <w:rPr>
          <w:rFonts w:ascii="Times New Roman" w:hAnsi="Times New Roman" w:cs="Times New Roman"/>
          <w:sz w:val="28"/>
          <w:szCs w:val="28"/>
        </w:rPr>
        <w:t xml:space="preserve"> interpreted and </w:t>
      </w:r>
      <w:r w:rsidR="00104020" w:rsidRPr="008F5592">
        <w:rPr>
          <w:rFonts w:ascii="Times New Roman" w:hAnsi="Times New Roman" w:cs="Times New Roman"/>
          <w:sz w:val="28"/>
          <w:szCs w:val="28"/>
        </w:rPr>
        <w:t>enforced</w:t>
      </w:r>
      <w:r w:rsidR="008D7270" w:rsidRPr="008F5592">
        <w:rPr>
          <w:rFonts w:ascii="Times New Roman" w:hAnsi="Times New Roman" w:cs="Times New Roman"/>
          <w:sz w:val="28"/>
          <w:szCs w:val="28"/>
        </w:rPr>
        <w:t xml:space="preserve">, as my predecessor Vicky </w:t>
      </w:r>
      <w:proofErr w:type="spellStart"/>
      <w:r w:rsidR="008D7270" w:rsidRPr="008F5592">
        <w:rPr>
          <w:rFonts w:ascii="Times New Roman" w:hAnsi="Times New Roman" w:cs="Times New Roman"/>
          <w:sz w:val="28"/>
          <w:szCs w:val="28"/>
        </w:rPr>
        <w:t>Tauli</w:t>
      </w:r>
      <w:proofErr w:type="spellEnd"/>
      <w:r w:rsidR="008D7270" w:rsidRPr="008F5592">
        <w:rPr>
          <w:rFonts w:ascii="Times New Roman" w:hAnsi="Times New Roman" w:cs="Times New Roman"/>
          <w:sz w:val="28"/>
          <w:szCs w:val="28"/>
        </w:rPr>
        <w:t xml:space="preserve"> </w:t>
      </w:r>
      <w:proofErr w:type="spellStart"/>
      <w:r w:rsidR="008D7270" w:rsidRPr="008F5592">
        <w:rPr>
          <w:rFonts w:ascii="Times New Roman" w:hAnsi="Times New Roman" w:cs="Times New Roman"/>
          <w:sz w:val="28"/>
          <w:szCs w:val="28"/>
        </w:rPr>
        <w:t>Corpuz</w:t>
      </w:r>
      <w:proofErr w:type="spellEnd"/>
      <w:r w:rsidR="008D7270" w:rsidRPr="008F5592">
        <w:rPr>
          <w:rFonts w:ascii="Times New Roman" w:hAnsi="Times New Roman" w:cs="Times New Roman"/>
          <w:sz w:val="28"/>
          <w:szCs w:val="28"/>
        </w:rPr>
        <w:t xml:space="preserve"> noted,</w:t>
      </w:r>
      <w:r w:rsidR="004B7A95" w:rsidRPr="008F5592">
        <w:rPr>
          <w:rFonts w:ascii="Times New Roman" w:hAnsi="Times New Roman" w:cs="Times New Roman"/>
          <w:sz w:val="28"/>
          <w:szCs w:val="28"/>
        </w:rPr>
        <w:t xml:space="preserve"> “in accordance with their original spirit and intent and as understood by indigenous peoples, in the light of international human rights law pertaining to indigenous peoples, and in a way that strengthens their right to self-determination.”</w:t>
      </w:r>
      <w:r w:rsidR="004B7A95" w:rsidRPr="008F5592">
        <w:rPr>
          <w:rFonts w:ascii="Times New Roman" w:hAnsi="Times New Roman" w:cs="Times New Roman"/>
          <w:sz w:val="28"/>
          <w:szCs w:val="28"/>
          <w:vertAlign w:val="superscript"/>
        </w:rPr>
        <w:footnoteReference w:id="7"/>
      </w:r>
      <w:r w:rsidR="004B7A95" w:rsidRPr="008F5592">
        <w:rPr>
          <w:rFonts w:ascii="Times New Roman" w:hAnsi="Times New Roman" w:cs="Times New Roman"/>
          <w:sz w:val="28"/>
          <w:szCs w:val="28"/>
        </w:rPr>
        <w:t xml:space="preserve"> As States develop and interpret such legal schemes</w:t>
      </w:r>
      <w:r w:rsidR="002557A1" w:rsidRPr="008F5592">
        <w:rPr>
          <w:rFonts w:ascii="Times New Roman" w:hAnsi="Times New Roman" w:cs="Times New Roman"/>
          <w:sz w:val="28"/>
          <w:szCs w:val="28"/>
        </w:rPr>
        <w:t xml:space="preserve"> and constructive arrang</w:t>
      </w:r>
      <w:r w:rsidR="00104020" w:rsidRPr="008F5592">
        <w:rPr>
          <w:rFonts w:ascii="Times New Roman" w:hAnsi="Times New Roman" w:cs="Times New Roman"/>
          <w:sz w:val="28"/>
          <w:szCs w:val="28"/>
        </w:rPr>
        <w:t>e</w:t>
      </w:r>
      <w:r w:rsidR="002557A1" w:rsidRPr="008F5592">
        <w:rPr>
          <w:rFonts w:ascii="Times New Roman" w:hAnsi="Times New Roman" w:cs="Times New Roman"/>
          <w:sz w:val="28"/>
          <w:szCs w:val="28"/>
        </w:rPr>
        <w:t>ments</w:t>
      </w:r>
      <w:r w:rsidR="004B7A95" w:rsidRPr="008F5592">
        <w:rPr>
          <w:rFonts w:ascii="Times New Roman" w:hAnsi="Times New Roman" w:cs="Times New Roman"/>
          <w:sz w:val="28"/>
          <w:szCs w:val="28"/>
        </w:rPr>
        <w:t xml:space="preserve"> that impact indigenous peoples</w:t>
      </w:r>
      <w:r w:rsidR="00D35615" w:rsidRPr="008F5592">
        <w:rPr>
          <w:rFonts w:ascii="Times New Roman" w:hAnsi="Times New Roman" w:cs="Times New Roman"/>
          <w:sz w:val="28"/>
          <w:szCs w:val="28"/>
        </w:rPr>
        <w:t>’</w:t>
      </w:r>
      <w:r w:rsidR="00472579" w:rsidRPr="008F5592">
        <w:rPr>
          <w:rFonts w:ascii="Times New Roman" w:hAnsi="Times New Roman" w:cs="Times New Roman"/>
          <w:sz w:val="28"/>
          <w:szCs w:val="28"/>
        </w:rPr>
        <w:t xml:space="preserve"> rights</w:t>
      </w:r>
      <w:r w:rsidR="004B7A95" w:rsidRPr="008F5592">
        <w:rPr>
          <w:rFonts w:ascii="Times New Roman" w:hAnsi="Times New Roman" w:cs="Times New Roman"/>
          <w:sz w:val="28"/>
          <w:szCs w:val="28"/>
        </w:rPr>
        <w:t xml:space="preserve">, it is imperative that they do so with the free, prior, and informed consent of the impacted peoples. </w:t>
      </w:r>
    </w:p>
    <w:p w14:paraId="434C534A" w14:textId="2411832C" w:rsidR="001D38E9" w:rsidRPr="008F5592" w:rsidRDefault="001D38E9" w:rsidP="00D35615">
      <w:pPr>
        <w:ind w:firstLine="720"/>
        <w:rPr>
          <w:rFonts w:ascii="Times New Roman" w:hAnsi="Times New Roman" w:cs="Times New Roman"/>
          <w:sz w:val="28"/>
          <w:szCs w:val="28"/>
        </w:rPr>
      </w:pPr>
    </w:p>
    <w:p w14:paraId="00000008" w14:textId="4D061099" w:rsidR="00814732" w:rsidRPr="008F5592" w:rsidRDefault="004B7A95">
      <w:pPr>
        <w:ind w:firstLine="720"/>
        <w:rPr>
          <w:rFonts w:ascii="Times New Roman" w:hAnsi="Times New Roman" w:cs="Times New Roman"/>
          <w:sz w:val="28"/>
          <w:szCs w:val="28"/>
        </w:rPr>
      </w:pPr>
      <w:r w:rsidRPr="008F5592">
        <w:rPr>
          <w:rFonts w:ascii="Times New Roman" w:hAnsi="Times New Roman" w:cs="Times New Roman"/>
          <w:sz w:val="28"/>
          <w:szCs w:val="28"/>
        </w:rPr>
        <w:t xml:space="preserve">Many existing treaties, agreements, constructive arrangements, peace accords and reconciliation initiatives </w:t>
      </w:r>
      <w:r w:rsidR="001D38E9" w:rsidRPr="008F5592">
        <w:rPr>
          <w:rFonts w:ascii="Times New Roman" w:hAnsi="Times New Roman" w:cs="Times New Roman"/>
          <w:sz w:val="28"/>
          <w:szCs w:val="28"/>
        </w:rPr>
        <w:t>are not effectively implemented because they were</w:t>
      </w:r>
      <w:r w:rsidRPr="008F5592">
        <w:rPr>
          <w:rFonts w:ascii="Times New Roman" w:hAnsi="Times New Roman" w:cs="Times New Roman"/>
          <w:sz w:val="28"/>
          <w:szCs w:val="28"/>
        </w:rPr>
        <w:t xml:space="preserve"> drafted without the participation or free, prior and informed consent of indigenous peoples.</w:t>
      </w:r>
      <w:r w:rsidRPr="008F5592">
        <w:rPr>
          <w:rFonts w:ascii="Times New Roman" w:hAnsi="Times New Roman" w:cs="Times New Roman"/>
          <w:sz w:val="28"/>
          <w:szCs w:val="28"/>
          <w:vertAlign w:val="superscript"/>
        </w:rPr>
        <w:footnoteReference w:id="8"/>
      </w:r>
      <w:r w:rsidRPr="008F5592">
        <w:rPr>
          <w:rFonts w:ascii="Times New Roman" w:hAnsi="Times New Roman" w:cs="Times New Roman"/>
          <w:sz w:val="28"/>
          <w:szCs w:val="28"/>
        </w:rPr>
        <w:t xml:space="preserve"> Even those agreements between States and indigenous peoples that can be said to have been entered into willingly by all parties </w:t>
      </w:r>
      <w:r w:rsidR="00767DE0" w:rsidRPr="008F5592">
        <w:rPr>
          <w:rFonts w:ascii="Times New Roman" w:hAnsi="Times New Roman" w:cs="Times New Roman"/>
          <w:sz w:val="28"/>
          <w:szCs w:val="28"/>
        </w:rPr>
        <w:t xml:space="preserve">involved, </w:t>
      </w:r>
      <w:r w:rsidRPr="008F5592">
        <w:rPr>
          <w:rFonts w:ascii="Times New Roman" w:hAnsi="Times New Roman" w:cs="Times New Roman"/>
          <w:sz w:val="28"/>
          <w:szCs w:val="28"/>
        </w:rPr>
        <w:t>often are not fully implemented, or are narrowly interpreted by States.</w:t>
      </w:r>
      <w:r w:rsidRPr="008F5592">
        <w:rPr>
          <w:rFonts w:ascii="Times New Roman" w:hAnsi="Times New Roman" w:cs="Times New Roman"/>
          <w:sz w:val="28"/>
          <w:szCs w:val="28"/>
          <w:vertAlign w:val="superscript"/>
        </w:rPr>
        <w:footnoteReference w:id="9"/>
      </w:r>
      <w:r w:rsidRPr="008F5592">
        <w:rPr>
          <w:rFonts w:ascii="Times New Roman" w:hAnsi="Times New Roman" w:cs="Times New Roman"/>
          <w:sz w:val="28"/>
          <w:szCs w:val="28"/>
        </w:rPr>
        <w:t xml:space="preserve"> In many cases</w:t>
      </w:r>
      <w:r w:rsidR="00767DE0" w:rsidRPr="008F5592">
        <w:rPr>
          <w:rFonts w:ascii="Times New Roman" w:hAnsi="Times New Roman" w:cs="Times New Roman"/>
          <w:sz w:val="28"/>
          <w:szCs w:val="28"/>
        </w:rPr>
        <w:t>,</w:t>
      </w:r>
      <w:r w:rsidRPr="008F5592">
        <w:rPr>
          <w:rFonts w:ascii="Times New Roman" w:hAnsi="Times New Roman" w:cs="Times New Roman"/>
          <w:sz w:val="28"/>
          <w:szCs w:val="28"/>
        </w:rPr>
        <w:t xml:space="preserve"> the implementation of treaties and agreements has been defined unilaterally by States, leaving measures that are inconvenient or unpopular with States unimplemented. These state-imposed grants of “autonomy” tend to be fragmented and place barriers in the path to self-determination and true cooperation</w:t>
      </w:r>
      <w:r w:rsidR="001D38E9" w:rsidRPr="008F5592">
        <w:rPr>
          <w:rFonts w:ascii="Times New Roman" w:hAnsi="Times New Roman" w:cs="Times New Roman"/>
          <w:sz w:val="28"/>
          <w:szCs w:val="28"/>
        </w:rPr>
        <w:t>.</w:t>
      </w:r>
      <w:r w:rsidRPr="008F5592">
        <w:rPr>
          <w:rFonts w:ascii="Times New Roman" w:hAnsi="Times New Roman" w:cs="Times New Roman"/>
          <w:sz w:val="28"/>
          <w:szCs w:val="28"/>
        </w:rPr>
        <w:t xml:space="preserve"> </w:t>
      </w:r>
      <w:r w:rsidR="001F32A6" w:rsidRPr="008F5592">
        <w:rPr>
          <w:rFonts w:ascii="Times New Roman" w:hAnsi="Times New Roman" w:cs="Times New Roman"/>
          <w:sz w:val="28"/>
          <w:szCs w:val="28"/>
        </w:rPr>
        <w:t xml:space="preserve">In other cases, </w:t>
      </w:r>
      <w:r w:rsidR="00E705EC" w:rsidRPr="008F5592">
        <w:rPr>
          <w:rFonts w:ascii="Times New Roman" w:hAnsi="Times New Roman" w:cs="Times New Roman"/>
          <w:sz w:val="28"/>
          <w:szCs w:val="28"/>
        </w:rPr>
        <w:t>S</w:t>
      </w:r>
      <w:r w:rsidR="001F32A6" w:rsidRPr="008F5592">
        <w:rPr>
          <w:rFonts w:ascii="Times New Roman" w:hAnsi="Times New Roman" w:cs="Times New Roman"/>
          <w:sz w:val="28"/>
          <w:szCs w:val="28"/>
        </w:rPr>
        <w:t>tates and indig</w:t>
      </w:r>
      <w:r w:rsidR="009F4810" w:rsidRPr="008F5592">
        <w:rPr>
          <w:rFonts w:ascii="Times New Roman" w:hAnsi="Times New Roman" w:cs="Times New Roman"/>
          <w:sz w:val="28"/>
          <w:szCs w:val="28"/>
        </w:rPr>
        <w:t>enou</w:t>
      </w:r>
      <w:r w:rsidR="001F32A6" w:rsidRPr="008F5592">
        <w:rPr>
          <w:rFonts w:ascii="Times New Roman" w:hAnsi="Times New Roman" w:cs="Times New Roman"/>
          <w:sz w:val="28"/>
          <w:szCs w:val="28"/>
        </w:rPr>
        <w:t>s peoples have, over time, developed divergent views of what treaties mean in practice.</w:t>
      </w:r>
      <w:r w:rsidR="00D50E90" w:rsidRPr="008F5592">
        <w:rPr>
          <w:rFonts w:ascii="Times New Roman" w:hAnsi="Times New Roman" w:cs="Times New Roman"/>
          <w:sz w:val="28"/>
          <w:szCs w:val="28"/>
        </w:rPr>
        <w:t xml:space="preserve"> </w:t>
      </w:r>
      <w:r w:rsidR="003E62A1" w:rsidRPr="008F5592">
        <w:rPr>
          <w:rFonts w:ascii="Times New Roman" w:hAnsi="Times New Roman" w:cs="Times New Roman"/>
          <w:sz w:val="28"/>
          <w:szCs w:val="28"/>
        </w:rPr>
        <w:t xml:space="preserve">In some </w:t>
      </w:r>
      <w:r w:rsidR="002A504B">
        <w:rPr>
          <w:rFonts w:ascii="Times New Roman" w:hAnsi="Times New Roman" w:cs="Times New Roman"/>
          <w:sz w:val="28"/>
          <w:szCs w:val="28"/>
        </w:rPr>
        <w:t>S</w:t>
      </w:r>
      <w:r w:rsidR="003E62A1" w:rsidRPr="008F5592">
        <w:rPr>
          <w:rFonts w:ascii="Times New Roman" w:hAnsi="Times New Roman" w:cs="Times New Roman"/>
          <w:sz w:val="28"/>
          <w:szCs w:val="28"/>
        </w:rPr>
        <w:t xml:space="preserve">tates, the non-implementation of peace agreements has produced, among other consequences: the loss of control of land and resources for indigenous communities, increased violence due to the presence of paramilitary groups, illicit groups and settlers, the erosion of the power of traditional indigenous authorities, violence against indigenous women, </w:t>
      </w:r>
      <w:r w:rsidR="00153571">
        <w:rPr>
          <w:rFonts w:ascii="Times New Roman" w:hAnsi="Times New Roman" w:cs="Times New Roman"/>
          <w:sz w:val="28"/>
          <w:szCs w:val="28"/>
        </w:rPr>
        <w:t xml:space="preserve">and </w:t>
      </w:r>
      <w:r w:rsidR="003E62A1" w:rsidRPr="008F5592">
        <w:rPr>
          <w:rFonts w:ascii="Times New Roman" w:hAnsi="Times New Roman" w:cs="Times New Roman"/>
          <w:sz w:val="28"/>
          <w:szCs w:val="28"/>
        </w:rPr>
        <w:t xml:space="preserve">internal displacements. </w:t>
      </w:r>
    </w:p>
    <w:p w14:paraId="41B349CF" w14:textId="77777777" w:rsidR="00E81539" w:rsidRPr="008F5592" w:rsidRDefault="00E81539">
      <w:pPr>
        <w:ind w:firstLine="720"/>
        <w:rPr>
          <w:rFonts w:ascii="Times New Roman" w:hAnsi="Times New Roman" w:cs="Times New Roman"/>
          <w:sz w:val="28"/>
          <w:szCs w:val="28"/>
        </w:rPr>
      </w:pPr>
    </w:p>
    <w:p w14:paraId="00000009" w14:textId="271C8DA3" w:rsidR="00814732" w:rsidRPr="008F5592" w:rsidRDefault="004B7A95">
      <w:pPr>
        <w:ind w:firstLine="720"/>
        <w:rPr>
          <w:rFonts w:ascii="Times New Roman" w:hAnsi="Times New Roman" w:cs="Times New Roman"/>
          <w:sz w:val="28"/>
          <w:szCs w:val="28"/>
        </w:rPr>
      </w:pPr>
      <w:r w:rsidRPr="008F5592">
        <w:rPr>
          <w:rFonts w:ascii="Times New Roman" w:hAnsi="Times New Roman" w:cs="Times New Roman"/>
          <w:sz w:val="28"/>
          <w:szCs w:val="28"/>
        </w:rPr>
        <w:t xml:space="preserve">Where States have enacted legislation to </w:t>
      </w:r>
      <w:r w:rsidR="00767DE0" w:rsidRPr="008F5592">
        <w:rPr>
          <w:rFonts w:ascii="Times New Roman" w:hAnsi="Times New Roman" w:cs="Times New Roman"/>
          <w:sz w:val="28"/>
          <w:szCs w:val="28"/>
        </w:rPr>
        <w:t>formally recognize</w:t>
      </w:r>
      <w:r w:rsidRPr="008F5592">
        <w:rPr>
          <w:rFonts w:ascii="Times New Roman" w:hAnsi="Times New Roman" w:cs="Times New Roman"/>
          <w:sz w:val="28"/>
          <w:szCs w:val="28"/>
        </w:rPr>
        <w:t xml:space="preserve"> </w:t>
      </w:r>
      <w:r w:rsidR="00767DE0" w:rsidRPr="008F5592">
        <w:rPr>
          <w:rFonts w:ascii="Times New Roman" w:hAnsi="Times New Roman" w:cs="Times New Roman"/>
          <w:sz w:val="28"/>
          <w:szCs w:val="28"/>
        </w:rPr>
        <w:t xml:space="preserve">indigenous peoples’ </w:t>
      </w:r>
      <w:r w:rsidRPr="008F5592">
        <w:rPr>
          <w:rFonts w:ascii="Times New Roman" w:hAnsi="Times New Roman" w:cs="Times New Roman"/>
          <w:sz w:val="28"/>
          <w:szCs w:val="28"/>
        </w:rPr>
        <w:t xml:space="preserve">autonomy, </w:t>
      </w:r>
      <w:r w:rsidR="001D38E9" w:rsidRPr="008F5592">
        <w:rPr>
          <w:rFonts w:ascii="Times New Roman" w:hAnsi="Times New Roman" w:cs="Times New Roman"/>
          <w:sz w:val="28"/>
          <w:szCs w:val="28"/>
        </w:rPr>
        <w:t xml:space="preserve">self-government or </w:t>
      </w:r>
      <w:r w:rsidRPr="008F5592">
        <w:rPr>
          <w:rFonts w:ascii="Times New Roman" w:hAnsi="Times New Roman" w:cs="Times New Roman"/>
          <w:sz w:val="28"/>
          <w:szCs w:val="28"/>
        </w:rPr>
        <w:t xml:space="preserve">land </w:t>
      </w:r>
      <w:r w:rsidR="001D38E9" w:rsidRPr="008F5592">
        <w:rPr>
          <w:rFonts w:ascii="Times New Roman" w:hAnsi="Times New Roman" w:cs="Times New Roman"/>
          <w:sz w:val="28"/>
          <w:szCs w:val="28"/>
        </w:rPr>
        <w:t xml:space="preserve">and resource </w:t>
      </w:r>
      <w:r w:rsidRPr="008F5592">
        <w:rPr>
          <w:rFonts w:ascii="Times New Roman" w:hAnsi="Times New Roman" w:cs="Times New Roman"/>
          <w:sz w:val="28"/>
          <w:szCs w:val="28"/>
        </w:rPr>
        <w:t xml:space="preserve">rights, </w:t>
      </w:r>
      <w:r w:rsidR="00DC0859" w:rsidRPr="008F5592">
        <w:rPr>
          <w:rFonts w:ascii="Times New Roman" w:hAnsi="Times New Roman" w:cs="Times New Roman"/>
          <w:sz w:val="28"/>
          <w:szCs w:val="28"/>
        </w:rPr>
        <w:t xml:space="preserve">there is </w:t>
      </w:r>
      <w:r w:rsidR="00767DE0" w:rsidRPr="008F5592">
        <w:rPr>
          <w:rFonts w:ascii="Times New Roman" w:hAnsi="Times New Roman" w:cs="Times New Roman"/>
          <w:sz w:val="28"/>
          <w:szCs w:val="28"/>
        </w:rPr>
        <w:t>often</w:t>
      </w:r>
      <w:r w:rsidR="00DC0859" w:rsidRPr="008F5592">
        <w:rPr>
          <w:rFonts w:ascii="Times New Roman" w:hAnsi="Times New Roman" w:cs="Times New Roman"/>
          <w:sz w:val="28"/>
          <w:szCs w:val="28"/>
        </w:rPr>
        <w:t xml:space="preserve"> a</w:t>
      </w:r>
      <w:r w:rsidRPr="008F5592">
        <w:rPr>
          <w:rFonts w:ascii="Times New Roman" w:hAnsi="Times New Roman" w:cs="Times New Roman"/>
          <w:sz w:val="28"/>
          <w:szCs w:val="28"/>
        </w:rPr>
        <w:t xml:space="preserve"> lack</w:t>
      </w:r>
      <w:r w:rsidR="00DC0859" w:rsidRPr="008F5592">
        <w:rPr>
          <w:rFonts w:ascii="Times New Roman" w:hAnsi="Times New Roman" w:cs="Times New Roman"/>
          <w:sz w:val="28"/>
          <w:szCs w:val="28"/>
        </w:rPr>
        <w:t xml:space="preserve"> of</w:t>
      </w:r>
      <w:r w:rsidRPr="008F5592">
        <w:rPr>
          <w:rFonts w:ascii="Times New Roman" w:hAnsi="Times New Roman" w:cs="Times New Roman"/>
          <w:sz w:val="28"/>
          <w:szCs w:val="28"/>
        </w:rPr>
        <w:t xml:space="preserve"> effective mechanisms </w:t>
      </w:r>
      <w:r w:rsidR="00767DE0" w:rsidRPr="008F5592">
        <w:rPr>
          <w:rFonts w:ascii="Times New Roman" w:hAnsi="Times New Roman" w:cs="Times New Roman"/>
          <w:sz w:val="28"/>
          <w:szCs w:val="28"/>
        </w:rPr>
        <w:t>for</w:t>
      </w:r>
      <w:r w:rsidRPr="008F5592">
        <w:rPr>
          <w:rFonts w:ascii="Times New Roman" w:hAnsi="Times New Roman" w:cs="Times New Roman"/>
          <w:sz w:val="28"/>
          <w:szCs w:val="28"/>
        </w:rPr>
        <w:t xml:space="preserve"> monitor</w:t>
      </w:r>
      <w:r w:rsidR="00767DE0" w:rsidRPr="008F5592">
        <w:rPr>
          <w:rFonts w:ascii="Times New Roman" w:hAnsi="Times New Roman" w:cs="Times New Roman"/>
          <w:sz w:val="28"/>
          <w:szCs w:val="28"/>
        </w:rPr>
        <w:t xml:space="preserve">ing and </w:t>
      </w:r>
      <w:r w:rsidRPr="008F5592">
        <w:rPr>
          <w:rFonts w:ascii="Times New Roman" w:hAnsi="Times New Roman" w:cs="Times New Roman"/>
          <w:sz w:val="28"/>
          <w:szCs w:val="28"/>
        </w:rPr>
        <w:t>enforce</w:t>
      </w:r>
      <w:r w:rsidR="00767DE0" w:rsidRPr="008F5592">
        <w:rPr>
          <w:rFonts w:ascii="Times New Roman" w:hAnsi="Times New Roman" w:cs="Times New Roman"/>
          <w:sz w:val="28"/>
          <w:szCs w:val="28"/>
        </w:rPr>
        <w:t>ment</w:t>
      </w:r>
      <w:r w:rsidRPr="008F5592">
        <w:rPr>
          <w:rFonts w:ascii="Times New Roman" w:hAnsi="Times New Roman" w:cs="Times New Roman"/>
          <w:sz w:val="28"/>
          <w:szCs w:val="28"/>
        </w:rPr>
        <w:t xml:space="preserve">, leaving indigenous peoples no better off than </w:t>
      </w:r>
      <w:r w:rsidR="001D38E9" w:rsidRPr="008F5592">
        <w:rPr>
          <w:rFonts w:ascii="Times New Roman" w:hAnsi="Times New Roman" w:cs="Times New Roman"/>
          <w:sz w:val="28"/>
          <w:szCs w:val="28"/>
        </w:rPr>
        <w:t>before</w:t>
      </w:r>
      <w:r w:rsidRPr="008F5592">
        <w:rPr>
          <w:rFonts w:ascii="Times New Roman" w:hAnsi="Times New Roman" w:cs="Times New Roman"/>
          <w:sz w:val="28"/>
          <w:szCs w:val="28"/>
        </w:rPr>
        <w:t xml:space="preserve"> the</w:t>
      </w:r>
      <w:r w:rsidR="001D38E9" w:rsidRPr="008F5592">
        <w:rPr>
          <w:rFonts w:ascii="Times New Roman" w:hAnsi="Times New Roman" w:cs="Times New Roman"/>
          <w:sz w:val="28"/>
          <w:szCs w:val="28"/>
        </w:rPr>
        <w:t>ir</w:t>
      </w:r>
      <w:r w:rsidRPr="008F5592">
        <w:rPr>
          <w:rFonts w:ascii="Times New Roman" w:hAnsi="Times New Roman" w:cs="Times New Roman"/>
          <w:sz w:val="28"/>
          <w:szCs w:val="28"/>
        </w:rPr>
        <w:t xml:space="preserve"> rights were legally recognized.</w:t>
      </w:r>
      <w:r w:rsidRPr="008F5592">
        <w:rPr>
          <w:rFonts w:ascii="Times New Roman" w:hAnsi="Times New Roman" w:cs="Times New Roman"/>
          <w:sz w:val="28"/>
          <w:szCs w:val="28"/>
          <w:vertAlign w:val="superscript"/>
        </w:rPr>
        <w:footnoteReference w:id="10"/>
      </w:r>
      <w:r w:rsidRPr="008F5592">
        <w:rPr>
          <w:rFonts w:ascii="Times New Roman" w:hAnsi="Times New Roman" w:cs="Times New Roman"/>
          <w:sz w:val="28"/>
          <w:szCs w:val="28"/>
        </w:rPr>
        <w:t xml:space="preserve"> States must make good faith efforts to create legislation with the participation of indigenous peoples that guarantees their rights, and then follow those efforts up with effective enforcement mechanisms. </w:t>
      </w:r>
    </w:p>
    <w:p w14:paraId="0D725AE5" w14:textId="77777777" w:rsidR="008A77F8" w:rsidRPr="008F5592" w:rsidRDefault="008A77F8">
      <w:pPr>
        <w:ind w:firstLine="720"/>
        <w:rPr>
          <w:rFonts w:ascii="Times New Roman" w:hAnsi="Times New Roman" w:cs="Times New Roman"/>
          <w:sz w:val="28"/>
          <w:szCs w:val="28"/>
        </w:rPr>
      </w:pPr>
    </w:p>
    <w:p w14:paraId="0000000A" w14:textId="75283742" w:rsidR="00814732" w:rsidRPr="008F5592" w:rsidRDefault="004B7A95" w:rsidP="00426D6E">
      <w:pPr>
        <w:ind w:firstLine="720"/>
        <w:rPr>
          <w:rFonts w:ascii="Times New Roman" w:hAnsi="Times New Roman" w:cs="Times New Roman"/>
          <w:sz w:val="28"/>
          <w:szCs w:val="28"/>
        </w:rPr>
      </w:pPr>
      <w:r w:rsidRPr="008F5592">
        <w:rPr>
          <w:rFonts w:ascii="Times New Roman" w:hAnsi="Times New Roman" w:cs="Times New Roman"/>
          <w:sz w:val="28"/>
          <w:szCs w:val="28"/>
        </w:rPr>
        <w:t>Where rights to lands and resources are not fully realized</w:t>
      </w:r>
      <w:r w:rsidR="009E4E86" w:rsidRPr="008F5592">
        <w:rPr>
          <w:rFonts w:ascii="Times New Roman" w:hAnsi="Times New Roman" w:cs="Times New Roman"/>
          <w:sz w:val="28"/>
          <w:szCs w:val="28"/>
        </w:rPr>
        <w:t xml:space="preserve"> and legally recognized</w:t>
      </w:r>
      <w:r w:rsidRPr="008F5592">
        <w:rPr>
          <w:rFonts w:ascii="Times New Roman" w:hAnsi="Times New Roman" w:cs="Times New Roman"/>
          <w:sz w:val="28"/>
          <w:szCs w:val="28"/>
        </w:rPr>
        <w:t xml:space="preserve">, </w:t>
      </w:r>
      <w:r w:rsidR="00722283" w:rsidRPr="008F5592">
        <w:rPr>
          <w:rFonts w:ascii="Times New Roman" w:hAnsi="Times New Roman" w:cs="Times New Roman"/>
          <w:sz w:val="28"/>
          <w:szCs w:val="28"/>
        </w:rPr>
        <w:t>indigenous peoples</w:t>
      </w:r>
      <w:r w:rsidRPr="008F5592">
        <w:rPr>
          <w:rFonts w:ascii="Times New Roman" w:hAnsi="Times New Roman" w:cs="Times New Roman"/>
          <w:sz w:val="28"/>
          <w:szCs w:val="28"/>
        </w:rPr>
        <w:t xml:space="preserve"> are left economically disadvantaged and financially dependent on state support </w:t>
      </w:r>
      <w:r w:rsidR="002B10AD" w:rsidRPr="008F5592">
        <w:rPr>
          <w:rFonts w:ascii="Times New Roman" w:hAnsi="Times New Roman" w:cs="Times New Roman"/>
          <w:sz w:val="28"/>
          <w:szCs w:val="28"/>
        </w:rPr>
        <w:t xml:space="preserve">to fund their </w:t>
      </w:r>
      <w:r w:rsidRPr="008F5592">
        <w:rPr>
          <w:rFonts w:ascii="Times New Roman" w:hAnsi="Times New Roman" w:cs="Times New Roman"/>
          <w:sz w:val="28"/>
          <w:szCs w:val="28"/>
        </w:rPr>
        <w:t>institutions. In some cases</w:t>
      </w:r>
      <w:r w:rsidR="00767DE0" w:rsidRPr="008F5592">
        <w:rPr>
          <w:rFonts w:ascii="Times New Roman" w:hAnsi="Times New Roman" w:cs="Times New Roman"/>
          <w:sz w:val="28"/>
          <w:szCs w:val="28"/>
        </w:rPr>
        <w:t>,</w:t>
      </w:r>
      <w:r w:rsidRPr="008F5592">
        <w:rPr>
          <w:rFonts w:ascii="Times New Roman" w:hAnsi="Times New Roman" w:cs="Times New Roman"/>
          <w:sz w:val="28"/>
          <w:szCs w:val="28"/>
        </w:rPr>
        <w:t xml:space="preserve"> State</w:t>
      </w:r>
      <w:r w:rsidR="00E20119" w:rsidRPr="008F5592">
        <w:rPr>
          <w:rFonts w:ascii="Times New Roman" w:hAnsi="Times New Roman" w:cs="Times New Roman"/>
          <w:sz w:val="28"/>
          <w:szCs w:val="28"/>
        </w:rPr>
        <w:t>s</w:t>
      </w:r>
      <w:r w:rsidRPr="008F5592">
        <w:rPr>
          <w:rFonts w:ascii="Times New Roman" w:hAnsi="Times New Roman" w:cs="Times New Roman"/>
          <w:sz w:val="28"/>
          <w:szCs w:val="28"/>
        </w:rPr>
        <w:t xml:space="preserve"> ha</w:t>
      </w:r>
      <w:r w:rsidR="00E20119" w:rsidRPr="008F5592">
        <w:rPr>
          <w:rFonts w:ascii="Times New Roman" w:hAnsi="Times New Roman" w:cs="Times New Roman"/>
          <w:sz w:val="28"/>
          <w:szCs w:val="28"/>
        </w:rPr>
        <w:t>ve</w:t>
      </w:r>
      <w:r w:rsidRPr="008F5592">
        <w:rPr>
          <w:rFonts w:ascii="Times New Roman" w:hAnsi="Times New Roman" w:cs="Times New Roman"/>
          <w:sz w:val="28"/>
          <w:szCs w:val="28"/>
        </w:rPr>
        <w:t xml:space="preserve"> delegated allocation of funds for indigenous peoples to local authorities, who place conditions on their receipt. In other situations, States have taken advantage of their </w:t>
      </w:r>
      <w:r w:rsidR="009E4E86" w:rsidRPr="008F5592">
        <w:rPr>
          <w:rFonts w:ascii="Times New Roman" w:hAnsi="Times New Roman" w:cs="Times New Roman"/>
          <w:sz w:val="28"/>
          <w:szCs w:val="28"/>
        </w:rPr>
        <w:t>power</w:t>
      </w:r>
      <w:r w:rsidRPr="008F5592">
        <w:rPr>
          <w:rFonts w:ascii="Times New Roman" w:hAnsi="Times New Roman" w:cs="Times New Roman"/>
          <w:sz w:val="28"/>
          <w:szCs w:val="28"/>
        </w:rPr>
        <w:t xml:space="preserve"> to set up constructive arrangements that require indigenous peoples to surrender one right </w:t>
      </w:r>
      <w:r w:rsidR="009E4E86" w:rsidRPr="008F5592">
        <w:rPr>
          <w:rFonts w:ascii="Times New Roman" w:hAnsi="Times New Roman" w:cs="Times New Roman"/>
          <w:sz w:val="28"/>
          <w:szCs w:val="28"/>
        </w:rPr>
        <w:t>– such as land exting</w:t>
      </w:r>
      <w:r w:rsidR="00CB622B" w:rsidRPr="008F5592">
        <w:rPr>
          <w:rFonts w:ascii="Times New Roman" w:hAnsi="Times New Roman" w:cs="Times New Roman"/>
          <w:sz w:val="28"/>
          <w:szCs w:val="28"/>
        </w:rPr>
        <w:t>u</w:t>
      </w:r>
      <w:r w:rsidR="009E4E86" w:rsidRPr="008F5592">
        <w:rPr>
          <w:rFonts w:ascii="Times New Roman" w:hAnsi="Times New Roman" w:cs="Times New Roman"/>
          <w:sz w:val="28"/>
          <w:szCs w:val="28"/>
        </w:rPr>
        <w:t>ishment</w:t>
      </w:r>
      <w:r w:rsidR="00FA5DAC" w:rsidRPr="008F5592">
        <w:rPr>
          <w:rStyle w:val="FootnoteReference"/>
          <w:rFonts w:ascii="Times New Roman" w:hAnsi="Times New Roman" w:cs="Times New Roman"/>
          <w:sz w:val="28"/>
          <w:szCs w:val="28"/>
        </w:rPr>
        <w:footnoteReference w:id="11"/>
      </w:r>
      <w:r w:rsidR="009E4E86" w:rsidRPr="008F5592">
        <w:rPr>
          <w:rFonts w:ascii="Times New Roman" w:hAnsi="Times New Roman" w:cs="Times New Roman"/>
          <w:sz w:val="28"/>
          <w:szCs w:val="28"/>
        </w:rPr>
        <w:t xml:space="preserve">- </w:t>
      </w:r>
      <w:r w:rsidR="008F5592" w:rsidRPr="008F5592">
        <w:rPr>
          <w:rFonts w:ascii="Times New Roman" w:hAnsi="Times New Roman" w:cs="Times New Roman"/>
          <w:sz w:val="28"/>
          <w:szCs w:val="28"/>
        </w:rPr>
        <w:t>to</w:t>
      </w:r>
      <w:r w:rsidRPr="008F5592">
        <w:rPr>
          <w:rFonts w:ascii="Times New Roman" w:hAnsi="Times New Roman" w:cs="Times New Roman"/>
          <w:sz w:val="28"/>
          <w:szCs w:val="28"/>
        </w:rPr>
        <w:t xml:space="preserve"> ensure another. This is a significant hurdle to constructive dialogue. Conditioning funds or rights is a tool of assimilation </w:t>
      </w:r>
      <w:r w:rsidR="003131DF" w:rsidRPr="008F5592">
        <w:rPr>
          <w:rFonts w:ascii="Times New Roman" w:hAnsi="Times New Roman" w:cs="Times New Roman"/>
          <w:sz w:val="28"/>
          <w:szCs w:val="28"/>
        </w:rPr>
        <w:t>that</w:t>
      </w:r>
      <w:r w:rsidRPr="008F5592">
        <w:rPr>
          <w:rFonts w:ascii="Times New Roman" w:hAnsi="Times New Roman" w:cs="Times New Roman"/>
          <w:sz w:val="28"/>
          <w:szCs w:val="28"/>
        </w:rPr>
        <w:t xml:space="preserve"> c</w:t>
      </w:r>
      <w:r w:rsidR="00322023" w:rsidRPr="008F5592">
        <w:rPr>
          <w:rFonts w:ascii="Times New Roman" w:hAnsi="Times New Roman" w:cs="Times New Roman"/>
          <w:sz w:val="28"/>
          <w:szCs w:val="28"/>
        </w:rPr>
        <w:t>an</w:t>
      </w:r>
      <w:r w:rsidRPr="008F5592">
        <w:rPr>
          <w:rFonts w:ascii="Times New Roman" w:hAnsi="Times New Roman" w:cs="Times New Roman"/>
          <w:sz w:val="28"/>
          <w:szCs w:val="28"/>
        </w:rPr>
        <w:t xml:space="preserve"> </w:t>
      </w:r>
      <w:r w:rsidR="004C68A4" w:rsidRPr="008F5592">
        <w:rPr>
          <w:rFonts w:ascii="Times New Roman" w:hAnsi="Times New Roman" w:cs="Times New Roman"/>
          <w:sz w:val="28"/>
          <w:szCs w:val="28"/>
        </w:rPr>
        <w:t>dismantle</w:t>
      </w:r>
      <w:r w:rsidRPr="008F5592">
        <w:rPr>
          <w:rFonts w:ascii="Times New Roman" w:hAnsi="Times New Roman" w:cs="Times New Roman"/>
          <w:sz w:val="28"/>
          <w:szCs w:val="28"/>
        </w:rPr>
        <w:t xml:space="preserve"> trust between indigenous peoples and States.</w:t>
      </w:r>
      <w:r w:rsidR="00035DE7" w:rsidRPr="008F5592">
        <w:rPr>
          <w:rStyle w:val="FootnoteReference"/>
          <w:rFonts w:ascii="Times New Roman" w:hAnsi="Times New Roman" w:cs="Times New Roman"/>
          <w:sz w:val="28"/>
          <w:szCs w:val="28"/>
        </w:rPr>
        <w:footnoteReference w:id="12"/>
      </w:r>
      <w:r w:rsidR="00AE6B53" w:rsidRPr="008F5592">
        <w:rPr>
          <w:rFonts w:ascii="Times New Roman" w:hAnsi="Times New Roman" w:cs="Times New Roman"/>
          <w:sz w:val="28"/>
          <w:szCs w:val="28"/>
        </w:rPr>
        <w:t xml:space="preserve"> </w:t>
      </w:r>
      <w:r w:rsidR="00EC7AA6" w:rsidRPr="008F5592">
        <w:rPr>
          <w:rFonts w:ascii="Times New Roman" w:hAnsi="Times New Roman" w:cs="Times New Roman"/>
          <w:sz w:val="28"/>
          <w:szCs w:val="28"/>
        </w:rPr>
        <w:t>True c</w:t>
      </w:r>
      <w:r w:rsidR="00AE6B53" w:rsidRPr="008F5592">
        <w:rPr>
          <w:rFonts w:ascii="Times New Roman" w:hAnsi="Times New Roman" w:cs="Times New Roman"/>
          <w:sz w:val="28"/>
          <w:szCs w:val="28"/>
        </w:rPr>
        <w:t>ooperation cannot be realized where a people remain subject to exploitation.</w:t>
      </w:r>
      <w:r w:rsidR="00AE6B53" w:rsidRPr="008F5592">
        <w:rPr>
          <w:rFonts w:ascii="Times New Roman" w:hAnsi="Times New Roman" w:cs="Times New Roman"/>
          <w:sz w:val="28"/>
          <w:szCs w:val="28"/>
          <w:vertAlign w:val="superscript"/>
        </w:rPr>
        <w:footnoteReference w:id="13"/>
      </w:r>
      <w:r w:rsidR="00AE6B53" w:rsidRPr="008F5592">
        <w:rPr>
          <w:rFonts w:ascii="Times New Roman" w:hAnsi="Times New Roman" w:cs="Times New Roman"/>
          <w:i/>
          <w:sz w:val="28"/>
          <w:szCs w:val="28"/>
        </w:rPr>
        <w:t xml:space="preserve"> </w:t>
      </w:r>
      <w:r w:rsidR="00AE6B53" w:rsidRPr="008F5592">
        <w:rPr>
          <w:rFonts w:ascii="Times New Roman" w:hAnsi="Times New Roman" w:cs="Times New Roman"/>
          <w:sz w:val="28"/>
          <w:szCs w:val="28"/>
        </w:rPr>
        <w:t>Stat</w:t>
      </w:r>
      <w:r w:rsidR="002A504B">
        <w:rPr>
          <w:rFonts w:ascii="Times New Roman" w:hAnsi="Times New Roman" w:cs="Times New Roman"/>
          <w:sz w:val="28"/>
          <w:szCs w:val="28"/>
        </w:rPr>
        <w:t>e</w:t>
      </w:r>
      <w:r w:rsidR="00AE6B53" w:rsidRPr="008F5592">
        <w:rPr>
          <w:rFonts w:ascii="Times New Roman" w:hAnsi="Times New Roman" w:cs="Times New Roman"/>
          <w:sz w:val="28"/>
          <w:szCs w:val="28"/>
        </w:rPr>
        <w:t xml:space="preserve"> efforts to reduce power imbalance</w:t>
      </w:r>
      <w:r w:rsidR="002A504B">
        <w:rPr>
          <w:rFonts w:ascii="Times New Roman" w:hAnsi="Times New Roman" w:cs="Times New Roman"/>
          <w:sz w:val="28"/>
          <w:szCs w:val="28"/>
        </w:rPr>
        <w:t>s,</w:t>
      </w:r>
      <w:r w:rsidR="00AE6B53" w:rsidRPr="008F5592">
        <w:rPr>
          <w:rFonts w:ascii="Times New Roman" w:hAnsi="Times New Roman" w:cs="Times New Roman"/>
          <w:sz w:val="28"/>
          <w:szCs w:val="28"/>
        </w:rPr>
        <w:t xml:space="preserve"> in dialogue with indigenous peoples</w:t>
      </w:r>
      <w:r w:rsidR="002A504B">
        <w:rPr>
          <w:rFonts w:ascii="Times New Roman" w:hAnsi="Times New Roman" w:cs="Times New Roman"/>
          <w:sz w:val="28"/>
          <w:szCs w:val="28"/>
        </w:rPr>
        <w:t>,</w:t>
      </w:r>
      <w:r w:rsidR="00AE6B53" w:rsidRPr="008F5592">
        <w:rPr>
          <w:rFonts w:ascii="Times New Roman" w:hAnsi="Times New Roman" w:cs="Times New Roman"/>
          <w:sz w:val="28"/>
          <w:szCs w:val="28"/>
        </w:rPr>
        <w:t xml:space="preserve"> will bring greater legitimacy to their negotiations. In order to do so, States must ensure that indigenous peoples </w:t>
      </w:r>
      <w:r w:rsidR="00035DE7" w:rsidRPr="008F5592">
        <w:rPr>
          <w:rFonts w:ascii="Times New Roman" w:hAnsi="Times New Roman" w:cs="Times New Roman"/>
          <w:sz w:val="28"/>
          <w:szCs w:val="28"/>
        </w:rPr>
        <w:t>“</w:t>
      </w:r>
      <w:r w:rsidR="00AE6B53" w:rsidRPr="008F5592">
        <w:rPr>
          <w:rFonts w:ascii="Times New Roman" w:hAnsi="Times New Roman" w:cs="Times New Roman"/>
          <w:sz w:val="28"/>
          <w:szCs w:val="28"/>
        </w:rPr>
        <w:t>have the financial, technical and other assistance they need</w:t>
      </w:r>
      <w:r w:rsidR="00035DE7" w:rsidRPr="008F5592">
        <w:rPr>
          <w:rFonts w:ascii="Times New Roman" w:hAnsi="Times New Roman" w:cs="Times New Roman"/>
          <w:sz w:val="28"/>
          <w:szCs w:val="28"/>
        </w:rPr>
        <w:t>”</w:t>
      </w:r>
      <w:r w:rsidR="00AE6B53" w:rsidRPr="008F5592">
        <w:rPr>
          <w:rFonts w:ascii="Times New Roman" w:hAnsi="Times New Roman" w:cs="Times New Roman"/>
          <w:sz w:val="28"/>
          <w:szCs w:val="28"/>
        </w:rPr>
        <w:t xml:space="preserve"> to participate in meaningful consultation </w:t>
      </w:r>
      <w:r w:rsidR="00035DE7" w:rsidRPr="008F5592">
        <w:rPr>
          <w:rFonts w:ascii="Times New Roman" w:hAnsi="Times New Roman" w:cs="Times New Roman"/>
          <w:sz w:val="28"/>
          <w:szCs w:val="28"/>
        </w:rPr>
        <w:t>“</w:t>
      </w:r>
      <w:r w:rsidR="00AE6B53" w:rsidRPr="008F5592">
        <w:rPr>
          <w:rFonts w:ascii="Times New Roman" w:hAnsi="Times New Roman" w:cs="Times New Roman"/>
          <w:sz w:val="28"/>
          <w:szCs w:val="28"/>
        </w:rPr>
        <w:t>without using such assistance to leverage or influence indigenous positions.</w:t>
      </w:r>
      <w:r w:rsidR="00035DE7" w:rsidRPr="008F5592">
        <w:rPr>
          <w:rFonts w:ascii="Times New Roman" w:hAnsi="Times New Roman" w:cs="Times New Roman"/>
          <w:sz w:val="28"/>
          <w:szCs w:val="28"/>
        </w:rPr>
        <w:t>”</w:t>
      </w:r>
      <w:r w:rsidR="00EC7AA6" w:rsidRPr="008F5592">
        <w:rPr>
          <w:rStyle w:val="FootnoteReference"/>
          <w:rFonts w:ascii="Times New Roman" w:hAnsi="Times New Roman" w:cs="Times New Roman"/>
          <w:sz w:val="28"/>
          <w:szCs w:val="28"/>
        </w:rPr>
        <w:footnoteReference w:id="14"/>
      </w:r>
      <w:r w:rsidR="00AE6B53" w:rsidRPr="008F5592">
        <w:rPr>
          <w:rFonts w:ascii="Times New Roman" w:hAnsi="Times New Roman" w:cs="Times New Roman"/>
          <w:sz w:val="28"/>
          <w:szCs w:val="28"/>
        </w:rPr>
        <w:t xml:space="preserve"> State institutions responsible for the design, implementation, and monitoring of agreements must be established in consultation with indigenous peoples and must be effective, accountable, culturally sensitive and inclusive.</w:t>
      </w:r>
      <w:r w:rsidR="00AE6B53" w:rsidRPr="008F5592">
        <w:rPr>
          <w:rFonts w:ascii="Times New Roman" w:hAnsi="Times New Roman" w:cs="Times New Roman"/>
          <w:sz w:val="28"/>
          <w:szCs w:val="28"/>
          <w:vertAlign w:val="superscript"/>
        </w:rPr>
        <w:footnoteReference w:id="15"/>
      </w:r>
      <w:r w:rsidR="00AE6B53" w:rsidRPr="008F5592">
        <w:rPr>
          <w:rFonts w:ascii="Times New Roman" w:hAnsi="Times New Roman" w:cs="Times New Roman"/>
          <w:sz w:val="28"/>
          <w:szCs w:val="28"/>
        </w:rPr>
        <w:t xml:space="preserve">  Barriers to enforcement of indigenous rights through </w:t>
      </w:r>
      <w:r w:rsidR="00AE6B53" w:rsidRPr="008F5592">
        <w:rPr>
          <w:rFonts w:ascii="Times New Roman" w:hAnsi="Times New Roman" w:cs="Times New Roman"/>
          <w:i/>
          <w:iCs/>
          <w:sz w:val="28"/>
          <w:szCs w:val="28"/>
        </w:rPr>
        <w:t>de jure</w:t>
      </w:r>
      <w:r w:rsidR="00AE6B53" w:rsidRPr="008F5592">
        <w:rPr>
          <w:rFonts w:ascii="Times New Roman" w:hAnsi="Times New Roman" w:cs="Times New Roman"/>
          <w:sz w:val="28"/>
          <w:szCs w:val="28"/>
        </w:rPr>
        <w:t xml:space="preserve"> and </w:t>
      </w:r>
      <w:r w:rsidR="00AE6B53" w:rsidRPr="008F5592">
        <w:rPr>
          <w:rFonts w:ascii="Times New Roman" w:hAnsi="Times New Roman" w:cs="Times New Roman"/>
          <w:i/>
          <w:iCs/>
          <w:sz w:val="28"/>
          <w:szCs w:val="28"/>
        </w:rPr>
        <w:t>de facto</w:t>
      </w:r>
      <w:r w:rsidR="00AE6B53" w:rsidRPr="008F5592">
        <w:rPr>
          <w:rFonts w:ascii="Times New Roman" w:hAnsi="Times New Roman" w:cs="Times New Roman"/>
          <w:sz w:val="28"/>
          <w:szCs w:val="28"/>
        </w:rPr>
        <w:t xml:space="preserve"> discrimination must be identified and removed. </w:t>
      </w:r>
    </w:p>
    <w:p w14:paraId="008D3620" w14:textId="665A9DC4" w:rsidR="00B3394E" w:rsidRPr="008F5592" w:rsidRDefault="00B3394E" w:rsidP="00F43993">
      <w:pPr>
        <w:rPr>
          <w:rFonts w:ascii="Times New Roman" w:hAnsi="Times New Roman" w:cs="Times New Roman"/>
          <w:sz w:val="28"/>
          <w:szCs w:val="28"/>
        </w:rPr>
      </w:pPr>
    </w:p>
    <w:p w14:paraId="44802061" w14:textId="2C654DDC" w:rsidR="009E4E86" w:rsidRPr="008F5592" w:rsidRDefault="009E4E86" w:rsidP="00ED5EA5">
      <w:pPr>
        <w:ind w:firstLine="720"/>
        <w:rPr>
          <w:rFonts w:ascii="Times New Roman" w:hAnsi="Times New Roman" w:cs="Times New Roman"/>
          <w:sz w:val="28"/>
          <w:szCs w:val="28"/>
        </w:rPr>
      </w:pPr>
      <w:r w:rsidRPr="008F5592">
        <w:rPr>
          <w:rFonts w:ascii="Times New Roman" w:hAnsi="Times New Roman" w:cs="Times New Roman"/>
          <w:sz w:val="28"/>
          <w:szCs w:val="28"/>
        </w:rPr>
        <w:t>Peace agreements</w:t>
      </w:r>
      <w:r w:rsidR="00ED5EA5" w:rsidRPr="008F5592">
        <w:rPr>
          <w:rFonts w:ascii="Times New Roman" w:hAnsi="Times New Roman" w:cs="Times New Roman"/>
          <w:sz w:val="28"/>
          <w:szCs w:val="28"/>
        </w:rPr>
        <w:t>, although they may be well intentioned,</w:t>
      </w:r>
      <w:r w:rsidRPr="008F5592">
        <w:rPr>
          <w:rFonts w:ascii="Times New Roman" w:hAnsi="Times New Roman" w:cs="Times New Roman"/>
          <w:sz w:val="28"/>
          <w:szCs w:val="28"/>
        </w:rPr>
        <w:t xml:space="preserve"> do not necessarily ensure full protection of indigenous peoples’ rights unless they are effectively implemented</w:t>
      </w:r>
      <w:r w:rsidR="00D75E66" w:rsidRPr="008F5592">
        <w:rPr>
          <w:rFonts w:ascii="Times New Roman" w:hAnsi="Times New Roman" w:cs="Times New Roman"/>
          <w:sz w:val="28"/>
          <w:szCs w:val="28"/>
        </w:rPr>
        <w:t xml:space="preserve"> through</w:t>
      </w:r>
      <w:r w:rsidRPr="008F5592">
        <w:rPr>
          <w:rFonts w:ascii="Times New Roman" w:hAnsi="Times New Roman" w:cs="Times New Roman"/>
          <w:sz w:val="28"/>
          <w:szCs w:val="28"/>
        </w:rPr>
        <w:t xml:space="preserve"> ongoing, good-faith consultation</w:t>
      </w:r>
      <w:r w:rsidR="00D75E66" w:rsidRPr="008F5592">
        <w:rPr>
          <w:rFonts w:ascii="Times New Roman" w:hAnsi="Times New Roman" w:cs="Times New Roman"/>
          <w:sz w:val="28"/>
          <w:szCs w:val="28"/>
        </w:rPr>
        <w:t>s</w:t>
      </w:r>
      <w:r w:rsidRPr="008F5592">
        <w:rPr>
          <w:rFonts w:ascii="Times New Roman" w:hAnsi="Times New Roman" w:cs="Times New Roman"/>
          <w:sz w:val="28"/>
          <w:szCs w:val="28"/>
        </w:rPr>
        <w:t xml:space="preserve">. </w:t>
      </w:r>
      <w:r w:rsidR="00ED5EA5" w:rsidRPr="008F5592">
        <w:rPr>
          <w:rFonts w:ascii="Times New Roman" w:hAnsi="Times New Roman" w:cs="Times New Roman"/>
          <w:sz w:val="28"/>
          <w:szCs w:val="28"/>
        </w:rPr>
        <w:t>Furthermore, r</w:t>
      </w:r>
      <w:r w:rsidRPr="008F5592">
        <w:rPr>
          <w:rFonts w:ascii="Times New Roman" w:hAnsi="Times New Roman" w:cs="Times New Roman"/>
          <w:sz w:val="28"/>
          <w:szCs w:val="28"/>
        </w:rPr>
        <w:t>econciliation initiatives seeking peace and healing between States and indigenous peoples</w:t>
      </w:r>
      <w:r w:rsidR="00ED5EA5" w:rsidRPr="008F5592">
        <w:rPr>
          <w:rFonts w:ascii="Times New Roman" w:hAnsi="Times New Roman" w:cs="Times New Roman"/>
          <w:sz w:val="28"/>
          <w:szCs w:val="28"/>
        </w:rPr>
        <w:t xml:space="preserve"> such as the Truth and Reconciliation process in Canada</w:t>
      </w:r>
      <w:r w:rsidRPr="008F5592">
        <w:rPr>
          <w:rFonts w:ascii="Times New Roman" w:hAnsi="Times New Roman" w:cs="Times New Roman"/>
          <w:sz w:val="28"/>
          <w:szCs w:val="28"/>
        </w:rPr>
        <w:t>, when undertaken in consultation with indigenous peoples, can help to advance the realization of rights contained in the Declaration and its spirit and intent.</w:t>
      </w:r>
      <w:r w:rsidRPr="008F5592">
        <w:rPr>
          <w:rFonts w:ascii="Times New Roman" w:hAnsi="Times New Roman" w:cs="Times New Roman"/>
          <w:sz w:val="28"/>
          <w:szCs w:val="28"/>
          <w:vertAlign w:val="superscript"/>
        </w:rPr>
        <w:footnoteReference w:id="16"/>
      </w:r>
      <w:r w:rsidRPr="008F5592">
        <w:rPr>
          <w:rFonts w:ascii="Times New Roman" w:hAnsi="Times New Roman" w:cs="Times New Roman"/>
          <w:sz w:val="28"/>
          <w:szCs w:val="28"/>
        </w:rPr>
        <w:t xml:space="preserve"> Constitutional recognition</w:t>
      </w:r>
      <w:r w:rsidR="00AA4079" w:rsidRPr="008F5592">
        <w:rPr>
          <w:rFonts w:ascii="Times New Roman" w:hAnsi="Times New Roman" w:cs="Times New Roman"/>
          <w:sz w:val="28"/>
          <w:szCs w:val="28"/>
        </w:rPr>
        <w:t xml:space="preserve"> of indigenous peoples rights, as we have seen happen in Bolivia</w:t>
      </w:r>
      <w:r w:rsidR="00F47D9B" w:rsidRPr="008F5592">
        <w:rPr>
          <w:rFonts w:ascii="Times New Roman" w:hAnsi="Times New Roman" w:cs="Times New Roman"/>
          <w:sz w:val="28"/>
          <w:szCs w:val="28"/>
        </w:rPr>
        <w:t>, Nicaragua, Colombia and</w:t>
      </w:r>
      <w:r w:rsidR="00AA4079" w:rsidRPr="008F5592">
        <w:rPr>
          <w:rFonts w:ascii="Times New Roman" w:hAnsi="Times New Roman" w:cs="Times New Roman"/>
          <w:sz w:val="28"/>
          <w:szCs w:val="28"/>
        </w:rPr>
        <w:t xml:space="preserve"> Mexico,</w:t>
      </w:r>
      <w:r w:rsidRPr="008F5592">
        <w:rPr>
          <w:rFonts w:ascii="Times New Roman" w:hAnsi="Times New Roman" w:cs="Times New Roman"/>
          <w:sz w:val="28"/>
          <w:szCs w:val="28"/>
        </w:rPr>
        <w:t xml:space="preserve"> also</w:t>
      </w:r>
      <w:r w:rsidR="00ED5EA5" w:rsidRPr="008F5592">
        <w:rPr>
          <w:rFonts w:ascii="Times New Roman" w:hAnsi="Times New Roman" w:cs="Times New Roman"/>
          <w:sz w:val="28"/>
          <w:szCs w:val="28"/>
        </w:rPr>
        <w:t xml:space="preserve"> </w:t>
      </w:r>
      <w:r w:rsidRPr="008F5592">
        <w:rPr>
          <w:rFonts w:ascii="Times New Roman" w:hAnsi="Times New Roman" w:cs="Times New Roman"/>
          <w:sz w:val="28"/>
          <w:szCs w:val="28"/>
        </w:rPr>
        <w:t>ha</w:t>
      </w:r>
      <w:r w:rsidR="00F47D9B" w:rsidRPr="008F5592">
        <w:rPr>
          <w:rFonts w:ascii="Times New Roman" w:hAnsi="Times New Roman" w:cs="Times New Roman"/>
          <w:sz w:val="28"/>
          <w:szCs w:val="28"/>
        </w:rPr>
        <w:t>ve</w:t>
      </w:r>
      <w:r w:rsidRPr="008F5592">
        <w:rPr>
          <w:rFonts w:ascii="Times New Roman" w:hAnsi="Times New Roman" w:cs="Times New Roman"/>
          <w:sz w:val="28"/>
          <w:szCs w:val="28"/>
        </w:rPr>
        <w:t xml:space="preserve"> the potential to </w:t>
      </w:r>
      <w:r w:rsidR="00F47D9B" w:rsidRPr="008F5592">
        <w:rPr>
          <w:rFonts w:ascii="Times New Roman" w:hAnsi="Times New Roman" w:cs="Times New Roman"/>
          <w:sz w:val="28"/>
          <w:szCs w:val="28"/>
        </w:rPr>
        <w:t xml:space="preserve">effectively realize </w:t>
      </w:r>
      <w:r w:rsidRPr="008F5592">
        <w:rPr>
          <w:rFonts w:ascii="Times New Roman" w:hAnsi="Times New Roman" w:cs="Times New Roman"/>
          <w:sz w:val="28"/>
          <w:szCs w:val="28"/>
        </w:rPr>
        <w:t>the rights enshrined in the Declaration.</w:t>
      </w:r>
      <w:r w:rsidRPr="008F5592">
        <w:rPr>
          <w:rFonts w:ascii="Times New Roman" w:hAnsi="Times New Roman" w:cs="Times New Roman"/>
          <w:sz w:val="28"/>
          <w:szCs w:val="28"/>
          <w:vertAlign w:val="superscript"/>
        </w:rPr>
        <w:footnoteReference w:id="17"/>
      </w:r>
      <w:r w:rsidRPr="008F5592">
        <w:rPr>
          <w:rFonts w:ascii="Times New Roman" w:hAnsi="Times New Roman" w:cs="Times New Roman"/>
          <w:sz w:val="28"/>
          <w:szCs w:val="28"/>
        </w:rPr>
        <w:t xml:space="preserve"> Unfortunately, </w:t>
      </w:r>
      <w:r w:rsidR="00CC31E1" w:rsidRPr="008F5592">
        <w:rPr>
          <w:rFonts w:ascii="Times New Roman" w:hAnsi="Times New Roman" w:cs="Times New Roman"/>
          <w:sz w:val="28"/>
          <w:szCs w:val="28"/>
        </w:rPr>
        <w:t xml:space="preserve">in many countries, </w:t>
      </w:r>
      <w:r w:rsidRPr="008F5592">
        <w:rPr>
          <w:rFonts w:ascii="Times New Roman" w:hAnsi="Times New Roman" w:cs="Times New Roman"/>
          <w:sz w:val="28"/>
          <w:szCs w:val="28"/>
        </w:rPr>
        <w:t>basic legal protections ha</w:t>
      </w:r>
      <w:r w:rsidR="00F47D9B" w:rsidRPr="008F5592">
        <w:rPr>
          <w:rFonts w:ascii="Times New Roman" w:hAnsi="Times New Roman" w:cs="Times New Roman"/>
          <w:sz w:val="28"/>
          <w:szCs w:val="28"/>
        </w:rPr>
        <w:t xml:space="preserve">ve </w:t>
      </w:r>
      <w:r w:rsidRPr="008F5592">
        <w:rPr>
          <w:rFonts w:ascii="Times New Roman" w:hAnsi="Times New Roman" w:cs="Times New Roman"/>
          <w:sz w:val="28"/>
          <w:szCs w:val="28"/>
        </w:rPr>
        <w:t xml:space="preserve">not been extended </w:t>
      </w:r>
      <w:r w:rsidR="00CC31E1" w:rsidRPr="008F5592">
        <w:rPr>
          <w:rFonts w:ascii="Times New Roman" w:hAnsi="Times New Roman" w:cs="Times New Roman"/>
          <w:sz w:val="28"/>
          <w:szCs w:val="28"/>
        </w:rPr>
        <w:t xml:space="preserve">to </w:t>
      </w:r>
      <w:r w:rsidRPr="008F5592">
        <w:rPr>
          <w:rFonts w:ascii="Times New Roman" w:hAnsi="Times New Roman" w:cs="Times New Roman"/>
          <w:sz w:val="28"/>
          <w:szCs w:val="28"/>
        </w:rPr>
        <w:t xml:space="preserve">indigenous peoples </w:t>
      </w:r>
      <w:r w:rsidR="00CC31E1" w:rsidRPr="008F5592">
        <w:rPr>
          <w:rFonts w:ascii="Times New Roman" w:hAnsi="Times New Roman" w:cs="Times New Roman"/>
          <w:sz w:val="28"/>
          <w:szCs w:val="28"/>
        </w:rPr>
        <w:t xml:space="preserve">who </w:t>
      </w:r>
      <w:r w:rsidRPr="008F5592">
        <w:rPr>
          <w:rFonts w:ascii="Times New Roman" w:hAnsi="Times New Roman" w:cs="Times New Roman"/>
          <w:sz w:val="28"/>
          <w:szCs w:val="28"/>
        </w:rPr>
        <w:t xml:space="preserve">are seeking </w:t>
      </w:r>
      <w:r w:rsidR="001404EA" w:rsidRPr="008F5592">
        <w:rPr>
          <w:rFonts w:ascii="Times New Roman" w:hAnsi="Times New Roman" w:cs="Times New Roman"/>
          <w:sz w:val="28"/>
          <w:szCs w:val="28"/>
        </w:rPr>
        <w:t>them</w:t>
      </w:r>
      <w:r w:rsidRPr="008F5592">
        <w:rPr>
          <w:rFonts w:ascii="Times New Roman" w:hAnsi="Times New Roman" w:cs="Times New Roman"/>
          <w:sz w:val="28"/>
          <w:szCs w:val="28"/>
        </w:rPr>
        <w:t>.</w:t>
      </w:r>
      <w:r w:rsidRPr="008F5592">
        <w:rPr>
          <w:rFonts w:ascii="Times New Roman" w:hAnsi="Times New Roman" w:cs="Times New Roman"/>
          <w:sz w:val="28"/>
          <w:szCs w:val="28"/>
          <w:vertAlign w:val="superscript"/>
        </w:rPr>
        <w:footnoteReference w:id="18"/>
      </w:r>
    </w:p>
    <w:p w14:paraId="5CCFDBFC" w14:textId="77777777" w:rsidR="009E4E86" w:rsidRPr="008F5592" w:rsidRDefault="009E4E86">
      <w:pPr>
        <w:ind w:firstLine="720"/>
        <w:rPr>
          <w:rFonts w:ascii="Times New Roman" w:hAnsi="Times New Roman" w:cs="Times New Roman"/>
          <w:sz w:val="28"/>
          <w:szCs w:val="28"/>
        </w:rPr>
      </w:pPr>
    </w:p>
    <w:p w14:paraId="0000000D" w14:textId="2A350789" w:rsidR="00814732" w:rsidRPr="008F5592" w:rsidRDefault="006D1811" w:rsidP="00F43993">
      <w:pPr>
        <w:ind w:firstLine="720"/>
        <w:rPr>
          <w:rFonts w:ascii="Times New Roman" w:hAnsi="Times New Roman" w:cs="Times New Roman"/>
          <w:sz w:val="28"/>
          <w:szCs w:val="28"/>
        </w:rPr>
      </w:pPr>
      <w:r w:rsidRPr="008F5592">
        <w:rPr>
          <w:rFonts w:ascii="Times New Roman" w:hAnsi="Times New Roman" w:cs="Times New Roman"/>
          <w:sz w:val="28"/>
          <w:szCs w:val="28"/>
        </w:rPr>
        <w:t xml:space="preserve">Development and implementation of agreements and treaties in a manner satisfactory to both parties can only be achieved in an environment of reciprocal cooperation. </w:t>
      </w:r>
      <w:r w:rsidR="004B7A95" w:rsidRPr="008F5592">
        <w:rPr>
          <w:rFonts w:ascii="Times New Roman" w:hAnsi="Times New Roman" w:cs="Times New Roman"/>
          <w:sz w:val="28"/>
          <w:szCs w:val="28"/>
        </w:rPr>
        <w:t>The UN Declaration provides tools for repairing relationships between States and indigenous peoples. Article 19 requires States to “consult and cooperate in good faith with indigenous peoples . . . to obtain free, prior and informed consent before . . . implementing legislative or administrative measures that may affect them.”</w:t>
      </w:r>
      <w:r w:rsidR="004B7A95" w:rsidRPr="008F5592">
        <w:rPr>
          <w:rFonts w:ascii="Times New Roman" w:hAnsi="Times New Roman" w:cs="Times New Roman"/>
          <w:sz w:val="28"/>
          <w:szCs w:val="28"/>
          <w:vertAlign w:val="superscript"/>
        </w:rPr>
        <w:footnoteReference w:id="19"/>
      </w:r>
      <w:r w:rsidR="004B7A95" w:rsidRPr="008F5592">
        <w:rPr>
          <w:rFonts w:ascii="Times New Roman" w:hAnsi="Times New Roman" w:cs="Times New Roman"/>
          <w:sz w:val="28"/>
          <w:szCs w:val="28"/>
        </w:rPr>
        <w:t xml:space="preserve">  </w:t>
      </w:r>
      <w:r w:rsidR="00F43993" w:rsidRPr="008F5592">
        <w:rPr>
          <w:rFonts w:ascii="Times New Roman" w:hAnsi="Times New Roman" w:cs="Times New Roman"/>
          <w:sz w:val="28"/>
          <w:szCs w:val="28"/>
        </w:rPr>
        <w:t xml:space="preserve">Unfortunately, some States view consultation with indigenous peoples as a formality; a mere procedural requirement to legitimize a pre-determined </w:t>
      </w:r>
      <w:r w:rsidR="00153571">
        <w:rPr>
          <w:rFonts w:ascii="Times New Roman" w:hAnsi="Times New Roman" w:cs="Times New Roman"/>
          <w:sz w:val="28"/>
          <w:szCs w:val="28"/>
        </w:rPr>
        <w:t>outcome</w:t>
      </w:r>
      <w:r w:rsidR="00F43993" w:rsidRPr="008F5592">
        <w:rPr>
          <w:rFonts w:ascii="Times New Roman" w:hAnsi="Times New Roman" w:cs="Times New Roman"/>
          <w:sz w:val="28"/>
          <w:szCs w:val="28"/>
        </w:rPr>
        <w:t>. Without established protocols for meaningful consultation on the meaning and implementation of treaties and other agreements, indigenous peoples may come into conflict with state governments; conflict which, in some cases, leads to violence and criminalization.</w:t>
      </w:r>
      <w:r w:rsidR="00F43993" w:rsidRPr="008F5592">
        <w:rPr>
          <w:rFonts w:ascii="Times New Roman" w:hAnsi="Times New Roman" w:cs="Times New Roman"/>
          <w:sz w:val="28"/>
          <w:szCs w:val="28"/>
          <w:vertAlign w:val="superscript"/>
        </w:rPr>
        <w:footnoteReference w:id="20"/>
      </w:r>
    </w:p>
    <w:p w14:paraId="4431F783" w14:textId="77777777" w:rsidR="00B279A5" w:rsidRPr="008F5592" w:rsidRDefault="00B279A5">
      <w:pPr>
        <w:ind w:firstLine="720"/>
        <w:rPr>
          <w:rFonts w:ascii="Times New Roman" w:hAnsi="Times New Roman" w:cs="Times New Roman"/>
          <w:sz w:val="28"/>
          <w:szCs w:val="28"/>
        </w:rPr>
      </w:pPr>
    </w:p>
    <w:p w14:paraId="0000000E" w14:textId="157BD3B3" w:rsidR="00814732" w:rsidRPr="008F5592" w:rsidRDefault="003B0832" w:rsidP="003A6482">
      <w:pPr>
        <w:ind w:firstLine="720"/>
        <w:rPr>
          <w:rFonts w:ascii="Times New Roman" w:hAnsi="Times New Roman" w:cs="Times New Roman"/>
          <w:sz w:val="28"/>
          <w:szCs w:val="28"/>
        </w:rPr>
      </w:pPr>
      <w:r w:rsidRPr="008F5592">
        <w:rPr>
          <w:rFonts w:ascii="Times New Roman" w:hAnsi="Times New Roman" w:cs="Times New Roman"/>
          <w:sz w:val="28"/>
          <w:szCs w:val="28"/>
        </w:rPr>
        <w:t>Of particular importance is the d</w:t>
      </w:r>
      <w:r w:rsidR="004B7A95" w:rsidRPr="008F5592">
        <w:rPr>
          <w:rFonts w:ascii="Times New Roman" w:hAnsi="Times New Roman" w:cs="Times New Roman"/>
          <w:sz w:val="28"/>
          <w:szCs w:val="28"/>
        </w:rPr>
        <w:t xml:space="preserve">evelopment of and respect for indigenous-led protocols setting out </w:t>
      </w:r>
      <w:r w:rsidR="00491F14" w:rsidRPr="008F5592">
        <w:rPr>
          <w:rFonts w:ascii="Times New Roman" w:hAnsi="Times New Roman" w:cs="Times New Roman"/>
          <w:sz w:val="28"/>
          <w:szCs w:val="28"/>
        </w:rPr>
        <w:t xml:space="preserve">their own </w:t>
      </w:r>
      <w:r w:rsidR="004B7A95" w:rsidRPr="008F5592">
        <w:rPr>
          <w:rFonts w:ascii="Times New Roman" w:hAnsi="Times New Roman" w:cs="Times New Roman"/>
          <w:sz w:val="28"/>
          <w:szCs w:val="28"/>
        </w:rPr>
        <w:t>consult</w:t>
      </w:r>
      <w:r w:rsidR="00491F14" w:rsidRPr="008F5592">
        <w:rPr>
          <w:rFonts w:ascii="Times New Roman" w:hAnsi="Times New Roman" w:cs="Times New Roman"/>
          <w:sz w:val="28"/>
          <w:szCs w:val="28"/>
        </w:rPr>
        <w:t>ation processes,</w:t>
      </w:r>
      <w:r w:rsidRPr="008F5592">
        <w:rPr>
          <w:rFonts w:ascii="Times New Roman" w:hAnsi="Times New Roman" w:cs="Times New Roman"/>
          <w:sz w:val="28"/>
          <w:szCs w:val="28"/>
        </w:rPr>
        <w:t xml:space="preserve"> and</w:t>
      </w:r>
      <w:r w:rsidR="00491F14" w:rsidRPr="008F5592">
        <w:rPr>
          <w:rFonts w:ascii="Times New Roman" w:hAnsi="Times New Roman" w:cs="Times New Roman"/>
          <w:sz w:val="28"/>
          <w:szCs w:val="28"/>
        </w:rPr>
        <w:t xml:space="preserve"> governance </w:t>
      </w:r>
      <w:r w:rsidRPr="008F5592">
        <w:rPr>
          <w:rFonts w:ascii="Times New Roman" w:hAnsi="Times New Roman" w:cs="Times New Roman"/>
          <w:sz w:val="28"/>
          <w:szCs w:val="28"/>
        </w:rPr>
        <w:t>structures</w:t>
      </w:r>
      <w:r w:rsidR="004B7A95" w:rsidRPr="008F5592">
        <w:rPr>
          <w:rFonts w:ascii="Times New Roman" w:hAnsi="Times New Roman" w:cs="Times New Roman"/>
          <w:sz w:val="28"/>
          <w:szCs w:val="28"/>
          <w:vertAlign w:val="superscript"/>
        </w:rPr>
        <w:footnoteReference w:id="21"/>
      </w:r>
      <w:r w:rsidR="004B7A95" w:rsidRPr="008F5592">
        <w:rPr>
          <w:rFonts w:ascii="Times New Roman" w:hAnsi="Times New Roman" w:cs="Times New Roman"/>
          <w:sz w:val="28"/>
          <w:szCs w:val="28"/>
        </w:rPr>
        <w:t xml:space="preserve"> </w:t>
      </w:r>
      <w:r w:rsidR="00AC4410" w:rsidRPr="008F5592">
        <w:rPr>
          <w:rFonts w:ascii="Times New Roman" w:hAnsi="Times New Roman" w:cs="Times New Roman"/>
          <w:sz w:val="28"/>
          <w:szCs w:val="28"/>
        </w:rPr>
        <w:t xml:space="preserve">to help </w:t>
      </w:r>
      <w:r w:rsidR="004B7A95" w:rsidRPr="008F5592">
        <w:rPr>
          <w:rFonts w:ascii="Times New Roman" w:hAnsi="Times New Roman" w:cs="Times New Roman"/>
          <w:sz w:val="28"/>
          <w:szCs w:val="28"/>
        </w:rPr>
        <w:t xml:space="preserve">promote </w:t>
      </w:r>
      <w:r w:rsidR="00AC4410" w:rsidRPr="008F5592">
        <w:rPr>
          <w:rFonts w:ascii="Times New Roman" w:hAnsi="Times New Roman" w:cs="Times New Roman"/>
          <w:sz w:val="28"/>
          <w:szCs w:val="28"/>
        </w:rPr>
        <w:t xml:space="preserve">the </w:t>
      </w:r>
      <w:r w:rsidR="004B7A95" w:rsidRPr="008F5592">
        <w:rPr>
          <w:rFonts w:ascii="Times New Roman" w:hAnsi="Times New Roman" w:cs="Times New Roman"/>
          <w:sz w:val="28"/>
          <w:szCs w:val="28"/>
        </w:rPr>
        <w:t>effective</w:t>
      </w:r>
      <w:r w:rsidR="00AC4410" w:rsidRPr="008F5592">
        <w:rPr>
          <w:rFonts w:ascii="Times New Roman" w:hAnsi="Times New Roman" w:cs="Times New Roman"/>
          <w:sz w:val="28"/>
          <w:szCs w:val="28"/>
        </w:rPr>
        <w:t xml:space="preserve"> and</w:t>
      </w:r>
      <w:r w:rsidR="004B7A95" w:rsidRPr="008F5592">
        <w:rPr>
          <w:rFonts w:ascii="Times New Roman" w:hAnsi="Times New Roman" w:cs="Times New Roman"/>
          <w:sz w:val="28"/>
          <w:szCs w:val="28"/>
        </w:rPr>
        <w:t xml:space="preserve"> culturally sensitive implementation of agreements between States and indigenous peoples. Indigenous peoples are in the best position to design consultation structures that account for their interests and are sensitive to their unique cultural needs and aspirations.</w:t>
      </w:r>
      <w:r w:rsidR="00ED5EA5" w:rsidRPr="008F5592">
        <w:rPr>
          <w:rFonts w:ascii="Times New Roman" w:hAnsi="Times New Roman" w:cs="Times New Roman"/>
          <w:sz w:val="28"/>
          <w:szCs w:val="28"/>
        </w:rPr>
        <w:t xml:space="preserve"> There are many </w:t>
      </w:r>
      <w:r w:rsidR="00491F14" w:rsidRPr="008F5592">
        <w:rPr>
          <w:rFonts w:ascii="Times New Roman" w:hAnsi="Times New Roman" w:cs="Times New Roman"/>
          <w:sz w:val="28"/>
          <w:szCs w:val="28"/>
        </w:rPr>
        <w:t xml:space="preserve">models </w:t>
      </w:r>
      <w:r w:rsidR="00ED5EA5" w:rsidRPr="008F5592">
        <w:rPr>
          <w:rFonts w:ascii="Times New Roman" w:hAnsi="Times New Roman" w:cs="Times New Roman"/>
          <w:sz w:val="28"/>
          <w:szCs w:val="28"/>
        </w:rPr>
        <w:t xml:space="preserve">to draw </w:t>
      </w:r>
      <w:r w:rsidR="00841796" w:rsidRPr="008F5592">
        <w:rPr>
          <w:rFonts w:ascii="Times New Roman" w:hAnsi="Times New Roman" w:cs="Times New Roman"/>
          <w:sz w:val="28"/>
          <w:szCs w:val="28"/>
        </w:rPr>
        <w:t>from including</w:t>
      </w:r>
      <w:r w:rsidR="00ED5EA5" w:rsidRPr="008F5592">
        <w:rPr>
          <w:rFonts w:ascii="Times New Roman" w:hAnsi="Times New Roman" w:cs="Times New Roman"/>
          <w:sz w:val="28"/>
          <w:szCs w:val="28"/>
        </w:rPr>
        <w:t xml:space="preserve"> </w:t>
      </w:r>
      <w:r w:rsidR="002A6E0D" w:rsidRPr="008F5592">
        <w:rPr>
          <w:rFonts w:ascii="Times New Roman" w:hAnsi="Times New Roman" w:cs="Times New Roman"/>
          <w:sz w:val="28"/>
          <w:szCs w:val="28"/>
        </w:rPr>
        <w:t xml:space="preserve">the </w:t>
      </w:r>
      <w:r w:rsidR="00491F14" w:rsidRPr="008F5592">
        <w:rPr>
          <w:rFonts w:ascii="Times New Roman" w:hAnsi="Times New Roman" w:cs="Times New Roman"/>
          <w:sz w:val="28"/>
          <w:szCs w:val="28"/>
        </w:rPr>
        <w:t xml:space="preserve">consultation frameworks of </w:t>
      </w:r>
      <w:r w:rsidR="00ED5EA5" w:rsidRPr="008F5592">
        <w:rPr>
          <w:rFonts w:ascii="Times New Roman" w:hAnsi="Times New Roman" w:cs="Times New Roman"/>
          <w:sz w:val="28"/>
          <w:szCs w:val="28"/>
        </w:rPr>
        <w:t>First Nations in Canada and</w:t>
      </w:r>
      <w:r w:rsidR="00AA4079" w:rsidRPr="008F5592">
        <w:rPr>
          <w:rFonts w:ascii="Times New Roman" w:hAnsi="Times New Roman" w:cs="Times New Roman"/>
          <w:sz w:val="28"/>
          <w:szCs w:val="28"/>
        </w:rPr>
        <w:t xml:space="preserve"> Belize and</w:t>
      </w:r>
      <w:r w:rsidR="00ED5EA5" w:rsidRPr="008F5592">
        <w:rPr>
          <w:rFonts w:ascii="Times New Roman" w:hAnsi="Times New Roman" w:cs="Times New Roman"/>
          <w:sz w:val="28"/>
          <w:szCs w:val="28"/>
        </w:rPr>
        <w:t xml:space="preserve"> the autonomous protocols developed </w:t>
      </w:r>
      <w:r w:rsidR="00841796" w:rsidRPr="008F5592">
        <w:rPr>
          <w:rFonts w:ascii="Times New Roman" w:hAnsi="Times New Roman" w:cs="Times New Roman"/>
          <w:sz w:val="28"/>
          <w:szCs w:val="28"/>
        </w:rPr>
        <w:t>throughout</w:t>
      </w:r>
      <w:r w:rsidR="00ED5EA5" w:rsidRPr="008F5592">
        <w:rPr>
          <w:rFonts w:ascii="Times New Roman" w:hAnsi="Times New Roman" w:cs="Times New Roman"/>
          <w:sz w:val="28"/>
          <w:szCs w:val="28"/>
        </w:rPr>
        <w:t xml:space="preserve"> Latin America. </w:t>
      </w:r>
    </w:p>
    <w:p w14:paraId="72B5F47B" w14:textId="77777777" w:rsidR="00154956" w:rsidRPr="008F5592" w:rsidRDefault="00154956" w:rsidP="00381645">
      <w:pPr>
        <w:rPr>
          <w:rFonts w:ascii="Times New Roman" w:hAnsi="Times New Roman" w:cs="Times New Roman"/>
          <w:sz w:val="28"/>
          <w:szCs w:val="28"/>
        </w:rPr>
      </w:pPr>
    </w:p>
    <w:p w14:paraId="00000013" w14:textId="598CE292" w:rsidR="00814732" w:rsidRPr="008F5592" w:rsidRDefault="004B7A95" w:rsidP="001D00DE">
      <w:pPr>
        <w:ind w:firstLine="720"/>
        <w:rPr>
          <w:rFonts w:ascii="Times New Roman" w:hAnsi="Times New Roman" w:cs="Times New Roman"/>
          <w:sz w:val="28"/>
          <w:szCs w:val="28"/>
        </w:rPr>
      </w:pPr>
      <w:r w:rsidRPr="008F5592">
        <w:rPr>
          <w:rFonts w:ascii="Times New Roman" w:hAnsi="Times New Roman" w:cs="Times New Roman"/>
          <w:sz w:val="28"/>
          <w:szCs w:val="28"/>
        </w:rPr>
        <w:t xml:space="preserve">Mutually agreeable arrangements between States and indigenous peoples are more likely to be established and maintained where indigenous peoples realize their right to </w:t>
      </w:r>
      <w:r w:rsidR="001F32A6" w:rsidRPr="008F5592">
        <w:rPr>
          <w:rFonts w:ascii="Times New Roman" w:hAnsi="Times New Roman" w:cs="Times New Roman"/>
          <w:sz w:val="28"/>
          <w:szCs w:val="28"/>
        </w:rPr>
        <w:t xml:space="preserve">self-determination and </w:t>
      </w:r>
      <w:r w:rsidRPr="008F5592">
        <w:rPr>
          <w:rFonts w:ascii="Times New Roman" w:hAnsi="Times New Roman" w:cs="Times New Roman"/>
          <w:sz w:val="28"/>
          <w:szCs w:val="28"/>
        </w:rPr>
        <w:t>self</w:t>
      </w:r>
      <w:r w:rsidR="001F32A6" w:rsidRPr="008F5592">
        <w:rPr>
          <w:rFonts w:ascii="Times New Roman" w:hAnsi="Times New Roman" w:cs="Times New Roman"/>
          <w:sz w:val="28"/>
          <w:szCs w:val="28"/>
        </w:rPr>
        <w:t>-</w:t>
      </w:r>
      <w:r w:rsidRPr="008F5592">
        <w:rPr>
          <w:rFonts w:ascii="Times New Roman" w:hAnsi="Times New Roman" w:cs="Times New Roman"/>
          <w:sz w:val="28"/>
          <w:szCs w:val="28"/>
        </w:rPr>
        <w:t xml:space="preserve">governance </w:t>
      </w:r>
      <w:r w:rsidR="00D70F47" w:rsidRPr="008F5592">
        <w:rPr>
          <w:rFonts w:ascii="Times New Roman" w:hAnsi="Times New Roman" w:cs="Times New Roman"/>
          <w:sz w:val="28"/>
          <w:szCs w:val="28"/>
        </w:rPr>
        <w:t>while also</w:t>
      </w:r>
      <w:r w:rsidRPr="008F5592">
        <w:rPr>
          <w:rFonts w:ascii="Times New Roman" w:hAnsi="Times New Roman" w:cs="Times New Roman"/>
          <w:sz w:val="28"/>
          <w:szCs w:val="28"/>
        </w:rPr>
        <w:t xml:space="preserve"> </w:t>
      </w:r>
      <w:r w:rsidR="001F32A6" w:rsidRPr="008F5592">
        <w:rPr>
          <w:rFonts w:ascii="Times New Roman" w:hAnsi="Times New Roman" w:cs="Times New Roman"/>
          <w:sz w:val="28"/>
          <w:szCs w:val="28"/>
        </w:rPr>
        <w:t>participat</w:t>
      </w:r>
      <w:r w:rsidR="00D70F47" w:rsidRPr="008F5592">
        <w:rPr>
          <w:rFonts w:ascii="Times New Roman" w:hAnsi="Times New Roman" w:cs="Times New Roman"/>
          <w:sz w:val="28"/>
          <w:szCs w:val="28"/>
        </w:rPr>
        <w:t>ing</w:t>
      </w:r>
      <w:r w:rsidR="001F32A6" w:rsidRPr="008F5592">
        <w:rPr>
          <w:rFonts w:ascii="Times New Roman" w:hAnsi="Times New Roman" w:cs="Times New Roman"/>
          <w:sz w:val="28"/>
          <w:szCs w:val="28"/>
        </w:rPr>
        <w:t xml:space="preserve"> fully and </w:t>
      </w:r>
      <w:r w:rsidRPr="008F5592">
        <w:rPr>
          <w:rFonts w:ascii="Times New Roman" w:hAnsi="Times New Roman" w:cs="Times New Roman"/>
          <w:sz w:val="28"/>
          <w:szCs w:val="28"/>
        </w:rPr>
        <w:t xml:space="preserve">equally in the political processes of </w:t>
      </w:r>
      <w:r w:rsidR="001F32A6" w:rsidRPr="008F5592">
        <w:rPr>
          <w:rFonts w:ascii="Times New Roman" w:hAnsi="Times New Roman" w:cs="Times New Roman"/>
          <w:sz w:val="28"/>
          <w:szCs w:val="28"/>
        </w:rPr>
        <w:t>S</w:t>
      </w:r>
      <w:r w:rsidRPr="008F5592">
        <w:rPr>
          <w:rFonts w:ascii="Times New Roman" w:hAnsi="Times New Roman" w:cs="Times New Roman"/>
          <w:sz w:val="28"/>
          <w:szCs w:val="28"/>
        </w:rPr>
        <w:t>tates</w:t>
      </w:r>
      <w:r w:rsidR="00D70F47" w:rsidRPr="008F5592">
        <w:rPr>
          <w:rFonts w:ascii="Times New Roman" w:hAnsi="Times New Roman" w:cs="Times New Roman"/>
          <w:sz w:val="28"/>
          <w:szCs w:val="28"/>
        </w:rPr>
        <w:t>, if they so choose</w:t>
      </w:r>
      <w:r w:rsidR="00941D12" w:rsidRPr="008F5592">
        <w:rPr>
          <w:rFonts w:ascii="Times New Roman" w:hAnsi="Times New Roman" w:cs="Times New Roman"/>
          <w:sz w:val="28"/>
          <w:szCs w:val="28"/>
        </w:rPr>
        <w:t>.</w:t>
      </w:r>
      <w:r w:rsidRPr="008F5592">
        <w:rPr>
          <w:rFonts w:ascii="Times New Roman" w:hAnsi="Times New Roman" w:cs="Times New Roman"/>
          <w:sz w:val="28"/>
          <w:szCs w:val="28"/>
          <w:vertAlign w:val="superscript"/>
        </w:rPr>
        <w:footnoteReference w:id="22"/>
      </w:r>
      <w:r w:rsidRPr="008F5592">
        <w:rPr>
          <w:rFonts w:ascii="Times New Roman" w:hAnsi="Times New Roman" w:cs="Times New Roman"/>
          <w:sz w:val="28"/>
          <w:szCs w:val="28"/>
        </w:rPr>
        <w:t xml:space="preserve"> </w:t>
      </w:r>
      <w:r w:rsidR="00DD71A0" w:rsidRPr="008F5592">
        <w:rPr>
          <w:rFonts w:ascii="Times New Roman" w:hAnsi="Times New Roman" w:cs="Times New Roman"/>
          <w:sz w:val="28"/>
          <w:szCs w:val="28"/>
        </w:rPr>
        <w:t xml:space="preserve">I conclude by </w:t>
      </w:r>
      <w:r w:rsidRPr="008F5592">
        <w:rPr>
          <w:rFonts w:ascii="Times New Roman" w:hAnsi="Times New Roman" w:cs="Times New Roman"/>
          <w:sz w:val="28"/>
          <w:szCs w:val="28"/>
        </w:rPr>
        <w:t>propos</w:t>
      </w:r>
      <w:r w:rsidR="00DD71A0" w:rsidRPr="008F5592">
        <w:rPr>
          <w:rFonts w:ascii="Times New Roman" w:hAnsi="Times New Roman" w:cs="Times New Roman"/>
          <w:sz w:val="28"/>
          <w:szCs w:val="28"/>
        </w:rPr>
        <w:t>ing</w:t>
      </w:r>
      <w:r w:rsidR="00A17DA2" w:rsidRPr="008F5592">
        <w:rPr>
          <w:rFonts w:ascii="Times New Roman" w:hAnsi="Times New Roman" w:cs="Times New Roman"/>
          <w:sz w:val="28"/>
          <w:szCs w:val="28"/>
        </w:rPr>
        <w:t xml:space="preserve"> </w:t>
      </w:r>
      <w:r w:rsidRPr="008F5592">
        <w:rPr>
          <w:rFonts w:ascii="Times New Roman" w:hAnsi="Times New Roman" w:cs="Times New Roman"/>
          <w:sz w:val="28"/>
          <w:szCs w:val="28"/>
        </w:rPr>
        <w:t>the following recommendations</w:t>
      </w:r>
      <w:r w:rsidR="00A17DA2" w:rsidRPr="008F5592">
        <w:rPr>
          <w:rFonts w:ascii="Times New Roman" w:hAnsi="Times New Roman" w:cs="Times New Roman"/>
          <w:sz w:val="28"/>
          <w:szCs w:val="28"/>
        </w:rPr>
        <w:t xml:space="preserve">. </w:t>
      </w:r>
      <w:r w:rsidR="00DD71A0" w:rsidRPr="008F5592">
        <w:rPr>
          <w:rFonts w:ascii="Times New Roman" w:hAnsi="Times New Roman" w:cs="Times New Roman"/>
          <w:sz w:val="28"/>
          <w:szCs w:val="28"/>
        </w:rPr>
        <w:t xml:space="preserve">States </w:t>
      </w:r>
      <w:r w:rsidR="00A17DA2" w:rsidRPr="008F5592">
        <w:rPr>
          <w:rFonts w:ascii="Times New Roman" w:hAnsi="Times New Roman" w:cs="Times New Roman"/>
          <w:sz w:val="28"/>
          <w:szCs w:val="28"/>
        </w:rPr>
        <w:t>are encouraged to</w:t>
      </w:r>
      <w:r w:rsidR="00DD71A0" w:rsidRPr="008F5592">
        <w:rPr>
          <w:rFonts w:ascii="Times New Roman" w:hAnsi="Times New Roman" w:cs="Times New Roman"/>
          <w:sz w:val="28"/>
          <w:szCs w:val="28"/>
        </w:rPr>
        <w:t>:</w:t>
      </w:r>
    </w:p>
    <w:p w14:paraId="74D2DA07" w14:textId="77777777" w:rsidR="0042799C" w:rsidRPr="008F5592" w:rsidRDefault="0042799C" w:rsidP="00A17DA2">
      <w:pPr>
        <w:ind w:firstLine="360"/>
        <w:rPr>
          <w:rFonts w:ascii="Times New Roman" w:hAnsi="Times New Roman" w:cs="Times New Roman"/>
          <w:sz w:val="28"/>
          <w:szCs w:val="28"/>
        </w:rPr>
      </w:pPr>
    </w:p>
    <w:p w14:paraId="0ED0FDE7" w14:textId="77777777" w:rsid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 xml:space="preserve">Rely on the UNDRIP as a framework for promoting intercultural dialogue and reciprocal cooperation to further the implementation of treaties, agreements, and other constructive arrangements. </w:t>
      </w:r>
    </w:p>
    <w:p w14:paraId="4660A175" w14:textId="77777777" w:rsid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 xml:space="preserve">Support the development of indigenous-led consultation protocols/legislative initiatives toward achieving consensus on implementing treaties, agreements, and other constructive arrangements. </w:t>
      </w:r>
    </w:p>
    <w:p w14:paraId="3CE78BF0" w14:textId="77777777" w:rsid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 xml:space="preserve">Reduce power imbalances by ensuring that indigenous peoples have the necessary financial, technical, and other assistance to engage in consultations. </w:t>
      </w:r>
    </w:p>
    <w:p w14:paraId="2A4B6DBF" w14:textId="77777777" w:rsid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Work individually and in concert with indigenous peoples to strengthen indigenous authorities and institutions to promote self-determination.</w:t>
      </w:r>
    </w:p>
    <w:p w14:paraId="0136A7B3" w14:textId="51C74C6C" w:rsid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Sustain indigenous women's participation during the neg</w:t>
      </w:r>
      <w:r w:rsidR="002A504B">
        <w:rPr>
          <w:rFonts w:ascii="Times New Roman" w:hAnsi="Times New Roman" w:cs="Times New Roman"/>
          <w:sz w:val="28"/>
          <w:szCs w:val="28"/>
        </w:rPr>
        <w:t>oti</w:t>
      </w:r>
      <w:r w:rsidRPr="00153571">
        <w:rPr>
          <w:rFonts w:ascii="Times New Roman" w:hAnsi="Times New Roman" w:cs="Times New Roman"/>
          <w:sz w:val="28"/>
          <w:szCs w:val="28"/>
        </w:rPr>
        <w:t>ation and implementation of treaties, agreements, and other arrangements.</w:t>
      </w:r>
    </w:p>
    <w:p w14:paraId="65CBBBB3" w14:textId="18C20C49" w:rsidR="000849AF" w:rsidRDefault="000849AF" w:rsidP="00153571">
      <w:pPr>
        <w:pStyle w:val="ListParagraph"/>
        <w:numPr>
          <w:ilvl w:val="0"/>
          <w:numId w:val="3"/>
        </w:numPr>
        <w:rPr>
          <w:rFonts w:ascii="Times New Roman" w:hAnsi="Times New Roman" w:cs="Times New Roman"/>
          <w:sz w:val="28"/>
          <w:szCs w:val="28"/>
        </w:rPr>
      </w:pPr>
      <w:r w:rsidRPr="000849AF">
        <w:rPr>
          <w:rFonts w:ascii="Times New Roman" w:hAnsi="Times New Roman" w:cs="Times New Roman"/>
          <w:sz w:val="28"/>
          <w:szCs w:val="28"/>
        </w:rPr>
        <w:t>Strengthen and implement indigenous rights to self-determination and autonomy and protect indigenous territories from</w:t>
      </w:r>
      <w:r w:rsidR="00BB63F6">
        <w:rPr>
          <w:rFonts w:ascii="Times New Roman" w:hAnsi="Times New Roman" w:cs="Times New Roman"/>
          <w:sz w:val="28"/>
          <w:szCs w:val="28"/>
        </w:rPr>
        <w:t xml:space="preserve"> illegal land incursion</w:t>
      </w:r>
      <w:r w:rsidRPr="000849AF">
        <w:rPr>
          <w:rFonts w:ascii="Times New Roman" w:hAnsi="Times New Roman" w:cs="Times New Roman"/>
          <w:sz w:val="28"/>
          <w:szCs w:val="28"/>
        </w:rPr>
        <w:t>.</w:t>
      </w:r>
    </w:p>
    <w:p w14:paraId="00000019" w14:textId="52E7E892" w:rsidR="00814732" w:rsidRPr="00153571" w:rsidRDefault="00153571" w:rsidP="00153571">
      <w:pPr>
        <w:pStyle w:val="ListParagraph"/>
        <w:numPr>
          <w:ilvl w:val="0"/>
          <w:numId w:val="3"/>
        </w:numPr>
        <w:rPr>
          <w:rFonts w:ascii="Times New Roman" w:hAnsi="Times New Roman" w:cs="Times New Roman"/>
          <w:sz w:val="28"/>
          <w:szCs w:val="28"/>
        </w:rPr>
      </w:pPr>
      <w:r w:rsidRPr="00153571">
        <w:rPr>
          <w:rFonts w:ascii="Times New Roman" w:hAnsi="Times New Roman" w:cs="Times New Roman"/>
          <w:sz w:val="28"/>
          <w:szCs w:val="28"/>
        </w:rPr>
        <w:t xml:space="preserve">Implement the relevant recommendations of the Final Report of Special Rapporteur Miguel Alfonso Martinez (1999), the </w:t>
      </w:r>
      <w:r w:rsidR="0042589B">
        <w:rPr>
          <w:rFonts w:ascii="Times New Roman" w:hAnsi="Times New Roman" w:cs="Times New Roman"/>
          <w:sz w:val="28"/>
          <w:szCs w:val="28"/>
        </w:rPr>
        <w:t>three</w:t>
      </w:r>
      <w:r w:rsidRPr="00153571">
        <w:rPr>
          <w:rFonts w:ascii="Times New Roman" w:hAnsi="Times New Roman" w:cs="Times New Roman"/>
          <w:sz w:val="28"/>
          <w:szCs w:val="28"/>
        </w:rPr>
        <w:t xml:space="preserve"> previous UN Seminars on Treaties, Agreements and Other Constructive Arrangements (2003, 2006, 2012), including the establishment of an international body to resolve treaty disputes or violations and provide culturally appropriate redress mechanisms.</w:t>
      </w:r>
    </w:p>
    <w:p w14:paraId="679E71C4" w14:textId="77777777" w:rsidR="00153571" w:rsidRPr="008F5592" w:rsidRDefault="00153571" w:rsidP="00153571">
      <w:pPr>
        <w:rPr>
          <w:rFonts w:ascii="Times New Roman" w:hAnsi="Times New Roman" w:cs="Times New Roman"/>
          <w:sz w:val="28"/>
          <w:szCs w:val="28"/>
        </w:rPr>
      </w:pPr>
    </w:p>
    <w:p w14:paraId="0000001A" w14:textId="68F86AF8" w:rsidR="00814732" w:rsidRPr="008F5592" w:rsidRDefault="004B7A95">
      <w:pPr>
        <w:rPr>
          <w:rFonts w:ascii="Times New Roman" w:hAnsi="Times New Roman" w:cs="Times New Roman"/>
          <w:sz w:val="28"/>
          <w:szCs w:val="28"/>
        </w:rPr>
      </w:pPr>
      <w:r w:rsidRPr="008F5592">
        <w:rPr>
          <w:rFonts w:ascii="Times New Roman" w:hAnsi="Times New Roman" w:cs="Times New Roman"/>
          <w:sz w:val="28"/>
          <w:szCs w:val="28"/>
        </w:rPr>
        <w:t>Thank you. I look forward to</w:t>
      </w:r>
      <w:r w:rsidR="005A1CBD" w:rsidRPr="008F5592">
        <w:rPr>
          <w:rFonts w:ascii="Times New Roman" w:hAnsi="Times New Roman" w:cs="Times New Roman"/>
          <w:sz w:val="28"/>
          <w:szCs w:val="28"/>
        </w:rPr>
        <w:t xml:space="preserve"> reading your </w:t>
      </w:r>
      <w:r w:rsidR="004F06FB" w:rsidRPr="008F5592">
        <w:rPr>
          <w:rFonts w:ascii="Times New Roman" w:hAnsi="Times New Roman" w:cs="Times New Roman"/>
          <w:sz w:val="28"/>
          <w:szCs w:val="28"/>
        </w:rPr>
        <w:t>report</w:t>
      </w:r>
      <w:r w:rsidR="005A1CBD" w:rsidRPr="008F5592">
        <w:rPr>
          <w:rFonts w:ascii="Times New Roman" w:hAnsi="Times New Roman" w:cs="Times New Roman"/>
          <w:sz w:val="28"/>
          <w:szCs w:val="28"/>
        </w:rPr>
        <w:t xml:space="preserve"> and to</w:t>
      </w:r>
      <w:r w:rsidRPr="008F5592">
        <w:rPr>
          <w:rFonts w:ascii="Times New Roman" w:hAnsi="Times New Roman" w:cs="Times New Roman"/>
          <w:sz w:val="28"/>
          <w:szCs w:val="28"/>
        </w:rPr>
        <w:t xml:space="preserve"> continued cooperation and partnership between the EMRIP and UNSRIP. </w:t>
      </w:r>
    </w:p>
    <w:p w14:paraId="0000001B" w14:textId="77777777" w:rsidR="00814732" w:rsidRPr="008F5592" w:rsidRDefault="00814732">
      <w:pPr>
        <w:rPr>
          <w:rFonts w:ascii="Times New Roman" w:hAnsi="Times New Roman" w:cs="Times New Roman"/>
          <w:sz w:val="28"/>
          <w:szCs w:val="28"/>
        </w:rPr>
      </w:pPr>
    </w:p>
    <w:sectPr w:rsidR="00814732" w:rsidRPr="008F559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7E33" w14:textId="77777777" w:rsidR="004946D4" w:rsidRDefault="004946D4">
      <w:pPr>
        <w:spacing w:line="240" w:lineRule="auto"/>
      </w:pPr>
      <w:r>
        <w:separator/>
      </w:r>
    </w:p>
  </w:endnote>
  <w:endnote w:type="continuationSeparator" w:id="0">
    <w:p w14:paraId="7EC6E028" w14:textId="77777777" w:rsidR="004946D4" w:rsidRDefault="00494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8F848" w14:textId="77777777" w:rsidR="004946D4" w:rsidRDefault="004946D4">
      <w:pPr>
        <w:spacing w:line="240" w:lineRule="auto"/>
      </w:pPr>
      <w:r>
        <w:separator/>
      </w:r>
    </w:p>
  </w:footnote>
  <w:footnote w:type="continuationSeparator" w:id="0">
    <w:p w14:paraId="1FE0F40A" w14:textId="77777777" w:rsidR="004946D4" w:rsidRDefault="004946D4">
      <w:pPr>
        <w:spacing w:line="240" w:lineRule="auto"/>
      </w:pPr>
      <w:r>
        <w:continuationSeparator/>
      </w:r>
    </w:p>
  </w:footnote>
  <w:footnote w:id="1">
    <w:p w14:paraId="458D7EE1" w14:textId="03F77F43" w:rsidR="00DB2FFA" w:rsidRPr="008F5592" w:rsidRDefault="00DB2FFA">
      <w:pPr>
        <w:pStyle w:val="FootnoteText"/>
        <w:rPr>
          <w:lang w:val="es-419"/>
        </w:rPr>
      </w:pPr>
      <w:r>
        <w:rPr>
          <w:rStyle w:val="FootnoteReference"/>
        </w:rPr>
        <w:footnoteRef/>
      </w:r>
      <w:r w:rsidRPr="008F5592">
        <w:rPr>
          <w:lang w:val="es-419"/>
        </w:rPr>
        <w:t xml:space="preserve"> E/CN.4/Sub.2/1999/20</w:t>
      </w:r>
      <w:r w:rsidR="00932029" w:rsidRPr="008F5592">
        <w:rPr>
          <w:lang w:val="es-419"/>
        </w:rPr>
        <w:t>.</w:t>
      </w:r>
    </w:p>
  </w:footnote>
  <w:footnote w:id="2">
    <w:p w14:paraId="5AB9B247" w14:textId="759EB9B0" w:rsidR="00BC6145" w:rsidRPr="008F5592" w:rsidRDefault="00BC6145">
      <w:pPr>
        <w:pStyle w:val="FootnoteText"/>
        <w:rPr>
          <w:lang w:val="es-419"/>
        </w:rPr>
      </w:pPr>
      <w:r>
        <w:rPr>
          <w:rStyle w:val="FootnoteReference"/>
        </w:rPr>
        <w:footnoteRef/>
      </w:r>
      <w:r w:rsidRPr="008F5592">
        <w:rPr>
          <w:lang w:val="es-419"/>
        </w:rPr>
        <w:t xml:space="preserve"> E/CN.4/2004/111</w:t>
      </w:r>
      <w:r w:rsidR="00932029" w:rsidRPr="008F5592">
        <w:rPr>
          <w:lang w:val="es-419"/>
        </w:rPr>
        <w:t>.</w:t>
      </w:r>
    </w:p>
  </w:footnote>
  <w:footnote w:id="3">
    <w:p w14:paraId="20A340D5" w14:textId="59952322" w:rsidR="00482F17" w:rsidRPr="008F5592" w:rsidRDefault="00482F17">
      <w:pPr>
        <w:pStyle w:val="FootnoteText"/>
        <w:rPr>
          <w:lang w:val="es-419"/>
        </w:rPr>
      </w:pPr>
      <w:r>
        <w:rPr>
          <w:rStyle w:val="FootnoteReference"/>
        </w:rPr>
        <w:footnoteRef/>
      </w:r>
      <w:r w:rsidRPr="008F5592">
        <w:rPr>
          <w:lang w:val="es-419"/>
        </w:rPr>
        <w:t xml:space="preserve"> </w:t>
      </w:r>
      <w:r w:rsidR="006271ED" w:rsidRPr="008F5592">
        <w:rPr>
          <w:lang w:val="es-419"/>
        </w:rPr>
        <w:t>A/HRC/EMRIP/2010/5.</w:t>
      </w:r>
    </w:p>
  </w:footnote>
  <w:footnote w:id="4">
    <w:p w14:paraId="38C4D0CA" w14:textId="2B4EE5EE" w:rsidR="00B45335" w:rsidRPr="00501D14" w:rsidRDefault="00B45335">
      <w:pPr>
        <w:pStyle w:val="FootnoteText"/>
        <w:rPr>
          <w:lang w:val="en-US"/>
        </w:rPr>
      </w:pPr>
      <w:r>
        <w:rPr>
          <w:rStyle w:val="FootnoteReference"/>
        </w:rPr>
        <w:footnoteRef/>
      </w:r>
      <w:r>
        <w:t xml:space="preserve"> Report of the United Nations Expert Seminar on Strengthening Partnership between Indigenous Peoples and States: treaties, agreements and other constructive arrangements Geneva, 16-17 July 2012</w:t>
      </w:r>
      <w:r w:rsidR="00932029">
        <w:t>.</w:t>
      </w:r>
    </w:p>
  </w:footnote>
  <w:footnote w:id="5">
    <w:p w14:paraId="0000001E" w14:textId="5C26DB54" w:rsidR="00814732" w:rsidRDefault="004B7A95">
      <w:pPr>
        <w:spacing w:line="240" w:lineRule="auto"/>
        <w:rPr>
          <w:sz w:val="20"/>
          <w:szCs w:val="20"/>
        </w:rPr>
      </w:pPr>
      <w:r>
        <w:rPr>
          <w:vertAlign w:val="superscript"/>
        </w:rPr>
        <w:footnoteRef/>
      </w:r>
      <w:r>
        <w:rPr>
          <w:sz w:val="20"/>
          <w:szCs w:val="20"/>
        </w:rPr>
        <w:t xml:space="preserve"> UNDRIP </w:t>
      </w:r>
      <w:r w:rsidR="006271ED">
        <w:rPr>
          <w:sz w:val="20"/>
          <w:szCs w:val="20"/>
        </w:rPr>
        <w:t>preamble</w:t>
      </w:r>
      <w:r>
        <w:rPr>
          <w:sz w:val="20"/>
          <w:szCs w:val="20"/>
        </w:rPr>
        <w:t>.</w:t>
      </w:r>
    </w:p>
  </w:footnote>
  <w:footnote w:id="6">
    <w:p w14:paraId="512402D4" w14:textId="67E25AD8" w:rsidR="000C1CB5" w:rsidRPr="000A054C" w:rsidRDefault="000C1CB5">
      <w:pPr>
        <w:pStyle w:val="FootnoteText"/>
        <w:rPr>
          <w:lang w:val="en-US"/>
        </w:rPr>
      </w:pPr>
      <w:r>
        <w:rPr>
          <w:rStyle w:val="FootnoteReference"/>
        </w:rPr>
        <w:footnoteRef/>
      </w:r>
      <w:r>
        <w:t xml:space="preserve"> </w:t>
      </w:r>
      <w:r>
        <w:rPr>
          <w:color w:val="000000"/>
        </w:rPr>
        <w:t>International Working Grou</w:t>
      </w:r>
      <w:r w:rsidR="00A150F6">
        <w:rPr>
          <w:color w:val="000000"/>
        </w:rPr>
        <w:t>p</w:t>
      </w:r>
      <w:r>
        <w:rPr>
          <w:color w:val="000000"/>
        </w:rPr>
        <w:t xml:space="preserve"> on Indigenous Affairs, </w:t>
      </w:r>
      <w:r>
        <w:rPr>
          <w:i/>
          <w:iCs/>
          <w:color w:val="000000"/>
        </w:rPr>
        <w:t xml:space="preserve">Report on the International Seminar, Indigenous Peoples’ Rights to Autonomy and Self-Government as a Manifestation of the Right to Self-Determination </w:t>
      </w:r>
      <w:r>
        <w:rPr>
          <w:color w:val="000000"/>
        </w:rPr>
        <w:t>p. 6, April 2019, https://www.iwgia.org/images/documents/Recommendations/Autonomi_report_UK.pdf.</w:t>
      </w:r>
    </w:p>
  </w:footnote>
  <w:footnote w:id="7">
    <w:p w14:paraId="0000001D" w14:textId="59B8FA8F" w:rsidR="00814732" w:rsidRDefault="004B7A95">
      <w:pPr>
        <w:spacing w:line="240" w:lineRule="auto"/>
        <w:rPr>
          <w:sz w:val="20"/>
          <w:szCs w:val="20"/>
        </w:rPr>
      </w:pPr>
      <w:r>
        <w:rPr>
          <w:vertAlign w:val="superscript"/>
        </w:rPr>
        <w:footnoteRef/>
      </w:r>
      <w:r>
        <w:rPr>
          <w:sz w:val="20"/>
          <w:szCs w:val="20"/>
        </w:rPr>
        <w:t xml:space="preserve"> Victoria </w:t>
      </w:r>
      <w:proofErr w:type="spellStart"/>
      <w:r>
        <w:rPr>
          <w:sz w:val="20"/>
          <w:szCs w:val="20"/>
        </w:rPr>
        <w:t>Tauli</w:t>
      </w:r>
      <w:proofErr w:type="spellEnd"/>
      <w:r>
        <w:rPr>
          <w:sz w:val="20"/>
          <w:szCs w:val="20"/>
        </w:rPr>
        <w:t xml:space="preserve"> </w:t>
      </w:r>
      <w:proofErr w:type="spellStart"/>
      <w:r>
        <w:rPr>
          <w:sz w:val="20"/>
          <w:szCs w:val="20"/>
        </w:rPr>
        <w:t>Corpuz</w:t>
      </w:r>
      <w:proofErr w:type="spellEnd"/>
      <w:r>
        <w:rPr>
          <w:sz w:val="20"/>
          <w:szCs w:val="20"/>
        </w:rPr>
        <w:t>,</w:t>
      </w:r>
      <w:r>
        <w:rPr>
          <w:i/>
          <w:sz w:val="20"/>
          <w:szCs w:val="20"/>
        </w:rPr>
        <w:t xml:space="preserve"> Report to the General Assembly</w:t>
      </w:r>
      <w:r>
        <w:t xml:space="preserve"> para. 43</w:t>
      </w:r>
      <w:r>
        <w:rPr>
          <w:sz w:val="20"/>
          <w:szCs w:val="20"/>
        </w:rPr>
        <w:t>, 17 July 2019, A/74/149.</w:t>
      </w:r>
    </w:p>
  </w:footnote>
  <w:footnote w:id="8">
    <w:p w14:paraId="00000024" w14:textId="28712002" w:rsidR="00814732" w:rsidRDefault="004B7A95">
      <w:pPr>
        <w:spacing w:line="240" w:lineRule="auto"/>
        <w:rPr>
          <w:sz w:val="20"/>
          <w:szCs w:val="20"/>
        </w:rPr>
      </w:pPr>
      <w:r>
        <w:rPr>
          <w:vertAlign w:val="superscript"/>
        </w:rPr>
        <w:footnoteRef/>
      </w:r>
      <w:r>
        <w:rPr>
          <w:sz w:val="20"/>
          <w:szCs w:val="20"/>
        </w:rPr>
        <w:t xml:space="preserve"> Miguel Alfonso Martinez, </w:t>
      </w:r>
      <w:r>
        <w:rPr>
          <w:i/>
          <w:sz w:val="20"/>
          <w:szCs w:val="20"/>
        </w:rPr>
        <w:t>Study on Treaties, Agreements and other Constructive Arrangements Between States and Indigenous Populations</w:t>
      </w:r>
      <w:r>
        <w:rPr>
          <w:sz w:val="20"/>
          <w:szCs w:val="20"/>
        </w:rPr>
        <w:t xml:space="preserve">, July 1997, </w:t>
      </w:r>
      <w:r w:rsidR="00266D38">
        <w:t xml:space="preserve">E/CN.4/Sub.2/1999/20. </w:t>
      </w:r>
    </w:p>
  </w:footnote>
  <w:footnote w:id="9">
    <w:p w14:paraId="00000025" w14:textId="77777777" w:rsidR="00814732" w:rsidRDefault="004B7A95">
      <w:pPr>
        <w:spacing w:line="240" w:lineRule="auto"/>
        <w:rPr>
          <w:sz w:val="20"/>
          <w:szCs w:val="20"/>
        </w:rPr>
      </w:pPr>
      <w:r>
        <w:rPr>
          <w:vertAlign w:val="superscript"/>
        </w:rPr>
        <w:footnoteRef/>
      </w:r>
      <w:r>
        <w:rPr>
          <w:sz w:val="20"/>
          <w:szCs w:val="20"/>
        </w:rPr>
        <w:t xml:space="preserve"> International Indian Treaty Council Intervention, </w:t>
      </w:r>
      <w:r>
        <w:rPr>
          <w:i/>
          <w:sz w:val="20"/>
          <w:szCs w:val="20"/>
        </w:rPr>
        <w:t>Strengthening Partnership between States and indigenous peoples: Treaties, agreements and other constructive arrangements</w:t>
      </w:r>
      <w:r>
        <w:rPr>
          <w:sz w:val="20"/>
          <w:szCs w:val="20"/>
        </w:rPr>
        <w:t>, 16-17 July 2012, https://www.ohchr.org/Documents/Issues/IPeoples/Seminars/Treaties/BP5.pdf</w:t>
      </w:r>
    </w:p>
  </w:footnote>
  <w:footnote w:id="10">
    <w:p w14:paraId="00000023" w14:textId="77777777" w:rsidR="00814732" w:rsidRDefault="004B7A95">
      <w:pPr>
        <w:spacing w:line="240" w:lineRule="auto"/>
        <w:rPr>
          <w:sz w:val="20"/>
          <w:szCs w:val="20"/>
        </w:rPr>
      </w:pPr>
      <w:r>
        <w:rPr>
          <w:vertAlign w:val="superscript"/>
        </w:rPr>
        <w:footnoteRef/>
      </w:r>
      <w:r>
        <w:rPr>
          <w:sz w:val="20"/>
          <w:szCs w:val="20"/>
        </w:rPr>
        <w:t xml:space="preserve"> José Francisco </w:t>
      </w:r>
      <w:proofErr w:type="spellStart"/>
      <w:r>
        <w:rPr>
          <w:sz w:val="20"/>
          <w:szCs w:val="20"/>
        </w:rPr>
        <w:t>Calí</w:t>
      </w:r>
      <w:proofErr w:type="spellEnd"/>
      <w:r>
        <w:rPr>
          <w:sz w:val="20"/>
          <w:szCs w:val="20"/>
        </w:rPr>
        <w:t xml:space="preserve"> </w:t>
      </w:r>
      <w:proofErr w:type="spellStart"/>
      <w:r>
        <w:rPr>
          <w:sz w:val="20"/>
          <w:szCs w:val="20"/>
        </w:rPr>
        <w:t>Tzay</w:t>
      </w:r>
      <w:proofErr w:type="spellEnd"/>
      <w:r>
        <w:rPr>
          <w:sz w:val="20"/>
          <w:szCs w:val="20"/>
        </w:rPr>
        <w:t xml:space="preserve">, </w:t>
      </w:r>
      <w:r>
        <w:rPr>
          <w:i/>
          <w:sz w:val="20"/>
          <w:szCs w:val="20"/>
        </w:rPr>
        <w:t xml:space="preserve">Expert Testimony in the case of the Maya </w:t>
      </w:r>
      <w:proofErr w:type="spellStart"/>
      <w:r>
        <w:rPr>
          <w:i/>
          <w:sz w:val="20"/>
          <w:szCs w:val="20"/>
        </w:rPr>
        <w:t>Kaqchikel</w:t>
      </w:r>
      <w:proofErr w:type="spellEnd"/>
      <w:r>
        <w:rPr>
          <w:i/>
          <w:sz w:val="20"/>
          <w:szCs w:val="20"/>
        </w:rPr>
        <w:t xml:space="preserve"> Indigenous Peoples of </w:t>
      </w:r>
      <w:proofErr w:type="spellStart"/>
      <w:r>
        <w:rPr>
          <w:i/>
          <w:sz w:val="20"/>
          <w:szCs w:val="20"/>
        </w:rPr>
        <w:t>Sumpango</w:t>
      </w:r>
      <w:proofErr w:type="spellEnd"/>
      <w:r>
        <w:rPr>
          <w:i/>
          <w:sz w:val="20"/>
          <w:szCs w:val="20"/>
        </w:rPr>
        <w:t xml:space="preserve"> and Others v. Guatemala</w:t>
      </w:r>
      <w:r>
        <w:rPr>
          <w:sz w:val="20"/>
          <w:szCs w:val="20"/>
        </w:rPr>
        <w:t>, Inter-American Court of Human Rights Case. No. CDH-3-2020, 24 May 2021, https://www.ohchr.org/Documents/Issues/IPeoples/SR/ExpertTestimonyCourt_EN.pdf.</w:t>
      </w:r>
    </w:p>
  </w:footnote>
  <w:footnote w:id="11">
    <w:p w14:paraId="62147FFD" w14:textId="47C48D60" w:rsidR="00FA5DAC" w:rsidRPr="008F5F7B" w:rsidRDefault="00FA5DAC">
      <w:pPr>
        <w:pStyle w:val="FootnoteText"/>
        <w:rPr>
          <w:lang w:val="en-US"/>
        </w:rPr>
      </w:pPr>
      <w:r>
        <w:rPr>
          <w:rStyle w:val="FootnoteReference"/>
        </w:rPr>
        <w:footnoteRef/>
      </w:r>
      <w:r>
        <w:t xml:space="preserve"> </w:t>
      </w:r>
      <w:r w:rsidRPr="000A054C">
        <w:rPr>
          <w:i/>
          <w:iCs/>
          <w:lang w:val="en-US"/>
        </w:rPr>
        <w:t>See</w:t>
      </w:r>
      <w:r>
        <w:rPr>
          <w:lang w:val="en-US"/>
        </w:rPr>
        <w:t xml:space="preserve"> Mary and Carrie </w:t>
      </w:r>
      <w:proofErr w:type="spellStart"/>
      <w:r>
        <w:rPr>
          <w:lang w:val="en-US"/>
        </w:rPr>
        <w:t>Dann</w:t>
      </w:r>
      <w:proofErr w:type="spellEnd"/>
      <w:r>
        <w:rPr>
          <w:lang w:val="en-US"/>
        </w:rPr>
        <w:t xml:space="preserve"> v. United States, IACHR, </w:t>
      </w:r>
      <w:r w:rsidR="006845B7">
        <w:rPr>
          <w:lang w:val="en-US"/>
        </w:rPr>
        <w:t xml:space="preserve">Case 11.140 </w:t>
      </w:r>
      <w:r>
        <w:rPr>
          <w:lang w:val="en-US"/>
        </w:rPr>
        <w:t>Final Report 20/02</w:t>
      </w:r>
      <w:r w:rsidR="001C1A81">
        <w:rPr>
          <w:lang w:val="en-US"/>
        </w:rPr>
        <w:t xml:space="preserve"> paras. 142 and 143</w:t>
      </w:r>
      <w:r w:rsidR="00266D38">
        <w:rPr>
          <w:lang w:val="en-US"/>
        </w:rPr>
        <w:t>;</w:t>
      </w:r>
      <w:r w:rsidR="007C587C">
        <w:rPr>
          <w:lang w:val="en-US"/>
        </w:rPr>
        <w:t xml:space="preserve"> </w:t>
      </w:r>
      <w:r w:rsidR="00266D38">
        <w:t xml:space="preserve">11 April 2006, </w:t>
      </w:r>
      <w:r w:rsidR="007C587C">
        <w:t>CERD/C/USA/DEC/1</w:t>
      </w:r>
      <w:r w:rsidR="000C1CB5">
        <w:t>,</w:t>
      </w:r>
      <w:r w:rsidR="007C587C">
        <w:t xml:space="preserve"> </w:t>
      </w:r>
      <w:r w:rsidR="008F5F7B">
        <w:t>para. 6.</w:t>
      </w:r>
    </w:p>
  </w:footnote>
  <w:footnote w:id="12">
    <w:p w14:paraId="3C11ACB0" w14:textId="545081DF" w:rsidR="00035DE7" w:rsidRPr="000A054C" w:rsidRDefault="00035DE7">
      <w:pPr>
        <w:pStyle w:val="FootnoteText"/>
        <w:rPr>
          <w:lang w:val="en-US"/>
        </w:rPr>
      </w:pPr>
      <w:r>
        <w:rPr>
          <w:rStyle w:val="FootnoteReference"/>
        </w:rPr>
        <w:footnoteRef/>
      </w:r>
      <w:r>
        <w:t xml:space="preserve"> </w:t>
      </w:r>
      <w:r>
        <w:rPr>
          <w:lang w:val="en-US"/>
        </w:rPr>
        <w:t xml:space="preserve">Victoria </w:t>
      </w:r>
      <w:proofErr w:type="spellStart"/>
      <w:r>
        <w:rPr>
          <w:lang w:val="en-US"/>
        </w:rPr>
        <w:t>Tauli</w:t>
      </w:r>
      <w:proofErr w:type="spellEnd"/>
      <w:r>
        <w:rPr>
          <w:lang w:val="en-US"/>
        </w:rPr>
        <w:t xml:space="preserve"> </w:t>
      </w:r>
      <w:proofErr w:type="spellStart"/>
      <w:r>
        <w:rPr>
          <w:lang w:val="en-US"/>
        </w:rPr>
        <w:t>Corpuz</w:t>
      </w:r>
      <w:proofErr w:type="spellEnd"/>
      <w:r>
        <w:rPr>
          <w:lang w:val="en-US"/>
        </w:rPr>
        <w:t xml:space="preserve">, </w:t>
      </w:r>
      <w:r>
        <w:t>R</w:t>
      </w:r>
      <w:r w:rsidRPr="00035DE7">
        <w:t xml:space="preserve">eport to the General Assembly, 17 July 2019, </w:t>
      </w:r>
      <w:hyperlink r:id="rId1" w:history="1">
        <w:r w:rsidRPr="00035DE7">
          <w:rPr>
            <w:rStyle w:val="Hyperlink"/>
          </w:rPr>
          <w:t>A/74/149</w:t>
        </w:r>
      </w:hyperlink>
      <w:r>
        <w:rPr>
          <w:lang w:val="en-US"/>
        </w:rPr>
        <w:t>.</w:t>
      </w:r>
    </w:p>
  </w:footnote>
  <w:footnote w:id="13">
    <w:p w14:paraId="6D3BFC1E" w14:textId="7D147C74" w:rsidR="00AE6B53" w:rsidRDefault="00AE6B53" w:rsidP="00AE6B53">
      <w:pPr>
        <w:spacing w:line="240" w:lineRule="auto"/>
        <w:rPr>
          <w:sz w:val="20"/>
          <w:szCs w:val="20"/>
        </w:rPr>
      </w:pPr>
      <w:r>
        <w:rPr>
          <w:vertAlign w:val="superscript"/>
        </w:rPr>
        <w:footnoteRef/>
      </w:r>
      <w:r>
        <w:rPr>
          <w:sz w:val="20"/>
          <w:szCs w:val="20"/>
        </w:rPr>
        <w:t xml:space="preserve"> </w:t>
      </w:r>
      <w:r w:rsidR="00DF16FB">
        <w:rPr>
          <w:i/>
          <w:iCs/>
          <w:sz w:val="20"/>
          <w:szCs w:val="20"/>
        </w:rPr>
        <w:t xml:space="preserve">See </w:t>
      </w:r>
      <w:r>
        <w:rPr>
          <w:sz w:val="20"/>
          <w:szCs w:val="20"/>
        </w:rPr>
        <w:t xml:space="preserve">CERD general recommendation XXI on the right to </w:t>
      </w:r>
      <w:proofErr w:type="spellStart"/>
      <w:r>
        <w:rPr>
          <w:sz w:val="20"/>
          <w:szCs w:val="20"/>
        </w:rPr>
        <w:t>self determination</w:t>
      </w:r>
      <w:proofErr w:type="spellEnd"/>
      <w:r w:rsidR="002B32CC">
        <w:rPr>
          <w:sz w:val="20"/>
          <w:szCs w:val="20"/>
        </w:rPr>
        <w:t xml:space="preserve"> </w:t>
      </w:r>
      <w:r w:rsidR="00DF16FB">
        <w:rPr>
          <w:sz w:val="20"/>
          <w:szCs w:val="20"/>
        </w:rPr>
        <w:t>(describing exploitation, subjugation, and domination as obstacles to self-determination)</w:t>
      </w:r>
      <w:r>
        <w:rPr>
          <w:sz w:val="20"/>
          <w:szCs w:val="20"/>
        </w:rPr>
        <w:t>.</w:t>
      </w:r>
    </w:p>
  </w:footnote>
  <w:footnote w:id="14">
    <w:p w14:paraId="27D4ACAD" w14:textId="30FEFDBE" w:rsidR="00EC7AA6" w:rsidRPr="000A054C" w:rsidRDefault="00EC7AA6">
      <w:pPr>
        <w:pStyle w:val="FootnoteText"/>
        <w:rPr>
          <w:lang w:val="en-US"/>
        </w:rPr>
      </w:pPr>
      <w:r>
        <w:rPr>
          <w:rStyle w:val="FootnoteReference"/>
        </w:rPr>
        <w:footnoteRef/>
      </w:r>
      <w:r>
        <w:t xml:space="preserve"> </w:t>
      </w:r>
      <w:r w:rsidR="000E013F">
        <w:rPr>
          <w:lang w:val="en-US"/>
        </w:rPr>
        <w:t xml:space="preserve">James Anaya, Report to the General Assembly para. 88, 10 Aug. 2011, </w:t>
      </w:r>
      <w:hyperlink r:id="rId2" w:history="1">
        <w:r w:rsidR="00932029" w:rsidRPr="003C16A0">
          <w:rPr>
            <w:rStyle w:val="Hyperlink"/>
            <w:lang w:val="en-US"/>
          </w:rPr>
          <w:t>A/66/288</w:t>
        </w:r>
      </w:hyperlink>
      <w:r w:rsidR="000E013F">
        <w:rPr>
          <w:lang w:val="en-US"/>
        </w:rPr>
        <w:t>.</w:t>
      </w:r>
    </w:p>
  </w:footnote>
  <w:footnote w:id="15">
    <w:p w14:paraId="3143F765" w14:textId="79CF100D" w:rsidR="00AE6B53" w:rsidRPr="00BB63F6" w:rsidRDefault="00AE6B53" w:rsidP="00AE6B53">
      <w:pPr>
        <w:spacing w:line="240" w:lineRule="auto"/>
        <w:rPr>
          <w:sz w:val="20"/>
          <w:szCs w:val="20"/>
          <w:lang w:val="es-419"/>
        </w:rPr>
      </w:pPr>
      <w:r>
        <w:rPr>
          <w:vertAlign w:val="superscript"/>
        </w:rPr>
        <w:footnoteRef/>
      </w:r>
      <w:r>
        <w:rPr>
          <w:sz w:val="20"/>
          <w:szCs w:val="20"/>
        </w:rPr>
        <w:t xml:space="preserve"> </w:t>
      </w:r>
      <w:r w:rsidR="00266D38">
        <w:rPr>
          <w:sz w:val="20"/>
          <w:szCs w:val="20"/>
        </w:rPr>
        <w:t xml:space="preserve">International Labor Organization, </w:t>
      </w:r>
      <w:r>
        <w:rPr>
          <w:i/>
          <w:sz w:val="20"/>
          <w:szCs w:val="20"/>
        </w:rPr>
        <w:t>Implementing the ILO Indigenous and Tribal Peoples Convention No. 169: Towards an inclusive, sustainable and just future</w:t>
      </w:r>
      <w:r>
        <w:rPr>
          <w:sz w:val="20"/>
          <w:szCs w:val="20"/>
        </w:rPr>
        <w:t xml:space="preserve"> 105,2019, </w:t>
      </w:r>
      <w:hyperlink r:id="rId3">
        <w:r>
          <w:rPr>
            <w:color w:val="1155CC"/>
            <w:sz w:val="20"/>
            <w:szCs w:val="20"/>
            <w:u w:val="single"/>
          </w:rPr>
          <w:t>https://www.ilo.org/wcmsp5/groups/public/---</w:t>
        </w:r>
        <w:proofErr w:type="spellStart"/>
        <w:r>
          <w:rPr>
            <w:color w:val="1155CC"/>
            <w:sz w:val="20"/>
            <w:szCs w:val="20"/>
            <w:u w:val="single"/>
          </w:rPr>
          <w:t>dgreports</w:t>
        </w:r>
        <w:proofErr w:type="spellEnd"/>
        <w:r>
          <w:rPr>
            <w:color w:val="1155CC"/>
            <w:sz w:val="20"/>
            <w:szCs w:val="20"/>
            <w:u w:val="single"/>
          </w:rPr>
          <w:t>/---</w:t>
        </w:r>
        <w:proofErr w:type="spellStart"/>
        <w:r>
          <w:rPr>
            <w:color w:val="1155CC"/>
            <w:sz w:val="20"/>
            <w:szCs w:val="20"/>
            <w:u w:val="single"/>
          </w:rPr>
          <w:t>dcomm</w:t>
        </w:r>
        <w:proofErr w:type="spellEnd"/>
        <w:r>
          <w:rPr>
            <w:color w:val="1155CC"/>
            <w:sz w:val="20"/>
            <w:szCs w:val="20"/>
            <w:u w:val="single"/>
          </w:rPr>
          <w:t>/---</w:t>
        </w:r>
        <w:proofErr w:type="spellStart"/>
        <w:r>
          <w:rPr>
            <w:color w:val="1155CC"/>
            <w:sz w:val="20"/>
            <w:szCs w:val="20"/>
            <w:u w:val="single"/>
          </w:rPr>
          <w:t>publ</w:t>
        </w:r>
        <w:proofErr w:type="spellEnd"/>
        <w:r>
          <w:rPr>
            <w:color w:val="1155CC"/>
            <w:sz w:val="20"/>
            <w:szCs w:val="20"/>
            <w:u w:val="single"/>
          </w:rPr>
          <w:t>/documents/publication/wcms_735607.pdf</w:t>
        </w:r>
      </w:hyperlink>
      <w:r>
        <w:rPr>
          <w:sz w:val="20"/>
          <w:szCs w:val="20"/>
        </w:rPr>
        <w:t xml:space="preserve">; Rodolfo </w:t>
      </w:r>
      <w:proofErr w:type="spellStart"/>
      <w:r>
        <w:rPr>
          <w:sz w:val="20"/>
          <w:szCs w:val="20"/>
        </w:rPr>
        <w:t>Stavenhagen</w:t>
      </w:r>
      <w:proofErr w:type="spellEnd"/>
      <w:r>
        <w:rPr>
          <w:sz w:val="20"/>
          <w:szCs w:val="20"/>
        </w:rPr>
        <w:t xml:space="preserve">, report to the Commission on Human Rights, para. </w:t>
      </w:r>
      <w:r w:rsidRPr="00BB63F6">
        <w:rPr>
          <w:sz w:val="20"/>
          <w:szCs w:val="20"/>
          <w:lang w:val="es-419"/>
        </w:rPr>
        <w:t xml:space="preserve">109, 16 Feb. 2006, </w:t>
      </w:r>
      <w:r w:rsidR="00783786">
        <w:fldChar w:fldCharType="begin"/>
      </w:r>
      <w:r w:rsidR="00783786" w:rsidRPr="00783786">
        <w:rPr>
          <w:lang w:val="es-MX"/>
        </w:rPr>
        <w:instrText xml:space="preserve"> HYPERLINK "file:///C:\\Users\\showard\\Downloads\\E\\CN.4\\2006\\78" </w:instrText>
      </w:r>
      <w:r w:rsidR="00783786">
        <w:fldChar w:fldCharType="separate"/>
      </w:r>
      <w:r w:rsidR="00266D38" w:rsidRPr="00BB63F6">
        <w:rPr>
          <w:rStyle w:val="Hyperlink"/>
          <w:sz w:val="20"/>
          <w:szCs w:val="20"/>
          <w:lang w:val="es-419"/>
        </w:rPr>
        <w:t>E/CN.4/2006/78</w:t>
      </w:r>
      <w:r w:rsidR="00783786">
        <w:rPr>
          <w:rStyle w:val="Hyperlink"/>
          <w:sz w:val="20"/>
          <w:szCs w:val="20"/>
          <w:lang w:val="es-419"/>
        </w:rPr>
        <w:fldChar w:fldCharType="end"/>
      </w:r>
      <w:r w:rsidRPr="00BB63F6">
        <w:rPr>
          <w:sz w:val="20"/>
          <w:szCs w:val="20"/>
          <w:lang w:val="es-419"/>
        </w:rPr>
        <w:t>.</w:t>
      </w:r>
    </w:p>
  </w:footnote>
  <w:footnote w:id="16">
    <w:p w14:paraId="47076FC1" w14:textId="7E590C10" w:rsidR="009E4E86" w:rsidRDefault="009E4E86" w:rsidP="009E4E86">
      <w:pPr>
        <w:spacing w:line="240" w:lineRule="auto"/>
        <w:rPr>
          <w:sz w:val="20"/>
          <w:szCs w:val="20"/>
        </w:rPr>
      </w:pPr>
      <w:r>
        <w:rPr>
          <w:vertAlign w:val="superscript"/>
        </w:rPr>
        <w:footnoteRef/>
      </w:r>
      <w:r w:rsidRPr="00BB63F6">
        <w:rPr>
          <w:sz w:val="20"/>
          <w:szCs w:val="20"/>
          <w:lang w:val="es-419"/>
        </w:rPr>
        <w:t xml:space="preserve"> </w:t>
      </w:r>
      <w:hyperlink r:id="rId4">
        <w:r w:rsidRPr="00BB63F6">
          <w:rPr>
            <w:color w:val="1155CC"/>
            <w:sz w:val="20"/>
            <w:szCs w:val="20"/>
            <w:u w:val="single"/>
            <w:lang w:val="es-419"/>
          </w:rPr>
          <w:t>www.un.org/News/Press/docs/2008/sgsm11715.doc.htm</w:t>
        </w:r>
      </w:hyperlink>
      <w:r w:rsidRPr="00BB63F6">
        <w:rPr>
          <w:sz w:val="20"/>
          <w:szCs w:val="20"/>
          <w:lang w:val="es-419"/>
        </w:rPr>
        <w:t xml:space="preserve">. </w:t>
      </w:r>
      <w:r>
        <w:rPr>
          <w:sz w:val="20"/>
          <w:szCs w:val="20"/>
        </w:rPr>
        <w:t>As Ban Ki-Moon said on the occasion of the adoption of the Declaration, “The Declaration is a visionary step towards addressing the human rights of indigenous peoples. It sets out a framework on which States can build or rebuild their relationships with indigenous peoples. The result of more than two decades of negotiations, it provides a momentous opportunity for States and indigenous peoples to strengthen their relationships, promote reconciliation and ensure that the past is not repeated. I encourage Member States and indigenous peoples to come together in a spirit of mutual respect and make use of the Declaration as the living document it is, so that it has a real and</w:t>
      </w:r>
      <w:r w:rsidR="00932029">
        <w:rPr>
          <w:sz w:val="20"/>
          <w:szCs w:val="20"/>
        </w:rPr>
        <w:t xml:space="preserve"> </w:t>
      </w:r>
      <w:r>
        <w:rPr>
          <w:sz w:val="20"/>
          <w:szCs w:val="20"/>
        </w:rPr>
        <w:t>positive effect throughout the world.”</w:t>
      </w:r>
    </w:p>
  </w:footnote>
  <w:footnote w:id="17">
    <w:p w14:paraId="03571523" w14:textId="4969DB72" w:rsidR="009E4E86" w:rsidRDefault="009E4E86" w:rsidP="009E4E86">
      <w:pPr>
        <w:spacing w:line="240" w:lineRule="auto"/>
        <w:rPr>
          <w:sz w:val="20"/>
          <w:szCs w:val="20"/>
        </w:rPr>
      </w:pPr>
      <w:r>
        <w:rPr>
          <w:vertAlign w:val="superscript"/>
        </w:rPr>
        <w:footnoteRef/>
      </w:r>
      <w:r>
        <w:rPr>
          <w:sz w:val="20"/>
          <w:szCs w:val="20"/>
        </w:rPr>
        <w:t xml:space="preserve"> EMRIP, </w:t>
      </w:r>
      <w:r>
        <w:rPr>
          <w:i/>
          <w:sz w:val="20"/>
          <w:szCs w:val="20"/>
        </w:rPr>
        <w:t xml:space="preserve">Efforts to implement the United Nations Declaration on the Rights of Indigenous Peoples: </w:t>
      </w:r>
      <w:r w:rsidR="002B32CC">
        <w:rPr>
          <w:i/>
          <w:sz w:val="20"/>
          <w:szCs w:val="20"/>
        </w:rPr>
        <w:t>R</w:t>
      </w:r>
      <w:r>
        <w:rPr>
          <w:i/>
          <w:sz w:val="20"/>
          <w:szCs w:val="20"/>
        </w:rPr>
        <w:t xml:space="preserve">ecognition, </w:t>
      </w:r>
      <w:r w:rsidR="002B32CC">
        <w:rPr>
          <w:i/>
          <w:sz w:val="20"/>
          <w:szCs w:val="20"/>
        </w:rPr>
        <w:t>R</w:t>
      </w:r>
      <w:r>
        <w:rPr>
          <w:i/>
          <w:sz w:val="20"/>
          <w:szCs w:val="20"/>
        </w:rPr>
        <w:t>eparation and Reconciliation</w:t>
      </w:r>
      <w:r>
        <w:rPr>
          <w:sz w:val="20"/>
          <w:szCs w:val="20"/>
        </w:rPr>
        <w:t xml:space="preserve"> para. 9, 11, 2 Sep. 2019, </w:t>
      </w:r>
      <w:hyperlink r:id="rId5" w:history="1">
        <w:r w:rsidR="0088763F" w:rsidRPr="003C16A0">
          <w:rPr>
            <w:rStyle w:val="Hyperlink"/>
            <w:sz w:val="20"/>
            <w:szCs w:val="20"/>
          </w:rPr>
          <w:t>A/HRC/EMRIP/2019/3/Rev.1</w:t>
        </w:r>
      </w:hyperlink>
      <w:r>
        <w:rPr>
          <w:sz w:val="20"/>
          <w:szCs w:val="20"/>
        </w:rPr>
        <w:t xml:space="preserve"> “In the Declaration, the international community sets the international standard to prevent any attempt at, continuation of or regression to assimilationist policies, doctrines or practices with regard to indigenous peoples and encourages States to promote and protect specific and differentiated rights for indigenous peoples. The full, effective and integrated implementation of the Declaration should therefore be recognized as a comprehensive framework for recognition, reparation and reconciliation. The Declaration also provides the necessary elements to approach reparation from the perspective of indigenous peoples, taking into account their cultural specificities, their spiritual connection to their lands (which are essential for their survival as distinct peoples) and their right to participate fully and effectively in decision-making. The understanding of reparation and reconciliation as legal concepts continues to evolve, and indigenous perspectives on these terms must be taken into account.”</w:t>
      </w:r>
    </w:p>
  </w:footnote>
  <w:footnote w:id="18">
    <w:p w14:paraId="3ED297E9" w14:textId="381D96D2" w:rsidR="009E4E86" w:rsidRDefault="009E4E86" w:rsidP="009E4E86">
      <w:pPr>
        <w:spacing w:line="240" w:lineRule="auto"/>
        <w:rPr>
          <w:sz w:val="20"/>
          <w:szCs w:val="20"/>
        </w:rPr>
      </w:pPr>
      <w:r>
        <w:rPr>
          <w:vertAlign w:val="superscript"/>
        </w:rPr>
        <w:footnoteRef/>
      </w:r>
      <w:r w:rsidR="000A054C">
        <w:rPr>
          <w:i/>
          <w:iCs/>
          <w:sz w:val="20"/>
          <w:szCs w:val="20"/>
        </w:rPr>
        <w:t xml:space="preserve">Id. </w:t>
      </w:r>
      <w:r w:rsidR="0088763F" w:rsidRPr="000A054C">
        <w:rPr>
          <w:sz w:val="20"/>
          <w:szCs w:val="20"/>
        </w:rPr>
        <w:t>at para. 21, 25</w:t>
      </w:r>
      <w:r>
        <w:rPr>
          <w:sz w:val="20"/>
          <w:szCs w:val="20"/>
        </w:rPr>
        <w:t>; https://www.iwgia.org/en/nepal.</w:t>
      </w:r>
    </w:p>
  </w:footnote>
  <w:footnote w:id="19">
    <w:p w14:paraId="00000026" w14:textId="77777777" w:rsidR="00814732" w:rsidRDefault="004B7A95">
      <w:pPr>
        <w:spacing w:line="240" w:lineRule="auto"/>
        <w:rPr>
          <w:sz w:val="20"/>
          <w:szCs w:val="20"/>
        </w:rPr>
      </w:pPr>
      <w:r>
        <w:rPr>
          <w:vertAlign w:val="superscript"/>
        </w:rPr>
        <w:footnoteRef/>
      </w:r>
      <w:r>
        <w:rPr>
          <w:sz w:val="20"/>
          <w:szCs w:val="20"/>
        </w:rPr>
        <w:t xml:space="preserve"> UNDRIP, Article 19. </w:t>
      </w:r>
    </w:p>
  </w:footnote>
  <w:footnote w:id="20">
    <w:p w14:paraId="37C07078" w14:textId="316B08E1" w:rsidR="00F43993" w:rsidRDefault="00F43993" w:rsidP="00F43993">
      <w:pPr>
        <w:spacing w:line="240" w:lineRule="auto"/>
        <w:rPr>
          <w:sz w:val="20"/>
          <w:szCs w:val="20"/>
        </w:rPr>
      </w:pPr>
      <w:r>
        <w:rPr>
          <w:vertAlign w:val="superscript"/>
        </w:rPr>
        <w:footnoteRef/>
      </w:r>
      <w:r>
        <w:rPr>
          <w:sz w:val="20"/>
          <w:szCs w:val="20"/>
        </w:rPr>
        <w:t xml:space="preserve"> James Anaya, Report to the Human Rights Council, 2009, A/HRC/12/34.</w:t>
      </w:r>
    </w:p>
  </w:footnote>
  <w:footnote w:id="21">
    <w:p w14:paraId="0000002A" w14:textId="2F0C0E5C" w:rsidR="00814732" w:rsidRDefault="004B7A95">
      <w:pPr>
        <w:spacing w:line="240" w:lineRule="auto"/>
        <w:rPr>
          <w:sz w:val="20"/>
          <w:szCs w:val="20"/>
        </w:rPr>
      </w:pPr>
      <w:r>
        <w:rPr>
          <w:vertAlign w:val="superscript"/>
        </w:rPr>
        <w:footnoteRef/>
      </w:r>
      <w:r>
        <w:rPr>
          <w:sz w:val="20"/>
          <w:szCs w:val="20"/>
        </w:rPr>
        <w:t xml:space="preserve"> Report of the Expert Mechanism on the Rights of Indigenous Peoples to the Human Rights Council, para. 28, 4 Aug. </w:t>
      </w:r>
      <w:proofErr w:type="gramStart"/>
      <w:r>
        <w:rPr>
          <w:sz w:val="20"/>
          <w:szCs w:val="20"/>
        </w:rPr>
        <w:t>2021,A</w:t>
      </w:r>
      <w:proofErr w:type="gramEnd"/>
      <w:r>
        <w:rPr>
          <w:sz w:val="20"/>
          <w:szCs w:val="20"/>
        </w:rPr>
        <w:t xml:space="preserve">/HRC/48/75. </w:t>
      </w:r>
    </w:p>
  </w:footnote>
  <w:footnote w:id="22">
    <w:p w14:paraId="0000002B" w14:textId="77777777" w:rsidR="00814732" w:rsidRDefault="004B7A95">
      <w:pPr>
        <w:spacing w:line="240" w:lineRule="auto"/>
        <w:rPr>
          <w:sz w:val="20"/>
          <w:szCs w:val="20"/>
        </w:rPr>
      </w:pPr>
      <w:r>
        <w:rPr>
          <w:vertAlign w:val="superscript"/>
        </w:rPr>
        <w:footnoteRef/>
      </w:r>
      <w:r>
        <w:rPr>
          <w:sz w:val="20"/>
          <w:szCs w:val="20"/>
        </w:rPr>
        <w:t xml:space="preserve"> UNDRIP Article 4,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1C00"/>
    <w:multiLevelType w:val="multilevel"/>
    <w:tmpl w:val="D9B80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7E6762"/>
    <w:multiLevelType w:val="hybridMultilevel"/>
    <w:tmpl w:val="C2CE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0360E"/>
    <w:multiLevelType w:val="hybridMultilevel"/>
    <w:tmpl w:val="F442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2"/>
    <w:rsid w:val="00010138"/>
    <w:rsid w:val="00030653"/>
    <w:rsid w:val="00035DE7"/>
    <w:rsid w:val="00056DD3"/>
    <w:rsid w:val="00081EF9"/>
    <w:rsid w:val="0008319F"/>
    <w:rsid w:val="0008434E"/>
    <w:rsid w:val="000849AF"/>
    <w:rsid w:val="000A054C"/>
    <w:rsid w:val="000A7D1C"/>
    <w:rsid w:val="000C1CB5"/>
    <w:rsid w:val="000E013F"/>
    <w:rsid w:val="00104020"/>
    <w:rsid w:val="001404EA"/>
    <w:rsid w:val="00153571"/>
    <w:rsid w:val="00154956"/>
    <w:rsid w:val="0017036F"/>
    <w:rsid w:val="001A4E07"/>
    <w:rsid w:val="001B5784"/>
    <w:rsid w:val="001C1A81"/>
    <w:rsid w:val="001D00DE"/>
    <w:rsid w:val="001D38E9"/>
    <w:rsid w:val="001F32A6"/>
    <w:rsid w:val="002557A1"/>
    <w:rsid w:val="002567AF"/>
    <w:rsid w:val="00256E41"/>
    <w:rsid w:val="00266D38"/>
    <w:rsid w:val="002825D6"/>
    <w:rsid w:val="002844C6"/>
    <w:rsid w:val="00294A3C"/>
    <w:rsid w:val="002950D2"/>
    <w:rsid w:val="002A378C"/>
    <w:rsid w:val="002A504B"/>
    <w:rsid w:val="002A55DC"/>
    <w:rsid w:val="002A6E0D"/>
    <w:rsid w:val="002B10AD"/>
    <w:rsid w:val="002B32CC"/>
    <w:rsid w:val="002B7081"/>
    <w:rsid w:val="002C68EB"/>
    <w:rsid w:val="002E2F63"/>
    <w:rsid w:val="002F3A29"/>
    <w:rsid w:val="003131DF"/>
    <w:rsid w:val="00322023"/>
    <w:rsid w:val="00354952"/>
    <w:rsid w:val="003745D1"/>
    <w:rsid w:val="00381645"/>
    <w:rsid w:val="003A2601"/>
    <w:rsid w:val="003A6482"/>
    <w:rsid w:val="003B0832"/>
    <w:rsid w:val="003E62A1"/>
    <w:rsid w:val="0042589B"/>
    <w:rsid w:val="00426D6E"/>
    <w:rsid w:val="0042799C"/>
    <w:rsid w:val="00447CA7"/>
    <w:rsid w:val="00472579"/>
    <w:rsid w:val="004800B2"/>
    <w:rsid w:val="00482F17"/>
    <w:rsid w:val="00485064"/>
    <w:rsid w:val="00491F14"/>
    <w:rsid w:val="004946D4"/>
    <w:rsid w:val="004B7A95"/>
    <w:rsid w:val="004C4114"/>
    <w:rsid w:val="004C4C13"/>
    <w:rsid w:val="004C68A4"/>
    <w:rsid w:val="004F06FB"/>
    <w:rsid w:val="00501D14"/>
    <w:rsid w:val="00513D94"/>
    <w:rsid w:val="00533541"/>
    <w:rsid w:val="005529B2"/>
    <w:rsid w:val="00586C52"/>
    <w:rsid w:val="005A1CBD"/>
    <w:rsid w:val="005A3F03"/>
    <w:rsid w:val="005F451E"/>
    <w:rsid w:val="006108AC"/>
    <w:rsid w:val="00610EF3"/>
    <w:rsid w:val="006271ED"/>
    <w:rsid w:val="00632A35"/>
    <w:rsid w:val="0064637F"/>
    <w:rsid w:val="0065462D"/>
    <w:rsid w:val="006777F4"/>
    <w:rsid w:val="006845B7"/>
    <w:rsid w:val="006C0815"/>
    <w:rsid w:val="006D1811"/>
    <w:rsid w:val="006E0C3D"/>
    <w:rsid w:val="006E7EDE"/>
    <w:rsid w:val="00722283"/>
    <w:rsid w:val="00767DE0"/>
    <w:rsid w:val="00772089"/>
    <w:rsid w:val="007729DE"/>
    <w:rsid w:val="0077615F"/>
    <w:rsid w:val="00783786"/>
    <w:rsid w:val="00794734"/>
    <w:rsid w:val="007C587C"/>
    <w:rsid w:val="007D63CE"/>
    <w:rsid w:val="007F2487"/>
    <w:rsid w:val="00814732"/>
    <w:rsid w:val="00822F0C"/>
    <w:rsid w:val="00824BD2"/>
    <w:rsid w:val="00841796"/>
    <w:rsid w:val="00852245"/>
    <w:rsid w:val="0085635F"/>
    <w:rsid w:val="0088763F"/>
    <w:rsid w:val="00892906"/>
    <w:rsid w:val="00892BBA"/>
    <w:rsid w:val="008A77F8"/>
    <w:rsid w:val="008C47EA"/>
    <w:rsid w:val="008D1190"/>
    <w:rsid w:val="008D7270"/>
    <w:rsid w:val="008F09C8"/>
    <w:rsid w:val="008F5592"/>
    <w:rsid w:val="008F5F7B"/>
    <w:rsid w:val="00925E34"/>
    <w:rsid w:val="00932029"/>
    <w:rsid w:val="00933497"/>
    <w:rsid w:val="00940632"/>
    <w:rsid w:val="00941D12"/>
    <w:rsid w:val="00962669"/>
    <w:rsid w:val="00971622"/>
    <w:rsid w:val="00971F5C"/>
    <w:rsid w:val="00985BCF"/>
    <w:rsid w:val="009927D2"/>
    <w:rsid w:val="00995D51"/>
    <w:rsid w:val="009A0DE6"/>
    <w:rsid w:val="009A434C"/>
    <w:rsid w:val="009D4827"/>
    <w:rsid w:val="009E4E86"/>
    <w:rsid w:val="009F4742"/>
    <w:rsid w:val="009F4810"/>
    <w:rsid w:val="00A150F6"/>
    <w:rsid w:val="00A17DA2"/>
    <w:rsid w:val="00A42253"/>
    <w:rsid w:val="00AA4079"/>
    <w:rsid w:val="00AC4410"/>
    <w:rsid w:val="00AC6459"/>
    <w:rsid w:val="00AE6B53"/>
    <w:rsid w:val="00B02F7B"/>
    <w:rsid w:val="00B12DCC"/>
    <w:rsid w:val="00B2018D"/>
    <w:rsid w:val="00B279A5"/>
    <w:rsid w:val="00B3394E"/>
    <w:rsid w:val="00B45335"/>
    <w:rsid w:val="00B968E3"/>
    <w:rsid w:val="00B97313"/>
    <w:rsid w:val="00BA0C61"/>
    <w:rsid w:val="00BA5519"/>
    <w:rsid w:val="00BA6C14"/>
    <w:rsid w:val="00BB63F6"/>
    <w:rsid w:val="00BC42DD"/>
    <w:rsid w:val="00BC6145"/>
    <w:rsid w:val="00BD1423"/>
    <w:rsid w:val="00C158FE"/>
    <w:rsid w:val="00C253E1"/>
    <w:rsid w:val="00CB622B"/>
    <w:rsid w:val="00CC31E1"/>
    <w:rsid w:val="00D35615"/>
    <w:rsid w:val="00D50E90"/>
    <w:rsid w:val="00D70F47"/>
    <w:rsid w:val="00D747EE"/>
    <w:rsid w:val="00D75E66"/>
    <w:rsid w:val="00DB2FFA"/>
    <w:rsid w:val="00DC0859"/>
    <w:rsid w:val="00DC2D3B"/>
    <w:rsid w:val="00DD57AB"/>
    <w:rsid w:val="00DD580C"/>
    <w:rsid w:val="00DD71A0"/>
    <w:rsid w:val="00DE1725"/>
    <w:rsid w:val="00DF16FB"/>
    <w:rsid w:val="00DF48C4"/>
    <w:rsid w:val="00E163DE"/>
    <w:rsid w:val="00E20119"/>
    <w:rsid w:val="00E4415A"/>
    <w:rsid w:val="00E6451E"/>
    <w:rsid w:val="00E705EC"/>
    <w:rsid w:val="00E81539"/>
    <w:rsid w:val="00E87E34"/>
    <w:rsid w:val="00E946E0"/>
    <w:rsid w:val="00EC4034"/>
    <w:rsid w:val="00EC7AA6"/>
    <w:rsid w:val="00ED2596"/>
    <w:rsid w:val="00ED5EA5"/>
    <w:rsid w:val="00F26747"/>
    <w:rsid w:val="00F43993"/>
    <w:rsid w:val="00F47D9B"/>
    <w:rsid w:val="00F74085"/>
    <w:rsid w:val="00FA5DAC"/>
    <w:rsid w:val="00FC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B4C1"/>
  <w15:docId w15:val="{19FCCCE0-80F5-4AF7-8277-0BE188B1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F4742"/>
    <w:pPr>
      <w:spacing w:line="240" w:lineRule="auto"/>
    </w:pPr>
  </w:style>
  <w:style w:type="character" w:styleId="CommentReference">
    <w:name w:val="annotation reference"/>
    <w:basedOn w:val="DefaultParagraphFont"/>
    <w:uiPriority w:val="99"/>
    <w:semiHidden/>
    <w:unhideWhenUsed/>
    <w:rsid w:val="002A378C"/>
    <w:rPr>
      <w:sz w:val="16"/>
      <w:szCs w:val="16"/>
    </w:rPr>
  </w:style>
  <w:style w:type="paragraph" w:styleId="CommentText">
    <w:name w:val="annotation text"/>
    <w:basedOn w:val="Normal"/>
    <w:link w:val="CommentTextChar"/>
    <w:uiPriority w:val="99"/>
    <w:unhideWhenUsed/>
    <w:rsid w:val="002A378C"/>
    <w:pPr>
      <w:spacing w:line="240" w:lineRule="auto"/>
    </w:pPr>
    <w:rPr>
      <w:sz w:val="20"/>
      <w:szCs w:val="20"/>
    </w:rPr>
  </w:style>
  <w:style w:type="character" w:customStyle="1" w:styleId="CommentTextChar">
    <w:name w:val="Comment Text Char"/>
    <w:basedOn w:val="DefaultParagraphFont"/>
    <w:link w:val="CommentText"/>
    <w:uiPriority w:val="99"/>
    <w:rsid w:val="002A378C"/>
    <w:rPr>
      <w:sz w:val="20"/>
      <w:szCs w:val="20"/>
    </w:rPr>
  </w:style>
  <w:style w:type="paragraph" w:styleId="CommentSubject">
    <w:name w:val="annotation subject"/>
    <w:basedOn w:val="CommentText"/>
    <w:next w:val="CommentText"/>
    <w:link w:val="CommentSubjectChar"/>
    <w:uiPriority w:val="99"/>
    <w:semiHidden/>
    <w:unhideWhenUsed/>
    <w:rsid w:val="002A378C"/>
    <w:rPr>
      <w:b/>
      <w:bCs/>
    </w:rPr>
  </w:style>
  <w:style w:type="character" w:customStyle="1" w:styleId="CommentSubjectChar">
    <w:name w:val="Comment Subject Char"/>
    <w:basedOn w:val="CommentTextChar"/>
    <w:link w:val="CommentSubject"/>
    <w:uiPriority w:val="99"/>
    <w:semiHidden/>
    <w:rsid w:val="002A378C"/>
    <w:rPr>
      <w:b/>
      <w:bCs/>
      <w:sz w:val="20"/>
      <w:szCs w:val="20"/>
    </w:rPr>
  </w:style>
  <w:style w:type="paragraph" w:styleId="FootnoteText">
    <w:name w:val="footnote text"/>
    <w:basedOn w:val="Normal"/>
    <w:link w:val="FootnoteTextChar"/>
    <w:uiPriority w:val="99"/>
    <w:semiHidden/>
    <w:unhideWhenUsed/>
    <w:rsid w:val="00FA5DAC"/>
    <w:pPr>
      <w:spacing w:line="240" w:lineRule="auto"/>
    </w:pPr>
    <w:rPr>
      <w:sz w:val="20"/>
      <w:szCs w:val="20"/>
    </w:rPr>
  </w:style>
  <w:style w:type="character" w:customStyle="1" w:styleId="FootnoteTextChar">
    <w:name w:val="Footnote Text Char"/>
    <w:basedOn w:val="DefaultParagraphFont"/>
    <w:link w:val="FootnoteText"/>
    <w:uiPriority w:val="99"/>
    <w:semiHidden/>
    <w:rsid w:val="00FA5DAC"/>
    <w:rPr>
      <w:sz w:val="20"/>
      <w:szCs w:val="20"/>
    </w:rPr>
  </w:style>
  <w:style w:type="character" w:styleId="FootnoteReference">
    <w:name w:val="footnote reference"/>
    <w:basedOn w:val="DefaultParagraphFont"/>
    <w:uiPriority w:val="99"/>
    <w:semiHidden/>
    <w:unhideWhenUsed/>
    <w:rsid w:val="00FA5DAC"/>
    <w:rPr>
      <w:vertAlign w:val="superscript"/>
    </w:rPr>
  </w:style>
  <w:style w:type="character" w:styleId="Hyperlink">
    <w:name w:val="Hyperlink"/>
    <w:basedOn w:val="DefaultParagraphFont"/>
    <w:uiPriority w:val="99"/>
    <w:unhideWhenUsed/>
    <w:rsid w:val="009D4827"/>
    <w:rPr>
      <w:color w:val="0000FF" w:themeColor="hyperlink"/>
      <w:u w:val="single"/>
    </w:rPr>
  </w:style>
  <w:style w:type="character" w:customStyle="1" w:styleId="UnresolvedMention">
    <w:name w:val="Unresolved Mention"/>
    <w:basedOn w:val="DefaultParagraphFont"/>
    <w:uiPriority w:val="99"/>
    <w:semiHidden/>
    <w:unhideWhenUsed/>
    <w:rsid w:val="009D4827"/>
    <w:rPr>
      <w:color w:val="605E5C"/>
      <w:shd w:val="clear" w:color="auto" w:fill="E1DFDD"/>
    </w:rPr>
  </w:style>
  <w:style w:type="character" w:styleId="FollowedHyperlink">
    <w:name w:val="FollowedHyperlink"/>
    <w:basedOn w:val="DefaultParagraphFont"/>
    <w:uiPriority w:val="99"/>
    <w:semiHidden/>
    <w:unhideWhenUsed/>
    <w:rsid w:val="00DF16FB"/>
    <w:rPr>
      <w:color w:val="800080" w:themeColor="followedHyperlink"/>
      <w:u w:val="single"/>
    </w:rPr>
  </w:style>
  <w:style w:type="paragraph" w:styleId="ListParagraph">
    <w:name w:val="List Paragraph"/>
    <w:basedOn w:val="Normal"/>
    <w:uiPriority w:val="34"/>
    <w:qFormat/>
    <w:rsid w:val="0015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dgreports/---dcomm/---publ/documents/publication/wcms_735607.pdf" TargetMode="External"/><Relationship Id="rId2" Type="http://schemas.openxmlformats.org/officeDocument/2006/relationships/hyperlink" Target="https://undocs.org/A/66/288" TargetMode="External"/><Relationship Id="rId1" Type="http://schemas.openxmlformats.org/officeDocument/2006/relationships/hyperlink" Target="https://undocs.org/A/74/149" TargetMode="External"/><Relationship Id="rId5" Type="http://schemas.openxmlformats.org/officeDocument/2006/relationships/hyperlink" Target="file:///C:\Users\showard\Downloads\A\HRC\EMRIP\2019\3\Rev.1" TargetMode="External"/><Relationship Id="rId4" Type="http://schemas.openxmlformats.org/officeDocument/2006/relationships/hyperlink" Target="http://www.un.org/News/Press/docs/2008/sgsm11715.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FEE94B-3783-4714-A1CE-32A1EA2BF909}">
  <ds:schemaRefs>
    <ds:schemaRef ds:uri="http://schemas.openxmlformats.org/officeDocument/2006/bibliography"/>
  </ds:schemaRefs>
</ds:datastoreItem>
</file>

<file path=customXml/itemProps2.xml><?xml version="1.0" encoding="utf-8"?>
<ds:datastoreItem xmlns:ds="http://schemas.openxmlformats.org/officeDocument/2006/customXml" ds:itemID="{35A8127F-1263-4E43-AF68-3EE7CAF53BF1}"/>
</file>

<file path=customXml/itemProps3.xml><?xml version="1.0" encoding="utf-8"?>
<ds:datastoreItem xmlns:ds="http://schemas.openxmlformats.org/officeDocument/2006/customXml" ds:itemID="{2D850BF9-105B-4E3A-8D3F-4BA7C427482B}"/>
</file>

<file path=customXml/itemProps4.xml><?xml version="1.0" encoding="utf-8"?>
<ds:datastoreItem xmlns:ds="http://schemas.openxmlformats.org/officeDocument/2006/customXml" ds:itemID="{0F1CC8AC-F39B-4216-8791-CE9424C0E1E9}"/>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Seanna M - (showard)</dc:creator>
  <cp:lastModifiedBy>PAPASERGIO Laura</cp:lastModifiedBy>
  <cp:revision>2</cp:revision>
  <dcterms:created xsi:type="dcterms:W3CDTF">2021-12-27T09:03:00Z</dcterms:created>
  <dcterms:modified xsi:type="dcterms:W3CDTF">2021-12-27T09:03:00Z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