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B2" w:rsidRPr="009D27B2" w:rsidRDefault="009D27B2" w:rsidP="00A55EE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bookmarkStart w:id="0" w:name="_GoBack"/>
      <w:bookmarkEnd w:id="0"/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¿En qué medida se ha producido un aumento de la violencia contra la mujer, especialmente la violencia doméstica en el contexto de los cierres de la pandemia COVID-19? Sírvase proporcionar todos los datos disponibles sobre el aumento de la violencia contra la mujer, incluida la violencia en el hogar y los </w:t>
      </w:r>
      <w:proofErr w:type="spellStart"/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femicidios</w:t>
      </w:r>
      <w:proofErr w:type="spellEnd"/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, registrado desde el comienzo de la crisis de COVID-19.</w:t>
      </w:r>
    </w:p>
    <w:p w:rsidR="009D27B2" w:rsidRDefault="009D27B2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E54BDF" w:rsidP="00A55EE9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En el grupo de “Mujeres abriendo caminos”, en Costa Rica, identificamos 7 de ellas que están viviendo violencia</w:t>
      </w:r>
      <w:r w:rsidR="00964E6F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intrafamiliar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</w:t>
      </w:r>
      <w:r w:rsidR="00964E6F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manifestadas en agresiones a nivel: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patrimonial, económi</w:t>
      </w:r>
      <w:r w:rsidR="00B76004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ca, se</w:t>
      </w:r>
      <w:r w:rsidR="00964E6F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xual, psicológica, verbal; así como violencia </w:t>
      </w:r>
      <w:r w:rsidR="00B76004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social.</w:t>
      </w:r>
      <w:r w:rsidR="00A55EE9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 Estas familias ya presentaban antecedentes de violencia y actualmente en el contexto Covid-19 se incrementó considerablemente.</w:t>
      </w:r>
    </w:p>
    <w:p w:rsidR="006939C9" w:rsidRPr="009D27B2" w:rsidRDefault="006939C9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Pr="009D27B2" w:rsidRDefault="009D27B2" w:rsidP="00F464C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¿Se dispone de líneas telefónicas de ayuda a cargo del Gobierno y/o la sociedad civil? ¿Ha aumentado el número de llamadas en el contexto de la pandemia de COVID-19?</w:t>
      </w:r>
    </w:p>
    <w:p w:rsidR="009D27B2" w:rsidRDefault="009D27B2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F464C8" w:rsidP="00F464C8">
      <w:pPr>
        <w:pStyle w:val="Prrafodelista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A nivel de Costa Rica contamos con una línea gratuita de emergencias que se utiliza en todo el territorio nacional y desde allí </w:t>
      </w:r>
      <w:r w:rsidR="00AA157E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se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re</w:t>
      </w:r>
      <w:r w:rsidR="00AA157E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-direcciona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la llamada al departamento respectivo</w:t>
      </w:r>
      <w:r w:rsidR="00AA157E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,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en relación a la denuncia, en casos de violencia contra la mujer,  la llamada se dirige al </w:t>
      </w:r>
      <w:r w:rsidR="00964E6F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servicio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de atención inmediata llamado COAVIF (Centro Operativo de Atención a la Violencia Intrafamiliar).</w:t>
      </w:r>
    </w:p>
    <w:p w:rsidR="009D27B2" w:rsidRPr="00AA157E" w:rsidRDefault="009D27B2" w:rsidP="00AA15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P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¿Se puede eximir a las mujeres víctimas de la violencia doméstica de las medidas restrictivas para permanecer en el hogar en aislamiento si se enfrentan a la violencia doméstica?</w:t>
      </w:r>
    </w:p>
    <w:p w:rsidR="009D27B2" w:rsidRDefault="009D27B2" w:rsidP="009D27B2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AA157E" w:rsidRDefault="001E16F8" w:rsidP="001E16F8">
      <w:pPr>
        <w:pStyle w:val="Prrafodelista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Sí,  porque priva la defensa de la vida y para eso  tenemos  instituciones estatales, así como organizaciones encargadas de reubicar a mujeres e hijos en situación de violencia.</w:t>
      </w:r>
    </w:p>
    <w:p w:rsidR="006939C9" w:rsidRDefault="006939C9" w:rsidP="009D27B2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6939C9" w:rsidP="009D27B2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6939C9" w:rsidP="009D27B2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Pr="009D27B2" w:rsidRDefault="006939C9" w:rsidP="009D27B2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P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lastRenderedPageBreak/>
        <w:t>¿Están abiertos y disponibles los refugios? ¿Existen alternativas a los refugios disponibles si están cerrados o no tienen suficiente capacidad?</w:t>
      </w:r>
    </w:p>
    <w:p w:rsidR="006939C9" w:rsidRDefault="006939C9" w:rsidP="001E16F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1E16F8" w:rsidP="001E16F8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En el país sí existen albergues que se encuentran abiertos para atender la violencia contra la Mujer, sin embargo a raíz del incremento de casos estos lugares están saturados.  El gobierno de Costa Rica sigue buscando alternativas para dar una respuesta </w:t>
      </w:r>
      <w:r w:rsidR="006E747A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oportuna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.</w:t>
      </w:r>
    </w:p>
    <w:p w:rsidR="006939C9" w:rsidRPr="009D27B2" w:rsidRDefault="006939C9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P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¿Están disponibles y son accesibles las órdenes de protección en el contexto de la pandemia COVID-19?</w:t>
      </w:r>
    </w:p>
    <w:p w:rsidR="009D27B2" w:rsidRDefault="009D27B2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Pr="00C35E7E" w:rsidRDefault="00C35E7E" w:rsidP="00C35E7E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Sí, en nuestro país siguen en funcionamiento las instancias judiciales encargadas de brindar protección a las mujeres y sus hijos.</w:t>
      </w:r>
    </w:p>
    <w:p w:rsidR="006939C9" w:rsidRPr="009D27B2" w:rsidRDefault="006939C9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¿Cuáles son los efectos en el acceso d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e las mujeres a la justicia? </w:t>
      </w:r>
    </w:p>
    <w:p w:rsidR="009D27B2" w:rsidRDefault="009D27B2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Pr="006E747A" w:rsidRDefault="006E747A" w:rsidP="006E747A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Los efectos en las mujeres de acceso a la justicia con positivos en el tanto y cuando les genera protección y seguridad, sin embargo vemos un impacto negativo en el período que tarda la resolución de su caso.</w:t>
      </w:r>
    </w:p>
    <w:p w:rsidR="006939C9" w:rsidRPr="009D27B2" w:rsidRDefault="006939C9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¿Están los tribunales abiertos y ofrecen protección y decisiones en casos de violencia doméstica?</w:t>
      </w:r>
    </w:p>
    <w:p w:rsidR="009D27B2" w:rsidRDefault="009D27B2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Pr="006E747A" w:rsidRDefault="006E747A" w:rsidP="006E747A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Efectivamente, ya que a pesar de la Pandemia continúan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aperturados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y las personas pueden llegar a poner la denuncia de forma presencia o telefónica. </w:t>
      </w:r>
    </w:p>
    <w:p w:rsidR="006939C9" w:rsidRPr="009D27B2" w:rsidRDefault="006939C9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Default="009D27B2" w:rsidP="0061343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¿Cuáles son los efectos de las actuales medidas restrictivas y de los cierres en el acceso de las mujeres a los servicios de salud? Sírvase especificar si se cierran o suspenden los servicios, en particular los que se centran en la salud reproductiva.</w:t>
      </w:r>
    </w:p>
    <w:p w:rsidR="009D27B2" w:rsidRDefault="009D27B2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E154C6" w:rsidP="006F5F0D">
      <w:pPr>
        <w:pStyle w:val="Prrafodelista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En Costa la Caja Costarricense del Seguro Social continua ofreciendo los servicios de salud de forma rutinaria, sin embargo se </w:t>
      </w:r>
      <w:r w:rsidR="00523774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ha hecho un llamado a la población para acudir en caso estrictamente necesario y</w:t>
      </w:r>
      <w:r w:rsidR="0061343A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en </w:t>
      </w:r>
      <w:r w:rsidR="0061343A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lastRenderedPageBreak/>
        <w:t xml:space="preserve">el caso de las mujeres que requieran atención </w:t>
      </w:r>
      <w:r w:rsidR="00523774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</w:t>
      </w:r>
      <w:r w:rsidR="0061343A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en salud reproductiva </w:t>
      </w:r>
      <w:r w:rsidR="00526626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o bien estén siendo víctimas de violencia pueden solicitar la atención inmediata.</w:t>
      </w:r>
    </w:p>
    <w:p w:rsidR="006F5F0D" w:rsidRPr="006F5F0D" w:rsidRDefault="006F5F0D" w:rsidP="006F5F0D">
      <w:pPr>
        <w:pStyle w:val="Prrafodelista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Sírvase dar ejemplos de los obstáculos encontrados para prevenir y combatir la violencia doméstica durante los cierres de COVID-19.</w:t>
      </w:r>
    </w:p>
    <w:p w:rsidR="009D27B2" w:rsidRDefault="009D27B2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CA4B04" w:rsidRDefault="00CA4B04" w:rsidP="00CA4B04">
      <w:pPr>
        <w:pStyle w:val="Prrafodelista"/>
        <w:numPr>
          <w:ilvl w:val="0"/>
          <w:numId w:val="2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Los temores de las mujeres a contar su situación de violencia intrafamiliar.</w:t>
      </w:r>
    </w:p>
    <w:p w:rsidR="00CA4B04" w:rsidRDefault="00094BB8" w:rsidP="00CA4B04">
      <w:pPr>
        <w:pStyle w:val="Prrafodelista"/>
        <w:numPr>
          <w:ilvl w:val="0"/>
          <w:numId w:val="2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La naturalización de la violencia</w:t>
      </w:r>
    </w:p>
    <w:p w:rsidR="00094BB8" w:rsidRDefault="00094BB8" w:rsidP="00CA4B04">
      <w:pPr>
        <w:pStyle w:val="Prrafodelista"/>
        <w:numPr>
          <w:ilvl w:val="0"/>
          <w:numId w:val="2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A pesar de la consejería y orientaciones se les dificulta la toma de decisiones asertivas para salir del ciclo de la violencia.</w:t>
      </w:r>
    </w:p>
    <w:p w:rsidR="00094BB8" w:rsidRPr="002A3AF8" w:rsidRDefault="00DD04C0" w:rsidP="005A05FE">
      <w:pPr>
        <w:pStyle w:val="Prrafodelista"/>
        <w:numPr>
          <w:ilvl w:val="0"/>
          <w:numId w:val="2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2A3AF8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Pese a la existencia de leyes y procedimientos para hacer valer sus derechos, las mujeres desisten de continuar con el proceso por</w:t>
      </w:r>
      <w:r w:rsidR="002A3AF8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que son sujetos de manipulación, porque la contraparte no asume con responsabilidad las medidas que se dictan, </w:t>
      </w:r>
      <w:r w:rsidR="00C9079C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así como la burocracia que se presentan en los trámites, entre otros.</w:t>
      </w:r>
    </w:p>
    <w:p w:rsidR="009D27B2" w:rsidRPr="009D27B2" w:rsidRDefault="009D27B2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Default="009D27B2" w:rsidP="001C734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Sírvase dar ejemplos de buenas prácticas para prevenir y combatir la violencia contra la mujer y la violencia en el hogar y para combatir otros efectos de género de la pandemia de COVID-19 por parte de los gobiernos.</w:t>
      </w:r>
    </w:p>
    <w:p w:rsidR="009D27B2" w:rsidRDefault="009D27B2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473F6B" w:rsidRDefault="0059042A" w:rsidP="00473F6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Las campañas formativas e informativas</w:t>
      </w:r>
      <w:r w:rsidR="00473F6B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realizadas por entidades como: Caja Costarricense del Seguro Social, Patronato Nacional de la Infancia, Ministerio de Salud, Instituto Nacional de las Mujeres, Colegio de Profesionales en Psicología, Consejo Nacional de la Persona Adulta Mayor,</w:t>
      </w:r>
      <w:r w:rsidR="00A61BF0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Ministerio de Educación Pública, Ministerio de Seguridad Pública, </w:t>
      </w:r>
      <w:r w:rsidR="00473F6B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 entre otros.</w:t>
      </w:r>
    </w:p>
    <w:p w:rsidR="006939C9" w:rsidRDefault="00473F6B" w:rsidP="00473F6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Se proporcionan espacios en cadena nacional para concienciación de prevención de la violencia en los hogares.</w:t>
      </w:r>
    </w:p>
    <w:p w:rsidR="00A61BF0" w:rsidRPr="00AD6DEE" w:rsidRDefault="00A61BF0" w:rsidP="009743B0">
      <w:pPr>
        <w:pStyle w:val="Prrafodelista"/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6939C9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6939C9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6939C9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6939C9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473F6B" w:rsidRDefault="00473F6B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6939C9" w:rsidRDefault="006939C9" w:rsidP="009D27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Sírvase dar ejemplos de buenas prácticas para prevenir y combatir la violencia contra la mujer y la violencia en el hogar y para combatir otros efectos de género de la pandemia de COVID-19 por parte de las ONG y las instituciones nacionales de derechos humanos o los órganos de igualdad.</w:t>
      </w:r>
    </w:p>
    <w:p w:rsidR="009D27B2" w:rsidRDefault="009D27B2" w:rsidP="009D27B2">
      <w:pPr>
        <w:pStyle w:val="Prrafodelista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59042A" w:rsidRDefault="0059042A" w:rsidP="0059042A">
      <w:pPr>
        <w:pStyle w:val="Prrafodelista"/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La incidencia política</w:t>
      </w:r>
    </w:p>
    <w:p w:rsidR="009743B0" w:rsidRDefault="00F7184B" w:rsidP="0059042A">
      <w:pPr>
        <w:pStyle w:val="Prrafodelista"/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 xml:space="preserve">Campañas informativas y formativas </w:t>
      </w:r>
    </w:p>
    <w:p w:rsidR="00F7184B" w:rsidRDefault="00F7184B" w:rsidP="0059042A">
      <w:pPr>
        <w:pStyle w:val="Prrafodelista"/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Dar seguimiento y referir al Instituto Nacional de la Mujeres y la Caja Costarricense del Seguro Social, entre otros.</w:t>
      </w:r>
    </w:p>
    <w:p w:rsidR="00F7184B" w:rsidRDefault="00F7184B" w:rsidP="0059042A">
      <w:pPr>
        <w:pStyle w:val="Prrafodelista"/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Activación de protocolos a nivel institucional que beneficia la salud integral de las familias.</w:t>
      </w:r>
    </w:p>
    <w:p w:rsidR="001C7346" w:rsidRPr="001C7346" w:rsidRDefault="001C7346" w:rsidP="001C7346">
      <w:pPr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</w:p>
    <w:p w:rsidR="009D27B2" w:rsidRPr="009D27B2" w:rsidRDefault="009D27B2" w:rsidP="009D27B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</w:pPr>
      <w:r w:rsidRPr="009D27B2">
        <w:rPr>
          <w:rFonts w:ascii="Calibri" w:eastAsia="Times New Roman" w:hAnsi="Calibri" w:cs="Times New Roman"/>
          <w:color w:val="000000"/>
          <w:sz w:val="28"/>
          <w:szCs w:val="28"/>
          <w:lang w:eastAsia="es-CR"/>
        </w:rPr>
        <w:t>Sírvanse enviar cualquier información adicional sobre los efectos de la crisis de COVID-19 en la violencia doméstica contra la mujer que no se haya incluido en las preguntas anteriores.</w:t>
      </w:r>
    </w:p>
    <w:p w:rsidR="00FD62A9" w:rsidRDefault="00FD62A9">
      <w:pPr>
        <w:rPr>
          <w:sz w:val="28"/>
          <w:szCs w:val="28"/>
        </w:rPr>
      </w:pPr>
    </w:p>
    <w:p w:rsidR="00F7184B" w:rsidRPr="009D27B2" w:rsidRDefault="00F7184B" w:rsidP="00F7184B">
      <w:pPr>
        <w:ind w:left="708"/>
        <w:rPr>
          <w:sz w:val="28"/>
          <w:szCs w:val="28"/>
        </w:rPr>
      </w:pPr>
      <w:r>
        <w:rPr>
          <w:sz w:val="28"/>
          <w:szCs w:val="28"/>
        </w:rPr>
        <w:t>Sin comentarios, consideramos que todo se ha expuesto.  Muchas gracias!.</w:t>
      </w:r>
    </w:p>
    <w:sectPr w:rsidR="00F7184B" w:rsidRPr="009D2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B15"/>
    <w:multiLevelType w:val="hybridMultilevel"/>
    <w:tmpl w:val="F488D05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A25EDD"/>
    <w:multiLevelType w:val="hybridMultilevel"/>
    <w:tmpl w:val="2048DA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A41A79"/>
    <w:multiLevelType w:val="hybridMultilevel"/>
    <w:tmpl w:val="E4B822A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B2"/>
    <w:rsid w:val="00094BB8"/>
    <w:rsid w:val="001C7346"/>
    <w:rsid w:val="001E16F8"/>
    <w:rsid w:val="002A3AF8"/>
    <w:rsid w:val="00473F6B"/>
    <w:rsid w:val="00523774"/>
    <w:rsid w:val="00526626"/>
    <w:rsid w:val="005534D0"/>
    <w:rsid w:val="0059042A"/>
    <w:rsid w:val="0061343A"/>
    <w:rsid w:val="006939C9"/>
    <w:rsid w:val="006E747A"/>
    <w:rsid w:val="006F5F0D"/>
    <w:rsid w:val="00951B03"/>
    <w:rsid w:val="00964E6F"/>
    <w:rsid w:val="009743B0"/>
    <w:rsid w:val="009D27B2"/>
    <w:rsid w:val="00A55EE9"/>
    <w:rsid w:val="00A61BF0"/>
    <w:rsid w:val="00AA157E"/>
    <w:rsid w:val="00AD6DEE"/>
    <w:rsid w:val="00B1684D"/>
    <w:rsid w:val="00B757BD"/>
    <w:rsid w:val="00B76004"/>
    <w:rsid w:val="00C04E23"/>
    <w:rsid w:val="00C34BA4"/>
    <w:rsid w:val="00C35E7E"/>
    <w:rsid w:val="00C9079C"/>
    <w:rsid w:val="00CA4B04"/>
    <w:rsid w:val="00DD04C0"/>
    <w:rsid w:val="00E154C6"/>
    <w:rsid w:val="00E54BDF"/>
    <w:rsid w:val="00F464C8"/>
    <w:rsid w:val="00F7184B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99FA-764F-44BC-8BC6-384C81E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4455F298-B0A1-4273-90FD-D851ECD785AE}"/>
</file>

<file path=customXml/itemProps2.xml><?xml version="1.0" encoding="utf-8"?>
<ds:datastoreItem xmlns:ds="http://schemas.openxmlformats.org/officeDocument/2006/customXml" ds:itemID="{330180A7-091C-4DDB-94F5-B058AA9F1BEF}"/>
</file>

<file path=customXml/itemProps3.xml><?xml version="1.0" encoding="utf-8"?>
<ds:datastoreItem xmlns:ds="http://schemas.openxmlformats.org/officeDocument/2006/customXml" ds:itemID="{E66DE8F8-5B1A-4F10-A358-6F6D36AF0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</dc:creator>
  <cp:keywords/>
  <dc:description/>
  <cp:lastModifiedBy>Huberth Blanco Lizano</cp:lastModifiedBy>
  <cp:revision>2</cp:revision>
  <dcterms:created xsi:type="dcterms:W3CDTF">2020-06-30T17:40:00Z</dcterms:created>
  <dcterms:modified xsi:type="dcterms:W3CDTF">2020-06-30T17:40:00Z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