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F3D5" w14:textId="77777777" w:rsidR="001105FC" w:rsidRPr="001105FC" w:rsidRDefault="001105FC" w:rsidP="001105FC">
      <w:pPr>
        <w:spacing w:after="0" w:line="240" w:lineRule="auto"/>
        <w:jc w:val="right"/>
        <w:rPr>
          <w:rFonts w:ascii="Arial" w:eastAsiaTheme="minorEastAsia" w:hAnsi="Arial" w:cs="Arial"/>
          <w:lang w:val="en-GB"/>
        </w:rPr>
      </w:pPr>
      <w:bookmarkStart w:id="0" w:name="_Hlk95818840"/>
      <w:r w:rsidRPr="001105FC">
        <w:rPr>
          <w:rFonts w:eastAsiaTheme="minorEastAsia"/>
          <w:noProof/>
          <w:lang w:val="en-GB" w:eastAsia="en-GB"/>
        </w:rPr>
        <w:drawing>
          <wp:anchor distT="0" distB="0" distL="114300" distR="114300" simplePos="0" relativeHeight="251659264" behindDoc="1" locked="0" layoutInCell="1" allowOverlap="1" wp14:anchorId="37E33426" wp14:editId="38061BC8">
            <wp:simplePos x="0" y="0"/>
            <wp:positionH relativeFrom="column">
              <wp:posOffset>88900</wp:posOffset>
            </wp:positionH>
            <wp:positionV relativeFrom="paragraph">
              <wp:posOffset>0</wp:posOffset>
            </wp:positionV>
            <wp:extent cx="934085" cy="934085"/>
            <wp:effectExtent l="0" t="0" r="0" b="0"/>
            <wp:wrapThrough wrapText="bothSides">
              <wp:wrapPolygon edited="0">
                <wp:start x="0" y="0"/>
                <wp:lineTo x="0" y="21145"/>
                <wp:lineTo x="21145" y="21145"/>
                <wp:lineTo x="21145" y="0"/>
                <wp:lineTo x="0" y="0"/>
              </wp:wrapPolygon>
            </wp:wrapThrough>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40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7E375" w14:textId="77777777" w:rsidR="001105FC" w:rsidRPr="001105FC" w:rsidRDefault="001105FC" w:rsidP="001105FC">
      <w:pPr>
        <w:spacing w:after="0" w:line="240" w:lineRule="auto"/>
        <w:rPr>
          <w:rFonts w:ascii="Arial" w:eastAsiaTheme="minorEastAsia" w:hAnsi="Arial" w:cs="Arial"/>
          <w:lang w:val="en-GB"/>
        </w:rPr>
      </w:pPr>
    </w:p>
    <w:p w14:paraId="692DD85E" w14:textId="77777777" w:rsidR="001105FC" w:rsidRPr="001105FC" w:rsidRDefault="001105FC" w:rsidP="001105FC">
      <w:pPr>
        <w:spacing w:after="0" w:line="240" w:lineRule="auto"/>
        <w:jc w:val="right"/>
        <w:rPr>
          <w:rFonts w:ascii="Arial" w:eastAsiaTheme="minorEastAsia" w:hAnsi="Arial" w:cs="Arial"/>
          <w:lang w:val="en-GB"/>
        </w:rPr>
      </w:pPr>
    </w:p>
    <w:p w14:paraId="1ED27853" w14:textId="77777777" w:rsidR="001105FC" w:rsidRPr="001105FC" w:rsidRDefault="001105FC" w:rsidP="001105FC">
      <w:pPr>
        <w:spacing w:after="0" w:line="240" w:lineRule="auto"/>
        <w:ind w:left="-900" w:right="6204"/>
        <w:jc w:val="center"/>
        <w:rPr>
          <w:rFonts w:ascii="Arial" w:eastAsiaTheme="minorEastAsia" w:hAnsi="Arial" w:cs="Arial"/>
          <w:sz w:val="14"/>
          <w:szCs w:val="14"/>
          <w:lang w:val="en-GB"/>
        </w:rPr>
      </w:pPr>
    </w:p>
    <w:p w14:paraId="0B5ECA64" w14:textId="77777777" w:rsidR="001105FC" w:rsidRPr="001105FC" w:rsidRDefault="001105FC" w:rsidP="001105FC">
      <w:pPr>
        <w:spacing w:after="0" w:line="240" w:lineRule="auto"/>
        <w:ind w:left="-900" w:right="6204"/>
        <w:jc w:val="center"/>
        <w:rPr>
          <w:rFonts w:ascii="Arial" w:eastAsiaTheme="minorEastAsia" w:hAnsi="Arial" w:cs="Arial"/>
          <w:sz w:val="14"/>
          <w:szCs w:val="14"/>
          <w:lang w:val="en-GB"/>
        </w:rPr>
      </w:pPr>
    </w:p>
    <w:p w14:paraId="4E8727AF" w14:textId="77777777" w:rsidR="001105FC" w:rsidRPr="001105FC" w:rsidRDefault="001105FC" w:rsidP="001105FC">
      <w:pPr>
        <w:spacing w:after="0" w:line="240" w:lineRule="auto"/>
        <w:ind w:left="-900" w:right="6204"/>
        <w:jc w:val="center"/>
        <w:rPr>
          <w:rFonts w:ascii="Arial" w:eastAsiaTheme="minorEastAsia" w:hAnsi="Arial" w:cs="Arial"/>
          <w:sz w:val="14"/>
          <w:szCs w:val="14"/>
          <w:lang w:val="en-GB"/>
        </w:rPr>
      </w:pPr>
    </w:p>
    <w:p w14:paraId="320A37BF" w14:textId="77777777" w:rsidR="001105FC" w:rsidRPr="001105FC" w:rsidRDefault="001105FC" w:rsidP="001105FC">
      <w:pPr>
        <w:spacing w:after="0" w:line="240" w:lineRule="auto"/>
        <w:ind w:left="-900" w:right="6204"/>
        <w:jc w:val="center"/>
        <w:rPr>
          <w:rFonts w:ascii="Arial" w:eastAsiaTheme="minorEastAsia" w:hAnsi="Arial" w:cs="Arial"/>
          <w:sz w:val="14"/>
          <w:szCs w:val="14"/>
          <w:lang w:val="en-GB"/>
        </w:rPr>
      </w:pPr>
    </w:p>
    <w:p w14:paraId="4D0965B0" w14:textId="77777777" w:rsidR="001105FC" w:rsidRPr="001105FC" w:rsidRDefault="001105FC" w:rsidP="001105FC">
      <w:pPr>
        <w:spacing w:after="0" w:line="240" w:lineRule="auto"/>
        <w:ind w:left="-900" w:right="6204"/>
        <w:jc w:val="center"/>
        <w:rPr>
          <w:rFonts w:ascii="Arial" w:eastAsiaTheme="minorEastAsia" w:hAnsi="Arial" w:cs="Arial"/>
          <w:sz w:val="14"/>
          <w:szCs w:val="14"/>
          <w:lang w:val="en-GB"/>
        </w:rPr>
      </w:pPr>
    </w:p>
    <w:p w14:paraId="14F961A1" w14:textId="77777777" w:rsidR="001105FC" w:rsidRPr="001105FC" w:rsidRDefault="001105FC" w:rsidP="001105FC">
      <w:pPr>
        <w:spacing w:after="0" w:line="240" w:lineRule="auto"/>
        <w:ind w:left="-900" w:right="6204"/>
        <w:jc w:val="center"/>
        <w:rPr>
          <w:rFonts w:ascii="Arial" w:eastAsiaTheme="minorEastAsia" w:hAnsi="Arial" w:cs="Arial"/>
          <w:sz w:val="14"/>
          <w:szCs w:val="14"/>
          <w:lang w:val="en-GB"/>
        </w:rPr>
      </w:pPr>
      <w:r w:rsidRPr="001105FC">
        <w:rPr>
          <w:rFonts w:ascii="Arial" w:eastAsiaTheme="minorEastAsia" w:hAnsi="Arial" w:cs="Arial"/>
          <w:sz w:val="14"/>
          <w:szCs w:val="14"/>
          <w:lang w:val="en-GB"/>
        </w:rPr>
        <w:t>Permanent Mission</w:t>
      </w:r>
    </w:p>
    <w:p w14:paraId="3E230979" w14:textId="77777777" w:rsidR="001105FC" w:rsidRPr="001105FC" w:rsidRDefault="001105FC" w:rsidP="001105FC">
      <w:pPr>
        <w:spacing w:after="0" w:line="240" w:lineRule="auto"/>
        <w:ind w:left="-900" w:right="6204"/>
        <w:jc w:val="center"/>
        <w:rPr>
          <w:rFonts w:ascii="Arial" w:eastAsiaTheme="minorEastAsia" w:hAnsi="Arial" w:cs="Arial"/>
          <w:sz w:val="14"/>
          <w:szCs w:val="14"/>
          <w:lang w:val="en-GB"/>
        </w:rPr>
      </w:pPr>
      <w:r w:rsidRPr="001105FC">
        <w:rPr>
          <w:rFonts w:ascii="Arial" w:eastAsiaTheme="minorEastAsia" w:hAnsi="Arial" w:cs="Arial"/>
          <w:sz w:val="14"/>
          <w:szCs w:val="14"/>
          <w:lang w:val="en-GB"/>
        </w:rPr>
        <w:t>of the Republic of Indonesia to the UN, WTO,</w:t>
      </w:r>
    </w:p>
    <w:p w14:paraId="612F3255" w14:textId="77777777" w:rsidR="001105FC" w:rsidRPr="001105FC" w:rsidRDefault="001105FC" w:rsidP="001105FC">
      <w:pPr>
        <w:spacing w:after="0" w:line="240" w:lineRule="auto"/>
        <w:ind w:left="-900" w:right="6204"/>
        <w:jc w:val="center"/>
        <w:rPr>
          <w:rFonts w:ascii="Arial" w:eastAsiaTheme="minorEastAsia" w:hAnsi="Arial" w:cs="Arial"/>
          <w:sz w:val="14"/>
          <w:szCs w:val="14"/>
          <w:lang w:val="en-GB"/>
        </w:rPr>
      </w:pPr>
      <w:r w:rsidRPr="001105FC">
        <w:rPr>
          <w:rFonts w:ascii="Arial" w:eastAsiaTheme="minorEastAsia" w:hAnsi="Arial" w:cs="Arial"/>
          <w:sz w:val="14"/>
          <w:szCs w:val="14"/>
          <w:lang w:val="en-GB"/>
        </w:rPr>
        <w:t>and Other International Organizations</w:t>
      </w:r>
    </w:p>
    <w:p w14:paraId="6AAADCBD" w14:textId="77777777" w:rsidR="001105FC" w:rsidRPr="001105FC" w:rsidRDefault="001105FC" w:rsidP="001105FC">
      <w:pPr>
        <w:spacing w:after="0" w:line="240" w:lineRule="auto"/>
        <w:ind w:left="-900" w:right="6204"/>
        <w:jc w:val="center"/>
        <w:rPr>
          <w:rFonts w:ascii="Arial" w:eastAsiaTheme="minorEastAsia" w:hAnsi="Arial" w:cs="Arial"/>
          <w:sz w:val="14"/>
          <w:szCs w:val="14"/>
          <w:lang w:val="en-GB"/>
        </w:rPr>
      </w:pPr>
      <w:r w:rsidRPr="001105FC">
        <w:rPr>
          <w:rFonts w:ascii="Arial" w:eastAsiaTheme="minorEastAsia" w:hAnsi="Arial" w:cs="Arial"/>
          <w:sz w:val="14"/>
          <w:szCs w:val="14"/>
          <w:lang w:val="en-GB"/>
        </w:rPr>
        <w:t>in Geneva</w:t>
      </w:r>
    </w:p>
    <w:p w14:paraId="7E905D96" w14:textId="77777777" w:rsidR="001105FC" w:rsidRDefault="001105FC" w:rsidP="001105FC">
      <w:pPr>
        <w:jc w:val="center"/>
        <w:rPr>
          <w:b/>
          <w:bCs/>
          <w:sz w:val="24"/>
          <w:szCs w:val="24"/>
          <w:lang w:val="en-US"/>
        </w:rPr>
      </w:pPr>
    </w:p>
    <w:p w14:paraId="7117E430" w14:textId="19201348" w:rsidR="001105FC" w:rsidRDefault="001105FC" w:rsidP="001105FC">
      <w:pPr>
        <w:jc w:val="center"/>
        <w:rPr>
          <w:b/>
          <w:bCs/>
          <w:sz w:val="24"/>
          <w:szCs w:val="24"/>
          <w:lang w:val="en-US"/>
        </w:rPr>
      </w:pPr>
      <w:r w:rsidRPr="001105FC">
        <w:rPr>
          <w:b/>
          <w:bCs/>
          <w:sz w:val="24"/>
          <w:szCs w:val="24"/>
          <w:lang w:val="en-US"/>
        </w:rPr>
        <w:t>INTERSESSIONAL PANEL DISCUSSION ON CHALLENGES AND GOOD PRACTICES IN THE PREVENTION OF CORRUPTION, AND THE IMPACT OF CORRUPTION ON THE ENJOYMENT OF HUMAN RIGHTS IN THE CONTEXT OF THE COVID-19 PANDEMIC</w:t>
      </w:r>
    </w:p>
    <w:p w14:paraId="47F1E38D" w14:textId="77777777" w:rsidR="001105FC" w:rsidRPr="001105FC" w:rsidRDefault="001105FC" w:rsidP="001105FC">
      <w:pPr>
        <w:spacing w:after="0"/>
        <w:jc w:val="center"/>
        <w:rPr>
          <w:b/>
          <w:bCs/>
          <w:sz w:val="24"/>
          <w:szCs w:val="24"/>
        </w:rPr>
      </w:pPr>
      <w:r>
        <w:rPr>
          <w:b/>
          <w:bCs/>
          <w:sz w:val="24"/>
          <w:szCs w:val="24"/>
        </w:rPr>
        <w:t>15 February 2022</w:t>
      </w:r>
    </w:p>
    <w:p w14:paraId="02C2319D" w14:textId="77777777" w:rsidR="001105FC" w:rsidRDefault="001105FC" w:rsidP="001105FC">
      <w:pPr>
        <w:jc w:val="center"/>
        <w:rPr>
          <w:b/>
          <w:bCs/>
          <w:sz w:val="24"/>
          <w:szCs w:val="24"/>
          <w:lang w:val="en-US"/>
        </w:rPr>
      </w:pPr>
    </w:p>
    <w:bookmarkEnd w:id="0"/>
    <w:p w14:paraId="68295FC6" w14:textId="77777777" w:rsidR="001105FC" w:rsidRPr="001105FC" w:rsidRDefault="001105FC" w:rsidP="001105FC">
      <w:pPr>
        <w:jc w:val="both"/>
        <w:rPr>
          <w:i/>
          <w:iCs/>
          <w:sz w:val="24"/>
          <w:szCs w:val="24"/>
          <w:lang w:val="en-US"/>
        </w:rPr>
      </w:pPr>
      <w:r w:rsidRPr="001105FC">
        <w:rPr>
          <w:i/>
          <w:iCs/>
          <w:sz w:val="24"/>
          <w:szCs w:val="24"/>
          <w:lang w:val="en-US"/>
        </w:rPr>
        <w:t>Thank you</w:t>
      </w:r>
      <w:r w:rsidRPr="001105FC">
        <w:rPr>
          <w:i/>
          <w:iCs/>
          <w:sz w:val="24"/>
          <w:szCs w:val="24"/>
        </w:rPr>
        <w:t>,</w:t>
      </w:r>
      <w:r w:rsidRPr="001105FC">
        <w:rPr>
          <w:i/>
          <w:iCs/>
          <w:sz w:val="24"/>
          <w:szCs w:val="24"/>
          <w:lang w:val="en-US"/>
        </w:rPr>
        <w:t xml:space="preserve"> Mr. President,</w:t>
      </w:r>
    </w:p>
    <w:p w14:paraId="164C2DF0" w14:textId="77777777" w:rsidR="001105FC" w:rsidRPr="001105FC" w:rsidRDefault="001105FC" w:rsidP="001105FC">
      <w:pPr>
        <w:jc w:val="both"/>
        <w:rPr>
          <w:i/>
          <w:iCs/>
          <w:sz w:val="24"/>
          <w:szCs w:val="24"/>
          <w:lang w:val="en-GB"/>
        </w:rPr>
      </w:pPr>
      <w:r w:rsidRPr="001105FC">
        <w:rPr>
          <w:i/>
          <w:iCs/>
          <w:sz w:val="24"/>
          <w:szCs w:val="24"/>
        </w:rPr>
        <w:t>My Delegation welcome this intersessional seminar to discuss this topic in the context of the pertinent and timely issue of the global Covid-19 pandemic.</w:t>
      </w:r>
    </w:p>
    <w:p w14:paraId="038AFF19" w14:textId="77777777" w:rsidR="001105FC" w:rsidRPr="001105FC" w:rsidRDefault="001105FC" w:rsidP="001105FC">
      <w:pPr>
        <w:jc w:val="both"/>
        <w:rPr>
          <w:i/>
          <w:iCs/>
          <w:sz w:val="24"/>
          <w:szCs w:val="24"/>
          <w:lang w:val="en-GB"/>
        </w:rPr>
      </w:pPr>
      <w:r w:rsidRPr="001105FC">
        <w:rPr>
          <w:i/>
          <w:iCs/>
          <w:sz w:val="24"/>
          <w:szCs w:val="24"/>
        </w:rPr>
        <w:t>We also extend our appreciation to all panellists for their presentation.</w:t>
      </w:r>
    </w:p>
    <w:p w14:paraId="5E4042E9" w14:textId="7EE94506" w:rsidR="001105FC" w:rsidRDefault="001105FC" w:rsidP="001105FC">
      <w:pPr>
        <w:jc w:val="both"/>
        <w:rPr>
          <w:i/>
          <w:iCs/>
          <w:sz w:val="24"/>
          <w:szCs w:val="24"/>
          <w:lang w:val="en-GB"/>
        </w:rPr>
      </w:pPr>
      <w:r w:rsidRPr="001105FC">
        <w:rPr>
          <w:i/>
          <w:iCs/>
          <w:sz w:val="24"/>
          <w:szCs w:val="24"/>
        </w:rPr>
        <w:t xml:space="preserve">As corruption manifests itself in many ways and occurs in a multitude of contexts, and mindful of its impact on the enjoyment of human rights, the fight against corruption and the promotion and protection of human rights are mutually reinforcing. </w:t>
      </w:r>
    </w:p>
    <w:p w14:paraId="193860FB" w14:textId="576FBBD4" w:rsidR="001105FC" w:rsidRPr="001105FC" w:rsidRDefault="001105FC" w:rsidP="001105FC">
      <w:pPr>
        <w:jc w:val="both"/>
        <w:rPr>
          <w:i/>
          <w:iCs/>
          <w:sz w:val="24"/>
          <w:szCs w:val="24"/>
          <w:lang w:val="en-US"/>
        </w:rPr>
      </w:pPr>
      <w:r w:rsidRPr="001105FC">
        <w:rPr>
          <w:i/>
          <w:iCs/>
          <w:sz w:val="24"/>
          <w:szCs w:val="24"/>
        </w:rPr>
        <w:t xml:space="preserve">Corruption exacerbates inequality and undermines the ability to optimize available resources for the realization of civil, political, economic, social, and cultural rights as well as the right to development. It </w:t>
      </w:r>
      <w:r w:rsidRPr="001105FC">
        <w:rPr>
          <w:i/>
          <w:iCs/>
          <w:sz w:val="24"/>
          <w:szCs w:val="24"/>
          <w:lang w:val="en-US"/>
        </w:rPr>
        <w:t xml:space="preserve">diverts funds from state budgets that </w:t>
      </w:r>
      <w:r w:rsidRPr="001105FC">
        <w:rPr>
          <w:i/>
          <w:iCs/>
          <w:sz w:val="24"/>
          <w:szCs w:val="24"/>
        </w:rPr>
        <w:t>otherwise</w:t>
      </w:r>
      <w:r w:rsidRPr="001105FC">
        <w:rPr>
          <w:i/>
          <w:iCs/>
          <w:sz w:val="24"/>
          <w:szCs w:val="24"/>
          <w:lang w:val="en-US"/>
        </w:rPr>
        <w:t xml:space="preserve"> be dedicated for </w:t>
      </w:r>
      <w:r w:rsidRPr="001105FC">
        <w:rPr>
          <w:i/>
          <w:iCs/>
          <w:sz w:val="24"/>
          <w:szCs w:val="24"/>
        </w:rPr>
        <w:t xml:space="preserve">national development and </w:t>
      </w:r>
      <w:r w:rsidRPr="001105FC">
        <w:rPr>
          <w:i/>
          <w:iCs/>
          <w:sz w:val="24"/>
          <w:szCs w:val="24"/>
          <w:lang w:val="en-US"/>
        </w:rPr>
        <w:t>provision of basic needs</w:t>
      </w:r>
      <w:r w:rsidRPr="001105FC">
        <w:rPr>
          <w:i/>
          <w:iCs/>
          <w:sz w:val="24"/>
          <w:szCs w:val="24"/>
        </w:rPr>
        <w:t>.</w:t>
      </w:r>
    </w:p>
    <w:p w14:paraId="22ED4019" w14:textId="77777777" w:rsidR="001105FC" w:rsidRPr="001105FC" w:rsidRDefault="001105FC" w:rsidP="001105FC">
      <w:pPr>
        <w:jc w:val="both"/>
        <w:rPr>
          <w:i/>
          <w:iCs/>
          <w:sz w:val="24"/>
          <w:szCs w:val="24"/>
          <w:lang w:val="en-GB"/>
        </w:rPr>
      </w:pPr>
      <w:r w:rsidRPr="001105FC">
        <w:rPr>
          <w:i/>
          <w:iCs/>
          <w:sz w:val="24"/>
          <w:szCs w:val="24"/>
        </w:rPr>
        <w:t>In the context of the pandemic, public health measures are of particular concern.</w:t>
      </w:r>
    </w:p>
    <w:p w14:paraId="36BCBC0B" w14:textId="7485AA40" w:rsidR="001105FC" w:rsidRPr="001105FC" w:rsidRDefault="001105FC" w:rsidP="001105FC">
      <w:pPr>
        <w:jc w:val="both"/>
        <w:rPr>
          <w:i/>
          <w:iCs/>
          <w:sz w:val="24"/>
          <w:szCs w:val="24"/>
          <w:lang w:val="en-US"/>
        </w:rPr>
      </w:pPr>
      <w:r w:rsidRPr="001105FC">
        <w:rPr>
          <w:i/>
          <w:iCs/>
          <w:sz w:val="24"/>
          <w:szCs w:val="24"/>
          <w:lang w:val="en-US"/>
        </w:rPr>
        <w:t xml:space="preserve">At the national level, the Government of Indonesia </w:t>
      </w:r>
      <w:r w:rsidRPr="001105FC">
        <w:rPr>
          <w:i/>
          <w:iCs/>
          <w:sz w:val="24"/>
          <w:szCs w:val="24"/>
        </w:rPr>
        <w:t xml:space="preserve">continues to uphold and apply the principles of good governance and transparency. During the pandemic, the Government </w:t>
      </w:r>
      <w:r w:rsidRPr="001105FC">
        <w:rPr>
          <w:i/>
          <w:iCs/>
          <w:sz w:val="24"/>
          <w:szCs w:val="24"/>
          <w:lang w:val="en-US"/>
        </w:rPr>
        <w:t>work together with the Corruption Eradication Commission of Indonesia in the prevention</w:t>
      </w:r>
      <w:r w:rsidRPr="001105FC">
        <w:rPr>
          <w:i/>
          <w:iCs/>
          <w:sz w:val="24"/>
          <w:szCs w:val="24"/>
        </w:rPr>
        <w:t xml:space="preserve"> measures</w:t>
      </w:r>
      <w:r w:rsidRPr="001105FC">
        <w:rPr>
          <w:i/>
          <w:iCs/>
          <w:sz w:val="24"/>
          <w:szCs w:val="24"/>
          <w:lang w:val="en-US"/>
        </w:rPr>
        <w:t xml:space="preserve"> and monitoring </w:t>
      </w:r>
      <w:r w:rsidRPr="001105FC">
        <w:rPr>
          <w:i/>
          <w:iCs/>
          <w:sz w:val="24"/>
          <w:szCs w:val="24"/>
        </w:rPr>
        <w:t xml:space="preserve">of </w:t>
      </w:r>
      <w:r w:rsidRPr="001105FC">
        <w:rPr>
          <w:i/>
          <w:iCs/>
          <w:sz w:val="24"/>
          <w:szCs w:val="24"/>
          <w:lang w:val="en-US"/>
        </w:rPr>
        <w:t xml:space="preserve">administration and implementation of Covid-19 </w:t>
      </w:r>
      <w:r w:rsidRPr="001105FC">
        <w:rPr>
          <w:i/>
          <w:iCs/>
          <w:sz w:val="24"/>
          <w:szCs w:val="24"/>
        </w:rPr>
        <w:t>respond</w:t>
      </w:r>
      <w:r w:rsidRPr="001105FC">
        <w:rPr>
          <w:i/>
          <w:iCs/>
          <w:sz w:val="24"/>
          <w:szCs w:val="24"/>
          <w:lang w:val="en-US"/>
        </w:rPr>
        <w:t xml:space="preserve"> policies.</w:t>
      </w:r>
    </w:p>
    <w:p w14:paraId="299A6CB0" w14:textId="77777777" w:rsidR="001105FC" w:rsidRPr="001105FC" w:rsidRDefault="001105FC" w:rsidP="001105FC">
      <w:pPr>
        <w:jc w:val="both"/>
        <w:rPr>
          <w:i/>
          <w:iCs/>
          <w:sz w:val="24"/>
          <w:szCs w:val="24"/>
          <w:lang w:val="en-GB"/>
        </w:rPr>
      </w:pPr>
      <w:r w:rsidRPr="001105FC">
        <w:rPr>
          <w:i/>
          <w:iCs/>
          <w:sz w:val="24"/>
          <w:szCs w:val="24"/>
          <w:lang w:val="en-GB"/>
        </w:rPr>
        <w:t>The CEC provide</w:t>
      </w:r>
      <w:r w:rsidRPr="001105FC">
        <w:rPr>
          <w:i/>
          <w:iCs/>
          <w:sz w:val="24"/>
          <w:szCs w:val="24"/>
        </w:rPr>
        <w:t>s</w:t>
      </w:r>
      <w:r w:rsidRPr="001105FC">
        <w:rPr>
          <w:i/>
          <w:iCs/>
          <w:sz w:val="24"/>
          <w:szCs w:val="24"/>
          <w:lang w:val="en-GB"/>
        </w:rPr>
        <w:t xml:space="preserve"> advice and recommendation</w:t>
      </w:r>
      <w:r w:rsidRPr="001105FC">
        <w:rPr>
          <w:i/>
          <w:iCs/>
          <w:sz w:val="24"/>
          <w:szCs w:val="24"/>
        </w:rPr>
        <w:t>s</w:t>
      </w:r>
      <w:r w:rsidRPr="001105FC">
        <w:rPr>
          <w:i/>
          <w:iCs/>
          <w:sz w:val="24"/>
          <w:szCs w:val="24"/>
          <w:lang w:val="en-GB"/>
        </w:rPr>
        <w:t xml:space="preserve"> </w:t>
      </w:r>
      <w:r w:rsidRPr="001105FC">
        <w:rPr>
          <w:i/>
          <w:iCs/>
          <w:sz w:val="24"/>
          <w:szCs w:val="24"/>
        </w:rPr>
        <w:t xml:space="preserve">that has been implemented by relevant ministries, </w:t>
      </w:r>
      <w:r w:rsidRPr="001105FC">
        <w:rPr>
          <w:i/>
          <w:iCs/>
          <w:sz w:val="24"/>
          <w:szCs w:val="24"/>
          <w:lang w:val="en-GB"/>
        </w:rPr>
        <w:t>on the design and formulation of pandemic recovery policies</w:t>
      </w:r>
      <w:r w:rsidRPr="001105FC">
        <w:rPr>
          <w:i/>
          <w:iCs/>
          <w:sz w:val="24"/>
          <w:szCs w:val="24"/>
        </w:rPr>
        <w:t xml:space="preserve"> and mechanisms</w:t>
      </w:r>
      <w:r w:rsidRPr="001105FC">
        <w:rPr>
          <w:i/>
          <w:iCs/>
          <w:sz w:val="24"/>
          <w:szCs w:val="24"/>
          <w:lang w:val="en-GB"/>
        </w:rPr>
        <w:t xml:space="preserve"> including those</w:t>
      </w:r>
      <w:r w:rsidRPr="001105FC">
        <w:rPr>
          <w:i/>
          <w:iCs/>
          <w:sz w:val="24"/>
          <w:szCs w:val="24"/>
        </w:rPr>
        <w:t xml:space="preserve"> relating</w:t>
      </w:r>
      <w:r w:rsidRPr="001105FC">
        <w:rPr>
          <w:i/>
          <w:iCs/>
          <w:sz w:val="24"/>
          <w:szCs w:val="24"/>
          <w:lang w:val="en-GB"/>
        </w:rPr>
        <w:t xml:space="preserve"> to the provision of medical and healthcare assistance, administration of vaccination, as well as</w:t>
      </w:r>
      <w:r w:rsidRPr="001105FC">
        <w:rPr>
          <w:i/>
          <w:iCs/>
          <w:sz w:val="24"/>
          <w:szCs w:val="24"/>
        </w:rPr>
        <w:t xml:space="preserve"> in the</w:t>
      </w:r>
      <w:r w:rsidRPr="001105FC">
        <w:rPr>
          <w:i/>
          <w:iCs/>
          <w:sz w:val="24"/>
          <w:szCs w:val="24"/>
          <w:lang w:val="en-GB"/>
        </w:rPr>
        <w:t xml:space="preserve"> provision of micro enterprise assistance package,</w:t>
      </w:r>
      <w:r w:rsidRPr="001105FC">
        <w:rPr>
          <w:i/>
          <w:iCs/>
          <w:sz w:val="24"/>
          <w:szCs w:val="24"/>
        </w:rPr>
        <w:t xml:space="preserve"> electricity</w:t>
      </w:r>
      <w:r w:rsidRPr="001105FC">
        <w:rPr>
          <w:i/>
          <w:iCs/>
          <w:sz w:val="24"/>
          <w:szCs w:val="24"/>
          <w:lang w:val="en-GB"/>
        </w:rPr>
        <w:t xml:space="preserve"> subsidy, and other social assistance policies.</w:t>
      </w:r>
    </w:p>
    <w:p w14:paraId="0976C082" w14:textId="77777777" w:rsidR="001105FC" w:rsidRPr="001105FC" w:rsidRDefault="001105FC" w:rsidP="001105FC">
      <w:pPr>
        <w:jc w:val="both"/>
        <w:rPr>
          <w:i/>
          <w:iCs/>
          <w:sz w:val="24"/>
          <w:szCs w:val="24"/>
          <w:lang w:val="en-US"/>
        </w:rPr>
      </w:pPr>
      <w:r w:rsidRPr="001105FC">
        <w:rPr>
          <w:i/>
          <w:iCs/>
          <w:sz w:val="24"/>
          <w:szCs w:val="24"/>
        </w:rPr>
        <w:t>Mr. President,</w:t>
      </w:r>
    </w:p>
    <w:p w14:paraId="2BC3E2D4" w14:textId="77777777" w:rsidR="001105FC" w:rsidRPr="001105FC" w:rsidRDefault="001105FC" w:rsidP="001105FC">
      <w:pPr>
        <w:jc w:val="both"/>
        <w:rPr>
          <w:i/>
          <w:iCs/>
          <w:sz w:val="24"/>
          <w:szCs w:val="24"/>
          <w:lang w:val="en-US"/>
        </w:rPr>
      </w:pPr>
      <w:r w:rsidRPr="001105FC">
        <w:rPr>
          <w:bCs/>
          <w:i/>
          <w:iCs/>
          <w:sz w:val="24"/>
          <w:szCs w:val="24"/>
        </w:rPr>
        <w:t>Fighting the negative impact of corruption also requires robust international cooperation, at all levels.</w:t>
      </w:r>
    </w:p>
    <w:p w14:paraId="14E1A590" w14:textId="2C8BB58F" w:rsidR="001105FC" w:rsidRPr="001105FC" w:rsidRDefault="001105FC" w:rsidP="001105FC">
      <w:pPr>
        <w:jc w:val="both"/>
        <w:rPr>
          <w:i/>
          <w:iCs/>
          <w:sz w:val="24"/>
          <w:szCs w:val="24"/>
          <w:lang w:val="en-US"/>
        </w:rPr>
      </w:pPr>
      <w:r w:rsidRPr="001105FC">
        <w:rPr>
          <w:i/>
          <w:iCs/>
          <w:sz w:val="24"/>
          <w:szCs w:val="24"/>
        </w:rPr>
        <w:lastRenderedPageBreak/>
        <w:t>Therefore,</w:t>
      </w:r>
      <w:r w:rsidRPr="001105FC">
        <w:rPr>
          <w:i/>
          <w:iCs/>
          <w:sz w:val="24"/>
          <w:szCs w:val="24"/>
          <w:lang w:val="en-US"/>
        </w:rPr>
        <w:t xml:space="preserve"> we </w:t>
      </w:r>
      <w:r w:rsidRPr="001105FC">
        <w:rPr>
          <w:i/>
          <w:iCs/>
          <w:sz w:val="24"/>
          <w:szCs w:val="24"/>
        </w:rPr>
        <w:t xml:space="preserve">see the value of intensifying the message on the linkages between the impact of corruption and human rights to drive stronger collaboration pursuant to the UNCAC, not only on prevention but also on </w:t>
      </w:r>
      <w:r w:rsidR="001706D1">
        <w:rPr>
          <w:i/>
          <w:iCs/>
          <w:sz w:val="24"/>
          <w:szCs w:val="24"/>
          <w:lang w:val="en-CH"/>
        </w:rPr>
        <w:t xml:space="preserve">the </w:t>
      </w:r>
      <w:r w:rsidRPr="001105FC">
        <w:rPr>
          <w:i/>
          <w:iCs/>
          <w:sz w:val="24"/>
          <w:szCs w:val="24"/>
        </w:rPr>
        <w:t xml:space="preserve">return of assets to support national development agenda. </w:t>
      </w:r>
    </w:p>
    <w:p w14:paraId="2F994C88" w14:textId="77777777" w:rsidR="001105FC" w:rsidRPr="001105FC" w:rsidRDefault="001105FC" w:rsidP="001105FC">
      <w:pPr>
        <w:jc w:val="both"/>
        <w:rPr>
          <w:i/>
          <w:iCs/>
          <w:sz w:val="24"/>
          <w:szCs w:val="24"/>
          <w:lang w:val="en-GB"/>
        </w:rPr>
      </w:pPr>
    </w:p>
    <w:p w14:paraId="057C1EB3" w14:textId="2719DCFB" w:rsidR="001105FC" w:rsidRPr="001105FC" w:rsidRDefault="001105FC" w:rsidP="001105FC">
      <w:pPr>
        <w:jc w:val="both"/>
        <w:rPr>
          <w:sz w:val="24"/>
          <w:szCs w:val="24"/>
        </w:rPr>
      </w:pPr>
      <w:r w:rsidRPr="001105FC">
        <w:rPr>
          <w:i/>
          <w:iCs/>
          <w:sz w:val="24"/>
          <w:szCs w:val="24"/>
        </w:rPr>
        <w:t>I thank you.</w:t>
      </w:r>
    </w:p>
    <w:sectPr w:rsidR="001105FC" w:rsidRPr="001105FC" w:rsidSect="001105FC">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63B53"/>
    <w:multiLevelType w:val="hybridMultilevel"/>
    <w:tmpl w:val="A7D8818E"/>
    <w:lvl w:ilvl="0" w:tplc="2528B20A">
      <w:start w:val="14"/>
      <w:numFmt w:val="bullet"/>
      <w:lvlText w:val=""/>
      <w:lvlJc w:val="left"/>
      <w:pPr>
        <w:ind w:left="667" w:hanging="360"/>
      </w:pPr>
      <w:rPr>
        <w:rFonts w:ascii="Wingdings" w:eastAsiaTheme="minorEastAsia" w:hAnsi="Wingdings" w:cs="Arial" w:hint="default"/>
      </w:rPr>
    </w:lvl>
    <w:lvl w:ilvl="1" w:tplc="20000003" w:tentative="1">
      <w:start w:val="1"/>
      <w:numFmt w:val="bullet"/>
      <w:lvlText w:val="o"/>
      <w:lvlJc w:val="left"/>
      <w:pPr>
        <w:ind w:left="1387" w:hanging="360"/>
      </w:pPr>
      <w:rPr>
        <w:rFonts w:ascii="Courier New" w:hAnsi="Courier New" w:cs="Courier New" w:hint="default"/>
      </w:rPr>
    </w:lvl>
    <w:lvl w:ilvl="2" w:tplc="20000005" w:tentative="1">
      <w:start w:val="1"/>
      <w:numFmt w:val="bullet"/>
      <w:lvlText w:val=""/>
      <w:lvlJc w:val="left"/>
      <w:pPr>
        <w:ind w:left="2107" w:hanging="360"/>
      </w:pPr>
      <w:rPr>
        <w:rFonts w:ascii="Wingdings" w:hAnsi="Wingdings" w:hint="default"/>
      </w:rPr>
    </w:lvl>
    <w:lvl w:ilvl="3" w:tplc="20000001" w:tentative="1">
      <w:start w:val="1"/>
      <w:numFmt w:val="bullet"/>
      <w:lvlText w:val=""/>
      <w:lvlJc w:val="left"/>
      <w:pPr>
        <w:ind w:left="2827" w:hanging="360"/>
      </w:pPr>
      <w:rPr>
        <w:rFonts w:ascii="Symbol" w:hAnsi="Symbol" w:hint="default"/>
      </w:rPr>
    </w:lvl>
    <w:lvl w:ilvl="4" w:tplc="20000003" w:tentative="1">
      <w:start w:val="1"/>
      <w:numFmt w:val="bullet"/>
      <w:lvlText w:val="o"/>
      <w:lvlJc w:val="left"/>
      <w:pPr>
        <w:ind w:left="3547" w:hanging="360"/>
      </w:pPr>
      <w:rPr>
        <w:rFonts w:ascii="Courier New" w:hAnsi="Courier New" w:cs="Courier New" w:hint="default"/>
      </w:rPr>
    </w:lvl>
    <w:lvl w:ilvl="5" w:tplc="20000005" w:tentative="1">
      <w:start w:val="1"/>
      <w:numFmt w:val="bullet"/>
      <w:lvlText w:val=""/>
      <w:lvlJc w:val="left"/>
      <w:pPr>
        <w:ind w:left="4267" w:hanging="360"/>
      </w:pPr>
      <w:rPr>
        <w:rFonts w:ascii="Wingdings" w:hAnsi="Wingdings" w:hint="default"/>
      </w:rPr>
    </w:lvl>
    <w:lvl w:ilvl="6" w:tplc="20000001" w:tentative="1">
      <w:start w:val="1"/>
      <w:numFmt w:val="bullet"/>
      <w:lvlText w:val=""/>
      <w:lvlJc w:val="left"/>
      <w:pPr>
        <w:ind w:left="4987" w:hanging="360"/>
      </w:pPr>
      <w:rPr>
        <w:rFonts w:ascii="Symbol" w:hAnsi="Symbol" w:hint="default"/>
      </w:rPr>
    </w:lvl>
    <w:lvl w:ilvl="7" w:tplc="20000003" w:tentative="1">
      <w:start w:val="1"/>
      <w:numFmt w:val="bullet"/>
      <w:lvlText w:val="o"/>
      <w:lvlJc w:val="left"/>
      <w:pPr>
        <w:ind w:left="5707" w:hanging="360"/>
      </w:pPr>
      <w:rPr>
        <w:rFonts w:ascii="Courier New" w:hAnsi="Courier New" w:cs="Courier New" w:hint="default"/>
      </w:rPr>
    </w:lvl>
    <w:lvl w:ilvl="8" w:tplc="20000005" w:tentative="1">
      <w:start w:val="1"/>
      <w:numFmt w:val="bullet"/>
      <w:lvlText w:val=""/>
      <w:lvlJc w:val="left"/>
      <w:pPr>
        <w:ind w:left="6427" w:hanging="360"/>
      </w:pPr>
      <w:rPr>
        <w:rFonts w:ascii="Wingdings" w:hAnsi="Wingdings" w:hint="default"/>
      </w:rPr>
    </w:lvl>
  </w:abstractNum>
  <w:abstractNum w:abstractNumId="1" w15:restartNumberingAfterBreak="0">
    <w:nsid w:val="71B32E8A"/>
    <w:multiLevelType w:val="hybridMultilevel"/>
    <w:tmpl w:val="1F2AFC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FC"/>
    <w:rsid w:val="001105FC"/>
    <w:rsid w:val="001706D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BC96"/>
  <w15:chartTrackingRefBased/>
  <w15:docId w15:val="{651BEB3F-2423-49C1-ADD7-C2FF83CC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Padma</dc:creator>
  <cp:keywords/>
  <dc:description/>
  <cp:lastModifiedBy>Mia Padma</cp:lastModifiedBy>
  <cp:revision>2</cp:revision>
  <dcterms:created xsi:type="dcterms:W3CDTF">2022-02-16T16:25:00Z</dcterms:created>
  <dcterms:modified xsi:type="dcterms:W3CDTF">2022-02-16T16:34:00Z</dcterms:modified>
</cp:coreProperties>
</file>