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CC64B" w14:textId="711023E1" w:rsidR="001C66DE" w:rsidRDefault="001C66DE">
      <w:pPr>
        <w:rPr>
          <w:rFonts w:ascii="Garamond" w:hAnsi="Garamond"/>
          <w:sz w:val="26"/>
          <w:szCs w:val="26"/>
        </w:rPr>
      </w:pPr>
    </w:p>
    <w:p w14:paraId="43BC2895" w14:textId="47696A48" w:rsidR="001C66DE" w:rsidRPr="001C66DE" w:rsidRDefault="001C66DE">
      <w:pPr>
        <w:rPr>
          <w:rFonts w:ascii="Garamond" w:hAnsi="Garamond"/>
          <w:b/>
          <w:bCs/>
          <w:sz w:val="26"/>
          <w:szCs w:val="26"/>
        </w:rPr>
      </w:pPr>
      <w:r w:rsidRPr="001C66DE">
        <w:rPr>
          <w:rFonts w:ascii="Garamond" w:hAnsi="Garamond"/>
          <w:b/>
          <w:bCs/>
          <w:sz w:val="26"/>
          <w:szCs w:val="26"/>
        </w:rPr>
        <w:t>Introduction</w:t>
      </w:r>
    </w:p>
    <w:p w14:paraId="48F73E83" w14:textId="3CE858F1" w:rsidR="001C66DE" w:rsidRPr="001C66DE" w:rsidRDefault="001C66DE" w:rsidP="001C66DE">
      <w:pPr>
        <w:rPr>
          <w:rFonts w:ascii="Garamond" w:hAnsi="Garamond"/>
          <w:b/>
          <w:sz w:val="26"/>
          <w:szCs w:val="26"/>
        </w:rPr>
      </w:pPr>
      <w:r>
        <w:rPr>
          <w:rFonts w:ascii="Garamond" w:hAnsi="Garamond"/>
          <w:sz w:val="26"/>
          <w:szCs w:val="26"/>
        </w:rPr>
        <w:t>Asia Indigenous Peoples Pact (AIPP) and</w:t>
      </w:r>
      <w:r w:rsidR="00217054">
        <w:rPr>
          <w:rFonts w:ascii="Garamond" w:hAnsi="Garamond"/>
          <w:sz w:val="26"/>
          <w:szCs w:val="26"/>
        </w:rPr>
        <w:t xml:space="preserve"> </w:t>
      </w:r>
      <w:r w:rsidR="00217054">
        <w:rPr>
          <w:rFonts w:ascii="Garamond" w:hAnsi="Garamond"/>
          <w:sz w:val="26"/>
          <w:szCs w:val="26"/>
        </w:rPr>
        <w:t xml:space="preserve">The </w:t>
      </w:r>
      <w:r w:rsidR="00217054" w:rsidRPr="002C0460">
        <w:rPr>
          <w:rFonts w:ascii="Garamond" w:hAnsi="Garamond"/>
          <w:sz w:val="26"/>
          <w:szCs w:val="26"/>
        </w:rPr>
        <w:t>Network of Indigenous Women of Asia (NIWA)</w:t>
      </w:r>
      <w:r>
        <w:rPr>
          <w:rFonts w:ascii="Garamond" w:hAnsi="Garamond"/>
          <w:sz w:val="26"/>
          <w:szCs w:val="26"/>
        </w:rPr>
        <w:t xml:space="preserve"> welcome the draft </w:t>
      </w:r>
      <w:r w:rsidRPr="001C66DE">
        <w:rPr>
          <w:rFonts w:ascii="Garamond" w:hAnsi="Garamond"/>
          <w:bCs/>
          <w:sz w:val="26"/>
          <w:szCs w:val="26"/>
        </w:rPr>
        <w:t xml:space="preserve">General Recommendation No. 39 on the rights of </w:t>
      </w:r>
      <w:r w:rsidR="009F1FD0">
        <w:rPr>
          <w:rFonts w:ascii="Garamond" w:hAnsi="Garamond"/>
          <w:bCs/>
          <w:sz w:val="26"/>
          <w:szCs w:val="26"/>
        </w:rPr>
        <w:t>I</w:t>
      </w:r>
      <w:r w:rsidRPr="001C66DE">
        <w:rPr>
          <w:rFonts w:ascii="Garamond" w:hAnsi="Garamond"/>
          <w:bCs/>
          <w:sz w:val="26"/>
          <w:szCs w:val="26"/>
        </w:rPr>
        <w:t>ndigenous women and girls</w:t>
      </w:r>
      <w:r>
        <w:rPr>
          <w:rFonts w:ascii="Garamond" w:hAnsi="Garamond"/>
          <w:bCs/>
          <w:sz w:val="26"/>
          <w:szCs w:val="26"/>
        </w:rPr>
        <w:t xml:space="preserve"> prepared by the </w:t>
      </w:r>
      <w:r w:rsidRPr="001C66DE">
        <w:rPr>
          <w:rFonts w:ascii="Garamond" w:hAnsi="Garamond"/>
          <w:bCs/>
          <w:sz w:val="26"/>
          <w:szCs w:val="26"/>
        </w:rPr>
        <w:t>Committee on the Elimination of Discrimination against Women (CEDAW)</w:t>
      </w:r>
      <w:r>
        <w:rPr>
          <w:rFonts w:ascii="Garamond" w:hAnsi="Garamond"/>
          <w:bCs/>
          <w:sz w:val="26"/>
          <w:szCs w:val="26"/>
        </w:rPr>
        <w:t xml:space="preserve">. </w:t>
      </w:r>
      <w:r w:rsidR="00B661E8">
        <w:rPr>
          <w:rFonts w:ascii="Garamond" w:hAnsi="Garamond"/>
          <w:bCs/>
          <w:sz w:val="26"/>
          <w:szCs w:val="26"/>
        </w:rPr>
        <w:t>W</w:t>
      </w:r>
      <w:r>
        <w:rPr>
          <w:rFonts w:ascii="Garamond" w:hAnsi="Garamond"/>
          <w:bCs/>
          <w:sz w:val="26"/>
          <w:szCs w:val="26"/>
        </w:rPr>
        <w:t>e commend</w:t>
      </w:r>
      <w:r w:rsidR="00092C46">
        <w:rPr>
          <w:rFonts w:ascii="Garamond" w:hAnsi="Garamond"/>
          <w:bCs/>
          <w:sz w:val="26"/>
          <w:szCs w:val="26"/>
        </w:rPr>
        <w:t xml:space="preserve"> the draft for addressing </w:t>
      </w:r>
      <w:r w:rsidR="00DC7B1E">
        <w:rPr>
          <w:rFonts w:ascii="Garamond" w:hAnsi="Garamond"/>
          <w:bCs/>
          <w:sz w:val="26"/>
          <w:szCs w:val="26"/>
        </w:rPr>
        <w:t xml:space="preserve">the key </w:t>
      </w:r>
      <w:r w:rsidR="002276A4">
        <w:rPr>
          <w:rFonts w:ascii="Garamond" w:hAnsi="Garamond"/>
          <w:bCs/>
          <w:sz w:val="26"/>
          <w:szCs w:val="26"/>
        </w:rPr>
        <w:t>issues</w:t>
      </w:r>
      <w:r w:rsidR="00DC7B1E">
        <w:rPr>
          <w:rFonts w:ascii="Garamond" w:hAnsi="Garamond"/>
          <w:bCs/>
          <w:sz w:val="26"/>
          <w:szCs w:val="26"/>
        </w:rPr>
        <w:t xml:space="preserve"> highlighted in our 2021 submission</w:t>
      </w:r>
      <w:r w:rsidR="0030360E">
        <w:rPr>
          <w:rFonts w:ascii="Garamond" w:hAnsi="Garamond"/>
          <w:bCs/>
          <w:sz w:val="26"/>
          <w:szCs w:val="26"/>
        </w:rPr>
        <w:t>,</w:t>
      </w:r>
      <w:r w:rsidR="00DC7B1E">
        <w:rPr>
          <w:rStyle w:val="FootnoteReference"/>
          <w:rFonts w:ascii="Garamond" w:hAnsi="Garamond"/>
          <w:bCs/>
          <w:sz w:val="26"/>
          <w:szCs w:val="26"/>
        </w:rPr>
        <w:footnoteReference w:id="1"/>
      </w:r>
      <w:r w:rsidR="001900C1">
        <w:rPr>
          <w:rFonts w:ascii="Garamond" w:hAnsi="Garamond"/>
          <w:bCs/>
          <w:sz w:val="26"/>
          <w:szCs w:val="26"/>
        </w:rPr>
        <w:t xml:space="preserve"> </w:t>
      </w:r>
      <w:r w:rsidR="00ED72B8">
        <w:rPr>
          <w:rFonts w:ascii="Garamond" w:hAnsi="Garamond"/>
          <w:bCs/>
          <w:sz w:val="26"/>
          <w:szCs w:val="26"/>
        </w:rPr>
        <w:t>includ</w:t>
      </w:r>
      <w:r w:rsidR="00B661E8">
        <w:rPr>
          <w:rFonts w:ascii="Garamond" w:hAnsi="Garamond"/>
          <w:bCs/>
          <w:sz w:val="26"/>
          <w:szCs w:val="26"/>
        </w:rPr>
        <w:t>ing</w:t>
      </w:r>
      <w:r w:rsidR="002F3DAA">
        <w:rPr>
          <w:rFonts w:ascii="Garamond" w:hAnsi="Garamond"/>
          <w:bCs/>
          <w:sz w:val="26"/>
          <w:szCs w:val="26"/>
        </w:rPr>
        <w:t>:</w:t>
      </w:r>
      <w:r w:rsidR="001900C1">
        <w:rPr>
          <w:rFonts w:ascii="Garamond" w:hAnsi="Garamond"/>
          <w:bCs/>
          <w:sz w:val="26"/>
          <w:szCs w:val="26"/>
        </w:rPr>
        <w:t xml:space="preserve"> legal recognition of Indigenous women</w:t>
      </w:r>
      <w:r w:rsidR="00332CA0">
        <w:rPr>
          <w:rFonts w:ascii="Garamond" w:hAnsi="Garamond"/>
          <w:bCs/>
          <w:sz w:val="26"/>
          <w:szCs w:val="26"/>
        </w:rPr>
        <w:t>;</w:t>
      </w:r>
      <w:r w:rsidR="001900C1">
        <w:rPr>
          <w:rFonts w:ascii="Garamond" w:hAnsi="Garamond"/>
          <w:bCs/>
          <w:sz w:val="26"/>
          <w:szCs w:val="26"/>
        </w:rPr>
        <w:t xml:space="preserve"> right to land</w:t>
      </w:r>
      <w:r w:rsidR="00332CA0">
        <w:rPr>
          <w:rFonts w:ascii="Garamond" w:hAnsi="Garamond"/>
          <w:bCs/>
          <w:sz w:val="26"/>
          <w:szCs w:val="26"/>
        </w:rPr>
        <w:t>;</w:t>
      </w:r>
      <w:r w:rsidR="001900C1">
        <w:rPr>
          <w:rFonts w:ascii="Garamond" w:hAnsi="Garamond"/>
          <w:bCs/>
          <w:sz w:val="26"/>
          <w:szCs w:val="26"/>
        </w:rPr>
        <w:t xml:space="preserve"> access to </w:t>
      </w:r>
      <w:r w:rsidR="00332CA0">
        <w:rPr>
          <w:rFonts w:ascii="Garamond" w:hAnsi="Garamond"/>
          <w:bCs/>
          <w:sz w:val="26"/>
          <w:szCs w:val="26"/>
        </w:rPr>
        <w:t xml:space="preserve">water, </w:t>
      </w:r>
      <w:r w:rsidR="001900C1">
        <w:rPr>
          <w:rFonts w:ascii="Garamond" w:hAnsi="Garamond"/>
          <w:bCs/>
          <w:sz w:val="26"/>
          <w:szCs w:val="26"/>
        </w:rPr>
        <w:t>natural</w:t>
      </w:r>
      <w:r w:rsidR="00332CA0">
        <w:rPr>
          <w:rFonts w:ascii="Garamond" w:hAnsi="Garamond"/>
          <w:bCs/>
          <w:sz w:val="26"/>
          <w:szCs w:val="26"/>
        </w:rPr>
        <w:t xml:space="preserve"> resources and food security;</w:t>
      </w:r>
      <w:r w:rsidR="002F3DAA">
        <w:rPr>
          <w:rFonts w:ascii="Garamond" w:hAnsi="Garamond"/>
          <w:bCs/>
          <w:sz w:val="26"/>
          <w:szCs w:val="26"/>
        </w:rPr>
        <w:t xml:space="preserve"> cultural rights; access to justice; gender-based violence; Indigenous women human rights defenders; </w:t>
      </w:r>
      <w:r w:rsidR="00C828EE">
        <w:rPr>
          <w:rFonts w:ascii="Garamond" w:hAnsi="Garamond"/>
          <w:bCs/>
          <w:sz w:val="26"/>
          <w:szCs w:val="26"/>
        </w:rPr>
        <w:t>militarization and armed conflict; climate change;</w:t>
      </w:r>
      <w:r w:rsidR="0098776D">
        <w:rPr>
          <w:rFonts w:ascii="Garamond" w:hAnsi="Garamond"/>
          <w:bCs/>
          <w:sz w:val="26"/>
          <w:szCs w:val="26"/>
        </w:rPr>
        <w:t xml:space="preserve"> right to health; and right to education.</w:t>
      </w:r>
      <w:r w:rsidR="00E84B75">
        <w:rPr>
          <w:rFonts w:ascii="Garamond" w:hAnsi="Garamond"/>
          <w:bCs/>
          <w:sz w:val="26"/>
          <w:szCs w:val="26"/>
        </w:rPr>
        <w:t xml:space="preserve"> This submission reiterates some of our previous positions and adds some elements in response to the draft</w:t>
      </w:r>
      <w:r w:rsidR="00952DAB">
        <w:rPr>
          <w:rFonts w:ascii="Garamond" w:hAnsi="Garamond"/>
          <w:bCs/>
          <w:sz w:val="26"/>
          <w:szCs w:val="26"/>
        </w:rPr>
        <w:t xml:space="preserve"> General Recommendation made available.</w:t>
      </w:r>
    </w:p>
    <w:p w14:paraId="133D59AA" w14:textId="14D3F964" w:rsidR="001C66DE" w:rsidRPr="009E1513" w:rsidRDefault="009E1513">
      <w:pPr>
        <w:rPr>
          <w:rFonts w:ascii="Garamond" w:hAnsi="Garamond"/>
          <w:b/>
          <w:bCs/>
          <w:sz w:val="26"/>
          <w:szCs w:val="26"/>
        </w:rPr>
      </w:pPr>
      <w:r w:rsidRPr="009E1513">
        <w:rPr>
          <w:rFonts w:ascii="Garamond" w:hAnsi="Garamond"/>
          <w:b/>
          <w:bCs/>
          <w:sz w:val="26"/>
          <w:szCs w:val="26"/>
        </w:rPr>
        <w:t>Overarching comments</w:t>
      </w:r>
    </w:p>
    <w:p w14:paraId="24B17364" w14:textId="14D84B5C" w:rsidR="00FA4866" w:rsidRDefault="008E42F7">
      <w:pPr>
        <w:rPr>
          <w:rFonts w:ascii="Garamond" w:hAnsi="Garamond"/>
          <w:sz w:val="26"/>
          <w:szCs w:val="26"/>
        </w:rPr>
      </w:pPr>
      <w:r>
        <w:rPr>
          <w:rFonts w:ascii="Garamond" w:hAnsi="Garamond"/>
          <w:sz w:val="26"/>
          <w:szCs w:val="26"/>
        </w:rPr>
        <w:t xml:space="preserve">We strongly support the </w:t>
      </w:r>
      <w:r w:rsidR="00BC60B0">
        <w:rPr>
          <w:rFonts w:ascii="Garamond" w:hAnsi="Garamond"/>
          <w:sz w:val="26"/>
          <w:szCs w:val="26"/>
        </w:rPr>
        <w:t>recognition of “</w:t>
      </w:r>
      <w:r w:rsidR="00BC60B0" w:rsidRPr="00BC60B0">
        <w:rPr>
          <w:rFonts w:ascii="Garamond" w:hAnsi="Garamond"/>
          <w:sz w:val="26"/>
          <w:szCs w:val="26"/>
        </w:rPr>
        <w:t>multiple and intersecting barriers</w:t>
      </w:r>
      <w:r w:rsidR="00BC60B0">
        <w:rPr>
          <w:rFonts w:ascii="Garamond" w:hAnsi="Garamond"/>
          <w:sz w:val="26"/>
          <w:szCs w:val="26"/>
        </w:rPr>
        <w:t>”</w:t>
      </w:r>
      <w:r w:rsidR="004F6AD0">
        <w:rPr>
          <w:rFonts w:ascii="Garamond" w:hAnsi="Garamond"/>
          <w:sz w:val="26"/>
          <w:szCs w:val="26"/>
        </w:rPr>
        <w:t xml:space="preserve"> (para 49)</w:t>
      </w:r>
      <w:r w:rsidR="00BC60B0">
        <w:rPr>
          <w:rFonts w:ascii="Garamond" w:hAnsi="Garamond"/>
          <w:sz w:val="26"/>
          <w:szCs w:val="26"/>
        </w:rPr>
        <w:t xml:space="preserve"> and </w:t>
      </w:r>
      <w:r w:rsidR="002F08A6">
        <w:rPr>
          <w:rFonts w:ascii="Garamond" w:hAnsi="Garamond"/>
          <w:sz w:val="26"/>
          <w:szCs w:val="26"/>
        </w:rPr>
        <w:t>encourage</w:t>
      </w:r>
      <w:r w:rsidR="00BC60B0">
        <w:rPr>
          <w:rFonts w:ascii="Garamond" w:hAnsi="Garamond"/>
          <w:sz w:val="26"/>
          <w:szCs w:val="26"/>
        </w:rPr>
        <w:t xml:space="preserve"> the recognition of the need to confront and eliminate </w:t>
      </w:r>
      <w:r w:rsidR="00BC60B0">
        <w:rPr>
          <w:rFonts w:ascii="Garamond" w:hAnsi="Garamond"/>
          <w:b/>
          <w:bCs/>
          <w:sz w:val="26"/>
          <w:szCs w:val="26"/>
        </w:rPr>
        <w:t>multiple and intersecting forms of discrimination</w:t>
      </w:r>
      <w:r w:rsidR="00BC60B0">
        <w:rPr>
          <w:rFonts w:ascii="Garamond" w:hAnsi="Garamond"/>
          <w:sz w:val="26"/>
          <w:szCs w:val="26"/>
        </w:rPr>
        <w:t xml:space="preserve"> faced by Indigenous women and girls.</w:t>
      </w:r>
      <w:r w:rsidR="002F08A6">
        <w:rPr>
          <w:rFonts w:ascii="Garamond" w:hAnsi="Garamond"/>
          <w:sz w:val="26"/>
          <w:szCs w:val="26"/>
        </w:rPr>
        <w:t xml:space="preserve"> </w:t>
      </w:r>
      <w:r w:rsidR="00172267">
        <w:rPr>
          <w:rFonts w:ascii="Garamond" w:hAnsi="Garamond"/>
          <w:sz w:val="26"/>
          <w:szCs w:val="26"/>
        </w:rPr>
        <w:t>This wording acknowledges that individuals carry</w:t>
      </w:r>
      <w:r w:rsidR="002F08A6" w:rsidRPr="002F08A6">
        <w:rPr>
          <w:rFonts w:ascii="Garamond" w:hAnsi="Garamond"/>
          <w:sz w:val="26"/>
          <w:szCs w:val="26"/>
        </w:rPr>
        <w:t xml:space="preserve"> different identities simultaneously </w:t>
      </w:r>
      <w:r w:rsidR="00172267">
        <w:rPr>
          <w:rFonts w:ascii="Garamond" w:hAnsi="Garamond"/>
          <w:sz w:val="26"/>
          <w:szCs w:val="26"/>
        </w:rPr>
        <w:t xml:space="preserve">that </w:t>
      </w:r>
      <w:r w:rsidR="002F08A6" w:rsidRPr="002F08A6">
        <w:rPr>
          <w:rFonts w:ascii="Garamond" w:hAnsi="Garamond"/>
          <w:sz w:val="26"/>
          <w:szCs w:val="26"/>
        </w:rPr>
        <w:t>cannot be broken apart</w:t>
      </w:r>
      <w:r w:rsidR="00FF4219">
        <w:rPr>
          <w:rFonts w:ascii="Garamond" w:hAnsi="Garamond"/>
          <w:sz w:val="26"/>
          <w:szCs w:val="26"/>
        </w:rPr>
        <w:t>;</w:t>
      </w:r>
      <w:r w:rsidR="002F08A6" w:rsidRPr="002F08A6">
        <w:rPr>
          <w:rFonts w:ascii="Garamond" w:hAnsi="Garamond"/>
          <w:sz w:val="26"/>
          <w:szCs w:val="26"/>
        </w:rPr>
        <w:t xml:space="preserve"> the intersections are critical to retain</w:t>
      </w:r>
      <w:r w:rsidR="00FA4866">
        <w:rPr>
          <w:rFonts w:ascii="Garamond" w:hAnsi="Garamond"/>
          <w:sz w:val="26"/>
          <w:szCs w:val="26"/>
        </w:rPr>
        <w:t>.</w:t>
      </w:r>
      <w:r w:rsidR="00AF6BCE">
        <w:rPr>
          <w:rFonts w:ascii="Garamond" w:hAnsi="Garamond"/>
          <w:sz w:val="26"/>
          <w:szCs w:val="26"/>
        </w:rPr>
        <w:t xml:space="preserve"> We suggest that the wording in </w:t>
      </w:r>
      <w:r w:rsidR="00655709">
        <w:rPr>
          <w:rFonts w:ascii="Garamond" w:hAnsi="Garamond"/>
          <w:sz w:val="26"/>
          <w:szCs w:val="26"/>
        </w:rPr>
        <w:t xml:space="preserve">section A, </w:t>
      </w:r>
      <w:r w:rsidR="00AF6BCE">
        <w:rPr>
          <w:rFonts w:ascii="Garamond" w:hAnsi="Garamond"/>
          <w:sz w:val="26"/>
          <w:szCs w:val="26"/>
        </w:rPr>
        <w:t xml:space="preserve">paras </w:t>
      </w:r>
      <w:r w:rsidR="00AA402F">
        <w:rPr>
          <w:rFonts w:ascii="Garamond" w:hAnsi="Garamond"/>
          <w:sz w:val="26"/>
          <w:szCs w:val="26"/>
        </w:rPr>
        <w:t>8,</w:t>
      </w:r>
      <w:r w:rsidR="00F53F1A">
        <w:rPr>
          <w:rFonts w:ascii="Garamond" w:hAnsi="Garamond"/>
          <w:sz w:val="26"/>
          <w:szCs w:val="26"/>
        </w:rPr>
        <w:t xml:space="preserve"> 20, 25, </w:t>
      </w:r>
      <w:r w:rsidR="00BE02F6">
        <w:rPr>
          <w:rFonts w:ascii="Garamond" w:hAnsi="Garamond"/>
          <w:sz w:val="26"/>
          <w:szCs w:val="26"/>
        </w:rPr>
        <w:t>and recommendation 28 (d) use the term “multiple and intersecting forms of discrimination”</w:t>
      </w:r>
      <w:r w:rsidR="00806D13">
        <w:rPr>
          <w:rFonts w:ascii="Garamond" w:hAnsi="Garamond"/>
          <w:sz w:val="26"/>
          <w:szCs w:val="26"/>
        </w:rPr>
        <w:t xml:space="preserve"> rather than “intersectional forms of discrimination”. </w:t>
      </w:r>
    </w:p>
    <w:p w14:paraId="1706ADCF" w14:textId="640C3C5D" w:rsidR="00A039D3" w:rsidRDefault="003C5571">
      <w:pPr>
        <w:rPr>
          <w:rFonts w:ascii="Garamond" w:hAnsi="Garamond"/>
          <w:sz w:val="26"/>
          <w:szCs w:val="26"/>
        </w:rPr>
      </w:pPr>
      <w:r>
        <w:rPr>
          <w:rFonts w:ascii="Garamond" w:hAnsi="Garamond"/>
          <w:sz w:val="26"/>
          <w:szCs w:val="26"/>
          <w:lang w:val="en-GB"/>
        </w:rPr>
        <w:t xml:space="preserve">We agree that </w:t>
      </w:r>
      <w:r w:rsidR="00834446">
        <w:rPr>
          <w:rFonts w:ascii="Garamond" w:hAnsi="Garamond"/>
          <w:sz w:val="26"/>
          <w:szCs w:val="26"/>
          <w:lang w:val="en-GB"/>
        </w:rPr>
        <w:t xml:space="preserve">states </w:t>
      </w:r>
      <w:r>
        <w:rPr>
          <w:rFonts w:ascii="Garamond" w:hAnsi="Garamond"/>
          <w:sz w:val="26"/>
          <w:szCs w:val="26"/>
          <w:lang w:val="en-GB"/>
        </w:rPr>
        <w:t>“</w:t>
      </w:r>
      <w:r w:rsidRPr="003C5571">
        <w:rPr>
          <w:rFonts w:ascii="Garamond" w:hAnsi="Garamond"/>
          <w:sz w:val="26"/>
          <w:szCs w:val="26"/>
        </w:rPr>
        <w:t>must integrate a gender, indigenous women, intersectional, intercultural, and multi-disciplinary perspective throughout their lifespan</w:t>
      </w:r>
      <w:r w:rsidR="005E44C3">
        <w:rPr>
          <w:rFonts w:ascii="Garamond" w:hAnsi="Garamond"/>
          <w:sz w:val="26"/>
          <w:szCs w:val="26"/>
        </w:rPr>
        <w:t>,</w:t>
      </w:r>
      <w:r w:rsidR="002C62AC">
        <w:rPr>
          <w:rFonts w:ascii="Garamond" w:hAnsi="Garamond"/>
          <w:sz w:val="26"/>
          <w:szCs w:val="26"/>
        </w:rPr>
        <w:t xml:space="preserve">” </w:t>
      </w:r>
      <w:r w:rsidR="00EE1B93">
        <w:rPr>
          <w:rFonts w:ascii="Garamond" w:hAnsi="Garamond"/>
          <w:sz w:val="26"/>
          <w:szCs w:val="26"/>
        </w:rPr>
        <w:t xml:space="preserve">(para 4) </w:t>
      </w:r>
      <w:r w:rsidR="002C62AC">
        <w:rPr>
          <w:rFonts w:ascii="Garamond" w:hAnsi="Garamond"/>
          <w:sz w:val="26"/>
          <w:szCs w:val="26"/>
        </w:rPr>
        <w:t xml:space="preserve">and </w:t>
      </w:r>
      <w:r w:rsidR="00512C55">
        <w:rPr>
          <w:rFonts w:ascii="Garamond" w:hAnsi="Garamond"/>
          <w:sz w:val="26"/>
          <w:szCs w:val="26"/>
        </w:rPr>
        <w:t xml:space="preserve">welcome the </w:t>
      </w:r>
      <w:r w:rsidR="00834742">
        <w:rPr>
          <w:rFonts w:ascii="Garamond" w:hAnsi="Garamond"/>
          <w:sz w:val="26"/>
          <w:szCs w:val="26"/>
        </w:rPr>
        <w:t xml:space="preserve">expansive definitions of these terms. However, in relation to </w:t>
      </w:r>
      <w:r w:rsidR="002A750E">
        <w:rPr>
          <w:rFonts w:ascii="Garamond" w:hAnsi="Garamond"/>
          <w:sz w:val="26"/>
          <w:szCs w:val="26"/>
        </w:rPr>
        <w:t xml:space="preserve">defining an </w:t>
      </w:r>
      <w:r w:rsidR="00834742">
        <w:rPr>
          <w:rFonts w:ascii="Garamond" w:hAnsi="Garamond"/>
          <w:sz w:val="26"/>
          <w:szCs w:val="26"/>
        </w:rPr>
        <w:t>intersectional</w:t>
      </w:r>
      <w:r w:rsidR="002A750E">
        <w:rPr>
          <w:rFonts w:ascii="Garamond" w:hAnsi="Garamond"/>
          <w:sz w:val="26"/>
          <w:szCs w:val="26"/>
        </w:rPr>
        <w:t xml:space="preserve"> approach, as well as in general listing </w:t>
      </w:r>
      <w:r w:rsidR="009C4C96">
        <w:rPr>
          <w:rFonts w:ascii="Garamond" w:hAnsi="Garamond"/>
          <w:sz w:val="26"/>
          <w:szCs w:val="26"/>
        </w:rPr>
        <w:t>based on</w:t>
      </w:r>
      <w:r w:rsidR="002A750E">
        <w:rPr>
          <w:rFonts w:ascii="Garamond" w:hAnsi="Garamond"/>
          <w:sz w:val="26"/>
          <w:szCs w:val="26"/>
        </w:rPr>
        <w:t xml:space="preserve"> discriminatory grounds, we would </w:t>
      </w:r>
      <w:r w:rsidR="00CB34FA">
        <w:rPr>
          <w:rFonts w:ascii="Garamond" w:hAnsi="Garamond"/>
          <w:sz w:val="26"/>
          <w:szCs w:val="26"/>
        </w:rPr>
        <w:t xml:space="preserve">recommend a </w:t>
      </w:r>
      <w:r w:rsidR="00EE1B93">
        <w:rPr>
          <w:rFonts w:ascii="Garamond" w:hAnsi="Garamond"/>
          <w:sz w:val="26"/>
          <w:szCs w:val="26"/>
        </w:rPr>
        <w:t xml:space="preserve">more </w:t>
      </w:r>
      <w:r w:rsidR="009C4C96">
        <w:rPr>
          <w:rFonts w:ascii="Garamond" w:hAnsi="Garamond"/>
          <w:sz w:val="26"/>
          <w:szCs w:val="26"/>
        </w:rPr>
        <w:t>complete</w:t>
      </w:r>
      <w:r w:rsidR="00CB34FA">
        <w:rPr>
          <w:rFonts w:ascii="Garamond" w:hAnsi="Garamond"/>
          <w:sz w:val="26"/>
          <w:szCs w:val="26"/>
        </w:rPr>
        <w:t xml:space="preserve"> listing that acknowledges other </w:t>
      </w:r>
      <w:r w:rsidR="008E3C48">
        <w:rPr>
          <w:rFonts w:ascii="Garamond" w:hAnsi="Garamond"/>
          <w:sz w:val="26"/>
          <w:szCs w:val="26"/>
        </w:rPr>
        <w:t>grounds</w:t>
      </w:r>
      <w:r w:rsidR="00EE1B93">
        <w:rPr>
          <w:rFonts w:ascii="Garamond" w:hAnsi="Garamond"/>
          <w:sz w:val="26"/>
          <w:szCs w:val="26"/>
        </w:rPr>
        <w:t xml:space="preserve"> may e</w:t>
      </w:r>
      <w:r w:rsidR="005929F3">
        <w:rPr>
          <w:rFonts w:ascii="Garamond" w:hAnsi="Garamond"/>
          <w:sz w:val="26"/>
          <w:szCs w:val="26"/>
        </w:rPr>
        <w:t>x</w:t>
      </w:r>
      <w:r w:rsidR="00EE1B93">
        <w:rPr>
          <w:rFonts w:ascii="Garamond" w:hAnsi="Garamond"/>
          <w:sz w:val="26"/>
          <w:szCs w:val="26"/>
        </w:rPr>
        <w:t>ist</w:t>
      </w:r>
      <w:r w:rsidR="00D17BC0">
        <w:rPr>
          <w:rFonts w:ascii="Garamond" w:hAnsi="Garamond"/>
          <w:sz w:val="26"/>
          <w:szCs w:val="26"/>
        </w:rPr>
        <w:t>, in line with feminist movements’ position</w:t>
      </w:r>
      <w:r w:rsidR="008E3C48">
        <w:rPr>
          <w:rFonts w:ascii="Garamond" w:hAnsi="Garamond"/>
          <w:sz w:val="26"/>
          <w:szCs w:val="26"/>
        </w:rPr>
        <w:t xml:space="preserve">. Instead of </w:t>
      </w:r>
      <w:r w:rsidR="00B74EAD">
        <w:rPr>
          <w:rFonts w:ascii="Garamond" w:hAnsi="Garamond"/>
          <w:sz w:val="26"/>
          <w:szCs w:val="26"/>
        </w:rPr>
        <w:t>“</w:t>
      </w:r>
      <w:r w:rsidR="001E59BB" w:rsidRPr="001E59BB">
        <w:rPr>
          <w:rFonts w:ascii="Garamond" w:hAnsi="Garamond"/>
          <w:sz w:val="26"/>
          <w:szCs w:val="26"/>
        </w:rPr>
        <w:t>indigenous origin or identity, sex, gender, ethnicity, age, disability, language, situation of poverty, educational level, migration, and displacement</w:t>
      </w:r>
      <w:r w:rsidR="000D6590">
        <w:rPr>
          <w:rFonts w:ascii="Garamond" w:hAnsi="Garamond"/>
          <w:sz w:val="26"/>
          <w:szCs w:val="26"/>
        </w:rPr>
        <w:t xml:space="preserve">”, we </w:t>
      </w:r>
      <w:r w:rsidR="005C3948">
        <w:rPr>
          <w:rFonts w:ascii="Garamond" w:hAnsi="Garamond"/>
          <w:sz w:val="26"/>
          <w:szCs w:val="26"/>
        </w:rPr>
        <w:t>suggest</w:t>
      </w:r>
      <w:r w:rsidR="000D6590">
        <w:rPr>
          <w:rFonts w:ascii="Garamond" w:hAnsi="Garamond"/>
          <w:sz w:val="26"/>
          <w:szCs w:val="26"/>
        </w:rPr>
        <w:t xml:space="preserve"> “</w:t>
      </w:r>
      <w:r w:rsidR="00A039D3" w:rsidRPr="00A039D3">
        <w:rPr>
          <w:rFonts w:ascii="Garamond" w:hAnsi="Garamond"/>
          <w:sz w:val="26"/>
          <w:szCs w:val="26"/>
        </w:rPr>
        <w:t>age, household and relationship status, indigeneity, race or ethnicity, HIV/AIDS status, disability, immigration status, socioeconomic status,</w:t>
      </w:r>
      <w:r w:rsidR="000D6590">
        <w:rPr>
          <w:rFonts w:ascii="Garamond" w:hAnsi="Garamond"/>
          <w:sz w:val="26"/>
          <w:szCs w:val="26"/>
        </w:rPr>
        <w:t xml:space="preserve"> educational level,</w:t>
      </w:r>
      <w:r w:rsidR="00A039D3" w:rsidRPr="00A039D3">
        <w:rPr>
          <w:rFonts w:ascii="Garamond" w:hAnsi="Garamond"/>
          <w:sz w:val="26"/>
          <w:szCs w:val="26"/>
        </w:rPr>
        <w:t xml:space="preserve"> employment, sexual orientation, gender identity or expression, sex characteristics and other grounds.</w:t>
      </w:r>
      <w:r w:rsidR="000D6590">
        <w:rPr>
          <w:rFonts w:ascii="Garamond" w:hAnsi="Garamond"/>
          <w:sz w:val="26"/>
          <w:szCs w:val="26"/>
        </w:rPr>
        <w:t>”</w:t>
      </w:r>
    </w:p>
    <w:p w14:paraId="3405F7FB" w14:textId="72D750A4" w:rsidR="005C3948" w:rsidRDefault="005C3948" w:rsidP="001213AD">
      <w:pPr>
        <w:rPr>
          <w:rFonts w:ascii="Garamond" w:hAnsi="Garamond"/>
          <w:sz w:val="26"/>
          <w:szCs w:val="26"/>
        </w:rPr>
      </w:pPr>
      <w:r>
        <w:rPr>
          <w:rFonts w:ascii="Garamond" w:hAnsi="Garamond"/>
          <w:sz w:val="26"/>
          <w:szCs w:val="26"/>
        </w:rPr>
        <w:t xml:space="preserve">We also </w:t>
      </w:r>
      <w:r w:rsidR="0004419B">
        <w:rPr>
          <w:rFonts w:ascii="Garamond" w:hAnsi="Garamond"/>
          <w:sz w:val="26"/>
          <w:szCs w:val="26"/>
        </w:rPr>
        <w:t>recommend that</w:t>
      </w:r>
      <w:r w:rsidR="00737123">
        <w:rPr>
          <w:rFonts w:ascii="Garamond" w:hAnsi="Garamond"/>
          <w:sz w:val="26"/>
          <w:szCs w:val="26"/>
        </w:rPr>
        <w:t xml:space="preserve"> the </w:t>
      </w:r>
      <w:r w:rsidR="001213AD">
        <w:rPr>
          <w:rFonts w:ascii="Garamond" w:hAnsi="Garamond"/>
          <w:sz w:val="26"/>
          <w:szCs w:val="26"/>
        </w:rPr>
        <w:t>draft overall</w:t>
      </w:r>
      <w:r w:rsidR="00225DBC">
        <w:rPr>
          <w:rFonts w:ascii="Garamond" w:hAnsi="Garamond"/>
          <w:sz w:val="26"/>
          <w:szCs w:val="26"/>
        </w:rPr>
        <w:t xml:space="preserve">, </w:t>
      </w:r>
      <w:r w:rsidR="00225DBC" w:rsidRPr="00E11950">
        <w:rPr>
          <w:rFonts w:ascii="Garamond" w:hAnsi="Garamond"/>
          <w:sz w:val="26"/>
          <w:szCs w:val="26"/>
        </w:rPr>
        <w:t xml:space="preserve">and </w:t>
      </w:r>
      <w:r w:rsidR="0067467A">
        <w:rPr>
          <w:rFonts w:ascii="Garamond" w:hAnsi="Garamond"/>
          <w:sz w:val="26"/>
          <w:szCs w:val="26"/>
        </w:rPr>
        <w:t xml:space="preserve">in particular </w:t>
      </w:r>
      <w:r w:rsidR="00225DBC" w:rsidRPr="00E11950">
        <w:rPr>
          <w:rFonts w:ascii="Garamond" w:hAnsi="Garamond"/>
          <w:sz w:val="26"/>
          <w:szCs w:val="26"/>
        </w:rPr>
        <w:t xml:space="preserve">section B </w:t>
      </w:r>
      <w:r w:rsidR="00E11950" w:rsidRPr="00E11950">
        <w:rPr>
          <w:rFonts w:ascii="Garamond" w:hAnsi="Garamond"/>
          <w:sz w:val="26"/>
          <w:szCs w:val="26"/>
        </w:rPr>
        <w:t xml:space="preserve">on </w:t>
      </w:r>
      <w:r w:rsidR="00E11950">
        <w:rPr>
          <w:rFonts w:ascii="Garamond" w:hAnsi="Garamond"/>
          <w:sz w:val="26"/>
          <w:szCs w:val="26"/>
        </w:rPr>
        <w:t>‘</w:t>
      </w:r>
      <w:r w:rsidR="00E11950" w:rsidRPr="00E11950">
        <w:rPr>
          <w:rFonts w:ascii="Garamond" w:hAnsi="Garamond"/>
          <w:sz w:val="26"/>
          <w:szCs w:val="26"/>
        </w:rPr>
        <w:t>Right to effective participation in political and public life</w:t>
      </w:r>
      <w:r w:rsidR="00E11950">
        <w:rPr>
          <w:rFonts w:ascii="Garamond" w:hAnsi="Garamond"/>
          <w:sz w:val="26"/>
          <w:szCs w:val="26"/>
        </w:rPr>
        <w:t>’</w:t>
      </w:r>
      <w:r w:rsidR="00E11950" w:rsidRPr="00E11950">
        <w:rPr>
          <w:rFonts w:ascii="Garamond" w:hAnsi="Garamond"/>
          <w:sz w:val="26"/>
          <w:szCs w:val="26"/>
        </w:rPr>
        <w:t xml:space="preserve"> </w:t>
      </w:r>
      <w:r w:rsidR="001213AD" w:rsidRPr="001213AD">
        <w:rPr>
          <w:rFonts w:ascii="Garamond" w:hAnsi="Garamond"/>
          <w:sz w:val="26"/>
          <w:szCs w:val="26"/>
        </w:rPr>
        <w:t>reference the active, free and equal</w:t>
      </w:r>
      <w:r w:rsidR="001213AD">
        <w:rPr>
          <w:rFonts w:ascii="Garamond" w:hAnsi="Garamond"/>
          <w:sz w:val="26"/>
          <w:szCs w:val="26"/>
        </w:rPr>
        <w:t xml:space="preserve"> </w:t>
      </w:r>
      <w:r w:rsidR="001213AD" w:rsidRPr="001213AD">
        <w:rPr>
          <w:rFonts w:ascii="Garamond" w:hAnsi="Garamond"/>
          <w:b/>
          <w:bCs/>
          <w:sz w:val="26"/>
          <w:szCs w:val="26"/>
        </w:rPr>
        <w:t>voice, agency, and leadership</w:t>
      </w:r>
      <w:r w:rsidR="001213AD" w:rsidRPr="001213AD">
        <w:rPr>
          <w:rFonts w:ascii="Garamond" w:hAnsi="Garamond"/>
          <w:sz w:val="26"/>
          <w:szCs w:val="26"/>
        </w:rPr>
        <w:t xml:space="preserve">, of </w:t>
      </w:r>
      <w:r w:rsidR="001213AD">
        <w:rPr>
          <w:rFonts w:ascii="Garamond" w:hAnsi="Garamond"/>
          <w:sz w:val="26"/>
          <w:szCs w:val="26"/>
        </w:rPr>
        <w:t>Indigenous</w:t>
      </w:r>
      <w:r w:rsidR="001213AD" w:rsidRPr="001213AD">
        <w:rPr>
          <w:rFonts w:ascii="Garamond" w:hAnsi="Garamond"/>
          <w:sz w:val="26"/>
          <w:szCs w:val="26"/>
        </w:rPr>
        <w:t xml:space="preserve"> women and girls</w:t>
      </w:r>
      <w:r w:rsidR="001213AD">
        <w:rPr>
          <w:rFonts w:ascii="Garamond" w:hAnsi="Garamond"/>
          <w:sz w:val="26"/>
          <w:szCs w:val="26"/>
        </w:rPr>
        <w:t xml:space="preserve"> when it comes to decision-making</w:t>
      </w:r>
      <w:r w:rsidR="001213AD" w:rsidRPr="001213AD">
        <w:rPr>
          <w:rFonts w:ascii="Garamond" w:hAnsi="Garamond"/>
          <w:sz w:val="26"/>
          <w:szCs w:val="26"/>
        </w:rPr>
        <w:t xml:space="preserve">. Voice, </w:t>
      </w:r>
      <w:r w:rsidR="001213AD" w:rsidRPr="001213AD">
        <w:rPr>
          <w:rFonts w:ascii="Garamond" w:hAnsi="Garamond"/>
          <w:sz w:val="26"/>
          <w:szCs w:val="26"/>
        </w:rPr>
        <w:lastRenderedPageBreak/>
        <w:t>agency</w:t>
      </w:r>
      <w:r w:rsidR="001213AD">
        <w:rPr>
          <w:rFonts w:ascii="Garamond" w:hAnsi="Garamond"/>
          <w:sz w:val="26"/>
          <w:szCs w:val="26"/>
        </w:rPr>
        <w:t xml:space="preserve"> </w:t>
      </w:r>
      <w:r w:rsidR="001213AD" w:rsidRPr="001213AD">
        <w:rPr>
          <w:rFonts w:ascii="Garamond" w:hAnsi="Garamond"/>
          <w:sz w:val="26"/>
          <w:szCs w:val="26"/>
        </w:rPr>
        <w:t>and leadership are distinct and interrelated concepts that</w:t>
      </w:r>
      <w:r w:rsidR="001213AD">
        <w:rPr>
          <w:rFonts w:ascii="Garamond" w:hAnsi="Garamond"/>
          <w:sz w:val="26"/>
          <w:szCs w:val="26"/>
        </w:rPr>
        <w:t xml:space="preserve"> </w:t>
      </w:r>
      <w:r w:rsidR="001213AD" w:rsidRPr="001213AD">
        <w:rPr>
          <w:rFonts w:ascii="Garamond" w:hAnsi="Garamond"/>
          <w:sz w:val="26"/>
          <w:szCs w:val="26"/>
        </w:rPr>
        <w:t>are mutually reinforcing and should remain in any text addressing</w:t>
      </w:r>
      <w:r w:rsidR="001213AD">
        <w:rPr>
          <w:rFonts w:ascii="Garamond" w:hAnsi="Garamond"/>
          <w:sz w:val="26"/>
          <w:szCs w:val="26"/>
        </w:rPr>
        <w:t xml:space="preserve"> </w:t>
      </w:r>
      <w:r w:rsidR="001213AD" w:rsidRPr="001213AD">
        <w:rPr>
          <w:rFonts w:ascii="Garamond" w:hAnsi="Garamond"/>
          <w:sz w:val="26"/>
          <w:szCs w:val="26"/>
        </w:rPr>
        <w:t>women and girls’ participation in decision-making</w:t>
      </w:r>
      <w:r w:rsidR="005A33C0">
        <w:rPr>
          <w:rFonts w:ascii="Garamond" w:hAnsi="Garamond"/>
          <w:sz w:val="26"/>
          <w:szCs w:val="26"/>
        </w:rPr>
        <w:t xml:space="preserve"> processes</w:t>
      </w:r>
      <w:r w:rsidR="001213AD" w:rsidRPr="001213AD">
        <w:rPr>
          <w:rFonts w:ascii="Garamond" w:hAnsi="Garamond"/>
          <w:sz w:val="26"/>
          <w:szCs w:val="26"/>
        </w:rPr>
        <w:t>. Voice refers to</w:t>
      </w:r>
      <w:r w:rsidR="00E11950">
        <w:rPr>
          <w:rFonts w:ascii="Garamond" w:hAnsi="Garamond"/>
          <w:sz w:val="26"/>
          <w:szCs w:val="26"/>
        </w:rPr>
        <w:t xml:space="preserve"> </w:t>
      </w:r>
      <w:r w:rsidR="001213AD" w:rsidRPr="001213AD">
        <w:rPr>
          <w:rFonts w:ascii="Garamond" w:hAnsi="Garamond"/>
          <w:sz w:val="26"/>
          <w:szCs w:val="26"/>
        </w:rPr>
        <w:t>women’s priorities, thoughts, and opinions being heard. Agency</w:t>
      </w:r>
      <w:r w:rsidR="00161CDB">
        <w:rPr>
          <w:rFonts w:ascii="Garamond" w:hAnsi="Garamond"/>
          <w:sz w:val="26"/>
          <w:szCs w:val="26"/>
        </w:rPr>
        <w:t xml:space="preserve"> </w:t>
      </w:r>
      <w:r w:rsidR="00161CDB" w:rsidRPr="00161CDB">
        <w:rPr>
          <w:rFonts w:ascii="Garamond" w:hAnsi="Garamond"/>
          <w:sz w:val="26"/>
          <w:szCs w:val="26"/>
        </w:rPr>
        <w:t>refers to women’s ability to take actions that determine the course of their own lives. Leadership refers to positions of authority that are customary, traditional, official or unofficial.</w:t>
      </w:r>
    </w:p>
    <w:p w14:paraId="64CDE42C" w14:textId="14C4CA27" w:rsidR="003340DF" w:rsidRDefault="003340DF">
      <w:pPr>
        <w:rPr>
          <w:rFonts w:ascii="Garamond" w:hAnsi="Garamond"/>
          <w:sz w:val="26"/>
          <w:szCs w:val="26"/>
        </w:rPr>
      </w:pPr>
      <w:r>
        <w:rPr>
          <w:rFonts w:ascii="Garamond" w:hAnsi="Garamond"/>
          <w:sz w:val="26"/>
          <w:szCs w:val="26"/>
        </w:rPr>
        <w:t xml:space="preserve">We </w:t>
      </w:r>
      <w:r w:rsidR="004D73CD">
        <w:rPr>
          <w:rFonts w:ascii="Garamond" w:hAnsi="Garamond"/>
          <w:sz w:val="26"/>
          <w:szCs w:val="26"/>
        </w:rPr>
        <w:t xml:space="preserve">recommend the document </w:t>
      </w:r>
      <w:r>
        <w:rPr>
          <w:rFonts w:ascii="Garamond" w:hAnsi="Garamond"/>
          <w:sz w:val="26"/>
          <w:szCs w:val="26"/>
        </w:rPr>
        <w:t xml:space="preserve">acknowledge the persistence of </w:t>
      </w:r>
      <w:r w:rsidRPr="00EF6772">
        <w:rPr>
          <w:rFonts w:ascii="Garamond" w:hAnsi="Garamond"/>
          <w:b/>
          <w:bCs/>
          <w:sz w:val="26"/>
          <w:szCs w:val="26"/>
        </w:rPr>
        <w:t>structural barriers</w:t>
      </w:r>
      <w:r>
        <w:rPr>
          <w:rFonts w:ascii="Garamond" w:hAnsi="Garamond"/>
          <w:sz w:val="26"/>
          <w:szCs w:val="26"/>
        </w:rPr>
        <w:t xml:space="preserve"> </w:t>
      </w:r>
      <w:r w:rsidR="00EF6772">
        <w:rPr>
          <w:rFonts w:ascii="Garamond" w:hAnsi="Garamond"/>
          <w:sz w:val="26"/>
          <w:szCs w:val="26"/>
        </w:rPr>
        <w:t xml:space="preserve">to the realization of the fundamental rights of Indigenous women and girls. </w:t>
      </w:r>
      <w:r w:rsidR="000815CC">
        <w:rPr>
          <w:rFonts w:ascii="Garamond" w:hAnsi="Garamond"/>
          <w:sz w:val="26"/>
          <w:szCs w:val="26"/>
        </w:rPr>
        <w:t xml:space="preserve">These </w:t>
      </w:r>
      <w:r w:rsidR="000815CC" w:rsidRPr="000815CC">
        <w:rPr>
          <w:rFonts w:ascii="Garamond" w:hAnsi="Garamond"/>
          <w:sz w:val="26"/>
          <w:szCs w:val="26"/>
        </w:rPr>
        <w:t>are issues that are part of the environment and beyond individual control</w:t>
      </w:r>
      <w:r w:rsidR="0023257F">
        <w:rPr>
          <w:rFonts w:ascii="Garamond" w:hAnsi="Garamond"/>
          <w:sz w:val="26"/>
          <w:szCs w:val="26"/>
        </w:rPr>
        <w:t xml:space="preserve">. </w:t>
      </w:r>
      <w:r w:rsidR="00113633">
        <w:rPr>
          <w:rFonts w:ascii="Garamond" w:hAnsi="Garamond"/>
          <w:sz w:val="26"/>
          <w:szCs w:val="26"/>
        </w:rPr>
        <w:t xml:space="preserve">The Report on the </w:t>
      </w:r>
      <w:r w:rsidR="0023257F" w:rsidRPr="0023257F">
        <w:rPr>
          <w:rFonts w:ascii="Garamond" w:hAnsi="Garamond"/>
          <w:sz w:val="26"/>
          <w:szCs w:val="26"/>
        </w:rPr>
        <w:t>Sixth Asia-Pacific Forum on Sustainable Development</w:t>
      </w:r>
      <w:r w:rsidR="005A33C0">
        <w:rPr>
          <w:rFonts w:ascii="Garamond" w:hAnsi="Garamond"/>
          <w:sz w:val="26"/>
          <w:szCs w:val="26"/>
        </w:rPr>
        <w:t xml:space="preserve"> (APFSD)</w:t>
      </w:r>
      <w:r w:rsidR="0023257F" w:rsidRPr="0023257F">
        <w:rPr>
          <w:rFonts w:ascii="Garamond" w:hAnsi="Garamond"/>
          <w:sz w:val="26"/>
          <w:szCs w:val="26"/>
        </w:rPr>
        <w:t xml:space="preserve"> recommended ‘accelerating efforts to remove systemic and non-systemic barriers that hindered equity, inclusion and quality at all levels of education’</w:t>
      </w:r>
      <w:r w:rsidR="00113633">
        <w:rPr>
          <w:rFonts w:ascii="Garamond" w:hAnsi="Garamond"/>
          <w:sz w:val="26"/>
          <w:szCs w:val="26"/>
        </w:rPr>
        <w:t>;</w:t>
      </w:r>
      <w:r w:rsidR="00133F48">
        <w:rPr>
          <w:rStyle w:val="FootnoteReference"/>
          <w:rFonts w:ascii="Garamond" w:hAnsi="Garamond"/>
          <w:sz w:val="26"/>
          <w:szCs w:val="26"/>
        </w:rPr>
        <w:footnoteReference w:id="2"/>
      </w:r>
      <w:r w:rsidR="00113633">
        <w:rPr>
          <w:rFonts w:ascii="Garamond" w:hAnsi="Garamond"/>
          <w:sz w:val="26"/>
          <w:szCs w:val="26"/>
        </w:rPr>
        <w:t xml:space="preserve"> we suggest</w:t>
      </w:r>
      <w:r w:rsidR="00435016">
        <w:rPr>
          <w:rFonts w:ascii="Garamond" w:hAnsi="Garamond"/>
          <w:sz w:val="26"/>
          <w:szCs w:val="26"/>
        </w:rPr>
        <w:t xml:space="preserve"> </w:t>
      </w:r>
      <w:r w:rsidR="00D718F0">
        <w:rPr>
          <w:rFonts w:ascii="Garamond" w:hAnsi="Garamond"/>
          <w:sz w:val="26"/>
          <w:szCs w:val="26"/>
        </w:rPr>
        <w:t xml:space="preserve">similar language in </w:t>
      </w:r>
      <w:r w:rsidR="00D90D70">
        <w:rPr>
          <w:rFonts w:ascii="Garamond" w:hAnsi="Garamond"/>
          <w:sz w:val="26"/>
          <w:szCs w:val="26"/>
        </w:rPr>
        <w:t>this General Recommendation, including in recognizing climate change as one such structural or systemic barrier that cannot be addressed through singular actions.</w:t>
      </w:r>
    </w:p>
    <w:p w14:paraId="1495BF5F" w14:textId="0CB6422C" w:rsidR="006205DF" w:rsidRDefault="006205DF">
      <w:pPr>
        <w:rPr>
          <w:rFonts w:ascii="Garamond" w:hAnsi="Garamond"/>
          <w:sz w:val="26"/>
          <w:szCs w:val="26"/>
        </w:rPr>
      </w:pPr>
      <w:r>
        <w:rPr>
          <w:rFonts w:ascii="Garamond" w:hAnsi="Garamond"/>
          <w:sz w:val="26"/>
          <w:szCs w:val="26"/>
        </w:rPr>
        <w:t xml:space="preserve">We commend the emphasis on </w:t>
      </w:r>
      <w:r w:rsidR="00E52744">
        <w:rPr>
          <w:rFonts w:ascii="Garamond" w:hAnsi="Garamond"/>
          <w:sz w:val="26"/>
          <w:szCs w:val="26"/>
        </w:rPr>
        <w:t>F</w:t>
      </w:r>
      <w:r>
        <w:rPr>
          <w:rFonts w:ascii="Garamond" w:hAnsi="Garamond"/>
          <w:sz w:val="26"/>
          <w:szCs w:val="26"/>
        </w:rPr>
        <w:t xml:space="preserve">ree, </w:t>
      </w:r>
      <w:r w:rsidR="00E52744">
        <w:rPr>
          <w:rFonts w:ascii="Garamond" w:hAnsi="Garamond"/>
          <w:sz w:val="26"/>
          <w:szCs w:val="26"/>
        </w:rPr>
        <w:t>P</w:t>
      </w:r>
      <w:r>
        <w:rPr>
          <w:rFonts w:ascii="Garamond" w:hAnsi="Garamond"/>
          <w:sz w:val="26"/>
          <w:szCs w:val="26"/>
        </w:rPr>
        <w:t xml:space="preserve">rior and </w:t>
      </w:r>
      <w:r w:rsidR="00E52744">
        <w:rPr>
          <w:rFonts w:ascii="Garamond" w:hAnsi="Garamond"/>
          <w:sz w:val="26"/>
          <w:szCs w:val="26"/>
        </w:rPr>
        <w:t>I</w:t>
      </w:r>
      <w:r>
        <w:rPr>
          <w:rFonts w:ascii="Garamond" w:hAnsi="Garamond"/>
          <w:sz w:val="26"/>
          <w:szCs w:val="26"/>
        </w:rPr>
        <w:t xml:space="preserve">nformed </w:t>
      </w:r>
      <w:r w:rsidR="00E52744">
        <w:rPr>
          <w:rFonts w:ascii="Garamond" w:hAnsi="Garamond"/>
          <w:sz w:val="26"/>
          <w:szCs w:val="26"/>
        </w:rPr>
        <w:t>C</w:t>
      </w:r>
      <w:r>
        <w:rPr>
          <w:rFonts w:ascii="Garamond" w:hAnsi="Garamond"/>
          <w:sz w:val="26"/>
          <w:szCs w:val="26"/>
        </w:rPr>
        <w:t xml:space="preserve">onsent </w:t>
      </w:r>
      <w:r w:rsidR="009C6F0E">
        <w:rPr>
          <w:rFonts w:ascii="Garamond" w:hAnsi="Garamond"/>
          <w:sz w:val="26"/>
          <w:szCs w:val="26"/>
        </w:rPr>
        <w:t xml:space="preserve">(FPIC) </w:t>
      </w:r>
      <w:r>
        <w:rPr>
          <w:rFonts w:ascii="Garamond" w:hAnsi="Garamond"/>
          <w:sz w:val="26"/>
          <w:szCs w:val="26"/>
        </w:rPr>
        <w:t>throughout the document. While not necessary in every instance, we also suggest</w:t>
      </w:r>
      <w:r w:rsidR="00C04BF7">
        <w:rPr>
          <w:rFonts w:ascii="Garamond" w:hAnsi="Garamond"/>
          <w:sz w:val="26"/>
          <w:szCs w:val="26"/>
        </w:rPr>
        <w:t xml:space="preserve"> </w:t>
      </w:r>
      <w:r w:rsidR="00BA0205">
        <w:rPr>
          <w:rFonts w:ascii="Garamond" w:hAnsi="Garamond"/>
          <w:sz w:val="26"/>
          <w:szCs w:val="26"/>
        </w:rPr>
        <w:t>mentioning</w:t>
      </w:r>
      <w:r>
        <w:rPr>
          <w:rFonts w:ascii="Garamond" w:hAnsi="Garamond"/>
          <w:sz w:val="26"/>
          <w:szCs w:val="26"/>
        </w:rPr>
        <w:t xml:space="preserve"> </w:t>
      </w:r>
      <w:r w:rsidR="00C04BF7">
        <w:rPr>
          <w:rFonts w:ascii="Garamond" w:hAnsi="Garamond"/>
          <w:sz w:val="26"/>
          <w:szCs w:val="26"/>
        </w:rPr>
        <w:t xml:space="preserve">(1) </w:t>
      </w:r>
      <w:r w:rsidR="006774EF">
        <w:rPr>
          <w:rFonts w:ascii="Garamond" w:hAnsi="Garamond"/>
          <w:sz w:val="26"/>
          <w:szCs w:val="26"/>
        </w:rPr>
        <w:t xml:space="preserve">the need for consent to be obtained on a </w:t>
      </w:r>
      <w:r>
        <w:rPr>
          <w:rFonts w:ascii="Garamond" w:hAnsi="Garamond"/>
          <w:sz w:val="26"/>
          <w:szCs w:val="26"/>
        </w:rPr>
        <w:t>continuous</w:t>
      </w:r>
      <w:r w:rsidR="006774EF">
        <w:rPr>
          <w:rFonts w:ascii="Garamond" w:hAnsi="Garamond"/>
          <w:sz w:val="26"/>
          <w:szCs w:val="26"/>
        </w:rPr>
        <w:t xml:space="preserve"> basis</w:t>
      </w:r>
      <w:r w:rsidR="00FD4D6A">
        <w:rPr>
          <w:rFonts w:ascii="Garamond" w:hAnsi="Garamond"/>
          <w:sz w:val="26"/>
          <w:szCs w:val="26"/>
        </w:rPr>
        <w:t xml:space="preserve"> (2) for there to be pathways to withdraw consent. I</w:t>
      </w:r>
      <w:r w:rsidR="00FA6872">
        <w:rPr>
          <w:rFonts w:ascii="Garamond" w:hAnsi="Garamond"/>
          <w:sz w:val="26"/>
          <w:szCs w:val="26"/>
        </w:rPr>
        <w:t xml:space="preserve">n relation to development </w:t>
      </w:r>
      <w:r w:rsidR="00837309">
        <w:rPr>
          <w:rFonts w:ascii="Garamond" w:hAnsi="Garamond"/>
          <w:sz w:val="26"/>
          <w:szCs w:val="26"/>
        </w:rPr>
        <w:t>projects</w:t>
      </w:r>
      <w:r w:rsidR="00C04BF7">
        <w:rPr>
          <w:rFonts w:ascii="Garamond" w:hAnsi="Garamond"/>
          <w:sz w:val="26"/>
          <w:szCs w:val="26"/>
        </w:rPr>
        <w:t xml:space="preserve">, conditions can change and new information may come to light that </w:t>
      </w:r>
      <w:r w:rsidR="00FD4D6A">
        <w:rPr>
          <w:rFonts w:ascii="Garamond" w:hAnsi="Garamond"/>
          <w:sz w:val="26"/>
          <w:szCs w:val="26"/>
        </w:rPr>
        <w:t xml:space="preserve">may lead Indigenous communities to </w:t>
      </w:r>
      <w:r w:rsidR="00105801">
        <w:rPr>
          <w:rFonts w:ascii="Garamond" w:hAnsi="Garamond"/>
          <w:sz w:val="26"/>
          <w:szCs w:val="26"/>
        </w:rPr>
        <w:t>reverse decisions made before knowing of the full impacts.</w:t>
      </w:r>
      <w:r w:rsidR="00E52744">
        <w:rPr>
          <w:rFonts w:ascii="Garamond" w:hAnsi="Garamond"/>
          <w:sz w:val="26"/>
          <w:szCs w:val="26"/>
        </w:rPr>
        <w:t xml:space="preserve"> We also note that</w:t>
      </w:r>
      <w:r w:rsidR="00052C44">
        <w:rPr>
          <w:rFonts w:ascii="Garamond" w:hAnsi="Garamond"/>
          <w:sz w:val="26"/>
          <w:szCs w:val="26"/>
        </w:rPr>
        <w:t xml:space="preserve"> conservation projects can be the basis of rights violations.</w:t>
      </w:r>
    </w:p>
    <w:p w14:paraId="2973398A" w14:textId="720D7137" w:rsidR="0038080F" w:rsidRDefault="0038080F">
      <w:pPr>
        <w:rPr>
          <w:rFonts w:ascii="Garamond" w:hAnsi="Garamond"/>
          <w:sz w:val="26"/>
          <w:szCs w:val="26"/>
        </w:rPr>
      </w:pPr>
      <w:r>
        <w:rPr>
          <w:rFonts w:ascii="Garamond" w:hAnsi="Garamond"/>
          <w:sz w:val="26"/>
          <w:szCs w:val="26"/>
        </w:rPr>
        <w:t xml:space="preserve">We welcome </w:t>
      </w:r>
      <w:r w:rsidR="00BE4C67">
        <w:rPr>
          <w:rFonts w:ascii="Garamond" w:hAnsi="Garamond"/>
          <w:sz w:val="26"/>
          <w:szCs w:val="26"/>
        </w:rPr>
        <w:t xml:space="preserve">the recommendation under para 28(j) to adopt measures to end forced assimilation policies as well as the call to establish truth and reconciliation bodies </w:t>
      </w:r>
      <w:r w:rsidR="00BE3959">
        <w:rPr>
          <w:rFonts w:ascii="Garamond" w:hAnsi="Garamond"/>
          <w:sz w:val="26"/>
          <w:szCs w:val="26"/>
        </w:rPr>
        <w:t xml:space="preserve">as </w:t>
      </w:r>
      <w:r w:rsidR="00DA3B27">
        <w:rPr>
          <w:rFonts w:ascii="Garamond" w:hAnsi="Garamond"/>
          <w:sz w:val="26"/>
          <w:szCs w:val="26"/>
        </w:rPr>
        <w:t xml:space="preserve">part of efforts towards </w:t>
      </w:r>
      <w:r w:rsidR="00BE3959">
        <w:rPr>
          <w:rFonts w:ascii="Garamond" w:hAnsi="Garamond"/>
          <w:sz w:val="26"/>
          <w:szCs w:val="26"/>
        </w:rPr>
        <w:t>investigation and accountability</w:t>
      </w:r>
      <w:r w:rsidR="00DA3B27">
        <w:rPr>
          <w:rFonts w:ascii="Garamond" w:hAnsi="Garamond"/>
          <w:sz w:val="26"/>
          <w:szCs w:val="26"/>
        </w:rPr>
        <w:t xml:space="preserve"> for past and present assimilation policies. However, we </w:t>
      </w:r>
      <w:r w:rsidR="00BF5948">
        <w:rPr>
          <w:rFonts w:ascii="Garamond" w:hAnsi="Garamond"/>
          <w:sz w:val="26"/>
          <w:szCs w:val="26"/>
          <w:lang w:val="en-GB"/>
        </w:rPr>
        <w:t xml:space="preserve">recommend </w:t>
      </w:r>
      <w:r w:rsidR="00BF5948">
        <w:rPr>
          <w:rFonts w:ascii="Garamond" w:hAnsi="Garamond"/>
          <w:sz w:val="26"/>
          <w:szCs w:val="26"/>
        </w:rPr>
        <w:t>expanding on the need for truth commissions in wider contexts</w:t>
      </w:r>
      <w:r w:rsidR="000B1DCC">
        <w:rPr>
          <w:rFonts w:ascii="Garamond" w:hAnsi="Garamond"/>
          <w:sz w:val="26"/>
          <w:szCs w:val="26"/>
        </w:rPr>
        <w:t xml:space="preserve"> than just assimilation policies</w:t>
      </w:r>
      <w:r w:rsidR="003D3A42">
        <w:rPr>
          <w:rFonts w:ascii="Garamond" w:hAnsi="Garamond"/>
          <w:sz w:val="26"/>
          <w:szCs w:val="26"/>
        </w:rPr>
        <w:t>,</w:t>
      </w:r>
      <w:r w:rsidR="000B1DCC">
        <w:rPr>
          <w:rFonts w:ascii="Garamond" w:hAnsi="Garamond"/>
          <w:sz w:val="26"/>
          <w:szCs w:val="26"/>
        </w:rPr>
        <w:t xml:space="preserve"> including</w:t>
      </w:r>
      <w:r w:rsidR="008819E6">
        <w:rPr>
          <w:rFonts w:ascii="Garamond" w:hAnsi="Garamond"/>
          <w:sz w:val="26"/>
          <w:szCs w:val="26"/>
        </w:rPr>
        <w:t xml:space="preserve"> addressing</w:t>
      </w:r>
      <w:r w:rsidR="000B1DCC">
        <w:rPr>
          <w:rFonts w:ascii="Garamond" w:hAnsi="Garamond"/>
          <w:sz w:val="26"/>
          <w:szCs w:val="26"/>
        </w:rPr>
        <w:t xml:space="preserve"> </w:t>
      </w:r>
      <w:r w:rsidR="00E642C9">
        <w:rPr>
          <w:rFonts w:ascii="Garamond" w:hAnsi="Garamond"/>
          <w:sz w:val="26"/>
          <w:szCs w:val="26"/>
        </w:rPr>
        <w:t>historic discrimination</w:t>
      </w:r>
      <w:r w:rsidR="00161F8C">
        <w:rPr>
          <w:rFonts w:ascii="Garamond" w:hAnsi="Garamond"/>
          <w:sz w:val="26"/>
          <w:szCs w:val="26"/>
        </w:rPr>
        <w:t>, current and past racist, colonial policies,</w:t>
      </w:r>
      <w:r w:rsidR="002E549B">
        <w:rPr>
          <w:rFonts w:ascii="Garamond" w:hAnsi="Garamond"/>
          <w:sz w:val="26"/>
          <w:szCs w:val="26"/>
        </w:rPr>
        <w:t xml:space="preserve"> and violence against Indigenous communities, which have disproportionately impacted Indigenous women and girls.</w:t>
      </w:r>
      <w:r w:rsidR="003D3A42">
        <w:rPr>
          <w:rFonts w:ascii="Garamond" w:hAnsi="Garamond"/>
          <w:sz w:val="26"/>
          <w:szCs w:val="26"/>
        </w:rPr>
        <w:t xml:space="preserve"> We also acknowledge that </w:t>
      </w:r>
      <w:r w:rsidR="007D5FBA">
        <w:rPr>
          <w:rFonts w:ascii="Garamond" w:hAnsi="Garamond"/>
          <w:sz w:val="26"/>
          <w:szCs w:val="26"/>
        </w:rPr>
        <w:t xml:space="preserve">in the few instances </w:t>
      </w:r>
      <w:r w:rsidR="00746FEB">
        <w:rPr>
          <w:rFonts w:ascii="Garamond" w:hAnsi="Garamond"/>
          <w:sz w:val="26"/>
          <w:szCs w:val="26"/>
        </w:rPr>
        <w:t>where there have been truth and reconciliation commissions</w:t>
      </w:r>
      <w:r w:rsidR="00F56A3D">
        <w:rPr>
          <w:rFonts w:ascii="Garamond" w:hAnsi="Garamond"/>
          <w:sz w:val="26"/>
          <w:szCs w:val="26"/>
        </w:rPr>
        <w:t xml:space="preserve">, </w:t>
      </w:r>
      <w:r w:rsidR="00746FEB">
        <w:rPr>
          <w:rFonts w:ascii="Garamond" w:hAnsi="Garamond"/>
          <w:sz w:val="26"/>
          <w:szCs w:val="26"/>
        </w:rPr>
        <w:t>states</w:t>
      </w:r>
      <w:r w:rsidR="00F56A3D">
        <w:rPr>
          <w:rFonts w:ascii="Garamond" w:hAnsi="Garamond"/>
          <w:sz w:val="26"/>
          <w:szCs w:val="26"/>
        </w:rPr>
        <w:t xml:space="preserve"> must </w:t>
      </w:r>
      <w:r w:rsidR="009D46E5">
        <w:rPr>
          <w:rFonts w:ascii="Garamond" w:hAnsi="Garamond"/>
          <w:sz w:val="26"/>
          <w:szCs w:val="26"/>
        </w:rPr>
        <w:t xml:space="preserve">acknowledge their findings and </w:t>
      </w:r>
      <w:r w:rsidR="00F56A3D">
        <w:rPr>
          <w:rFonts w:ascii="Garamond" w:hAnsi="Garamond"/>
          <w:sz w:val="26"/>
          <w:szCs w:val="26"/>
        </w:rPr>
        <w:t>take action to implement the commission’s recommendations.</w:t>
      </w:r>
      <w:r w:rsidR="003E4387">
        <w:rPr>
          <w:rFonts w:ascii="Garamond" w:hAnsi="Garamond"/>
          <w:sz w:val="26"/>
          <w:szCs w:val="26"/>
        </w:rPr>
        <w:t xml:space="preserve"> </w:t>
      </w:r>
    </w:p>
    <w:p w14:paraId="678C4D5C" w14:textId="6AB8261F" w:rsidR="00F75966" w:rsidRPr="00D90D70" w:rsidRDefault="00D90D70">
      <w:pPr>
        <w:rPr>
          <w:rFonts w:ascii="Garamond" w:hAnsi="Garamond"/>
          <w:b/>
          <w:bCs/>
          <w:sz w:val="26"/>
          <w:szCs w:val="26"/>
        </w:rPr>
      </w:pPr>
      <w:r w:rsidRPr="00D90D70">
        <w:rPr>
          <w:rFonts w:ascii="Garamond" w:hAnsi="Garamond"/>
          <w:b/>
          <w:bCs/>
          <w:sz w:val="26"/>
          <w:szCs w:val="26"/>
        </w:rPr>
        <w:t>Comments on specific sections:</w:t>
      </w:r>
    </w:p>
    <w:p w14:paraId="1B919F13" w14:textId="6828678C" w:rsidR="00796EF5" w:rsidRDefault="00796EF5" w:rsidP="003929BA">
      <w:pPr>
        <w:pStyle w:val="ListParagraph"/>
        <w:numPr>
          <w:ilvl w:val="0"/>
          <w:numId w:val="2"/>
        </w:numPr>
        <w:rPr>
          <w:rFonts w:ascii="Garamond" w:hAnsi="Garamond"/>
          <w:bCs/>
          <w:sz w:val="26"/>
          <w:szCs w:val="26"/>
        </w:rPr>
      </w:pPr>
      <w:r>
        <w:rPr>
          <w:rFonts w:ascii="Garamond" w:hAnsi="Garamond"/>
          <w:bCs/>
          <w:sz w:val="26"/>
          <w:szCs w:val="26"/>
        </w:rPr>
        <w:lastRenderedPageBreak/>
        <w:t xml:space="preserve">With regards to section </w:t>
      </w:r>
      <w:r w:rsidRPr="00796EF5">
        <w:rPr>
          <w:rFonts w:ascii="Garamond" w:hAnsi="Garamond"/>
          <w:bCs/>
          <w:sz w:val="26"/>
          <w:szCs w:val="26"/>
        </w:rPr>
        <w:t>A</w:t>
      </w:r>
      <w:r>
        <w:rPr>
          <w:rFonts w:ascii="Garamond" w:hAnsi="Garamond"/>
          <w:bCs/>
          <w:sz w:val="26"/>
          <w:szCs w:val="26"/>
        </w:rPr>
        <w:t>, ‘</w:t>
      </w:r>
      <w:r w:rsidRPr="009447F6">
        <w:rPr>
          <w:rFonts w:ascii="Garamond" w:hAnsi="Garamond"/>
          <w:b/>
          <w:sz w:val="26"/>
          <w:szCs w:val="26"/>
        </w:rPr>
        <w:t>Prevention and Protection from Gender-Based Violence against Indigenous Women and Girls (Articles 3, 5, 6, 10 (c), 11, 12, 14, 16)</w:t>
      </w:r>
      <w:r>
        <w:rPr>
          <w:rFonts w:ascii="Garamond" w:hAnsi="Garamond"/>
          <w:bCs/>
          <w:sz w:val="26"/>
          <w:szCs w:val="26"/>
        </w:rPr>
        <w:t xml:space="preserve">’, </w:t>
      </w:r>
      <w:r w:rsidR="009E0541">
        <w:rPr>
          <w:rFonts w:ascii="Garamond" w:hAnsi="Garamond"/>
          <w:bCs/>
          <w:sz w:val="26"/>
          <w:szCs w:val="26"/>
        </w:rPr>
        <w:t xml:space="preserve">we agree with the recommendations and suggest </w:t>
      </w:r>
      <w:r w:rsidR="00A65000">
        <w:rPr>
          <w:rFonts w:ascii="Garamond" w:hAnsi="Garamond"/>
          <w:bCs/>
          <w:sz w:val="26"/>
          <w:szCs w:val="26"/>
        </w:rPr>
        <w:t>adding</w:t>
      </w:r>
      <w:r w:rsidR="009E0541">
        <w:rPr>
          <w:rFonts w:ascii="Garamond" w:hAnsi="Garamond"/>
          <w:bCs/>
          <w:sz w:val="26"/>
          <w:szCs w:val="26"/>
        </w:rPr>
        <w:t xml:space="preserve"> the following</w:t>
      </w:r>
      <w:r w:rsidR="00A65000">
        <w:rPr>
          <w:rFonts w:ascii="Garamond" w:hAnsi="Garamond"/>
          <w:bCs/>
          <w:sz w:val="26"/>
          <w:szCs w:val="26"/>
        </w:rPr>
        <w:t xml:space="preserve"> elements</w:t>
      </w:r>
      <w:r w:rsidR="009E0541">
        <w:rPr>
          <w:rFonts w:ascii="Garamond" w:hAnsi="Garamond"/>
          <w:bCs/>
          <w:sz w:val="26"/>
          <w:szCs w:val="26"/>
        </w:rPr>
        <w:t>:</w:t>
      </w:r>
      <w:r w:rsidR="00505506">
        <w:rPr>
          <w:rFonts w:ascii="Garamond" w:hAnsi="Garamond"/>
          <w:bCs/>
          <w:sz w:val="26"/>
          <w:szCs w:val="26"/>
        </w:rPr>
        <w:t xml:space="preserve"> </w:t>
      </w:r>
      <w:r w:rsidR="00A65000">
        <w:rPr>
          <w:rFonts w:ascii="Garamond" w:hAnsi="Garamond"/>
          <w:bCs/>
          <w:sz w:val="26"/>
          <w:szCs w:val="26"/>
        </w:rPr>
        <w:br/>
        <w:t>1. I</w:t>
      </w:r>
      <w:r w:rsidR="00505506">
        <w:rPr>
          <w:rFonts w:ascii="Garamond" w:hAnsi="Garamond"/>
          <w:bCs/>
          <w:sz w:val="26"/>
          <w:szCs w:val="26"/>
        </w:rPr>
        <w:t xml:space="preserve">n order to </w:t>
      </w:r>
      <w:r w:rsidR="00A65000">
        <w:rPr>
          <w:rFonts w:ascii="Garamond" w:hAnsi="Garamond"/>
          <w:bCs/>
          <w:sz w:val="26"/>
          <w:szCs w:val="26"/>
        </w:rPr>
        <w:t>‘</w:t>
      </w:r>
      <w:r w:rsidR="00505506" w:rsidRPr="00505506">
        <w:rPr>
          <w:rFonts w:ascii="Garamond" w:hAnsi="Garamond"/>
          <w:bCs/>
          <w:sz w:val="26"/>
          <w:szCs w:val="26"/>
        </w:rPr>
        <w:t>assess the magnitude and gravity of gender-based violence against indigenous women and girls</w:t>
      </w:r>
      <w:r w:rsidR="00A65000">
        <w:rPr>
          <w:rFonts w:ascii="Garamond" w:hAnsi="Garamond"/>
          <w:bCs/>
          <w:sz w:val="26"/>
          <w:szCs w:val="26"/>
        </w:rPr>
        <w:t>’</w:t>
      </w:r>
      <w:r w:rsidR="00BB5BC4">
        <w:rPr>
          <w:rFonts w:ascii="Garamond" w:hAnsi="Garamond"/>
          <w:bCs/>
          <w:sz w:val="26"/>
          <w:szCs w:val="26"/>
        </w:rPr>
        <w:t xml:space="preserve"> (para 47(f)), it is necessary for the state and other actors</w:t>
      </w:r>
      <w:r w:rsidR="00352E84">
        <w:rPr>
          <w:rFonts w:ascii="Garamond" w:hAnsi="Garamond"/>
          <w:bCs/>
          <w:sz w:val="26"/>
          <w:szCs w:val="26"/>
        </w:rPr>
        <w:t>,</w:t>
      </w:r>
      <w:r w:rsidR="00BB5BC4">
        <w:rPr>
          <w:rFonts w:ascii="Garamond" w:hAnsi="Garamond"/>
          <w:bCs/>
          <w:sz w:val="26"/>
          <w:szCs w:val="26"/>
        </w:rPr>
        <w:t xml:space="preserve"> </w:t>
      </w:r>
      <w:r w:rsidR="00D97CCC">
        <w:rPr>
          <w:rFonts w:ascii="Garamond" w:hAnsi="Garamond"/>
          <w:bCs/>
          <w:sz w:val="26"/>
          <w:szCs w:val="26"/>
        </w:rPr>
        <w:t xml:space="preserve">including private </w:t>
      </w:r>
      <w:r w:rsidR="00352E84">
        <w:rPr>
          <w:rFonts w:ascii="Garamond" w:hAnsi="Garamond"/>
          <w:bCs/>
          <w:sz w:val="26"/>
          <w:szCs w:val="26"/>
        </w:rPr>
        <w:t xml:space="preserve">sector actors, </w:t>
      </w:r>
      <w:r w:rsidR="00BB5BC4">
        <w:rPr>
          <w:rFonts w:ascii="Garamond" w:hAnsi="Garamond"/>
          <w:bCs/>
          <w:sz w:val="26"/>
          <w:szCs w:val="26"/>
        </w:rPr>
        <w:t>to ensure transparency in releasing reports</w:t>
      </w:r>
      <w:r w:rsidR="00D97CCC">
        <w:rPr>
          <w:rFonts w:ascii="Garamond" w:hAnsi="Garamond"/>
          <w:bCs/>
          <w:sz w:val="26"/>
          <w:szCs w:val="26"/>
        </w:rPr>
        <w:t xml:space="preserve"> and information that </w:t>
      </w:r>
      <w:r w:rsidR="00A65000">
        <w:rPr>
          <w:rFonts w:ascii="Garamond" w:hAnsi="Garamond"/>
          <w:bCs/>
          <w:sz w:val="26"/>
          <w:szCs w:val="26"/>
        </w:rPr>
        <w:t xml:space="preserve">pertains to </w:t>
      </w:r>
      <w:r w:rsidR="00260F41">
        <w:rPr>
          <w:rFonts w:ascii="Garamond" w:hAnsi="Garamond"/>
          <w:bCs/>
          <w:sz w:val="26"/>
          <w:szCs w:val="26"/>
        </w:rPr>
        <w:t xml:space="preserve">violence carried out against Indigenous communities. </w:t>
      </w:r>
      <w:r w:rsidR="00AE05D8">
        <w:rPr>
          <w:rFonts w:ascii="Garamond" w:hAnsi="Garamond"/>
          <w:bCs/>
          <w:sz w:val="26"/>
          <w:szCs w:val="26"/>
        </w:rPr>
        <w:t xml:space="preserve">In the Asian context, information about missing and murdered Indigenous women and girls </w:t>
      </w:r>
      <w:r w:rsidR="00DC39DE">
        <w:rPr>
          <w:rFonts w:ascii="Garamond" w:hAnsi="Garamond"/>
          <w:bCs/>
          <w:sz w:val="26"/>
          <w:szCs w:val="26"/>
        </w:rPr>
        <w:t xml:space="preserve">is often unavailable when there is involvement of security forces, whether these are police, military or paramilitary forces; </w:t>
      </w:r>
      <w:r w:rsidR="00A71BFC">
        <w:rPr>
          <w:rFonts w:ascii="Garamond" w:hAnsi="Garamond"/>
          <w:bCs/>
          <w:sz w:val="26"/>
          <w:szCs w:val="26"/>
        </w:rPr>
        <w:t xml:space="preserve">the </w:t>
      </w:r>
      <w:r w:rsidR="000167E3">
        <w:rPr>
          <w:rFonts w:ascii="Garamond" w:hAnsi="Garamond"/>
          <w:bCs/>
          <w:sz w:val="26"/>
          <w:szCs w:val="26"/>
        </w:rPr>
        <w:t xml:space="preserve">family </w:t>
      </w:r>
      <w:r w:rsidR="00A71BFC">
        <w:rPr>
          <w:rFonts w:ascii="Garamond" w:hAnsi="Garamond"/>
          <w:bCs/>
          <w:sz w:val="26"/>
          <w:szCs w:val="26"/>
        </w:rPr>
        <w:t>of Kalpana Chakma</w:t>
      </w:r>
      <w:r w:rsidR="000167E3">
        <w:rPr>
          <w:rStyle w:val="FootnoteReference"/>
          <w:rFonts w:ascii="Garamond" w:hAnsi="Garamond"/>
          <w:bCs/>
          <w:sz w:val="26"/>
          <w:szCs w:val="26"/>
        </w:rPr>
        <w:footnoteReference w:id="3"/>
      </w:r>
      <w:r w:rsidR="000167E3">
        <w:rPr>
          <w:rFonts w:ascii="Garamond" w:hAnsi="Garamond"/>
          <w:bCs/>
          <w:sz w:val="26"/>
          <w:szCs w:val="26"/>
        </w:rPr>
        <w:t xml:space="preserve"> </w:t>
      </w:r>
      <w:r w:rsidR="00255BE5">
        <w:rPr>
          <w:rFonts w:ascii="Garamond" w:hAnsi="Garamond"/>
          <w:bCs/>
          <w:sz w:val="26"/>
          <w:szCs w:val="26"/>
        </w:rPr>
        <w:t>has still not received answers from the government or military on what has happened to her.</w:t>
      </w:r>
      <w:r w:rsidR="00260F41">
        <w:rPr>
          <w:rFonts w:ascii="Garamond" w:hAnsi="Garamond"/>
          <w:bCs/>
          <w:sz w:val="26"/>
          <w:szCs w:val="26"/>
        </w:rPr>
        <w:br/>
        <w:t xml:space="preserve">2. </w:t>
      </w:r>
      <w:r w:rsidR="004F53F1">
        <w:rPr>
          <w:rFonts w:ascii="Garamond" w:hAnsi="Garamond"/>
          <w:bCs/>
          <w:sz w:val="26"/>
          <w:szCs w:val="26"/>
        </w:rPr>
        <w:t>As mentioned in our submission, many Indigenous communities in Asia</w:t>
      </w:r>
      <w:r w:rsidR="000836B2">
        <w:rPr>
          <w:rFonts w:ascii="Garamond" w:hAnsi="Garamond"/>
          <w:bCs/>
          <w:sz w:val="26"/>
          <w:szCs w:val="26"/>
        </w:rPr>
        <w:t xml:space="preserve">, particularly in India, Bangladesh, the Philippines and Myanmar, face violence in the context of militarization and conflict. In several </w:t>
      </w:r>
      <w:r w:rsidR="00450144">
        <w:rPr>
          <w:rFonts w:ascii="Garamond" w:hAnsi="Garamond"/>
          <w:bCs/>
          <w:sz w:val="26"/>
          <w:szCs w:val="26"/>
        </w:rPr>
        <w:t xml:space="preserve">contexts </w:t>
      </w:r>
      <w:r w:rsidR="000836B2">
        <w:rPr>
          <w:rFonts w:ascii="Garamond" w:hAnsi="Garamond"/>
          <w:bCs/>
          <w:sz w:val="26"/>
          <w:szCs w:val="26"/>
        </w:rPr>
        <w:t xml:space="preserve">we have observed the use of </w:t>
      </w:r>
      <w:r w:rsidR="00935F1A">
        <w:rPr>
          <w:rFonts w:ascii="Garamond" w:hAnsi="Garamond"/>
          <w:bCs/>
          <w:sz w:val="26"/>
          <w:szCs w:val="26"/>
        </w:rPr>
        <w:t xml:space="preserve">physical and </w:t>
      </w:r>
      <w:r w:rsidR="00450144">
        <w:rPr>
          <w:rFonts w:ascii="Garamond" w:hAnsi="Garamond"/>
          <w:bCs/>
          <w:sz w:val="26"/>
          <w:szCs w:val="26"/>
        </w:rPr>
        <w:t>sexual violence</w:t>
      </w:r>
      <w:r w:rsidR="000836B2">
        <w:rPr>
          <w:rFonts w:ascii="Garamond" w:hAnsi="Garamond"/>
          <w:bCs/>
          <w:sz w:val="26"/>
          <w:szCs w:val="26"/>
        </w:rPr>
        <w:t xml:space="preserve"> </w:t>
      </w:r>
      <w:r w:rsidR="00450144">
        <w:rPr>
          <w:rFonts w:ascii="Garamond" w:hAnsi="Garamond"/>
          <w:bCs/>
          <w:sz w:val="26"/>
          <w:szCs w:val="26"/>
        </w:rPr>
        <w:t xml:space="preserve">to threaten Indigenous communities and we have also expressed grave concern at the </w:t>
      </w:r>
      <w:r w:rsidR="00A9183C">
        <w:rPr>
          <w:rFonts w:ascii="Garamond" w:hAnsi="Garamond"/>
          <w:bCs/>
          <w:sz w:val="26"/>
          <w:szCs w:val="26"/>
        </w:rPr>
        <w:t>occurrence of sexual slavery. W</w:t>
      </w:r>
      <w:r w:rsidR="000836B2">
        <w:rPr>
          <w:rFonts w:ascii="Garamond" w:hAnsi="Garamond"/>
          <w:bCs/>
          <w:sz w:val="26"/>
          <w:szCs w:val="26"/>
        </w:rPr>
        <w:t xml:space="preserve">e recommend reference to the </w:t>
      </w:r>
      <w:r w:rsidR="00A9183C">
        <w:rPr>
          <w:rFonts w:ascii="Garamond" w:hAnsi="Garamond"/>
          <w:bCs/>
          <w:sz w:val="26"/>
          <w:szCs w:val="26"/>
        </w:rPr>
        <w:t xml:space="preserve">commitments under the </w:t>
      </w:r>
      <w:r w:rsidR="00105F9D">
        <w:rPr>
          <w:rFonts w:ascii="Garamond" w:hAnsi="Garamond"/>
          <w:bCs/>
          <w:sz w:val="26"/>
          <w:szCs w:val="26"/>
        </w:rPr>
        <w:t xml:space="preserve">2013 </w:t>
      </w:r>
      <w:r w:rsidR="000836B2" w:rsidRPr="000836B2">
        <w:rPr>
          <w:rFonts w:ascii="Garamond" w:hAnsi="Garamond"/>
          <w:bCs/>
          <w:sz w:val="26"/>
          <w:szCs w:val="26"/>
        </w:rPr>
        <w:t>Declaration of Commitment to End Sexual Violence in Conflict</w:t>
      </w:r>
      <w:r w:rsidR="00105F9D">
        <w:rPr>
          <w:rFonts w:ascii="Garamond" w:hAnsi="Garamond"/>
          <w:bCs/>
          <w:sz w:val="26"/>
          <w:szCs w:val="26"/>
        </w:rPr>
        <w:t xml:space="preserve"> and call for demilitarization and </w:t>
      </w:r>
      <w:r w:rsidR="007933EC">
        <w:rPr>
          <w:rFonts w:ascii="Garamond" w:hAnsi="Garamond"/>
          <w:bCs/>
          <w:sz w:val="26"/>
          <w:szCs w:val="26"/>
        </w:rPr>
        <w:t xml:space="preserve">an </w:t>
      </w:r>
      <w:r w:rsidR="00105F9D">
        <w:rPr>
          <w:rFonts w:ascii="Garamond" w:hAnsi="Garamond"/>
          <w:bCs/>
          <w:sz w:val="26"/>
          <w:szCs w:val="26"/>
        </w:rPr>
        <w:t xml:space="preserve">urgent </w:t>
      </w:r>
      <w:r w:rsidR="001C4973">
        <w:rPr>
          <w:rFonts w:ascii="Garamond" w:hAnsi="Garamond"/>
          <w:bCs/>
          <w:sz w:val="26"/>
          <w:szCs w:val="26"/>
        </w:rPr>
        <w:t>path to peace and reconciliation</w:t>
      </w:r>
      <w:r w:rsidR="007933EC">
        <w:rPr>
          <w:rFonts w:ascii="Garamond" w:hAnsi="Garamond"/>
          <w:bCs/>
          <w:sz w:val="26"/>
          <w:szCs w:val="26"/>
        </w:rPr>
        <w:t>, with the participation of Indigenous women peacebuilders</w:t>
      </w:r>
      <w:r w:rsidR="001C4973">
        <w:rPr>
          <w:rFonts w:ascii="Garamond" w:hAnsi="Garamond"/>
          <w:bCs/>
          <w:sz w:val="26"/>
          <w:szCs w:val="26"/>
        </w:rPr>
        <w:t>.</w:t>
      </w:r>
    </w:p>
    <w:p w14:paraId="484C0D77" w14:textId="7C02C5EF" w:rsidR="003929BA" w:rsidRPr="003929BA" w:rsidRDefault="002A373C" w:rsidP="003929BA">
      <w:pPr>
        <w:pStyle w:val="ListParagraph"/>
        <w:numPr>
          <w:ilvl w:val="0"/>
          <w:numId w:val="2"/>
        </w:numPr>
        <w:rPr>
          <w:rFonts w:ascii="Garamond" w:hAnsi="Garamond"/>
          <w:bCs/>
          <w:sz w:val="26"/>
          <w:szCs w:val="26"/>
        </w:rPr>
      </w:pPr>
      <w:r>
        <w:rPr>
          <w:rFonts w:ascii="Garamond" w:hAnsi="Garamond"/>
          <w:bCs/>
          <w:sz w:val="26"/>
          <w:szCs w:val="26"/>
        </w:rPr>
        <w:t xml:space="preserve">With regards to section </w:t>
      </w:r>
      <w:r w:rsidR="003929BA" w:rsidRPr="003929BA">
        <w:rPr>
          <w:rFonts w:ascii="Garamond" w:hAnsi="Garamond"/>
          <w:bCs/>
          <w:sz w:val="26"/>
          <w:szCs w:val="26"/>
        </w:rPr>
        <w:t>C</w:t>
      </w:r>
      <w:r>
        <w:rPr>
          <w:rFonts w:ascii="Garamond" w:hAnsi="Garamond"/>
          <w:bCs/>
          <w:sz w:val="26"/>
          <w:szCs w:val="26"/>
        </w:rPr>
        <w:t>, ‘</w:t>
      </w:r>
      <w:r w:rsidR="003929BA" w:rsidRPr="009447F6">
        <w:rPr>
          <w:rFonts w:ascii="Garamond" w:hAnsi="Garamond"/>
          <w:b/>
          <w:sz w:val="26"/>
          <w:szCs w:val="26"/>
        </w:rPr>
        <w:t>Right to Nationality (Article 9)</w:t>
      </w:r>
      <w:r>
        <w:rPr>
          <w:rFonts w:ascii="Garamond" w:hAnsi="Garamond"/>
          <w:bCs/>
          <w:sz w:val="26"/>
          <w:szCs w:val="26"/>
        </w:rPr>
        <w:t>’, we draw attention</w:t>
      </w:r>
      <w:r w:rsidR="00BE1068">
        <w:rPr>
          <w:rFonts w:ascii="Garamond" w:hAnsi="Garamond"/>
          <w:bCs/>
          <w:sz w:val="26"/>
          <w:szCs w:val="26"/>
        </w:rPr>
        <w:t xml:space="preserve"> to </w:t>
      </w:r>
      <w:r w:rsidR="003B3CD0">
        <w:rPr>
          <w:rFonts w:ascii="Garamond" w:hAnsi="Garamond"/>
          <w:bCs/>
          <w:sz w:val="26"/>
          <w:szCs w:val="26"/>
        </w:rPr>
        <w:t>our previous submission</w:t>
      </w:r>
      <w:r w:rsidR="00D708D7">
        <w:rPr>
          <w:rFonts w:ascii="Garamond" w:hAnsi="Garamond"/>
          <w:bCs/>
          <w:sz w:val="26"/>
          <w:szCs w:val="26"/>
        </w:rPr>
        <w:t>,</w:t>
      </w:r>
      <w:r w:rsidR="003B3CD0">
        <w:rPr>
          <w:rFonts w:ascii="Garamond" w:hAnsi="Garamond"/>
          <w:bCs/>
          <w:sz w:val="26"/>
          <w:szCs w:val="26"/>
        </w:rPr>
        <w:t xml:space="preserve"> where we </w:t>
      </w:r>
      <w:r w:rsidR="00EC6593">
        <w:rPr>
          <w:rFonts w:ascii="Garamond" w:hAnsi="Garamond"/>
          <w:bCs/>
          <w:sz w:val="26"/>
          <w:szCs w:val="26"/>
        </w:rPr>
        <w:t xml:space="preserve">mention that in Asia there is a range of </w:t>
      </w:r>
      <w:r w:rsidR="000E4191">
        <w:rPr>
          <w:rFonts w:ascii="Garamond" w:hAnsi="Garamond"/>
          <w:bCs/>
          <w:sz w:val="26"/>
          <w:szCs w:val="26"/>
        </w:rPr>
        <w:t xml:space="preserve">terminologies and approaches when it comes to recognition of Indigenous peoples, with detrimental impacts </w:t>
      </w:r>
      <w:r w:rsidR="0015086B">
        <w:rPr>
          <w:rFonts w:ascii="Garamond" w:hAnsi="Garamond"/>
          <w:bCs/>
          <w:sz w:val="26"/>
          <w:szCs w:val="26"/>
        </w:rPr>
        <w:t>on Indigenous women and girls not just in their access to nationality and citi</w:t>
      </w:r>
      <w:r w:rsidR="0022049F">
        <w:rPr>
          <w:rFonts w:ascii="Garamond" w:hAnsi="Garamond"/>
          <w:bCs/>
          <w:sz w:val="26"/>
          <w:szCs w:val="26"/>
        </w:rPr>
        <w:t xml:space="preserve">zenship, but also on </w:t>
      </w:r>
      <w:r w:rsidR="000E4191" w:rsidRPr="000E4191">
        <w:rPr>
          <w:rFonts w:ascii="Garamond" w:hAnsi="Garamond"/>
          <w:bCs/>
          <w:sz w:val="26"/>
          <w:szCs w:val="26"/>
        </w:rPr>
        <w:t>restrictions on freedom of movement, speech, and land ownership</w:t>
      </w:r>
      <w:r w:rsidR="00F1768E">
        <w:rPr>
          <w:rFonts w:ascii="Garamond" w:hAnsi="Garamond"/>
          <w:bCs/>
          <w:sz w:val="26"/>
          <w:szCs w:val="26"/>
        </w:rPr>
        <w:t xml:space="preserve">. We reiterate the need for legal recognition of Indigenous peoples </w:t>
      </w:r>
      <w:r w:rsidR="00F10C3E">
        <w:rPr>
          <w:rFonts w:ascii="Garamond" w:hAnsi="Garamond"/>
          <w:bCs/>
          <w:sz w:val="26"/>
          <w:szCs w:val="26"/>
        </w:rPr>
        <w:t>in several countries</w:t>
      </w:r>
      <w:r w:rsidR="00D708D7">
        <w:rPr>
          <w:rFonts w:ascii="Garamond" w:hAnsi="Garamond"/>
          <w:bCs/>
          <w:sz w:val="26"/>
          <w:szCs w:val="26"/>
        </w:rPr>
        <w:t>,</w:t>
      </w:r>
      <w:r w:rsidR="00F10C3E">
        <w:rPr>
          <w:rFonts w:ascii="Garamond" w:hAnsi="Garamond"/>
          <w:bCs/>
          <w:sz w:val="26"/>
          <w:szCs w:val="26"/>
        </w:rPr>
        <w:t xml:space="preserve"> especially to enable advocacy around</w:t>
      </w:r>
      <w:r w:rsidR="00F1768E">
        <w:rPr>
          <w:rFonts w:ascii="Garamond" w:hAnsi="Garamond"/>
          <w:bCs/>
          <w:sz w:val="26"/>
          <w:szCs w:val="26"/>
        </w:rPr>
        <w:t xml:space="preserve"> the applicability of the</w:t>
      </w:r>
      <w:r w:rsidR="00D708D7">
        <w:rPr>
          <w:rFonts w:ascii="Garamond" w:hAnsi="Garamond"/>
          <w:bCs/>
          <w:sz w:val="26"/>
          <w:szCs w:val="26"/>
        </w:rPr>
        <w:t xml:space="preserve"> UN</w:t>
      </w:r>
      <w:r w:rsidR="00F1768E">
        <w:rPr>
          <w:rFonts w:ascii="Garamond" w:hAnsi="Garamond"/>
          <w:bCs/>
          <w:sz w:val="26"/>
          <w:szCs w:val="26"/>
        </w:rPr>
        <w:t xml:space="preserve"> Declaration on the Rights of Indigenous Peoples</w:t>
      </w:r>
      <w:r w:rsidR="00F10C3E">
        <w:rPr>
          <w:rFonts w:ascii="Garamond" w:hAnsi="Garamond"/>
          <w:bCs/>
          <w:sz w:val="26"/>
          <w:szCs w:val="26"/>
        </w:rPr>
        <w:t xml:space="preserve"> in local contexts. We also </w:t>
      </w:r>
      <w:r w:rsidR="00626D34">
        <w:rPr>
          <w:rFonts w:ascii="Garamond" w:hAnsi="Garamond"/>
          <w:bCs/>
          <w:sz w:val="26"/>
          <w:szCs w:val="26"/>
        </w:rPr>
        <w:t xml:space="preserve">remind states that it is for Indigenous communities to determine </w:t>
      </w:r>
      <w:r w:rsidR="000079E8">
        <w:rPr>
          <w:rFonts w:ascii="Garamond" w:hAnsi="Garamond"/>
          <w:bCs/>
          <w:sz w:val="26"/>
          <w:szCs w:val="26"/>
        </w:rPr>
        <w:t xml:space="preserve">the names of our communities, </w:t>
      </w:r>
      <w:r w:rsidR="00626D34">
        <w:rPr>
          <w:rFonts w:ascii="Garamond" w:hAnsi="Garamond"/>
          <w:bCs/>
          <w:sz w:val="26"/>
          <w:szCs w:val="26"/>
        </w:rPr>
        <w:t xml:space="preserve">who belongs to our communities and </w:t>
      </w:r>
      <w:r w:rsidR="000079E8">
        <w:rPr>
          <w:rFonts w:ascii="Garamond" w:hAnsi="Garamond"/>
          <w:bCs/>
          <w:sz w:val="26"/>
          <w:szCs w:val="26"/>
        </w:rPr>
        <w:t xml:space="preserve">not for </w:t>
      </w:r>
      <w:r w:rsidR="00DC4DB5">
        <w:rPr>
          <w:rFonts w:ascii="Garamond" w:hAnsi="Garamond"/>
          <w:bCs/>
          <w:sz w:val="26"/>
          <w:szCs w:val="26"/>
        </w:rPr>
        <w:t xml:space="preserve">non-Indigenous or </w:t>
      </w:r>
      <w:r w:rsidR="000079E8">
        <w:rPr>
          <w:rFonts w:ascii="Garamond" w:hAnsi="Garamond"/>
          <w:bCs/>
          <w:sz w:val="26"/>
          <w:szCs w:val="26"/>
        </w:rPr>
        <w:t xml:space="preserve">settler states to </w:t>
      </w:r>
      <w:r w:rsidR="008D74A1">
        <w:rPr>
          <w:rFonts w:ascii="Garamond" w:hAnsi="Garamond"/>
          <w:bCs/>
          <w:sz w:val="26"/>
          <w:szCs w:val="26"/>
        </w:rPr>
        <w:t xml:space="preserve">name, </w:t>
      </w:r>
      <w:r w:rsidR="000079E8">
        <w:rPr>
          <w:rFonts w:ascii="Garamond" w:hAnsi="Garamond"/>
          <w:bCs/>
          <w:sz w:val="26"/>
          <w:szCs w:val="26"/>
        </w:rPr>
        <w:t>categorize and list</w:t>
      </w:r>
      <w:r w:rsidR="008D74A1">
        <w:rPr>
          <w:rFonts w:ascii="Garamond" w:hAnsi="Garamond"/>
          <w:bCs/>
          <w:sz w:val="26"/>
          <w:szCs w:val="26"/>
        </w:rPr>
        <w:t xml:space="preserve"> us without our voice and participation, as was the case in the </w:t>
      </w:r>
      <w:r w:rsidR="00F33511">
        <w:rPr>
          <w:rFonts w:ascii="Garamond" w:hAnsi="Garamond"/>
          <w:bCs/>
          <w:sz w:val="26"/>
          <w:szCs w:val="26"/>
        </w:rPr>
        <w:t>2014</w:t>
      </w:r>
      <w:r w:rsidR="008D74A1">
        <w:rPr>
          <w:rFonts w:ascii="Garamond" w:hAnsi="Garamond"/>
          <w:bCs/>
          <w:sz w:val="26"/>
          <w:szCs w:val="26"/>
        </w:rPr>
        <w:t xml:space="preserve"> national census in Myanmar</w:t>
      </w:r>
      <w:r w:rsidR="00F33511">
        <w:rPr>
          <w:rFonts w:ascii="Garamond" w:hAnsi="Garamond"/>
          <w:bCs/>
          <w:sz w:val="26"/>
          <w:szCs w:val="26"/>
        </w:rPr>
        <w:t xml:space="preserve"> which </w:t>
      </w:r>
      <w:r w:rsidR="00317A0F">
        <w:rPr>
          <w:rFonts w:ascii="Garamond" w:hAnsi="Garamond"/>
          <w:bCs/>
          <w:sz w:val="26"/>
          <w:szCs w:val="26"/>
        </w:rPr>
        <w:t>referenced</w:t>
      </w:r>
      <w:r w:rsidR="00F33511">
        <w:rPr>
          <w:rFonts w:ascii="Garamond" w:hAnsi="Garamond"/>
          <w:bCs/>
          <w:sz w:val="26"/>
          <w:szCs w:val="26"/>
        </w:rPr>
        <w:t xml:space="preserve"> </w:t>
      </w:r>
      <w:r w:rsidR="00317A0F">
        <w:rPr>
          <w:rFonts w:ascii="Garamond" w:hAnsi="Garamond"/>
          <w:bCs/>
          <w:sz w:val="26"/>
          <w:szCs w:val="26"/>
        </w:rPr>
        <w:t>a controversial, outdated and colonial list of 135 ethnicities</w:t>
      </w:r>
      <w:r w:rsidR="008D74A1">
        <w:rPr>
          <w:rFonts w:ascii="Garamond" w:hAnsi="Garamond"/>
          <w:bCs/>
          <w:sz w:val="26"/>
          <w:szCs w:val="26"/>
        </w:rPr>
        <w:t>.</w:t>
      </w:r>
      <w:r w:rsidR="00317A0F">
        <w:rPr>
          <w:rStyle w:val="FootnoteReference"/>
          <w:rFonts w:ascii="Garamond" w:hAnsi="Garamond"/>
          <w:bCs/>
          <w:sz w:val="26"/>
          <w:szCs w:val="26"/>
        </w:rPr>
        <w:footnoteReference w:id="4"/>
      </w:r>
    </w:p>
    <w:p w14:paraId="7006EFA1" w14:textId="33D4D5AD" w:rsidR="003929BA" w:rsidRPr="00431A36" w:rsidRDefault="009447F6" w:rsidP="00012125">
      <w:pPr>
        <w:pStyle w:val="ListParagraph"/>
        <w:numPr>
          <w:ilvl w:val="0"/>
          <w:numId w:val="2"/>
        </w:numPr>
        <w:rPr>
          <w:rFonts w:ascii="Garamond" w:hAnsi="Garamond"/>
          <w:bCs/>
          <w:sz w:val="26"/>
          <w:szCs w:val="26"/>
        </w:rPr>
      </w:pPr>
      <w:r w:rsidRPr="00431A36">
        <w:rPr>
          <w:rFonts w:ascii="Garamond" w:hAnsi="Garamond"/>
          <w:bCs/>
          <w:sz w:val="26"/>
          <w:szCs w:val="26"/>
        </w:rPr>
        <w:t xml:space="preserve">With regards to section </w:t>
      </w:r>
      <w:r w:rsidR="003929BA" w:rsidRPr="00431A36">
        <w:rPr>
          <w:rFonts w:ascii="Garamond" w:hAnsi="Garamond"/>
          <w:bCs/>
          <w:sz w:val="26"/>
          <w:szCs w:val="26"/>
        </w:rPr>
        <w:t>D</w:t>
      </w:r>
      <w:r w:rsidRPr="00431A36">
        <w:rPr>
          <w:rFonts w:ascii="Garamond" w:hAnsi="Garamond"/>
          <w:bCs/>
          <w:sz w:val="26"/>
          <w:szCs w:val="26"/>
        </w:rPr>
        <w:t>, ‘</w:t>
      </w:r>
      <w:r w:rsidR="003929BA" w:rsidRPr="00431A36">
        <w:rPr>
          <w:rFonts w:ascii="Garamond" w:hAnsi="Garamond"/>
          <w:b/>
          <w:sz w:val="26"/>
          <w:szCs w:val="26"/>
        </w:rPr>
        <w:t>Right to Education (Articles 5 and 10)</w:t>
      </w:r>
      <w:r w:rsidRPr="00431A36">
        <w:rPr>
          <w:rFonts w:ascii="Garamond" w:hAnsi="Garamond"/>
          <w:bCs/>
          <w:sz w:val="26"/>
          <w:szCs w:val="26"/>
        </w:rPr>
        <w:t xml:space="preserve">’, </w:t>
      </w:r>
      <w:r w:rsidR="00AE6837" w:rsidRPr="00431A36">
        <w:rPr>
          <w:rFonts w:ascii="Garamond" w:hAnsi="Garamond"/>
          <w:bCs/>
          <w:sz w:val="26"/>
          <w:szCs w:val="26"/>
        </w:rPr>
        <w:t>we support the recommendations particularly with regard to development of curricula</w:t>
      </w:r>
      <w:r w:rsidR="00EE76E6" w:rsidRPr="00431A36">
        <w:rPr>
          <w:rFonts w:ascii="Garamond" w:hAnsi="Garamond"/>
          <w:bCs/>
          <w:sz w:val="26"/>
          <w:szCs w:val="26"/>
        </w:rPr>
        <w:t xml:space="preserve">, and suggest that these be developed with the participation of Indigenous women and girls. We </w:t>
      </w:r>
      <w:r w:rsidR="00EE76E6" w:rsidRPr="00431A36">
        <w:rPr>
          <w:rFonts w:ascii="Garamond" w:hAnsi="Garamond"/>
          <w:bCs/>
          <w:sz w:val="26"/>
          <w:szCs w:val="26"/>
        </w:rPr>
        <w:lastRenderedPageBreak/>
        <w:t xml:space="preserve">also reference </w:t>
      </w:r>
      <w:proofErr w:type="spellStart"/>
      <w:r w:rsidR="007E15A6" w:rsidRPr="00431A36">
        <w:rPr>
          <w:rFonts w:ascii="Garamond" w:hAnsi="Garamond"/>
          <w:bCs/>
          <w:sz w:val="26"/>
          <w:szCs w:val="26"/>
        </w:rPr>
        <w:t>BDPfA</w:t>
      </w:r>
      <w:proofErr w:type="spellEnd"/>
      <w:r w:rsidR="007E15A6" w:rsidRPr="00431A36">
        <w:rPr>
          <w:rFonts w:ascii="Garamond" w:hAnsi="Garamond"/>
          <w:bCs/>
          <w:sz w:val="26"/>
          <w:szCs w:val="26"/>
        </w:rPr>
        <w:t xml:space="preserve"> para 83(</w:t>
      </w:r>
      <w:r w:rsidR="001A4AA3" w:rsidRPr="00431A36">
        <w:rPr>
          <w:rFonts w:ascii="Garamond" w:hAnsi="Garamond"/>
          <w:bCs/>
          <w:sz w:val="26"/>
          <w:szCs w:val="26"/>
        </w:rPr>
        <w:t>l</w:t>
      </w:r>
      <w:r w:rsidR="007E15A6" w:rsidRPr="00431A36">
        <w:rPr>
          <w:rFonts w:ascii="Garamond" w:hAnsi="Garamond"/>
          <w:bCs/>
          <w:sz w:val="26"/>
          <w:szCs w:val="26"/>
        </w:rPr>
        <w:t>)</w:t>
      </w:r>
      <w:r w:rsidR="00985329">
        <w:rPr>
          <w:rFonts w:ascii="Garamond" w:hAnsi="Garamond"/>
          <w:bCs/>
          <w:sz w:val="26"/>
          <w:szCs w:val="26"/>
        </w:rPr>
        <w:t>, which states:</w:t>
      </w:r>
      <w:r w:rsidR="0001004C" w:rsidRPr="00431A36">
        <w:rPr>
          <w:rFonts w:ascii="Garamond" w:hAnsi="Garamond"/>
          <w:bCs/>
          <w:sz w:val="26"/>
          <w:szCs w:val="26"/>
        </w:rPr>
        <w:t xml:space="preserve"> </w:t>
      </w:r>
      <w:r w:rsidR="00985329">
        <w:rPr>
          <w:rFonts w:ascii="Garamond" w:hAnsi="Garamond"/>
          <w:bCs/>
          <w:sz w:val="26"/>
          <w:szCs w:val="26"/>
        </w:rPr>
        <w:t>‘</w:t>
      </w:r>
      <w:r w:rsidR="001A4AA3" w:rsidRPr="00431A36">
        <w:rPr>
          <w:rFonts w:ascii="Garamond" w:hAnsi="Garamond"/>
          <w:bCs/>
          <w:sz w:val="26"/>
          <w:szCs w:val="26"/>
        </w:rPr>
        <w:t xml:space="preserve">Recognize and support the right of indigenous women and girls to education and promote a multicultural approach to education that is responsive to the needs, aspirations and cultures of indigenous women, including by developing appropriate education </w:t>
      </w:r>
      <w:proofErr w:type="spellStart"/>
      <w:r w:rsidR="001A4AA3" w:rsidRPr="00431A36">
        <w:rPr>
          <w:rFonts w:ascii="Garamond" w:hAnsi="Garamond"/>
          <w:bCs/>
          <w:sz w:val="26"/>
          <w:szCs w:val="26"/>
        </w:rPr>
        <w:t>programmes</w:t>
      </w:r>
      <w:proofErr w:type="spellEnd"/>
      <w:r w:rsidR="001A4AA3" w:rsidRPr="00431A36">
        <w:rPr>
          <w:rFonts w:ascii="Garamond" w:hAnsi="Garamond"/>
          <w:bCs/>
          <w:sz w:val="26"/>
          <w:szCs w:val="26"/>
        </w:rPr>
        <w:t>, curricula and teaching aids, to the extent possible in the languages of indigenous people, and by providing for the participation of indigenous women in these processes;</w:t>
      </w:r>
      <w:r w:rsidR="00431A36" w:rsidRPr="00431A36">
        <w:rPr>
          <w:rFonts w:ascii="Garamond" w:hAnsi="Garamond"/>
          <w:bCs/>
          <w:sz w:val="26"/>
          <w:szCs w:val="26"/>
        </w:rPr>
        <w:t>’</w:t>
      </w:r>
    </w:p>
    <w:p w14:paraId="4936A207" w14:textId="0C556DC0" w:rsidR="004C67A9" w:rsidRPr="00C7460B" w:rsidRDefault="004C67A9" w:rsidP="00E37C86">
      <w:pPr>
        <w:pStyle w:val="ListParagraph"/>
        <w:numPr>
          <w:ilvl w:val="0"/>
          <w:numId w:val="2"/>
        </w:numPr>
        <w:rPr>
          <w:rFonts w:ascii="Garamond" w:hAnsi="Garamond"/>
          <w:bCs/>
          <w:sz w:val="26"/>
          <w:szCs w:val="26"/>
        </w:rPr>
      </w:pPr>
      <w:r w:rsidRPr="00C7460B">
        <w:rPr>
          <w:rFonts w:ascii="Garamond" w:hAnsi="Garamond"/>
          <w:bCs/>
          <w:sz w:val="26"/>
          <w:szCs w:val="26"/>
        </w:rPr>
        <w:t xml:space="preserve">With regards to section </w:t>
      </w:r>
      <w:r w:rsidR="004A5CBB" w:rsidRPr="00C7460B">
        <w:rPr>
          <w:rFonts w:ascii="Garamond" w:hAnsi="Garamond"/>
          <w:bCs/>
          <w:sz w:val="26"/>
          <w:szCs w:val="26"/>
        </w:rPr>
        <w:t>F</w:t>
      </w:r>
      <w:r w:rsidRPr="00C7460B">
        <w:rPr>
          <w:rFonts w:ascii="Garamond" w:hAnsi="Garamond"/>
          <w:bCs/>
          <w:sz w:val="26"/>
          <w:szCs w:val="26"/>
        </w:rPr>
        <w:t>, ‘</w:t>
      </w:r>
      <w:r w:rsidR="004A5CBB" w:rsidRPr="00C7460B">
        <w:rPr>
          <w:rFonts w:ascii="Garamond" w:hAnsi="Garamond"/>
          <w:b/>
          <w:sz w:val="26"/>
          <w:szCs w:val="26"/>
        </w:rPr>
        <w:t>Right to Health (Articles 10 and 12)</w:t>
      </w:r>
      <w:r w:rsidRPr="00C7460B">
        <w:rPr>
          <w:rFonts w:ascii="Garamond" w:hAnsi="Garamond"/>
          <w:bCs/>
          <w:sz w:val="26"/>
          <w:szCs w:val="26"/>
        </w:rPr>
        <w:t>,’ we</w:t>
      </w:r>
      <w:r w:rsidR="00270C77" w:rsidRPr="00C7460B">
        <w:rPr>
          <w:rFonts w:ascii="Garamond" w:hAnsi="Garamond"/>
          <w:bCs/>
          <w:sz w:val="26"/>
          <w:szCs w:val="26"/>
        </w:rPr>
        <w:t xml:space="preserve"> suggest direct reference to universal health coverage</w:t>
      </w:r>
      <w:r w:rsidR="00830F57" w:rsidRPr="00C7460B">
        <w:rPr>
          <w:rFonts w:ascii="Garamond" w:hAnsi="Garamond"/>
          <w:bCs/>
          <w:sz w:val="26"/>
          <w:szCs w:val="26"/>
        </w:rPr>
        <w:t xml:space="preserve">, which includes the three elements: financial risk protection, universal access to quality services, and universal access to medicines and vaccines. This is in line with </w:t>
      </w:r>
      <w:r w:rsidR="008208C5" w:rsidRPr="00C7460B">
        <w:rPr>
          <w:rFonts w:ascii="Garamond" w:hAnsi="Garamond"/>
          <w:bCs/>
          <w:sz w:val="26"/>
          <w:szCs w:val="26"/>
        </w:rPr>
        <w:t>the Beijing Declaration and Platform for Action</w:t>
      </w:r>
      <w:r w:rsidR="00237222" w:rsidRPr="00C7460B">
        <w:rPr>
          <w:rFonts w:ascii="Garamond" w:hAnsi="Garamond"/>
          <w:bCs/>
          <w:sz w:val="26"/>
          <w:szCs w:val="26"/>
        </w:rPr>
        <w:t xml:space="preserve"> (</w:t>
      </w:r>
      <w:proofErr w:type="spellStart"/>
      <w:r w:rsidR="00237222" w:rsidRPr="00C7460B">
        <w:rPr>
          <w:rFonts w:ascii="Garamond" w:hAnsi="Garamond"/>
          <w:bCs/>
          <w:sz w:val="26"/>
          <w:szCs w:val="26"/>
        </w:rPr>
        <w:t>BDPfA</w:t>
      </w:r>
      <w:proofErr w:type="spellEnd"/>
      <w:r w:rsidR="00237222" w:rsidRPr="00C7460B">
        <w:rPr>
          <w:rFonts w:ascii="Garamond" w:hAnsi="Garamond"/>
          <w:bCs/>
          <w:sz w:val="26"/>
          <w:szCs w:val="26"/>
        </w:rPr>
        <w:t>)</w:t>
      </w:r>
      <w:r w:rsidR="008208C5" w:rsidRPr="00C7460B">
        <w:rPr>
          <w:rFonts w:ascii="Garamond" w:hAnsi="Garamond"/>
          <w:bCs/>
          <w:sz w:val="26"/>
          <w:szCs w:val="26"/>
        </w:rPr>
        <w:t xml:space="preserve"> Strategic objective C.1. ‘Increase women’s access throughout the life cycle to appropriate, affordable and quality health care, information and related services’; as well as </w:t>
      </w:r>
      <w:r w:rsidR="00830F57" w:rsidRPr="00C7460B">
        <w:rPr>
          <w:rFonts w:ascii="Garamond" w:hAnsi="Garamond"/>
          <w:bCs/>
          <w:sz w:val="26"/>
          <w:szCs w:val="26"/>
        </w:rPr>
        <w:t xml:space="preserve">SDG 3.8 that states: ‘Achieve universal health coverage, including financial risk protection, access to quality essential health-care services and access to safe, effective, quality and affordable essential medicines and vaccines for all.’ Universal health coverage is </w:t>
      </w:r>
      <w:r w:rsidR="005B3716" w:rsidRPr="00C7460B">
        <w:rPr>
          <w:rFonts w:ascii="Garamond" w:hAnsi="Garamond"/>
          <w:bCs/>
          <w:sz w:val="26"/>
          <w:szCs w:val="26"/>
        </w:rPr>
        <w:t xml:space="preserve">an essential component towards realizing the right to health for Indigenous women and girls; we additionally reiterate our recommendation from our previous submission to integrate Indigenous </w:t>
      </w:r>
      <w:r w:rsidR="00863E04">
        <w:rPr>
          <w:rFonts w:ascii="Garamond" w:hAnsi="Garamond"/>
          <w:bCs/>
          <w:sz w:val="26"/>
          <w:szCs w:val="26"/>
        </w:rPr>
        <w:t>w</w:t>
      </w:r>
      <w:r w:rsidR="005B3716" w:rsidRPr="00C7460B">
        <w:rPr>
          <w:rFonts w:ascii="Garamond" w:hAnsi="Garamond"/>
          <w:bCs/>
          <w:sz w:val="26"/>
          <w:szCs w:val="26"/>
        </w:rPr>
        <w:t>omen’s specific health needs in national plans and programs with the support of budget allocations.</w:t>
      </w:r>
      <w:r w:rsidR="00A90D2F" w:rsidRPr="00C7460B">
        <w:rPr>
          <w:rFonts w:ascii="Garamond" w:hAnsi="Garamond"/>
          <w:bCs/>
          <w:sz w:val="26"/>
          <w:szCs w:val="26"/>
        </w:rPr>
        <w:br/>
        <w:t xml:space="preserve">We also </w:t>
      </w:r>
      <w:r w:rsidR="004E7B40" w:rsidRPr="00C7460B">
        <w:rPr>
          <w:rFonts w:ascii="Garamond" w:hAnsi="Garamond"/>
          <w:bCs/>
          <w:sz w:val="26"/>
          <w:szCs w:val="26"/>
        </w:rPr>
        <w:t xml:space="preserve">recommend adjustment to </w:t>
      </w:r>
      <w:r w:rsidR="004C7EF6" w:rsidRPr="00C7460B">
        <w:rPr>
          <w:rFonts w:ascii="Garamond" w:hAnsi="Garamond"/>
          <w:bCs/>
          <w:sz w:val="26"/>
          <w:szCs w:val="26"/>
        </w:rPr>
        <w:t>para 62</w:t>
      </w:r>
      <w:r w:rsidR="00FF2C84" w:rsidRPr="00C7460B">
        <w:rPr>
          <w:rFonts w:ascii="Garamond" w:hAnsi="Garamond"/>
          <w:bCs/>
          <w:sz w:val="26"/>
          <w:szCs w:val="26"/>
        </w:rPr>
        <w:t xml:space="preserve">(e) which recommends ‘encourage indigenous women to enter the medical profession’. </w:t>
      </w:r>
      <w:r w:rsidR="003D6F42" w:rsidRPr="00C7460B">
        <w:rPr>
          <w:rFonts w:ascii="Garamond" w:hAnsi="Garamond"/>
          <w:bCs/>
          <w:sz w:val="26"/>
          <w:szCs w:val="26"/>
        </w:rPr>
        <w:t xml:space="preserve">A more appropriate and community-care centered recommendation can be based on </w:t>
      </w:r>
      <w:proofErr w:type="spellStart"/>
      <w:r w:rsidR="003D6F42" w:rsidRPr="00C7460B">
        <w:rPr>
          <w:rFonts w:ascii="Garamond" w:hAnsi="Garamond"/>
          <w:bCs/>
          <w:sz w:val="26"/>
          <w:szCs w:val="26"/>
        </w:rPr>
        <w:t>BDPfA</w:t>
      </w:r>
      <w:proofErr w:type="spellEnd"/>
      <w:r w:rsidR="003D6F42" w:rsidRPr="00C7460B">
        <w:rPr>
          <w:rFonts w:ascii="Garamond" w:hAnsi="Garamond"/>
          <w:bCs/>
          <w:sz w:val="26"/>
          <w:szCs w:val="26"/>
        </w:rPr>
        <w:t xml:space="preserve"> para </w:t>
      </w:r>
      <w:r w:rsidRPr="00C7460B">
        <w:rPr>
          <w:rFonts w:ascii="Garamond" w:hAnsi="Garamond"/>
          <w:bCs/>
          <w:sz w:val="26"/>
          <w:szCs w:val="26"/>
        </w:rPr>
        <w:t xml:space="preserve">106(d) </w:t>
      </w:r>
      <w:r w:rsidR="003D6F42" w:rsidRPr="00C7460B">
        <w:rPr>
          <w:rFonts w:ascii="Garamond" w:hAnsi="Garamond"/>
          <w:bCs/>
          <w:sz w:val="26"/>
          <w:szCs w:val="26"/>
        </w:rPr>
        <w:t>which states: ‘</w:t>
      </w:r>
      <w:r w:rsidRPr="00C7460B">
        <w:rPr>
          <w:rFonts w:ascii="Garamond" w:hAnsi="Garamond"/>
          <w:bCs/>
          <w:sz w:val="26"/>
          <w:szCs w:val="26"/>
        </w:rPr>
        <w:t xml:space="preserve">include women, especially local and indigenous women, in the identification and planning of health-care priorities and </w:t>
      </w:r>
      <w:proofErr w:type="spellStart"/>
      <w:proofErr w:type="gramStart"/>
      <w:r w:rsidRPr="00C7460B">
        <w:rPr>
          <w:rFonts w:ascii="Garamond" w:hAnsi="Garamond"/>
          <w:bCs/>
          <w:sz w:val="26"/>
          <w:szCs w:val="26"/>
        </w:rPr>
        <w:t>programmes</w:t>
      </w:r>
      <w:proofErr w:type="spellEnd"/>
      <w:r w:rsidR="003D6F42" w:rsidRPr="00C7460B">
        <w:rPr>
          <w:rFonts w:ascii="Garamond" w:hAnsi="Garamond"/>
          <w:bCs/>
          <w:sz w:val="26"/>
          <w:szCs w:val="26"/>
        </w:rPr>
        <w:t>’</w:t>
      </w:r>
      <w:proofErr w:type="gramEnd"/>
      <w:r w:rsidR="003D6F42" w:rsidRPr="00C7460B">
        <w:rPr>
          <w:rFonts w:ascii="Garamond" w:hAnsi="Garamond"/>
          <w:bCs/>
          <w:sz w:val="26"/>
          <w:szCs w:val="26"/>
        </w:rPr>
        <w:t>. As our previous submission indicated, there is a dearth in health services especially in remote communities, whereas in some countries in the Asia region, we have had strong successes in community medic structures that are horizontal and</w:t>
      </w:r>
      <w:r w:rsidR="00354552" w:rsidRPr="00C7460B">
        <w:rPr>
          <w:rFonts w:ascii="Garamond" w:hAnsi="Garamond"/>
          <w:bCs/>
          <w:sz w:val="26"/>
          <w:szCs w:val="26"/>
        </w:rPr>
        <w:t xml:space="preserve"> garner the trust of the communities that medics are themselves a part of</w:t>
      </w:r>
      <w:r w:rsidR="00F92DFF">
        <w:rPr>
          <w:rFonts w:ascii="Garamond" w:hAnsi="Garamond"/>
          <w:bCs/>
          <w:sz w:val="26"/>
          <w:szCs w:val="26"/>
        </w:rPr>
        <w:t xml:space="preserve"> and </w:t>
      </w:r>
      <w:r w:rsidR="00C12444">
        <w:rPr>
          <w:rFonts w:ascii="Garamond" w:hAnsi="Garamond"/>
          <w:bCs/>
          <w:sz w:val="26"/>
          <w:szCs w:val="26"/>
        </w:rPr>
        <w:t>enable integration with traditional Indigenous knowledge</w:t>
      </w:r>
      <w:r w:rsidR="00354552" w:rsidRPr="00C7460B">
        <w:rPr>
          <w:rFonts w:ascii="Garamond" w:hAnsi="Garamond"/>
          <w:bCs/>
          <w:sz w:val="26"/>
          <w:szCs w:val="26"/>
        </w:rPr>
        <w:t>.</w:t>
      </w:r>
      <w:r w:rsidR="0032058B" w:rsidRPr="00C7460B">
        <w:rPr>
          <w:rFonts w:ascii="Garamond" w:hAnsi="Garamond"/>
          <w:bCs/>
          <w:sz w:val="26"/>
          <w:szCs w:val="26"/>
        </w:rPr>
        <w:t xml:space="preserve"> We believe that rather than </w:t>
      </w:r>
      <w:r w:rsidR="00B520D7" w:rsidRPr="00C7460B">
        <w:rPr>
          <w:rFonts w:ascii="Garamond" w:hAnsi="Garamond"/>
          <w:bCs/>
          <w:sz w:val="26"/>
          <w:szCs w:val="26"/>
        </w:rPr>
        <w:t xml:space="preserve">just supporting </w:t>
      </w:r>
      <w:r w:rsidR="0032058B" w:rsidRPr="00C7460B">
        <w:rPr>
          <w:rFonts w:ascii="Garamond" w:hAnsi="Garamond"/>
          <w:bCs/>
          <w:sz w:val="26"/>
          <w:szCs w:val="26"/>
        </w:rPr>
        <w:t xml:space="preserve">Indigenous women </w:t>
      </w:r>
      <w:r w:rsidR="00B520D7" w:rsidRPr="00C7460B">
        <w:rPr>
          <w:rFonts w:ascii="Garamond" w:hAnsi="Garamond"/>
          <w:bCs/>
          <w:sz w:val="26"/>
          <w:szCs w:val="26"/>
        </w:rPr>
        <w:t xml:space="preserve">to </w:t>
      </w:r>
      <w:r w:rsidR="00192855" w:rsidRPr="00C7460B">
        <w:rPr>
          <w:rFonts w:ascii="Garamond" w:hAnsi="Garamond"/>
          <w:bCs/>
          <w:sz w:val="26"/>
          <w:szCs w:val="26"/>
        </w:rPr>
        <w:t>enter</w:t>
      </w:r>
      <w:r w:rsidR="0032058B" w:rsidRPr="00C7460B">
        <w:rPr>
          <w:rFonts w:ascii="Garamond" w:hAnsi="Garamond"/>
          <w:bCs/>
          <w:sz w:val="26"/>
          <w:szCs w:val="26"/>
        </w:rPr>
        <w:t xml:space="preserve"> the medical profession, which can be a longer and more difficult process</w:t>
      </w:r>
      <w:r w:rsidR="00B520D7" w:rsidRPr="00C7460B">
        <w:rPr>
          <w:rFonts w:ascii="Garamond" w:hAnsi="Garamond"/>
          <w:bCs/>
          <w:sz w:val="26"/>
          <w:szCs w:val="26"/>
        </w:rPr>
        <w:t>, to deliver on healthcare coverage</w:t>
      </w:r>
      <w:r w:rsidR="00F8532D" w:rsidRPr="00C7460B">
        <w:rPr>
          <w:rFonts w:ascii="Garamond" w:hAnsi="Garamond"/>
          <w:bCs/>
          <w:sz w:val="26"/>
          <w:szCs w:val="26"/>
        </w:rPr>
        <w:t xml:space="preserve"> that is disability and LBTI friendly, </w:t>
      </w:r>
      <w:r w:rsidR="002E2D4C" w:rsidRPr="00C7460B">
        <w:rPr>
          <w:rFonts w:ascii="Garamond" w:hAnsi="Garamond"/>
          <w:bCs/>
          <w:sz w:val="26"/>
          <w:szCs w:val="26"/>
        </w:rPr>
        <w:t xml:space="preserve">public healthcare </w:t>
      </w:r>
      <w:r w:rsidR="00BC2469" w:rsidRPr="00C7460B">
        <w:rPr>
          <w:rFonts w:ascii="Garamond" w:hAnsi="Garamond"/>
          <w:bCs/>
          <w:sz w:val="26"/>
          <w:szCs w:val="26"/>
        </w:rPr>
        <w:t>as a sector</w:t>
      </w:r>
      <w:r w:rsidR="00A213A0">
        <w:rPr>
          <w:rFonts w:ascii="Garamond" w:hAnsi="Garamond"/>
          <w:bCs/>
          <w:sz w:val="26"/>
          <w:szCs w:val="26"/>
        </w:rPr>
        <w:t xml:space="preserve"> needs to be strengthened</w:t>
      </w:r>
      <w:r w:rsidR="00BC2469" w:rsidRPr="00C7460B">
        <w:rPr>
          <w:rFonts w:ascii="Garamond" w:hAnsi="Garamond"/>
          <w:bCs/>
          <w:sz w:val="26"/>
          <w:szCs w:val="26"/>
        </w:rPr>
        <w:t xml:space="preserve"> to ensure universal access to comprehensive, gender-transformative, public health care services that are integrated, of high quality and free at the point of care.</w:t>
      </w:r>
      <w:r w:rsidR="00192855" w:rsidRPr="00C7460B">
        <w:rPr>
          <w:rFonts w:ascii="Garamond" w:hAnsi="Garamond"/>
          <w:bCs/>
          <w:sz w:val="26"/>
          <w:szCs w:val="26"/>
        </w:rPr>
        <w:t xml:space="preserve"> </w:t>
      </w:r>
      <w:r w:rsidR="00A213A0">
        <w:rPr>
          <w:rFonts w:ascii="Garamond" w:hAnsi="Garamond"/>
          <w:bCs/>
          <w:sz w:val="26"/>
          <w:szCs w:val="26"/>
        </w:rPr>
        <w:br/>
      </w:r>
      <w:r w:rsidR="00192855" w:rsidRPr="00C7460B">
        <w:rPr>
          <w:rFonts w:ascii="Garamond" w:hAnsi="Garamond"/>
          <w:bCs/>
          <w:sz w:val="26"/>
          <w:szCs w:val="26"/>
        </w:rPr>
        <w:t xml:space="preserve">We strongly support </w:t>
      </w:r>
      <w:r w:rsidR="00E7002E" w:rsidRPr="00C7460B">
        <w:rPr>
          <w:rFonts w:ascii="Garamond" w:hAnsi="Garamond"/>
          <w:bCs/>
          <w:sz w:val="26"/>
          <w:szCs w:val="26"/>
        </w:rPr>
        <w:t>retention of the observations on access to sexual and reproductive health information and education, including about family planning methods, contraception, and access to safe and legal abortion</w:t>
      </w:r>
      <w:r w:rsidR="00497F45" w:rsidRPr="00C7460B">
        <w:rPr>
          <w:rFonts w:ascii="Garamond" w:hAnsi="Garamond"/>
          <w:bCs/>
          <w:sz w:val="26"/>
          <w:szCs w:val="26"/>
        </w:rPr>
        <w:t xml:space="preserve">, and suggest </w:t>
      </w:r>
      <w:r w:rsidR="00805D77" w:rsidRPr="00C7460B">
        <w:rPr>
          <w:rFonts w:ascii="Garamond" w:hAnsi="Garamond"/>
          <w:bCs/>
          <w:sz w:val="26"/>
          <w:szCs w:val="26"/>
        </w:rPr>
        <w:t xml:space="preserve">recommendation 62(b) also </w:t>
      </w:r>
      <w:r w:rsidR="0087676F" w:rsidRPr="00C7460B">
        <w:rPr>
          <w:rFonts w:ascii="Garamond" w:hAnsi="Garamond"/>
          <w:bCs/>
          <w:sz w:val="26"/>
          <w:szCs w:val="26"/>
        </w:rPr>
        <w:t xml:space="preserve">support </w:t>
      </w:r>
      <w:r w:rsidR="00823899" w:rsidRPr="00C7460B">
        <w:rPr>
          <w:rFonts w:ascii="Garamond" w:hAnsi="Garamond"/>
          <w:bCs/>
          <w:sz w:val="26"/>
          <w:szCs w:val="26"/>
        </w:rPr>
        <w:t xml:space="preserve">sexual and reproductive health and rights, and </w:t>
      </w:r>
      <w:r w:rsidR="00A16B11" w:rsidRPr="00C7460B">
        <w:rPr>
          <w:rFonts w:ascii="Garamond" w:hAnsi="Garamond"/>
          <w:bCs/>
          <w:sz w:val="26"/>
          <w:szCs w:val="26"/>
        </w:rPr>
        <w:t>take a reproductive justice approach</w:t>
      </w:r>
      <w:r w:rsidR="009C153F" w:rsidRPr="00C7460B">
        <w:rPr>
          <w:rFonts w:ascii="Garamond" w:hAnsi="Garamond"/>
          <w:bCs/>
          <w:sz w:val="26"/>
          <w:szCs w:val="26"/>
        </w:rPr>
        <w:t>. A reproductive justice</w:t>
      </w:r>
      <w:r w:rsidR="00756F26" w:rsidRPr="00C7460B">
        <w:rPr>
          <w:rFonts w:ascii="Garamond" w:hAnsi="Garamond"/>
          <w:bCs/>
          <w:sz w:val="26"/>
          <w:szCs w:val="26"/>
        </w:rPr>
        <w:t xml:space="preserve"> approach would mean Indigenous women and girls would have full control over all aspects of </w:t>
      </w:r>
      <w:r w:rsidR="00010D8C">
        <w:rPr>
          <w:rFonts w:ascii="Garamond" w:hAnsi="Garamond"/>
          <w:bCs/>
          <w:sz w:val="26"/>
          <w:szCs w:val="26"/>
        </w:rPr>
        <w:t xml:space="preserve">their </w:t>
      </w:r>
      <w:r w:rsidR="00756F26" w:rsidRPr="00C7460B">
        <w:rPr>
          <w:rFonts w:ascii="Garamond" w:hAnsi="Garamond"/>
          <w:bCs/>
          <w:sz w:val="26"/>
          <w:szCs w:val="26"/>
        </w:rPr>
        <w:t xml:space="preserve">sexual and reproductive lives, </w:t>
      </w:r>
      <w:r w:rsidR="00010D8C">
        <w:rPr>
          <w:rFonts w:ascii="Garamond" w:hAnsi="Garamond"/>
          <w:bCs/>
          <w:sz w:val="26"/>
          <w:szCs w:val="26"/>
        </w:rPr>
        <w:t xml:space="preserve">would be </w:t>
      </w:r>
      <w:r w:rsidR="00C7460B" w:rsidRPr="00C7460B">
        <w:rPr>
          <w:rFonts w:ascii="Garamond" w:hAnsi="Garamond"/>
          <w:bCs/>
          <w:sz w:val="26"/>
          <w:szCs w:val="26"/>
        </w:rPr>
        <w:t>empower</w:t>
      </w:r>
      <w:r w:rsidR="00010D8C">
        <w:rPr>
          <w:rFonts w:ascii="Garamond" w:hAnsi="Garamond"/>
          <w:bCs/>
          <w:sz w:val="26"/>
          <w:szCs w:val="26"/>
        </w:rPr>
        <w:t>ed</w:t>
      </w:r>
      <w:r w:rsidR="00C7460B" w:rsidRPr="00C7460B">
        <w:rPr>
          <w:rFonts w:ascii="Garamond" w:hAnsi="Garamond"/>
          <w:bCs/>
          <w:sz w:val="26"/>
          <w:szCs w:val="26"/>
        </w:rPr>
        <w:t xml:space="preserve"> to make informed</w:t>
      </w:r>
      <w:r w:rsidR="00C7460B">
        <w:rPr>
          <w:rFonts w:ascii="Garamond" w:hAnsi="Garamond"/>
          <w:bCs/>
          <w:sz w:val="26"/>
          <w:szCs w:val="26"/>
        </w:rPr>
        <w:t xml:space="preserve"> decisions from </w:t>
      </w:r>
      <w:r w:rsidR="00C7460B">
        <w:rPr>
          <w:rFonts w:ascii="Garamond" w:hAnsi="Garamond"/>
          <w:bCs/>
          <w:sz w:val="26"/>
          <w:szCs w:val="26"/>
        </w:rPr>
        <w:lastRenderedPageBreak/>
        <w:t xml:space="preserve">contraception to childbirth, </w:t>
      </w:r>
      <w:r w:rsidR="00010D8C">
        <w:rPr>
          <w:rFonts w:ascii="Garamond" w:hAnsi="Garamond"/>
          <w:bCs/>
          <w:sz w:val="26"/>
          <w:szCs w:val="26"/>
        </w:rPr>
        <w:t xml:space="preserve">would </w:t>
      </w:r>
      <w:r w:rsidR="00C7460B">
        <w:rPr>
          <w:rFonts w:ascii="Garamond" w:hAnsi="Garamond"/>
          <w:bCs/>
          <w:sz w:val="26"/>
          <w:szCs w:val="26"/>
        </w:rPr>
        <w:t xml:space="preserve">have </w:t>
      </w:r>
      <w:r w:rsidR="00C7460B" w:rsidRPr="00C7460B">
        <w:rPr>
          <w:rFonts w:ascii="Garamond" w:hAnsi="Garamond"/>
          <w:bCs/>
          <w:sz w:val="26"/>
          <w:szCs w:val="26"/>
        </w:rPr>
        <w:t>quality nutrition and maternity care</w:t>
      </w:r>
      <w:r w:rsidR="00C7460B">
        <w:rPr>
          <w:rFonts w:ascii="Garamond" w:hAnsi="Garamond"/>
          <w:bCs/>
          <w:sz w:val="26"/>
          <w:szCs w:val="26"/>
        </w:rPr>
        <w:t xml:space="preserve"> for pregnant persons</w:t>
      </w:r>
      <w:r w:rsidR="00010D8C">
        <w:rPr>
          <w:rFonts w:ascii="Garamond" w:hAnsi="Garamond"/>
          <w:bCs/>
          <w:sz w:val="26"/>
          <w:szCs w:val="26"/>
        </w:rPr>
        <w:t>,</w:t>
      </w:r>
      <w:r w:rsidR="00C7460B">
        <w:rPr>
          <w:rFonts w:ascii="Garamond" w:hAnsi="Garamond"/>
          <w:bCs/>
          <w:sz w:val="26"/>
          <w:szCs w:val="26"/>
        </w:rPr>
        <w:t xml:space="preserve"> as well as have support systems that are culturally sensitive and </w:t>
      </w:r>
      <w:r w:rsidR="009768EC">
        <w:rPr>
          <w:rFonts w:ascii="Garamond" w:hAnsi="Garamond"/>
          <w:bCs/>
          <w:sz w:val="26"/>
          <w:szCs w:val="26"/>
        </w:rPr>
        <w:t xml:space="preserve">built around an awareness of histories of sexual and obstetric violence against Indigenous women and girls. </w:t>
      </w:r>
    </w:p>
    <w:p w14:paraId="497A76F3" w14:textId="6B822D16" w:rsidR="00471B1E" w:rsidRDefault="00471B1E" w:rsidP="00DF6925">
      <w:pPr>
        <w:pStyle w:val="ListParagraph"/>
        <w:numPr>
          <w:ilvl w:val="0"/>
          <w:numId w:val="2"/>
        </w:numPr>
        <w:rPr>
          <w:rFonts w:ascii="Garamond" w:hAnsi="Garamond"/>
          <w:bCs/>
          <w:sz w:val="26"/>
          <w:szCs w:val="26"/>
        </w:rPr>
      </w:pPr>
      <w:r w:rsidRPr="003503C1">
        <w:rPr>
          <w:rFonts w:ascii="Garamond" w:hAnsi="Garamond"/>
          <w:bCs/>
          <w:sz w:val="26"/>
          <w:szCs w:val="26"/>
        </w:rPr>
        <w:t>With regards to section J, ‘</w:t>
      </w:r>
      <w:r w:rsidRPr="003503C1">
        <w:rPr>
          <w:rFonts w:ascii="Garamond" w:hAnsi="Garamond"/>
          <w:b/>
          <w:sz w:val="26"/>
          <w:szCs w:val="26"/>
        </w:rPr>
        <w:t>Right</w:t>
      </w:r>
      <w:r w:rsidR="00AC6946">
        <w:rPr>
          <w:rFonts w:ascii="Garamond" w:hAnsi="Garamond"/>
          <w:b/>
          <w:sz w:val="26"/>
          <w:szCs w:val="26"/>
        </w:rPr>
        <w:t xml:space="preserve"> to </w:t>
      </w:r>
      <w:r w:rsidR="00E82CFB" w:rsidRPr="00E82CFB">
        <w:rPr>
          <w:rFonts w:ascii="Garamond" w:hAnsi="Garamond"/>
          <w:b/>
          <w:sz w:val="26"/>
          <w:szCs w:val="26"/>
        </w:rPr>
        <w:t>culture (articles 3, 5, 13 and 14</w:t>
      </w:r>
      <w:r w:rsidR="00E82CFB">
        <w:rPr>
          <w:rFonts w:ascii="Garamond" w:hAnsi="Garamond"/>
          <w:b/>
          <w:sz w:val="26"/>
          <w:szCs w:val="26"/>
        </w:rPr>
        <w:t>)</w:t>
      </w:r>
      <w:r w:rsidR="008B09CD">
        <w:rPr>
          <w:rFonts w:ascii="Garamond" w:hAnsi="Garamond"/>
          <w:bCs/>
          <w:sz w:val="26"/>
          <w:szCs w:val="26"/>
        </w:rPr>
        <w:t>’,</w:t>
      </w:r>
      <w:r w:rsidR="00835953">
        <w:rPr>
          <w:rFonts w:ascii="Garamond" w:hAnsi="Garamond"/>
          <w:bCs/>
          <w:sz w:val="26"/>
          <w:szCs w:val="26"/>
        </w:rPr>
        <w:t xml:space="preserve"> we refer back to our previous submission</w:t>
      </w:r>
      <w:r w:rsidR="005E03F9">
        <w:rPr>
          <w:rFonts w:ascii="Garamond" w:hAnsi="Garamond"/>
          <w:bCs/>
          <w:sz w:val="26"/>
          <w:szCs w:val="26"/>
        </w:rPr>
        <w:t>,</w:t>
      </w:r>
      <w:r w:rsidR="00835953">
        <w:rPr>
          <w:rFonts w:ascii="Garamond" w:hAnsi="Garamond"/>
          <w:bCs/>
          <w:sz w:val="26"/>
          <w:szCs w:val="26"/>
        </w:rPr>
        <w:t xml:space="preserve"> and suggest adding the point that </w:t>
      </w:r>
      <w:r w:rsidR="004E48B4">
        <w:rPr>
          <w:rFonts w:ascii="Garamond" w:hAnsi="Garamond"/>
          <w:bCs/>
          <w:sz w:val="26"/>
          <w:szCs w:val="26"/>
        </w:rPr>
        <w:t>Indigenous women’s cultural rights are intrinsically linked to their self-determination, and that their ability to transmit and hold traditional knowledge is under strain</w:t>
      </w:r>
      <w:r w:rsidR="007A06AF">
        <w:rPr>
          <w:rFonts w:ascii="Garamond" w:hAnsi="Garamond"/>
          <w:bCs/>
          <w:sz w:val="26"/>
          <w:szCs w:val="26"/>
        </w:rPr>
        <w:t xml:space="preserve"> because of direct violence, policies of assimilation, and structural barriers posed by the neoliberal economic system that reduces the value of their </w:t>
      </w:r>
      <w:r w:rsidR="001213E5">
        <w:rPr>
          <w:rFonts w:ascii="Garamond" w:hAnsi="Garamond"/>
          <w:bCs/>
          <w:sz w:val="26"/>
          <w:szCs w:val="26"/>
        </w:rPr>
        <w:t>knowledge and traditions to just intellectual property. The recommendation</w:t>
      </w:r>
      <w:r w:rsidR="008B09CD">
        <w:rPr>
          <w:rFonts w:ascii="Garamond" w:hAnsi="Garamond"/>
          <w:bCs/>
          <w:sz w:val="26"/>
          <w:szCs w:val="26"/>
        </w:rPr>
        <w:t xml:space="preserve"> </w:t>
      </w:r>
      <w:r w:rsidR="006961B4">
        <w:rPr>
          <w:rFonts w:ascii="Garamond" w:hAnsi="Garamond"/>
          <w:bCs/>
          <w:sz w:val="26"/>
          <w:szCs w:val="26"/>
        </w:rPr>
        <w:t>to ‘</w:t>
      </w:r>
      <w:r w:rsidR="006961B4" w:rsidRPr="006961B4">
        <w:rPr>
          <w:rFonts w:ascii="Garamond" w:hAnsi="Garamond"/>
          <w:bCs/>
          <w:sz w:val="26"/>
          <w:szCs w:val="26"/>
        </w:rPr>
        <w:t>Recognize and protect indigenous women’s intellectual property to their cultural heritage, traditional knowledge, and natural resources</w:t>
      </w:r>
      <w:r w:rsidR="006961B4">
        <w:rPr>
          <w:rFonts w:ascii="Garamond" w:hAnsi="Garamond"/>
          <w:bCs/>
          <w:sz w:val="26"/>
          <w:szCs w:val="26"/>
        </w:rPr>
        <w:t>’ (</w:t>
      </w:r>
      <w:r w:rsidR="00D32967">
        <w:rPr>
          <w:rFonts w:ascii="Garamond" w:hAnsi="Garamond"/>
          <w:bCs/>
          <w:sz w:val="26"/>
          <w:szCs w:val="26"/>
        </w:rPr>
        <w:t xml:space="preserve">para </w:t>
      </w:r>
      <w:r w:rsidR="006961B4">
        <w:rPr>
          <w:rFonts w:ascii="Garamond" w:hAnsi="Garamond"/>
          <w:bCs/>
          <w:sz w:val="26"/>
          <w:szCs w:val="26"/>
        </w:rPr>
        <w:t>68</w:t>
      </w:r>
      <w:r w:rsidR="006961B4" w:rsidRPr="006961B4">
        <w:rPr>
          <w:rFonts w:ascii="Garamond" w:hAnsi="Garamond"/>
          <w:bCs/>
          <w:sz w:val="26"/>
          <w:szCs w:val="26"/>
        </w:rPr>
        <w:t>(f)</w:t>
      </w:r>
      <w:r w:rsidR="006961B4">
        <w:rPr>
          <w:rFonts w:ascii="Garamond" w:hAnsi="Garamond"/>
          <w:bCs/>
          <w:sz w:val="26"/>
          <w:szCs w:val="26"/>
        </w:rPr>
        <w:t>)</w:t>
      </w:r>
      <w:r w:rsidR="00D32967">
        <w:rPr>
          <w:rFonts w:ascii="Garamond" w:hAnsi="Garamond"/>
          <w:bCs/>
          <w:sz w:val="26"/>
          <w:szCs w:val="26"/>
        </w:rPr>
        <w:t xml:space="preserve"> is in our view limited. Intellectual property is one way of </w:t>
      </w:r>
      <w:r w:rsidR="00461F1B">
        <w:rPr>
          <w:rFonts w:ascii="Garamond" w:hAnsi="Garamond"/>
          <w:bCs/>
          <w:sz w:val="26"/>
          <w:szCs w:val="26"/>
        </w:rPr>
        <w:t>countering encro</w:t>
      </w:r>
      <w:r w:rsidR="00D1543E">
        <w:rPr>
          <w:rFonts w:ascii="Garamond" w:hAnsi="Garamond"/>
          <w:bCs/>
          <w:sz w:val="26"/>
          <w:szCs w:val="26"/>
        </w:rPr>
        <w:t xml:space="preserve">achment of traditional knowledge, but it is not the only way; and moreover, </w:t>
      </w:r>
      <w:r w:rsidR="00D37F95">
        <w:rPr>
          <w:rFonts w:ascii="Garamond" w:hAnsi="Garamond"/>
          <w:bCs/>
          <w:sz w:val="26"/>
          <w:szCs w:val="26"/>
        </w:rPr>
        <w:t>partnership is key to document, preserve</w:t>
      </w:r>
      <w:r w:rsidR="006B1610">
        <w:rPr>
          <w:rFonts w:ascii="Garamond" w:hAnsi="Garamond"/>
          <w:bCs/>
          <w:sz w:val="26"/>
          <w:szCs w:val="26"/>
        </w:rPr>
        <w:t xml:space="preserve"> and transmit this knowledge</w:t>
      </w:r>
      <w:r w:rsidR="00AE3AF6">
        <w:rPr>
          <w:rFonts w:ascii="Garamond" w:hAnsi="Garamond"/>
          <w:bCs/>
          <w:sz w:val="26"/>
          <w:szCs w:val="26"/>
        </w:rPr>
        <w:t>.</w:t>
      </w:r>
    </w:p>
    <w:p w14:paraId="215AB1A4" w14:textId="2C281360" w:rsidR="006E4925" w:rsidRPr="003503C1" w:rsidRDefault="006E4925" w:rsidP="0073192D">
      <w:pPr>
        <w:pStyle w:val="ListParagraph"/>
        <w:numPr>
          <w:ilvl w:val="0"/>
          <w:numId w:val="2"/>
        </w:numPr>
        <w:rPr>
          <w:rFonts w:ascii="Garamond" w:hAnsi="Garamond"/>
          <w:bCs/>
          <w:sz w:val="26"/>
          <w:szCs w:val="26"/>
        </w:rPr>
      </w:pPr>
      <w:r w:rsidRPr="003503C1">
        <w:rPr>
          <w:rFonts w:ascii="Garamond" w:hAnsi="Garamond"/>
          <w:bCs/>
          <w:sz w:val="26"/>
          <w:szCs w:val="26"/>
        </w:rPr>
        <w:t xml:space="preserve">With regards to section </w:t>
      </w:r>
      <w:r w:rsidR="000B2F98" w:rsidRPr="003503C1">
        <w:rPr>
          <w:rFonts w:ascii="Garamond" w:hAnsi="Garamond"/>
          <w:bCs/>
          <w:sz w:val="26"/>
          <w:szCs w:val="26"/>
        </w:rPr>
        <w:t>J</w:t>
      </w:r>
      <w:r w:rsidRPr="003503C1">
        <w:rPr>
          <w:rFonts w:ascii="Garamond" w:hAnsi="Garamond"/>
          <w:bCs/>
          <w:sz w:val="26"/>
          <w:szCs w:val="26"/>
        </w:rPr>
        <w:t>, ‘</w:t>
      </w:r>
      <w:r w:rsidRPr="003503C1">
        <w:rPr>
          <w:rFonts w:ascii="Garamond" w:hAnsi="Garamond"/>
          <w:b/>
          <w:sz w:val="26"/>
          <w:szCs w:val="26"/>
        </w:rPr>
        <w:t xml:space="preserve">Rights </w:t>
      </w:r>
      <w:r w:rsidR="003503C1" w:rsidRPr="003503C1">
        <w:rPr>
          <w:rFonts w:ascii="Garamond" w:hAnsi="Garamond"/>
          <w:b/>
          <w:sz w:val="26"/>
          <w:szCs w:val="26"/>
        </w:rPr>
        <w:t>to social protection and economic resources (articles 13)</w:t>
      </w:r>
      <w:r w:rsidR="000B2F98" w:rsidRPr="003503C1">
        <w:rPr>
          <w:rFonts w:ascii="Garamond" w:hAnsi="Garamond"/>
          <w:bCs/>
          <w:sz w:val="26"/>
          <w:szCs w:val="26"/>
        </w:rPr>
        <w:t xml:space="preserve">’, we support </w:t>
      </w:r>
      <w:r w:rsidR="000917D9" w:rsidRPr="003503C1">
        <w:rPr>
          <w:rFonts w:ascii="Garamond" w:hAnsi="Garamond"/>
          <w:bCs/>
          <w:sz w:val="26"/>
          <w:szCs w:val="26"/>
        </w:rPr>
        <w:t xml:space="preserve">the recommendations and would </w:t>
      </w:r>
      <w:r w:rsidR="003503C1">
        <w:rPr>
          <w:rFonts w:ascii="Garamond" w:hAnsi="Garamond"/>
          <w:bCs/>
          <w:sz w:val="26"/>
          <w:szCs w:val="26"/>
        </w:rPr>
        <w:t xml:space="preserve">suggest </w:t>
      </w:r>
      <w:r w:rsidR="001463E9" w:rsidRPr="003503C1">
        <w:rPr>
          <w:rFonts w:ascii="Garamond" w:hAnsi="Garamond"/>
          <w:bCs/>
          <w:sz w:val="26"/>
          <w:szCs w:val="26"/>
        </w:rPr>
        <w:t>mentioning forms of social protection</w:t>
      </w:r>
      <w:r w:rsidR="001F642D" w:rsidRPr="003503C1">
        <w:rPr>
          <w:rFonts w:ascii="Garamond" w:hAnsi="Garamond"/>
          <w:bCs/>
          <w:sz w:val="26"/>
          <w:szCs w:val="26"/>
        </w:rPr>
        <w:t xml:space="preserve"> (including </w:t>
      </w:r>
      <w:r w:rsidR="001F642D" w:rsidRPr="003503C1">
        <w:rPr>
          <w:rFonts w:ascii="Garamond" w:hAnsi="Garamond"/>
          <w:sz w:val="26"/>
          <w:szCs w:val="26"/>
        </w:rPr>
        <w:t>social assistance, social insurance, and program coverage for childcare, parental leave, illness, accident, disability, and old age)</w:t>
      </w:r>
      <w:r w:rsidR="001F642D" w:rsidRPr="003503C1">
        <w:rPr>
          <w:rFonts w:ascii="Garamond" w:hAnsi="Garamond"/>
          <w:bCs/>
          <w:sz w:val="26"/>
          <w:szCs w:val="26"/>
        </w:rPr>
        <w:t xml:space="preserve">, </w:t>
      </w:r>
      <w:r w:rsidR="003503C1">
        <w:rPr>
          <w:rFonts w:ascii="Garamond" w:hAnsi="Garamond"/>
          <w:bCs/>
          <w:sz w:val="26"/>
          <w:szCs w:val="26"/>
        </w:rPr>
        <w:t xml:space="preserve">as well as </w:t>
      </w:r>
      <w:r w:rsidR="001F642D" w:rsidRPr="003503C1">
        <w:rPr>
          <w:rFonts w:ascii="Garamond" w:hAnsi="Garamond"/>
          <w:bCs/>
          <w:sz w:val="26"/>
          <w:szCs w:val="26"/>
        </w:rPr>
        <w:t>the need for</w:t>
      </w:r>
      <w:r w:rsidR="000917D9" w:rsidRPr="003503C1">
        <w:rPr>
          <w:rFonts w:ascii="Garamond" w:hAnsi="Garamond"/>
          <w:bCs/>
          <w:sz w:val="26"/>
          <w:szCs w:val="26"/>
        </w:rPr>
        <w:t xml:space="preserve"> state parties </w:t>
      </w:r>
      <w:r w:rsidR="001F642D" w:rsidRPr="003503C1">
        <w:rPr>
          <w:rFonts w:ascii="Garamond" w:hAnsi="Garamond"/>
          <w:bCs/>
          <w:sz w:val="26"/>
          <w:szCs w:val="26"/>
        </w:rPr>
        <w:t xml:space="preserve">to </w:t>
      </w:r>
      <w:r w:rsidR="000917D9" w:rsidRPr="003503C1">
        <w:rPr>
          <w:rFonts w:ascii="Garamond" w:hAnsi="Garamond"/>
          <w:bCs/>
          <w:sz w:val="26"/>
          <w:szCs w:val="26"/>
        </w:rPr>
        <w:t>r</w:t>
      </w:r>
      <w:r w:rsidR="000B2F98" w:rsidRPr="003503C1">
        <w:rPr>
          <w:rFonts w:ascii="Garamond" w:hAnsi="Garamond"/>
          <w:bCs/>
          <w:sz w:val="26"/>
          <w:szCs w:val="26"/>
        </w:rPr>
        <w:t xml:space="preserve">eprioritize fiscal expenditures </w:t>
      </w:r>
      <w:r w:rsidR="000B2F98" w:rsidRPr="003503C1">
        <w:rPr>
          <w:rFonts w:ascii="Garamond" w:hAnsi="Garamond"/>
          <w:sz w:val="26"/>
          <w:szCs w:val="26"/>
        </w:rPr>
        <w:t>and the redistribution of resources and wealth</w:t>
      </w:r>
      <w:r w:rsidR="000B2F98" w:rsidRPr="003503C1">
        <w:rPr>
          <w:rFonts w:ascii="Garamond" w:hAnsi="Garamond"/>
          <w:bCs/>
          <w:sz w:val="26"/>
          <w:szCs w:val="26"/>
        </w:rPr>
        <w:t xml:space="preserve"> to extend social protection coverage to all women and girls</w:t>
      </w:r>
      <w:r w:rsidR="001463E9" w:rsidRPr="003503C1">
        <w:rPr>
          <w:rFonts w:ascii="Garamond" w:hAnsi="Garamond"/>
          <w:bCs/>
          <w:sz w:val="26"/>
          <w:szCs w:val="26"/>
        </w:rPr>
        <w:t>,</w:t>
      </w:r>
      <w:r w:rsidR="000B2F98" w:rsidRPr="003503C1">
        <w:rPr>
          <w:rFonts w:ascii="Garamond" w:hAnsi="Garamond"/>
          <w:bCs/>
          <w:sz w:val="26"/>
          <w:szCs w:val="26"/>
        </w:rPr>
        <w:t xml:space="preserve"> </w:t>
      </w:r>
      <w:r w:rsidR="001F642D" w:rsidRPr="003503C1">
        <w:rPr>
          <w:rFonts w:ascii="Garamond" w:hAnsi="Garamond"/>
          <w:bCs/>
          <w:sz w:val="26"/>
          <w:szCs w:val="26"/>
        </w:rPr>
        <w:t xml:space="preserve">and to </w:t>
      </w:r>
      <w:r w:rsidR="000B2F98" w:rsidRPr="003503C1">
        <w:rPr>
          <w:rFonts w:ascii="Garamond" w:hAnsi="Garamond"/>
          <w:bCs/>
          <w:sz w:val="26"/>
          <w:szCs w:val="26"/>
        </w:rPr>
        <w:t>establish social protection floors to ensure access to social protection for all</w:t>
      </w:r>
      <w:r w:rsidR="001F642D" w:rsidRPr="003503C1">
        <w:rPr>
          <w:rFonts w:ascii="Garamond" w:hAnsi="Garamond"/>
          <w:bCs/>
          <w:sz w:val="26"/>
          <w:szCs w:val="26"/>
        </w:rPr>
        <w:t>.</w:t>
      </w:r>
      <w:r w:rsidR="000B2F98" w:rsidRPr="003503C1">
        <w:rPr>
          <w:rFonts w:ascii="Garamond" w:hAnsi="Garamond"/>
          <w:bCs/>
          <w:sz w:val="26"/>
          <w:szCs w:val="26"/>
        </w:rPr>
        <w:t xml:space="preserve"> </w:t>
      </w:r>
      <w:r w:rsidR="0024541E">
        <w:rPr>
          <w:rFonts w:ascii="Garamond" w:hAnsi="Garamond"/>
          <w:bCs/>
          <w:sz w:val="26"/>
          <w:szCs w:val="26"/>
        </w:rPr>
        <w:t xml:space="preserve">We encourage </w:t>
      </w:r>
      <w:r w:rsidR="0024541E" w:rsidRPr="0024541E">
        <w:rPr>
          <w:rFonts w:ascii="Garamond" w:hAnsi="Garamond"/>
          <w:bCs/>
          <w:sz w:val="26"/>
          <w:szCs w:val="26"/>
        </w:rPr>
        <w:t xml:space="preserve">elaborating </w:t>
      </w:r>
      <w:r w:rsidR="0024541E">
        <w:rPr>
          <w:rFonts w:ascii="Garamond" w:hAnsi="Garamond"/>
          <w:bCs/>
          <w:sz w:val="26"/>
          <w:szCs w:val="26"/>
        </w:rPr>
        <w:t xml:space="preserve">on </w:t>
      </w:r>
      <w:r w:rsidR="0024541E" w:rsidRPr="0024541E">
        <w:rPr>
          <w:rFonts w:ascii="Garamond" w:hAnsi="Garamond"/>
          <w:bCs/>
          <w:sz w:val="26"/>
          <w:szCs w:val="26"/>
        </w:rPr>
        <w:t>social protection program</w:t>
      </w:r>
      <w:r w:rsidR="0024541E">
        <w:rPr>
          <w:rFonts w:ascii="Garamond" w:hAnsi="Garamond"/>
          <w:bCs/>
          <w:sz w:val="26"/>
          <w:szCs w:val="26"/>
        </w:rPr>
        <w:t>s</w:t>
      </w:r>
      <w:r w:rsidR="0024541E" w:rsidRPr="0024541E">
        <w:rPr>
          <w:rFonts w:ascii="Garamond" w:hAnsi="Garamond"/>
          <w:bCs/>
          <w:sz w:val="26"/>
          <w:szCs w:val="26"/>
        </w:rPr>
        <w:t xml:space="preserve"> (</w:t>
      </w:r>
      <w:r w:rsidR="005150B9">
        <w:rPr>
          <w:rFonts w:ascii="Garamond" w:hAnsi="Garamond"/>
          <w:bCs/>
          <w:sz w:val="26"/>
          <w:szCs w:val="26"/>
        </w:rPr>
        <w:t xml:space="preserve">particularly </w:t>
      </w:r>
      <w:r w:rsidR="0024541E" w:rsidRPr="0024541E">
        <w:rPr>
          <w:rFonts w:ascii="Garamond" w:hAnsi="Garamond"/>
          <w:bCs/>
          <w:sz w:val="26"/>
          <w:szCs w:val="26"/>
        </w:rPr>
        <w:t xml:space="preserve">social assistance and social insurance) which are crucial to support </w:t>
      </w:r>
      <w:r w:rsidR="005150B9">
        <w:rPr>
          <w:rFonts w:ascii="Garamond" w:hAnsi="Garamond"/>
          <w:bCs/>
          <w:sz w:val="26"/>
          <w:szCs w:val="26"/>
        </w:rPr>
        <w:t xml:space="preserve">Indigenous </w:t>
      </w:r>
      <w:r w:rsidR="0024541E" w:rsidRPr="0024541E">
        <w:rPr>
          <w:rFonts w:ascii="Garamond" w:hAnsi="Garamond"/>
          <w:bCs/>
          <w:sz w:val="26"/>
          <w:szCs w:val="26"/>
        </w:rPr>
        <w:t xml:space="preserve">women, and can contribute to reducing poverty, improving income security, mitigating hunger and malnutrition and enabling access to better nutrition, healthcare and education. </w:t>
      </w:r>
      <w:r w:rsidR="005150B9">
        <w:rPr>
          <w:rFonts w:ascii="Garamond" w:hAnsi="Garamond"/>
          <w:bCs/>
          <w:sz w:val="26"/>
          <w:szCs w:val="26"/>
        </w:rPr>
        <w:t xml:space="preserve">Indigenous </w:t>
      </w:r>
      <w:r w:rsidR="0024541E" w:rsidRPr="0024541E">
        <w:rPr>
          <w:rFonts w:ascii="Garamond" w:hAnsi="Garamond"/>
          <w:bCs/>
          <w:sz w:val="26"/>
          <w:szCs w:val="26"/>
        </w:rPr>
        <w:t>women tend to have less access to social protection because they work primarily in the informal sector</w:t>
      </w:r>
      <w:r w:rsidR="008971D4">
        <w:rPr>
          <w:rFonts w:ascii="Garamond" w:hAnsi="Garamond"/>
          <w:bCs/>
          <w:sz w:val="26"/>
          <w:szCs w:val="26"/>
        </w:rPr>
        <w:t xml:space="preserve"> as mentioned in the draft</w:t>
      </w:r>
      <w:r w:rsidR="0024541E" w:rsidRPr="0024541E">
        <w:rPr>
          <w:rFonts w:ascii="Garamond" w:hAnsi="Garamond"/>
          <w:bCs/>
          <w:sz w:val="26"/>
          <w:szCs w:val="26"/>
        </w:rPr>
        <w:t>. In order to extend such program</w:t>
      </w:r>
      <w:r w:rsidR="008971D4">
        <w:rPr>
          <w:rFonts w:ascii="Garamond" w:hAnsi="Garamond"/>
          <w:bCs/>
          <w:sz w:val="26"/>
          <w:szCs w:val="26"/>
        </w:rPr>
        <w:t>s</w:t>
      </w:r>
      <w:r w:rsidR="0024541E" w:rsidRPr="0024541E">
        <w:rPr>
          <w:rFonts w:ascii="Garamond" w:hAnsi="Garamond"/>
          <w:bCs/>
          <w:sz w:val="26"/>
          <w:szCs w:val="26"/>
        </w:rPr>
        <w:t xml:space="preserve"> to 73 percent of the world’s population (most in rural areas) who have no access to social protection, fiscal policies need to focus on equitable redistribution of resources wealth. It is estimated that </w:t>
      </w:r>
      <w:r w:rsidR="00C83063">
        <w:rPr>
          <w:rFonts w:ascii="Garamond" w:hAnsi="Garamond"/>
          <w:bCs/>
          <w:sz w:val="26"/>
          <w:szCs w:val="26"/>
        </w:rPr>
        <w:t>strong social protection systems only require 2 percent of GDP</w:t>
      </w:r>
      <w:r w:rsidR="00136FA4">
        <w:rPr>
          <w:rFonts w:ascii="Garamond" w:hAnsi="Garamond"/>
          <w:bCs/>
          <w:sz w:val="26"/>
          <w:szCs w:val="26"/>
        </w:rPr>
        <w:t>;</w:t>
      </w:r>
      <w:r w:rsidR="007678C6">
        <w:rPr>
          <w:rStyle w:val="FootnoteReference"/>
          <w:rFonts w:ascii="Garamond" w:hAnsi="Garamond"/>
          <w:bCs/>
          <w:sz w:val="26"/>
          <w:szCs w:val="26"/>
        </w:rPr>
        <w:footnoteReference w:id="5"/>
      </w:r>
      <w:r w:rsidR="00136FA4">
        <w:rPr>
          <w:rFonts w:ascii="Garamond" w:hAnsi="Garamond"/>
          <w:bCs/>
          <w:sz w:val="26"/>
          <w:szCs w:val="26"/>
        </w:rPr>
        <w:t xml:space="preserve"> in Asia and in other </w:t>
      </w:r>
      <w:r w:rsidR="009605C2">
        <w:rPr>
          <w:rFonts w:ascii="Garamond" w:hAnsi="Garamond"/>
          <w:bCs/>
          <w:sz w:val="26"/>
          <w:szCs w:val="26"/>
        </w:rPr>
        <w:t xml:space="preserve">developing nations, governments need to have the revenue to </w:t>
      </w:r>
      <w:r w:rsidR="00552D93">
        <w:rPr>
          <w:rFonts w:ascii="Garamond" w:hAnsi="Garamond"/>
          <w:bCs/>
          <w:sz w:val="26"/>
          <w:szCs w:val="26"/>
        </w:rPr>
        <w:t xml:space="preserve">invest in social protection systems, public goods and services, all of which can be transformative for women and girls, and particularly Indigenous women and girls. </w:t>
      </w:r>
      <w:r w:rsidR="0020779B">
        <w:rPr>
          <w:rFonts w:ascii="Garamond" w:hAnsi="Garamond"/>
          <w:bCs/>
          <w:sz w:val="26"/>
          <w:szCs w:val="26"/>
        </w:rPr>
        <w:t xml:space="preserve">We note that the global economic order continues to become more and more unequal, with the wealthiest minority accumulating more wealth during the COVID-19 pandemic while Indigenous and other marginalized communities have struggled and suffered loss and violence. We support </w:t>
      </w:r>
      <w:r w:rsidR="00346394">
        <w:rPr>
          <w:rFonts w:ascii="Garamond" w:hAnsi="Garamond"/>
          <w:bCs/>
          <w:sz w:val="26"/>
          <w:szCs w:val="26"/>
        </w:rPr>
        <w:t xml:space="preserve">the application of a wealth tax, </w:t>
      </w:r>
      <w:r w:rsidR="00346394">
        <w:rPr>
          <w:rFonts w:ascii="Garamond" w:hAnsi="Garamond"/>
          <w:bCs/>
          <w:sz w:val="26"/>
          <w:szCs w:val="26"/>
        </w:rPr>
        <w:lastRenderedPageBreak/>
        <w:t xml:space="preserve">of a corporate tax and application of country-by-country reporting for transnational entities to ensure they are paying </w:t>
      </w:r>
      <w:r w:rsidR="00E04816">
        <w:rPr>
          <w:rFonts w:ascii="Garamond" w:hAnsi="Garamond"/>
          <w:bCs/>
          <w:sz w:val="26"/>
          <w:szCs w:val="26"/>
        </w:rPr>
        <w:t xml:space="preserve">taxes and </w:t>
      </w:r>
      <w:r w:rsidR="00520B00">
        <w:rPr>
          <w:rFonts w:ascii="Garamond" w:hAnsi="Garamond"/>
          <w:bCs/>
          <w:sz w:val="26"/>
          <w:szCs w:val="26"/>
        </w:rPr>
        <w:t xml:space="preserve">the use of </w:t>
      </w:r>
      <w:r w:rsidR="00E04816">
        <w:rPr>
          <w:rFonts w:ascii="Garamond" w:hAnsi="Garamond"/>
          <w:bCs/>
          <w:sz w:val="26"/>
          <w:szCs w:val="26"/>
        </w:rPr>
        <w:t xml:space="preserve">other such measures to stop the </w:t>
      </w:r>
      <w:r w:rsidR="009605C2" w:rsidRPr="009605C2">
        <w:rPr>
          <w:rFonts w:ascii="Garamond" w:hAnsi="Garamond"/>
          <w:bCs/>
          <w:sz w:val="26"/>
          <w:szCs w:val="26"/>
        </w:rPr>
        <w:t xml:space="preserve">billions </w:t>
      </w:r>
      <w:r w:rsidR="00E04816">
        <w:rPr>
          <w:rFonts w:ascii="Garamond" w:hAnsi="Garamond"/>
          <w:bCs/>
          <w:sz w:val="26"/>
          <w:szCs w:val="26"/>
        </w:rPr>
        <w:t xml:space="preserve">lost in </w:t>
      </w:r>
      <w:r w:rsidR="009605C2" w:rsidRPr="009605C2">
        <w:rPr>
          <w:rFonts w:ascii="Garamond" w:hAnsi="Garamond"/>
          <w:bCs/>
          <w:sz w:val="26"/>
          <w:szCs w:val="26"/>
        </w:rPr>
        <w:t xml:space="preserve">illicit financial flows, </w:t>
      </w:r>
      <w:r w:rsidR="00E04816">
        <w:rPr>
          <w:rFonts w:ascii="Garamond" w:hAnsi="Garamond"/>
          <w:bCs/>
          <w:sz w:val="26"/>
          <w:szCs w:val="26"/>
        </w:rPr>
        <w:t xml:space="preserve">in </w:t>
      </w:r>
      <w:r w:rsidR="009605C2" w:rsidRPr="009605C2">
        <w:rPr>
          <w:rFonts w:ascii="Garamond" w:hAnsi="Garamond"/>
          <w:bCs/>
          <w:sz w:val="26"/>
          <w:szCs w:val="26"/>
        </w:rPr>
        <w:t xml:space="preserve">practices of tax avoidance, evasion and fraud. Addressing </w:t>
      </w:r>
      <w:r w:rsidR="00E04816">
        <w:rPr>
          <w:rFonts w:ascii="Garamond" w:hAnsi="Garamond"/>
          <w:bCs/>
          <w:sz w:val="26"/>
          <w:szCs w:val="26"/>
        </w:rPr>
        <w:t>these structural issues</w:t>
      </w:r>
      <w:r w:rsidR="00E1525B">
        <w:rPr>
          <w:rFonts w:ascii="Garamond" w:hAnsi="Garamond"/>
          <w:bCs/>
          <w:sz w:val="26"/>
          <w:szCs w:val="26"/>
        </w:rPr>
        <w:t xml:space="preserve"> and changing the way the economy works </w:t>
      </w:r>
      <w:r w:rsidR="009605C2" w:rsidRPr="009605C2">
        <w:rPr>
          <w:rFonts w:ascii="Garamond" w:hAnsi="Garamond"/>
          <w:bCs/>
          <w:sz w:val="26"/>
          <w:szCs w:val="26"/>
        </w:rPr>
        <w:t>will provide states the necessary resources to fund robust social protection systems and inclusive, accessible public services and infrastructure</w:t>
      </w:r>
      <w:r w:rsidR="00A44B74">
        <w:rPr>
          <w:rFonts w:ascii="Garamond" w:hAnsi="Garamond"/>
          <w:bCs/>
          <w:sz w:val="26"/>
          <w:szCs w:val="26"/>
        </w:rPr>
        <w:t xml:space="preserve"> for </w:t>
      </w:r>
      <w:r w:rsidR="00D804EC">
        <w:rPr>
          <w:rFonts w:ascii="Garamond" w:hAnsi="Garamond"/>
          <w:bCs/>
          <w:sz w:val="26"/>
          <w:szCs w:val="26"/>
        </w:rPr>
        <w:t>marginalized communities</w:t>
      </w:r>
      <w:r w:rsidR="00A44B74">
        <w:rPr>
          <w:rFonts w:ascii="Garamond" w:hAnsi="Garamond"/>
          <w:bCs/>
          <w:sz w:val="26"/>
          <w:szCs w:val="26"/>
        </w:rPr>
        <w:t>,</w:t>
      </w:r>
      <w:r w:rsidR="00D804EC">
        <w:rPr>
          <w:rFonts w:ascii="Garamond" w:hAnsi="Garamond"/>
          <w:bCs/>
          <w:sz w:val="26"/>
          <w:szCs w:val="26"/>
        </w:rPr>
        <w:t xml:space="preserve"> </w:t>
      </w:r>
      <w:r w:rsidR="0052653B">
        <w:rPr>
          <w:rFonts w:ascii="Garamond" w:hAnsi="Garamond"/>
          <w:bCs/>
          <w:sz w:val="26"/>
          <w:szCs w:val="26"/>
        </w:rPr>
        <w:t>including Indigenous ones</w:t>
      </w:r>
      <w:r w:rsidR="009605C2" w:rsidRPr="009605C2">
        <w:rPr>
          <w:rFonts w:ascii="Garamond" w:hAnsi="Garamond"/>
          <w:bCs/>
          <w:sz w:val="26"/>
          <w:szCs w:val="26"/>
        </w:rPr>
        <w:t>.</w:t>
      </w:r>
    </w:p>
    <w:p w14:paraId="60AACB33" w14:textId="72D4FD51" w:rsidR="00717A96" w:rsidRPr="00DA71A9" w:rsidRDefault="00511EFB" w:rsidP="00DA71A9">
      <w:pPr>
        <w:pStyle w:val="ListParagraph"/>
        <w:numPr>
          <w:ilvl w:val="0"/>
          <w:numId w:val="2"/>
        </w:numPr>
        <w:rPr>
          <w:rFonts w:ascii="Garamond" w:hAnsi="Garamond"/>
          <w:bCs/>
          <w:sz w:val="26"/>
          <w:szCs w:val="26"/>
        </w:rPr>
      </w:pPr>
      <w:r w:rsidRPr="00C5004C">
        <w:rPr>
          <w:rFonts w:ascii="Garamond" w:hAnsi="Garamond"/>
          <w:bCs/>
          <w:sz w:val="26"/>
          <w:szCs w:val="26"/>
        </w:rPr>
        <w:t xml:space="preserve">With regards to </w:t>
      </w:r>
      <w:r w:rsidR="00367E0D" w:rsidRPr="00C5004C">
        <w:rPr>
          <w:rFonts w:ascii="Garamond" w:hAnsi="Garamond"/>
          <w:bCs/>
          <w:sz w:val="26"/>
          <w:szCs w:val="26"/>
        </w:rPr>
        <w:t xml:space="preserve">section </w:t>
      </w:r>
      <w:r w:rsidR="00E60DD0" w:rsidRPr="00C5004C">
        <w:rPr>
          <w:rFonts w:ascii="Garamond" w:hAnsi="Garamond"/>
          <w:bCs/>
          <w:sz w:val="26"/>
          <w:szCs w:val="26"/>
        </w:rPr>
        <w:t>I, ‘</w:t>
      </w:r>
      <w:r w:rsidR="00E60DD0" w:rsidRPr="0061709F">
        <w:rPr>
          <w:rFonts w:ascii="Garamond" w:hAnsi="Garamond"/>
          <w:b/>
          <w:sz w:val="26"/>
          <w:szCs w:val="26"/>
        </w:rPr>
        <w:t>Rights to land, territories, and natural resources (articles 13 and 14)</w:t>
      </w:r>
      <w:r w:rsidRPr="00C5004C">
        <w:rPr>
          <w:rFonts w:ascii="Garamond" w:hAnsi="Garamond"/>
          <w:bCs/>
          <w:sz w:val="26"/>
          <w:szCs w:val="26"/>
        </w:rPr>
        <w:t xml:space="preserve">, we </w:t>
      </w:r>
      <w:r w:rsidR="00963263" w:rsidRPr="00C5004C">
        <w:rPr>
          <w:rFonts w:ascii="Garamond" w:hAnsi="Garamond"/>
          <w:bCs/>
          <w:sz w:val="26"/>
          <w:szCs w:val="26"/>
        </w:rPr>
        <w:t xml:space="preserve">wish to draw attention to the following points. </w:t>
      </w:r>
      <w:r w:rsidR="00E7346A">
        <w:rPr>
          <w:rFonts w:ascii="Garamond" w:hAnsi="Garamond"/>
          <w:bCs/>
          <w:sz w:val="26"/>
          <w:szCs w:val="26"/>
        </w:rPr>
        <w:br/>
      </w:r>
      <w:r w:rsidR="00963263" w:rsidRPr="00C5004C">
        <w:rPr>
          <w:rFonts w:ascii="Garamond" w:hAnsi="Garamond"/>
          <w:bCs/>
          <w:sz w:val="26"/>
          <w:szCs w:val="26"/>
        </w:rPr>
        <w:t xml:space="preserve">Firstly, </w:t>
      </w:r>
      <w:r w:rsidR="0063556B" w:rsidRPr="00C5004C">
        <w:rPr>
          <w:rFonts w:ascii="Garamond" w:hAnsi="Garamond"/>
          <w:bCs/>
          <w:sz w:val="26"/>
          <w:szCs w:val="26"/>
        </w:rPr>
        <w:t>that</w:t>
      </w:r>
      <w:r w:rsidR="006D0240" w:rsidRPr="00C5004C">
        <w:rPr>
          <w:rFonts w:ascii="Garamond" w:hAnsi="Garamond"/>
          <w:bCs/>
          <w:sz w:val="26"/>
          <w:szCs w:val="26"/>
        </w:rPr>
        <w:t xml:space="preserve"> conflict and militarization is inherently tied to large-scale land dispossession, displacement, forced evictions, militarization, extra judicial killings, and human right violations throughout Asia</w:t>
      </w:r>
      <w:r w:rsidR="00277E5C" w:rsidRPr="00C5004C">
        <w:rPr>
          <w:rFonts w:ascii="Garamond" w:hAnsi="Garamond"/>
          <w:bCs/>
          <w:sz w:val="26"/>
          <w:szCs w:val="26"/>
        </w:rPr>
        <w:t xml:space="preserve">: </w:t>
      </w:r>
      <w:r w:rsidR="00887FEF" w:rsidRPr="00C5004C">
        <w:rPr>
          <w:rFonts w:ascii="Garamond" w:hAnsi="Garamond"/>
          <w:bCs/>
          <w:sz w:val="26"/>
          <w:szCs w:val="26"/>
        </w:rPr>
        <w:t>the Chittagong Hill Tracts in Bangladesh, and the Cordillera region in the Philippines are respectively the most militarized areas of each country</w:t>
      </w:r>
      <w:r w:rsidR="006D0240" w:rsidRPr="00C5004C">
        <w:rPr>
          <w:rFonts w:ascii="Garamond" w:hAnsi="Garamond"/>
          <w:bCs/>
          <w:sz w:val="26"/>
          <w:szCs w:val="26"/>
        </w:rPr>
        <w:t>.</w:t>
      </w:r>
      <w:r w:rsidR="007468A6" w:rsidRPr="00C5004C">
        <w:rPr>
          <w:rFonts w:ascii="Garamond" w:hAnsi="Garamond"/>
          <w:bCs/>
          <w:sz w:val="26"/>
          <w:szCs w:val="26"/>
        </w:rPr>
        <w:t xml:space="preserve"> Therefore, demilitarization, and peace and reconciliation processes upholding the commitments to the Women, Peace and Security agenda are essential not only for </w:t>
      </w:r>
      <w:r w:rsidR="005663FA" w:rsidRPr="00C5004C">
        <w:rPr>
          <w:rFonts w:ascii="Garamond" w:hAnsi="Garamond"/>
          <w:bCs/>
          <w:sz w:val="26"/>
          <w:szCs w:val="26"/>
        </w:rPr>
        <w:t xml:space="preserve">the </w:t>
      </w:r>
      <w:r w:rsidR="006C73F7" w:rsidRPr="00C5004C">
        <w:rPr>
          <w:rFonts w:ascii="Garamond" w:hAnsi="Garamond"/>
          <w:bCs/>
          <w:sz w:val="26"/>
          <w:szCs w:val="26"/>
        </w:rPr>
        <w:t xml:space="preserve">maintenance of sustainable peace but also to ensure </w:t>
      </w:r>
      <w:r w:rsidR="0023690C" w:rsidRPr="00C5004C">
        <w:rPr>
          <w:rFonts w:ascii="Garamond" w:hAnsi="Garamond"/>
          <w:bCs/>
          <w:sz w:val="26"/>
          <w:szCs w:val="26"/>
        </w:rPr>
        <w:t>Indigenous rights to collective use and enjoyment of land and customary land tenure.</w:t>
      </w:r>
      <w:r w:rsidR="00DA71A9">
        <w:rPr>
          <w:rFonts w:ascii="Garamond" w:hAnsi="Garamond"/>
          <w:bCs/>
          <w:sz w:val="26"/>
          <w:szCs w:val="26"/>
        </w:rPr>
        <w:br/>
      </w:r>
      <w:r w:rsidR="00717A96" w:rsidRPr="00DA71A9">
        <w:rPr>
          <w:rFonts w:ascii="Garamond" w:hAnsi="Garamond"/>
          <w:bCs/>
          <w:sz w:val="26"/>
          <w:szCs w:val="26"/>
        </w:rPr>
        <w:t xml:space="preserve">Secondly, </w:t>
      </w:r>
      <w:r w:rsidR="00DA71A9">
        <w:rPr>
          <w:rFonts w:ascii="Garamond" w:hAnsi="Garamond"/>
          <w:bCs/>
          <w:sz w:val="26"/>
          <w:szCs w:val="26"/>
        </w:rPr>
        <w:t xml:space="preserve">we believe </w:t>
      </w:r>
      <w:r w:rsidR="00B23D8D">
        <w:rPr>
          <w:rFonts w:ascii="Garamond" w:hAnsi="Garamond"/>
          <w:bCs/>
          <w:sz w:val="26"/>
          <w:szCs w:val="26"/>
        </w:rPr>
        <w:t xml:space="preserve">that this section should speak to the call for reparations and for return of land. The </w:t>
      </w:r>
      <w:r w:rsidR="00CE5ED6">
        <w:rPr>
          <w:rFonts w:ascii="Garamond" w:hAnsi="Garamond"/>
          <w:bCs/>
          <w:sz w:val="26"/>
          <w:szCs w:val="26"/>
        </w:rPr>
        <w:t xml:space="preserve">section on gender-based violence </w:t>
      </w:r>
      <w:r w:rsidR="0063728B">
        <w:rPr>
          <w:rFonts w:ascii="Garamond" w:hAnsi="Garamond"/>
          <w:bCs/>
          <w:sz w:val="26"/>
          <w:szCs w:val="26"/>
        </w:rPr>
        <w:t xml:space="preserve">includes </w:t>
      </w:r>
      <w:r w:rsidR="003F48B5">
        <w:rPr>
          <w:rFonts w:ascii="Garamond" w:hAnsi="Garamond"/>
          <w:bCs/>
          <w:sz w:val="26"/>
          <w:szCs w:val="26"/>
        </w:rPr>
        <w:t xml:space="preserve">a </w:t>
      </w:r>
      <w:r w:rsidR="0063728B">
        <w:rPr>
          <w:rFonts w:ascii="Garamond" w:hAnsi="Garamond"/>
          <w:bCs/>
          <w:sz w:val="26"/>
          <w:szCs w:val="26"/>
        </w:rPr>
        <w:t>recommendation</w:t>
      </w:r>
      <w:r w:rsidR="003F48B5">
        <w:rPr>
          <w:rFonts w:ascii="Garamond" w:hAnsi="Garamond"/>
          <w:bCs/>
          <w:sz w:val="26"/>
          <w:szCs w:val="26"/>
        </w:rPr>
        <w:t xml:space="preserve"> on</w:t>
      </w:r>
      <w:r w:rsidR="003F48B5" w:rsidRPr="003F48B5">
        <w:rPr>
          <w:rFonts w:ascii="Garamond" w:hAnsi="Garamond"/>
          <w:bCs/>
          <w:sz w:val="26"/>
          <w:szCs w:val="26"/>
        </w:rPr>
        <w:t xml:space="preserve"> ‘ensuring access to justice and reparations</w:t>
      </w:r>
      <w:r w:rsidR="003F48B5">
        <w:rPr>
          <w:rFonts w:ascii="Garamond" w:hAnsi="Garamond"/>
          <w:bCs/>
          <w:sz w:val="26"/>
          <w:szCs w:val="26"/>
        </w:rPr>
        <w:t>’</w:t>
      </w:r>
      <w:r w:rsidR="00D57982">
        <w:rPr>
          <w:rFonts w:ascii="Garamond" w:hAnsi="Garamond"/>
          <w:bCs/>
          <w:sz w:val="26"/>
          <w:szCs w:val="26"/>
        </w:rPr>
        <w:t xml:space="preserve"> (para 28(j)) and similarly, the injustices of land dispossession, displacement and confiscation can only be addressed through </w:t>
      </w:r>
      <w:r w:rsidR="00C91F51">
        <w:rPr>
          <w:rFonts w:ascii="Garamond" w:hAnsi="Garamond"/>
          <w:bCs/>
          <w:sz w:val="26"/>
          <w:szCs w:val="26"/>
        </w:rPr>
        <w:t xml:space="preserve">a process of </w:t>
      </w:r>
      <w:r w:rsidR="00D57982">
        <w:rPr>
          <w:rFonts w:ascii="Garamond" w:hAnsi="Garamond"/>
          <w:bCs/>
          <w:sz w:val="26"/>
          <w:szCs w:val="26"/>
        </w:rPr>
        <w:t>reparation</w:t>
      </w:r>
      <w:r w:rsidR="00C91F51">
        <w:rPr>
          <w:rFonts w:ascii="Garamond" w:hAnsi="Garamond"/>
          <w:bCs/>
          <w:sz w:val="26"/>
          <w:szCs w:val="26"/>
        </w:rPr>
        <w:t xml:space="preserve"> and return.</w:t>
      </w:r>
    </w:p>
    <w:p w14:paraId="62EC3D67" w14:textId="0C95FD1E" w:rsidR="00746CA9" w:rsidRDefault="00C5004C" w:rsidP="004D6957">
      <w:pPr>
        <w:pStyle w:val="ListParagraph"/>
        <w:numPr>
          <w:ilvl w:val="0"/>
          <w:numId w:val="2"/>
        </w:numPr>
        <w:rPr>
          <w:rFonts w:ascii="Garamond" w:hAnsi="Garamond"/>
          <w:bCs/>
          <w:sz w:val="26"/>
          <w:szCs w:val="26"/>
        </w:rPr>
      </w:pPr>
      <w:r w:rsidRPr="004D6957">
        <w:rPr>
          <w:rFonts w:ascii="Garamond" w:hAnsi="Garamond"/>
          <w:bCs/>
          <w:sz w:val="26"/>
          <w:szCs w:val="26"/>
        </w:rPr>
        <w:t>With regards to section K, ‘Rights to Food, Water, and Seeds (Articles 12 and 14)</w:t>
      </w:r>
      <w:r w:rsidR="004D6957" w:rsidRPr="004D6957">
        <w:rPr>
          <w:rFonts w:ascii="Garamond" w:hAnsi="Garamond"/>
          <w:bCs/>
          <w:sz w:val="26"/>
          <w:szCs w:val="26"/>
        </w:rPr>
        <w:t>’</w:t>
      </w:r>
      <w:r w:rsidR="00E11125">
        <w:rPr>
          <w:rFonts w:ascii="Garamond" w:hAnsi="Garamond"/>
          <w:bCs/>
          <w:sz w:val="26"/>
          <w:szCs w:val="26"/>
        </w:rPr>
        <w:t>:</w:t>
      </w:r>
      <w:r w:rsidR="004D6957">
        <w:rPr>
          <w:rFonts w:ascii="Garamond" w:hAnsi="Garamond"/>
          <w:bCs/>
          <w:sz w:val="26"/>
          <w:szCs w:val="26"/>
        </w:rPr>
        <w:t xml:space="preserve"> </w:t>
      </w:r>
      <w:r w:rsidR="007D20B7">
        <w:rPr>
          <w:rFonts w:ascii="Garamond" w:hAnsi="Garamond"/>
          <w:bCs/>
          <w:sz w:val="26"/>
          <w:szCs w:val="26"/>
        </w:rPr>
        <w:br/>
        <w:t xml:space="preserve">1. </w:t>
      </w:r>
      <w:r w:rsidR="00324A29" w:rsidRPr="007D20B7">
        <w:rPr>
          <w:rFonts w:ascii="Garamond" w:hAnsi="Garamond"/>
          <w:bCs/>
          <w:sz w:val="26"/>
          <w:szCs w:val="26"/>
          <w:u w:val="single"/>
        </w:rPr>
        <w:t>We suggest this address the need for transparency and integration of human rights principles in trade and investment agreements</w:t>
      </w:r>
      <w:r w:rsidR="007D20B7" w:rsidRPr="007D20B7">
        <w:rPr>
          <w:rFonts w:ascii="Garamond" w:hAnsi="Garamond"/>
          <w:bCs/>
          <w:sz w:val="26"/>
          <w:szCs w:val="26"/>
          <w:u w:val="single"/>
        </w:rPr>
        <w:t xml:space="preserve"> in order to ensure rights to food and water</w:t>
      </w:r>
      <w:r w:rsidR="007D20B7">
        <w:rPr>
          <w:rFonts w:ascii="Garamond" w:hAnsi="Garamond"/>
          <w:bCs/>
          <w:sz w:val="26"/>
          <w:szCs w:val="26"/>
        </w:rPr>
        <w:t>. W</w:t>
      </w:r>
      <w:r w:rsidR="004D6957">
        <w:rPr>
          <w:rFonts w:ascii="Garamond" w:hAnsi="Garamond"/>
          <w:bCs/>
          <w:sz w:val="26"/>
          <w:szCs w:val="26"/>
        </w:rPr>
        <w:t xml:space="preserve">e </w:t>
      </w:r>
      <w:r w:rsidR="000B6B8E" w:rsidRPr="004D6957">
        <w:rPr>
          <w:rFonts w:ascii="Garamond" w:hAnsi="Garamond"/>
          <w:bCs/>
          <w:sz w:val="26"/>
          <w:szCs w:val="26"/>
        </w:rPr>
        <w:t xml:space="preserve">draw attention to </w:t>
      </w:r>
      <w:r w:rsidR="00E37D34">
        <w:rPr>
          <w:rFonts w:ascii="Garamond" w:hAnsi="Garamond"/>
          <w:bCs/>
          <w:sz w:val="26"/>
          <w:szCs w:val="26"/>
        </w:rPr>
        <w:t>the 2016 thematic report of the</w:t>
      </w:r>
      <w:r w:rsidR="00EC4900">
        <w:rPr>
          <w:rFonts w:ascii="Garamond" w:hAnsi="Garamond"/>
          <w:bCs/>
          <w:sz w:val="26"/>
          <w:szCs w:val="26"/>
        </w:rPr>
        <w:t xml:space="preserve"> former</w:t>
      </w:r>
      <w:r w:rsidR="00E37D34">
        <w:rPr>
          <w:rFonts w:ascii="Garamond" w:hAnsi="Garamond"/>
          <w:bCs/>
          <w:sz w:val="26"/>
          <w:szCs w:val="26"/>
        </w:rPr>
        <w:t xml:space="preserve"> UN Special Rapporteur on the rights of </w:t>
      </w:r>
      <w:r w:rsidR="004453A0">
        <w:rPr>
          <w:rFonts w:ascii="Garamond" w:hAnsi="Garamond"/>
          <w:bCs/>
          <w:sz w:val="26"/>
          <w:szCs w:val="26"/>
        </w:rPr>
        <w:t xml:space="preserve">Indigenous peoples (UN document </w:t>
      </w:r>
      <w:r w:rsidR="004453A0" w:rsidRPr="004453A0">
        <w:rPr>
          <w:rFonts w:ascii="Garamond" w:hAnsi="Garamond"/>
          <w:bCs/>
          <w:sz w:val="26"/>
          <w:szCs w:val="26"/>
          <w:lang w:val="en-GB"/>
        </w:rPr>
        <w:t>A/HRC/33/42</w:t>
      </w:r>
      <w:r w:rsidR="004453A0">
        <w:rPr>
          <w:rFonts w:ascii="Garamond" w:hAnsi="Garamond"/>
          <w:bCs/>
          <w:sz w:val="26"/>
          <w:szCs w:val="26"/>
          <w:lang w:val="en-GB"/>
        </w:rPr>
        <w:t xml:space="preserve">) on the impacts of </w:t>
      </w:r>
      <w:r w:rsidR="00480BF8">
        <w:rPr>
          <w:rFonts w:ascii="Garamond" w:hAnsi="Garamond"/>
          <w:bCs/>
          <w:sz w:val="26"/>
          <w:szCs w:val="26"/>
          <w:lang w:val="en-GB"/>
        </w:rPr>
        <w:t>international</w:t>
      </w:r>
      <w:r w:rsidR="004453A0">
        <w:rPr>
          <w:rFonts w:ascii="Garamond" w:hAnsi="Garamond"/>
          <w:bCs/>
          <w:sz w:val="26"/>
          <w:szCs w:val="26"/>
          <w:lang w:val="en-GB"/>
        </w:rPr>
        <w:t xml:space="preserve"> </w:t>
      </w:r>
      <w:r w:rsidR="00480BF8">
        <w:rPr>
          <w:rFonts w:ascii="Garamond" w:hAnsi="Garamond"/>
          <w:bCs/>
          <w:sz w:val="26"/>
          <w:szCs w:val="26"/>
          <w:lang w:val="en-GB"/>
        </w:rPr>
        <w:t xml:space="preserve">investment </w:t>
      </w:r>
      <w:r w:rsidR="004453A0">
        <w:rPr>
          <w:rFonts w:ascii="Garamond" w:hAnsi="Garamond"/>
          <w:bCs/>
          <w:sz w:val="26"/>
          <w:szCs w:val="26"/>
          <w:lang w:val="en-GB"/>
        </w:rPr>
        <w:t xml:space="preserve">agreements on Indigenous peoples. </w:t>
      </w:r>
      <w:r w:rsidR="00C13EDC">
        <w:rPr>
          <w:rFonts w:ascii="Garamond" w:hAnsi="Garamond"/>
          <w:bCs/>
          <w:sz w:val="26"/>
          <w:szCs w:val="26"/>
          <w:lang w:val="en-GB"/>
        </w:rPr>
        <w:t xml:space="preserve">The </w:t>
      </w:r>
      <w:r w:rsidR="00C13EDC" w:rsidRPr="00C13EDC">
        <w:rPr>
          <w:rFonts w:ascii="Garamond" w:hAnsi="Garamond"/>
          <w:bCs/>
          <w:sz w:val="26"/>
          <w:szCs w:val="26"/>
        </w:rPr>
        <w:t>commercialization of seeds</w:t>
      </w:r>
      <w:r w:rsidR="00C13EDC">
        <w:rPr>
          <w:rFonts w:ascii="Garamond" w:hAnsi="Garamond"/>
          <w:bCs/>
          <w:sz w:val="26"/>
          <w:szCs w:val="26"/>
        </w:rPr>
        <w:t xml:space="preserve"> and the </w:t>
      </w:r>
      <w:r w:rsidR="00226A8D">
        <w:rPr>
          <w:rFonts w:ascii="Garamond" w:hAnsi="Garamond"/>
          <w:bCs/>
          <w:sz w:val="26"/>
          <w:szCs w:val="26"/>
        </w:rPr>
        <w:t xml:space="preserve">proliferation of genetically modified crops are impacts of multilateral and bilateral free trade agreements that Indigenous communities, including Indigenous women and girls, have no </w:t>
      </w:r>
      <w:r w:rsidR="00E051EA">
        <w:rPr>
          <w:rFonts w:ascii="Garamond" w:hAnsi="Garamond"/>
          <w:bCs/>
          <w:sz w:val="26"/>
          <w:szCs w:val="26"/>
        </w:rPr>
        <w:t xml:space="preserve">choice over. </w:t>
      </w:r>
      <w:r w:rsidR="0074634C">
        <w:rPr>
          <w:rFonts w:ascii="Garamond" w:hAnsi="Garamond"/>
          <w:bCs/>
          <w:sz w:val="26"/>
          <w:szCs w:val="26"/>
        </w:rPr>
        <w:t xml:space="preserve">We suggest that to </w:t>
      </w:r>
      <w:r w:rsidR="00A71003">
        <w:rPr>
          <w:rFonts w:ascii="Garamond" w:hAnsi="Garamond"/>
          <w:bCs/>
          <w:sz w:val="26"/>
          <w:szCs w:val="26"/>
        </w:rPr>
        <w:t xml:space="preserve">ensure the protection of </w:t>
      </w:r>
      <w:r w:rsidR="0074634C" w:rsidRPr="0074634C">
        <w:rPr>
          <w:rFonts w:ascii="Garamond" w:hAnsi="Garamond"/>
          <w:bCs/>
          <w:sz w:val="26"/>
          <w:szCs w:val="26"/>
        </w:rPr>
        <w:t>ancestral forms of farming and sources of livelihood</w:t>
      </w:r>
      <w:r w:rsidR="00A71003">
        <w:rPr>
          <w:rFonts w:ascii="Garamond" w:hAnsi="Garamond"/>
          <w:bCs/>
          <w:sz w:val="26"/>
          <w:szCs w:val="26"/>
        </w:rPr>
        <w:t xml:space="preserve"> for Indigenous women and girls, that this section reiterate some of the recommendations from </w:t>
      </w:r>
      <w:r w:rsidR="00CF0D71">
        <w:rPr>
          <w:rFonts w:ascii="Garamond" w:hAnsi="Garamond"/>
          <w:bCs/>
          <w:sz w:val="26"/>
          <w:szCs w:val="26"/>
        </w:rPr>
        <w:t>the Special Rapporteur’s report, which includes</w:t>
      </w:r>
      <w:r w:rsidR="00A05085">
        <w:rPr>
          <w:rFonts w:ascii="Garamond" w:hAnsi="Garamond"/>
          <w:bCs/>
          <w:sz w:val="26"/>
          <w:szCs w:val="26"/>
        </w:rPr>
        <w:t xml:space="preserve"> </w:t>
      </w:r>
      <w:r w:rsidR="00A05085" w:rsidRPr="00A05085">
        <w:rPr>
          <w:rFonts w:ascii="Garamond" w:hAnsi="Garamond"/>
          <w:bCs/>
          <w:sz w:val="26"/>
          <w:szCs w:val="26"/>
        </w:rPr>
        <w:t xml:space="preserve">consultation procedures and mechanisms in cooperation with </w:t>
      </w:r>
      <w:r w:rsidR="00E11125">
        <w:rPr>
          <w:rFonts w:ascii="Garamond" w:hAnsi="Garamond"/>
          <w:bCs/>
          <w:sz w:val="26"/>
          <w:szCs w:val="26"/>
        </w:rPr>
        <w:t>I</w:t>
      </w:r>
      <w:r w:rsidR="00A05085" w:rsidRPr="00A05085">
        <w:rPr>
          <w:rFonts w:ascii="Garamond" w:hAnsi="Garamond"/>
          <w:bCs/>
          <w:sz w:val="26"/>
          <w:szCs w:val="26"/>
        </w:rPr>
        <w:t>ndigenous peoples in relation to the drafting, negotiation and approval of international investment agreements</w:t>
      </w:r>
      <w:r w:rsidR="00A2377D">
        <w:rPr>
          <w:rFonts w:ascii="Garamond" w:hAnsi="Garamond"/>
          <w:bCs/>
          <w:sz w:val="26"/>
          <w:szCs w:val="26"/>
        </w:rPr>
        <w:t xml:space="preserve">, and </w:t>
      </w:r>
      <w:r w:rsidR="00A2377D" w:rsidRPr="00A2377D">
        <w:rPr>
          <w:rFonts w:ascii="Garamond" w:hAnsi="Garamond"/>
          <w:bCs/>
          <w:sz w:val="26"/>
          <w:szCs w:val="26"/>
        </w:rPr>
        <w:t>respect for human rights as a policy objective in preambles</w:t>
      </w:r>
      <w:r w:rsidR="00A2377D">
        <w:rPr>
          <w:rFonts w:ascii="Garamond" w:hAnsi="Garamond"/>
          <w:bCs/>
          <w:sz w:val="26"/>
          <w:szCs w:val="26"/>
        </w:rPr>
        <w:t xml:space="preserve"> of such agreements</w:t>
      </w:r>
      <w:r w:rsidR="002C1853">
        <w:rPr>
          <w:rFonts w:ascii="Garamond" w:hAnsi="Garamond"/>
          <w:bCs/>
          <w:sz w:val="26"/>
          <w:szCs w:val="26"/>
        </w:rPr>
        <w:t xml:space="preserve">. The recommendation of </w:t>
      </w:r>
      <w:r w:rsidR="002C1853" w:rsidRPr="00EC4900">
        <w:rPr>
          <w:rFonts w:ascii="Garamond" w:hAnsi="Garamond"/>
          <w:bCs/>
          <w:i/>
          <w:iCs/>
          <w:sz w:val="26"/>
          <w:szCs w:val="26"/>
        </w:rPr>
        <w:t>ex ante</w:t>
      </w:r>
      <w:r w:rsidR="002C1853">
        <w:rPr>
          <w:rFonts w:ascii="Garamond" w:hAnsi="Garamond"/>
          <w:bCs/>
          <w:sz w:val="26"/>
          <w:szCs w:val="26"/>
        </w:rPr>
        <w:t xml:space="preserve"> and </w:t>
      </w:r>
      <w:r w:rsidR="00EC4900" w:rsidRPr="00EC4900">
        <w:rPr>
          <w:rFonts w:ascii="Garamond" w:hAnsi="Garamond"/>
          <w:bCs/>
          <w:i/>
          <w:iCs/>
          <w:sz w:val="26"/>
          <w:szCs w:val="26"/>
        </w:rPr>
        <w:t xml:space="preserve">ex </w:t>
      </w:r>
      <w:r w:rsidR="002C1853" w:rsidRPr="00EC4900">
        <w:rPr>
          <w:rFonts w:ascii="Garamond" w:hAnsi="Garamond"/>
          <w:bCs/>
          <w:i/>
          <w:iCs/>
          <w:sz w:val="26"/>
          <w:szCs w:val="26"/>
        </w:rPr>
        <w:t>post</w:t>
      </w:r>
      <w:r w:rsidR="002C1853">
        <w:rPr>
          <w:rFonts w:ascii="Garamond" w:hAnsi="Garamond"/>
          <w:bCs/>
          <w:sz w:val="26"/>
          <w:szCs w:val="26"/>
        </w:rPr>
        <w:t xml:space="preserve"> impact assessments of trade and investment agreements is also supported </w:t>
      </w:r>
      <w:r w:rsidR="00EC4900">
        <w:rPr>
          <w:rFonts w:ascii="Garamond" w:hAnsi="Garamond"/>
          <w:bCs/>
          <w:sz w:val="26"/>
          <w:szCs w:val="26"/>
        </w:rPr>
        <w:t xml:space="preserve">by </w:t>
      </w:r>
      <w:r w:rsidR="002C1853">
        <w:rPr>
          <w:rFonts w:ascii="Garamond" w:hAnsi="Garamond"/>
          <w:bCs/>
          <w:sz w:val="26"/>
          <w:szCs w:val="26"/>
        </w:rPr>
        <w:t xml:space="preserve">the </w:t>
      </w:r>
      <w:r w:rsidR="00EC4900">
        <w:rPr>
          <w:rFonts w:ascii="Garamond" w:hAnsi="Garamond"/>
          <w:bCs/>
          <w:sz w:val="26"/>
          <w:szCs w:val="26"/>
        </w:rPr>
        <w:t xml:space="preserve">former </w:t>
      </w:r>
      <w:r w:rsidR="002C1853">
        <w:rPr>
          <w:rFonts w:ascii="Garamond" w:hAnsi="Garamond"/>
          <w:bCs/>
          <w:sz w:val="26"/>
          <w:szCs w:val="26"/>
        </w:rPr>
        <w:t>Independ</w:t>
      </w:r>
      <w:r w:rsidR="002C1853" w:rsidRPr="00574C45">
        <w:rPr>
          <w:rFonts w:ascii="Garamond" w:hAnsi="Garamond"/>
          <w:bCs/>
          <w:sz w:val="26"/>
          <w:szCs w:val="26"/>
        </w:rPr>
        <w:t>ent Expert on</w:t>
      </w:r>
      <w:r w:rsidR="00574C45" w:rsidRPr="00574C45">
        <w:rPr>
          <w:rFonts w:ascii="Verdana" w:hAnsi="Verdana"/>
          <w:bCs/>
          <w:color w:val="000000"/>
          <w:sz w:val="28"/>
          <w:shd w:val="clear" w:color="auto" w:fill="FFFFFF"/>
        </w:rPr>
        <w:t xml:space="preserve"> </w:t>
      </w:r>
      <w:r w:rsidR="00574C45" w:rsidRPr="00574C45">
        <w:rPr>
          <w:rFonts w:ascii="Garamond" w:hAnsi="Garamond"/>
          <w:bCs/>
          <w:sz w:val="26"/>
          <w:szCs w:val="26"/>
        </w:rPr>
        <w:t xml:space="preserve">the promotion of </w:t>
      </w:r>
      <w:r w:rsidR="00574C45" w:rsidRPr="00574C45">
        <w:rPr>
          <w:rFonts w:ascii="Garamond" w:hAnsi="Garamond"/>
          <w:bCs/>
          <w:sz w:val="26"/>
          <w:szCs w:val="26"/>
        </w:rPr>
        <w:lastRenderedPageBreak/>
        <w:t>a democratic and equitable international order</w:t>
      </w:r>
      <w:r w:rsidR="00574C45">
        <w:rPr>
          <w:rFonts w:ascii="Garamond" w:hAnsi="Garamond"/>
          <w:bCs/>
          <w:sz w:val="26"/>
          <w:szCs w:val="26"/>
        </w:rPr>
        <w:t>;</w:t>
      </w:r>
      <w:r w:rsidR="00192690">
        <w:rPr>
          <w:rStyle w:val="FootnoteReference"/>
          <w:rFonts w:ascii="Garamond" w:hAnsi="Garamond"/>
          <w:bCs/>
          <w:sz w:val="26"/>
          <w:szCs w:val="26"/>
        </w:rPr>
        <w:footnoteReference w:id="6"/>
      </w:r>
      <w:r w:rsidR="00574C45">
        <w:rPr>
          <w:rFonts w:ascii="Garamond" w:hAnsi="Garamond"/>
          <w:bCs/>
          <w:sz w:val="26"/>
          <w:szCs w:val="26"/>
        </w:rPr>
        <w:t xml:space="preserve"> the Special</w:t>
      </w:r>
      <w:r w:rsidR="00ED2389">
        <w:rPr>
          <w:rFonts w:ascii="Garamond" w:hAnsi="Garamond"/>
          <w:bCs/>
          <w:sz w:val="26"/>
          <w:szCs w:val="26"/>
        </w:rPr>
        <w:t xml:space="preserve"> Rapporteur on the right to food has also presented reports on </w:t>
      </w:r>
      <w:r w:rsidR="00192690">
        <w:rPr>
          <w:rFonts w:ascii="Garamond" w:hAnsi="Garamond"/>
          <w:bCs/>
          <w:sz w:val="26"/>
          <w:szCs w:val="26"/>
        </w:rPr>
        <w:t>the impacts of trade agreements on the right to food</w:t>
      </w:r>
      <w:r w:rsidR="003760FD">
        <w:rPr>
          <w:rFonts w:ascii="Garamond" w:hAnsi="Garamond"/>
          <w:bCs/>
          <w:sz w:val="26"/>
          <w:szCs w:val="26"/>
        </w:rPr>
        <w:t xml:space="preserve"> that we take note of</w:t>
      </w:r>
      <w:r w:rsidR="00192690">
        <w:rPr>
          <w:rFonts w:ascii="Garamond" w:hAnsi="Garamond"/>
          <w:bCs/>
          <w:sz w:val="26"/>
          <w:szCs w:val="26"/>
        </w:rPr>
        <w:t>.</w:t>
      </w:r>
      <w:r w:rsidR="00E11125">
        <w:rPr>
          <w:rFonts w:ascii="Garamond" w:hAnsi="Garamond"/>
          <w:bCs/>
          <w:sz w:val="26"/>
          <w:szCs w:val="26"/>
        </w:rPr>
        <w:t xml:space="preserve"> </w:t>
      </w:r>
      <w:r w:rsidR="00905A07">
        <w:rPr>
          <w:rFonts w:ascii="Garamond" w:hAnsi="Garamond"/>
          <w:bCs/>
          <w:sz w:val="26"/>
          <w:szCs w:val="26"/>
        </w:rPr>
        <w:br/>
        <w:t xml:space="preserve">2. </w:t>
      </w:r>
      <w:r w:rsidR="0020659F" w:rsidRPr="00F77C74">
        <w:rPr>
          <w:rFonts w:ascii="Garamond" w:hAnsi="Garamond"/>
          <w:bCs/>
          <w:sz w:val="26"/>
          <w:szCs w:val="26"/>
          <w:u w:val="single"/>
        </w:rPr>
        <w:t>We suggest that this section include recommendations for the realization of food sovereignty</w:t>
      </w:r>
      <w:r w:rsidR="00F77C74">
        <w:rPr>
          <w:rFonts w:ascii="Garamond" w:hAnsi="Garamond"/>
          <w:bCs/>
          <w:sz w:val="26"/>
          <w:szCs w:val="26"/>
        </w:rPr>
        <w:t>. F</w:t>
      </w:r>
      <w:r w:rsidR="00F77C74" w:rsidRPr="00F77C74">
        <w:rPr>
          <w:rFonts w:ascii="Garamond" w:hAnsi="Garamond"/>
          <w:bCs/>
          <w:sz w:val="26"/>
          <w:szCs w:val="26"/>
        </w:rPr>
        <w:t>ood sovereignty</w:t>
      </w:r>
      <w:r w:rsidR="00F77C74">
        <w:rPr>
          <w:rFonts w:ascii="Garamond" w:hAnsi="Garamond"/>
          <w:bCs/>
          <w:sz w:val="26"/>
          <w:szCs w:val="26"/>
        </w:rPr>
        <w:t xml:space="preserve"> </w:t>
      </w:r>
      <w:r w:rsidR="00F77C74" w:rsidRPr="00F77C74">
        <w:rPr>
          <w:rFonts w:ascii="Garamond" w:hAnsi="Garamond"/>
          <w:bCs/>
          <w:sz w:val="26"/>
          <w:szCs w:val="26"/>
        </w:rPr>
        <w:t>refers to the ability to meet dietary and nutritional needs whilst participating in decision-making over one’s own food production and consumption</w:t>
      </w:r>
      <w:r w:rsidR="003473DF">
        <w:rPr>
          <w:rFonts w:ascii="Garamond" w:hAnsi="Garamond"/>
          <w:bCs/>
          <w:sz w:val="26"/>
          <w:szCs w:val="26"/>
        </w:rPr>
        <w:t>. We see that the right to effective participation in decision-making is closely linked to Indigenous women and girls’ right to food, water and seeds in ensuring their voice and participation on issues that affect their ability to store and share seeds, access</w:t>
      </w:r>
      <w:r w:rsidR="00837BFB">
        <w:rPr>
          <w:rFonts w:ascii="Garamond" w:hAnsi="Garamond"/>
          <w:bCs/>
          <w:sz w:val="26"/>
          <w:szCs w:val="26"/>
        </w:rPr>
        <w:t xml:space="preserve"> land, water and natural resources</w:t>
      </w:r>
      <w:r w:rsidR="003473DF">
        <w:rPr>
          <w:rFonts w:ascii="Garamond" w:hAnsi="Garamond"/>
          <w:bCs/>
          <w:sz w:val="26"/>
          <w:szCs w:val="26"/>
        </w:rPr>
        <w:t xml:space="preserve"> and continue in traditional farming practices.</w:t>
      </w:r>
      <w:r w:rsidR="00F77C74" w:rsidRPr="00F77C74">
        <w:rPr>
          <w:rFonts w:ascii="Garamond" w:hAnsi="Garamond"/>
          <w:bCs/>
          <w:sz w:val="26"/>
          <w:szCs w:val="26"/>
        </w:rPr>
        <w:t xml:space="preserve"> </w:t>
      </w:r>
      <w:r w:rsidR="00837BFB">
        <w:rPr>
          <w:rFonts w:ascii="Garamond" w:hAnsi="Garamond"/>
          <w:bCs/>
          <w:sz w:val="26"/>
          <w:szCs w:val="26"/>
        </w:rPr>
        <w:t xml:space="preserve">Food sovereignty </w:t>
      </w:r>
      <w:r w:rsidR="00F77C74" w:rsidRPr="00F77C74">
        <w:rPr>
          <w:rFonts w:ascii="Garamond" w:hAnsi="Garamond"/>
          <w:bCs/>
          <w:sz w:val="26"/>
          <w:szCs w:val="26"/>
        </w:rPr>
        <w:t xml:space="preserve">would include </w:t>
      </w:r>
      <w:r w:rsidR="00837BFB">
        <w:rPr>
          <w:rFonts w:ascii="Garamond" w:hAnsi="Garamond"/>
          <w:bCs/>
          <w:sz w:val="26"/>
          <w:szCs w:val="26"/>
        </w:rPr>
        <w:t xml:space="preserve">Indigenous </w:t>
      </w:r>
      <w:r w:rsidR="00F77C74" w:rsidRPr="00F77C74">
        <w:rPr>
          <w:rFonts w:ascii="Garamond" w:hAnsi="Garamond"/>
          <w:bCs/>
          <w:sz w:val="26"/>
          <w:szCs w:val="26"/>
        </w:rPr>
        <w:t xml:space="preserve">women and girls’ ability to consume food that is acceptable by their cultures and produced through agroecological methods that sustain the natural environment, and is important when considering the needs of </w:t>
      </w:r>
      <w:r w:rsidR="00837BFB">
        <w:rPr>
          <w:rFonts w:ascii="Garamond" w:hAnsi="Garamond"/>
          <w:bCs/>
          <w:sz w:val="26"/>
          <w:szCs w:val="26"/>
        </w:rPr>
        <w:t xml:space="preserve">Indigenous </w:t>
      </w:r>
      <w:r w:rsidR="00F77C74" w:rsidRPr="00F77C74">
        <w:rPr>
          <w:rFonts w:ascii="Garamond" w:hAnsi="Garamond"/>
          <w:bCs/>
          <w:sz w:val="26"/>
          <w:szCs w:val="26"/>
        </w:rPr>
        <w:t>women and girls in agriculture. Food sovereignty recogni</w:t>
      </w:r>
      <w:r w:rsidR="00837BFB">
        <w:rPr>
          <w:rFonts w:ascii="Garamond" w:hAnsi="Garamond"/>
          <w:bCs/>
          <w:sz w:val="26"/>
          <w:szCs w:val="26"/>
        </w:rPr>
        <w:t>z</w:t>
      </w:r>
      <w:r w:rsidR="00F77C74" w:rsidRPr="00F77C74">
        <w:rPr>
          <w:rFonts w:ascii="Garamond" w:hAnsi="Garamond"/>
          <w:bCs/>
          <w:sz w:val="26"/>
          <w:szCs w:val="26"/>
        </w:rPr>
        <w:t>es the right of communities to food self-sufficiency and to prioriti</w:t>
      </w:r>
      <w:r w:rsidR="00FB2903">
        <w:rPr>
          <w:rFonts w:ascii="Garamond" w:hAnsi="Garamond"/>
          <w:bCs/>
          <w:sz w:val="26"/>
          <w:szCs w:val="26"/>
        </w:rPr>
        <w:t>z</w:t>
      </w:r>
      <w:r w:rsidR="00F77C74" w:rsidRPr="00F77C74">
        <w:rPr>
          <w:rFonts w:ascii="Garamond" w:hAnsi="Garamond"/>
          <w:bCs/>
          <w:sz w:val="26"/>
          <w:szCs w:val="26"/>
        </w:rPr>
        <w:t xml:space="preserve">e own food production over the demands of the market, and the right to determine what constitutes safe, healthy, nutritious, and culturally acceptable food. The principle of food sovereignty thus upholds </w:t>
      </w:r>
      <w:r w:rsidR="00FB2903">
        <w:rPr>
          <w:rFonts w:ascii="Garamond" w:hAnsi="Garamond"/>
          <w:bCs/>
          <w:sz w:val="26"/>
          <w:szCs w:val="26"/>
        </w:rPr>
        <w:t xml:space="preserve">Indigenous </w:t>
      </w:r>
      <w:r w:rsidR="00F77C74" w:rsidRPr="00F77C74">
        <w:rPr>
          <w:rFonts w:ascii="Garamond" w:hAnsi="Garamond"/>
          <w:bCs/>
          <w:sz w:val="26"/>
          <w:szCs w:val="26"/>
        </w:rPr>
        <w:t>women’s rights to land (</w:t>
      </w:r>
      <w:r w:rsidR="00FB2903">
        <w:rPr>
          <w:rFonts w:ascii="Garamond" w:hAnsi="Garamond"/>
          <w:bCs/>
          <w:sz w:val="26"/>
          <w:szCs w:val="26"/>
        </w:rPr>
        <w:t xml:space="preserve">including the ability to </w:t>
      </w:r>
      <w:r w:rsidR="00F77C74" w:rsidRPr="00F77C74">
        <w:rPr>
          <w:rFonts w:ascii="Garamond" w:hAnsi="Garamond"/>
          <w:bCs/>
          <w:sz w:val="26"/>
          <w:szCs w:val="26"/>
        </w:rPr>
        <w:t>use, access</w:t>
      </w:r>
      <w:r w:rsidR="00FB2903">
        <w:rPr>
          <w:rFonts w:ascii="Garamond" w:hAnsi="Garamond"/>
          <w:bCs/>
          <w:sz w:val="26"/>
          <w:szCs w:val="26"/>
        </w:rPr>
        <w:t>, control</w:t>
      </w:r>
      <w:r w:rsidR="00F77C74" w:rsidRPr="00F77C74">
        <w:rPr>
          <w:rFonts w:ascii="Garamond" w:hAnsi="Garamond"/>
          <w:bCs/>
          <w:sz w:val="26"/>
          <w:szCs w:val="26"/>
        </w:rPr>
        <w:t xml:space="preserve"> and manage</w:t>
      </w:r>
      <w:r w:rsidR="00FB2903">
        <w:rPr>
          <w:rFonts w:ascii="Garamond" w:hAnsi="Garamond"/>
          <w:bCs/>
          <w:sz w:val="26"/>
          <w:szCs w:val="26"/>
        </w:rPr>
        <w:t xml:space="preserve"> land</w:t>
      </w:r>
      <w:r w:rsidR="00F77C74" w:rsidRPr="00F77C74">
        <w:rPr>
          <w:rFonts w:ascii="Garamond" w:hAnsi="Garamond"/>
          <w:bCs/>
          <w:sz w:val="26"/>
          <w:szCs w:val="26"/>
        </w:rPr>
        <w:t>) and their ability to produce food through sustainable and agroecological methods, guarding against land and resource grabs, and domination of agribusiness interests. It further upholds women’s agency and emphasi</w:t>
      </w:r>
      <w:r w:rsidR="00FB2903">
        <w:rPr>
          <w:rFonts w:ascii="Garamond" w:hAnsi="Garamond"/>
          <w:bCs/>
          <w:sz w:val="26"/>
          <w:szCs w:val="26"/>
        </w:rPr>
        <w:t>ze</w:t>
      </w:r>
      <w:r w:rsidR="00F77C74" w:rsidRPr="00F77C74">
        <w:rPr>
          <w:rFonts w:ascii="Garamond" w:hAnsi="Garamond"/>
          <w:bCs/>
          <w:sz w:val="26"/>
          <w:szCs w:val="26"/>
        </w:rPr>
        <w:t xml:space="preserve">s the important roles that women and girls play in food production, leading to policies that ensure their participation and advances their rights and well-being. </w:t>
      </w:r>
    </w:p>
    <w:p w14:paraId="0D74D4DC" w14:textId="47D4D99E" w:rsidR="00394C52" w:rsidRPr="00272CDA" w:rsidRDefault="0061709F" w:rsidP="000108D7">
      <w:pPr>
        <w:pStyle w:val="ListParagraph"/>
        <w:numPr>
          <w:ilvl w:val="0"/>
          <w:numId w:val="2"/>
        </w:numPr>
        <w:rPr>
          <w:rFonts w:ascii="Garamond" w:hAnsi="Garamond"/>
          <w:sz w:val="26"/>
          <w:szCs w:val="26"/>
        </w:rPr>
      </w:pPr>
      <w:r w:rsidRPr="00272CDA">
        <w:rPr>
          <w:rFonts w:ascii="Garamond" w:hAnsi="Garamond"/>
          <w:bCs/>
          <w:sz w:val="26"/>
          <w:szCs w:val="26"/>
        </w:rPr>
        <w:t xml:space="preserve">With regards to section </w:t>
      </w:r>
      <w:r w:rsidR="004A5CBB" w:rsidRPr="00272CDA">
        <w:rPr>
          <w:rFonts w:ascii="Garamond" w:hAnsi="Garamond"/>
          <w:bCs/>
          <w:sz w:val="26"/>
          <w:szCs w:val="26"/>
        </w:rPr>
        <w:t>L</w:t>
      </w:r>
      <w:r w:rsidRPr="00272CDA">
        <w:rPr>
          <w:rFonts w:ascii="Garamond" w:hAnsi="Garamond"/>
          <w:bCs/>
          <w:sz w:val="26"/>
          <w:szCs w:val="26"/>
        </w:rPr>
        <w:t>,</w:t>
      </w:r>
      <w:r w:rsidR="004A5CBB" w:rsidRPr="00272CDA">
        <w:rPr>
          <w:rFonts w:ascii="Garamond" w:hAnsi="Garamond"/>
          <w:bCs/>
          <w:sz w:val="26"/>
          <w:szCs w:val="26"/>
        </w:rPr>
        <w:t xml:space="preserve"> </w:t>
      </w:r>
      <w:r w:rsidRPr="00272CDA">
        <w:rPr>
          <w:rFonts w:ascii="Garamond" w:hAnsi="Garamond"/>
          <w:bCs/>
          <w:sz w:val="26"/>
          <w:szCs w:val="26"/>
        </w:rPr>
        <w:t>‘</w:t>
      </w:r>
      <w:r w:rsidR="00703384" w:rsidRPr="00272CDA">
        <w:rPr>
          <w:rFonts w:ascii="Garamond" w:hAnsi="Garamond"/>
          <w:b/>
          <w:sz w:val="26"/>
          <w:szCs w:val="26"/>
        </w:rPr>
        <w:t>Right to a Clean, Healthy, and Sustainable Environment (Articles 12 and 14)</w:t>
      </w:r>
      <w:r w:rsidRPr="00272CDA">
        <w:rPr>
          <w:rFonts w:ascii="Garamond" w:hAnsi="Garamond"/>
          <w:bCs/>
          <w:sz w:val="26"/>
          <w:szCs w:val="26"/>
        </w:rPr>
        <w:t>’, we support the r</w:t>
      </w:r>
      <w:r w:rsidR="00657BCE" w:rsidRPr="00272CDA">
        <w:rPr>
          <w:rFonts w:ascii="Garamond" w:hAnsi="Garamond"/>
          <w:bCs/>
          <w:sz w:val="26"/>
          <w:szCs w:val="26"/>
        </w:rPr>
        <w:t xml:space="preserve">ecommendations and the mention of the </w:t>
      </w:r>
      <w:r w:rsidR="00DD68FD" w:rsidRPr="00272CDA">
        <w:rPr>
          <w:rFonts w:ascii="Garamond" w:hAnsi="Garamond"/>
          <w:bCs/>
          <w:sz w:val="26"/>
          <w:szCs w:val="26"/>
        </w:rPr>
        <w:t xml:space="preserve">2015 </w:t>
      </w:r>
      <w:r w:rsidR="00657BCE" w:rsidRPr="00272CDA">
        <w:rPr>
          <w:rFonts w:ascii="Garamond" w:hAnsi="Garamond"/>
          <w:bCs/>
          <w:sz w:val="26"/>
          <w:szCs w:val="26"/>
        </w:rPr>
        <w:t xml:space="preserve">Paris </w:t>
      </w:r>
      <w:r w:rsidR="00DD68FD" w:rsidRPr="00272CDA">
        <w:rPr>
          <w:rFonts w:ascii="Garamond" w:hAnsi="Garamond"/>
          <w:bCs/>
          <w:sz w:val="26"/>
          <w:szCs w:val="26"/>
        </w:rPr>
        <w:t>Climate Change Agreement; we wish to note that the annual climate change co</w:t>
      </w:r>
      <w:r w:rsidR="00652B5A" w:rsidRPr="00272CDA">
        <w:rPr>
          <w:rFonts w:ascii="Garamond" w:hAnsi="Garamond"/>
          <w:bCs/>
          <w:sz w:val="26"/>
          <w:szCs w:val="26"/>
        </w:rPr>
        <w:t>nference of parties has been hostile and inaccessible to Indigenous leaders who have worked hard to contribute</w:t>
      </w:r>
      <w:r w:rsidR="002E5BD6" w:rsidRPr="00272CDA">
        <w:rPr>
          <w:rFonts w:ascii="Garamond" w:hAnsi="Garamond"/>
          <w:bCs/>
          <w:sz w:val="26"/>
          <w:szCs w:val="26"/>
        </w:rPr>
        <w:t xml:space="preserve"> to the implementation of the accord and to address the climate crisis. We </w:t>
      </w:r>
      <w:r w:rsidR="008234D4" w:rsidRPr="00272CDA">
        <w:rPr>
          <w:rFonts w:ascii="Garamond" w:hAnsi="Garamond"/>
          <w:bCs/>
          <w:sz w:val="26"/>
          <w:szCs w:val="26"/>
        </w:rPr>
        <w:t xml:space="preserve">draw attention to the fact that </w:t>
      </w:r>
      <w:r w:rsidR="00222FA0" w:rsidRPr="00272CDA">
        <w:rPr>
          <w:rFonts w:ascii="Garamond" w:hAnsi="Garamond"/>
          <w:bCs/>
          <w:sz w:val="26"/>
          <w:szCs w:val="26"/>
        </w:rPr>
        <w:t>fossil fuel lobbyists were by far the largest delegation</w:t>
      </w:r>
      <w:r w:rsidR="002F5A52" w:rsidRPr="00272CDA">
        <w:rPr>
          <w:rFonts w:ascii="Garamond" w:hAnsi="Garamond"/>
          <w:bCs/>
          <w:sz w:val="26"/>
          <w:szCs w:val="26"/>
        </w:rPr>
        <w:t xml:space="preserve"> of at least 500</w:t>
      </w:r>
      <w:r w:rsidR="003658A0">
        <w:rPr>
          <w:rStyle w:val="FootnoteReference"/>
          <w:rFonts w:ascii="Garamond" w:hAnsi="Garamond"/>
          <w:bCs/>
          <w:sz w:val="26"/>
          <w:szCs w:val="26"/>
        </w:rPr>
        <w:footnoteReference w:id="7"/>
      </w:r>
      <w:r w:rsidR="00222FA0" w:rsidRPr="00272CDA">
        <w:rPr>
          <w:rFonts w:ascii="Garamond" w:hAnsi="Garamond"/>
          <w:bCs/>
          <w:sz w:val="26"/>
          <w:szCs w:val="26"/>
        </w:rPr>
        <w:t xml:space="preserve"> at the 26</w:t>
      </w:r>
      <w:r w:rsidR="00222FA0" w:rsidRPr="00272CDA">
        <w:rPr>
          <w:rFonts w:ascii="Garamond" w:hAnsi="Garamond"/>
          <w:bCs/>
          <w:sz w:val="26"/>
          <w:szCs w:val="26"/>
          <w:vertAlign w:val="superscript"/>
        </w:rPr>
        <w:t>th</w:t>
      </w:r>
      <w:r w:rsidR="00222FA0" w:rsidRPr="00272CDA">
        <w:rPr>
          <w:rFonts w:ascii="Garamond" w:hAnsi="Garamond"/>
          <w:bCs/>
          <w:sz w:val="26"/>
          <w:szCs w:val="26"/>
        </w:rPr>
        <w:t xml:space="preserve"> Conference of Parties (COP26)</w:t>
      </w:r>
      <w:r w:rsidR="006B7766" w:rsidRPr="00272CDA">
        <w:rPr>
          <w:rFonts w:ascii="Garamond" w:hAnsi="Garamond"/>
          <w:bCs/>
          <w:sz w:val="26"/>
          <w:szCs w:val="26"/>
        </w:rPr>
        <w:t xml:space="preserve"> and suggest that recommendations under the right to a clean, healthy and sustainable environment must go further. Firstly, </w:t>
      </w:r>
      <w:r w:rsidR="00010589" w:rsidRPr="00272CDA">
        <w:rPr>
          <w:rFonts w:ascii="Garamond" w:hAnsi="Garamond"/>
          <w:bCs/>
          <w:sz w:val="26"/>
          <w:szCs w:val="26"/>
        </w:rPr>
        <w:t>as reports from the Intergovernmental Panel on Climate Change indicate, immediate and large</w:t>
      </w:r>
      <w:r w:rsidR="00CE7311" w:rsidRPr="00272CDA">
        <w:rPr>
          <w:rFonts w:ascii="Garamond" w:hAnsi="Garamond"/>
          <w:bCs/>
          <w:sz w:val="26"/>
          <w:szCs w:val="26"/>
        </w:rPr>
        <w:t>-</w:t>
      </w:r>
      <w:r w:rsidR="00010589" w:rsidRPr="00272CDA">
        <w:rPr>
          <w:rFonts w:ascii="Garamond" w:hAnsi="Garamond"/>
          <w:bCs/>
          <w:sz w:val="26"/>
          <w:szCs w:val="26"/>
        </w:rPr>
        <w:t xml:space="preserve">scale changes are needed moving away from fossil fuels: </w:t>
      </w:r>
      <w:r w:rsidR="004838EF" w:rsidRPr="00272CDA">
        <w:rPr>
          <w:rFonts w:ascii="Garamond" w:hAnsi="Garamond"/>
          <w:bCs/>
          <w:sz w:val="26"/>
          <w:szCs w:val="26"/>
        </w:rPr>
        <w:t>this industry negatively impacts Indigenous communities and particular</w:t>
      </w:r>
      <w:r w:rsidR="00A52800">
        <w:rPr>
          <w:rFonts w:ascii="Garamond" w:hAnsi="Garamond"/>
          <w:bCs/>
          <w:sz w:val="26"/>
          <w:szCs w:val="26"/>
        </w:rPr>
        <w:t>ly</w:t>
      </w:r>
      <w:r w:rsidR="004838EF" w:rsidRPr="00272CDA">
        <w:rPr>
          <w:rFonts w:ascii="Garamond" w:hAnsi="Garamond"/>
          <w:bCs/>
          <w:sz w:val="26"/>
          <w:szCs w:val="26"/>
        </w:rPr>
        <w:t xml:space="preserve"> women and girls</w:t>
      </w:r>
      <w:r w:rsidR="000C7EA3" w:rsidRPr="00272CDA">
        <w:rPr>
          <w:rFonts w:ascii="Garamond" w:hAnsi="Garamond"/>
          <w:bCs/>
          <w:sz w:val="26"/>
          <w:szCs w:val="26"/>
        </w:rPr>
        <w:t xml:space="preserve">. </w:t>
      </w:r>
      <w:r w:rsidR="00CE7311" w:rsidRPr="00272CDA">
        <w:rPr>
          <w:rFonts w:ascii="Garamond" w:hAnsi="Garamond"/>
          <w:bCs/>
          <w:sz w:val="26"/>
          <w:szCs w:val="26"/>
        </w:rPr>
        <w:t xml:space="preserve">We also draw attention to </w:t>
      </w:r>
      <w:r w:rsidR="00CE7311" w:rsidRPr="00272CDA">
        <w:rPr>
          <w:rFonts w:ascii="Garamond" w:hAnsi="Garamond"/>
          <w:bCs/>
          <w:sz w:val="26"/>
          <w:szCs w:val="26"/>
        </w:rPr>
        <w:lastRenderedPageBreak/>
        <w:t xml:space="preserve">the 1995 Beijing Declaration and Platform for Action under Strategic objective </w:t>
      </w:r>
      <w:r w:rsidR="00394C52" w:rsidRPr="00272CDA">
        <w:rPr>
          <w:rFonts w:ascii="Garamond" w:hAnsi="Garamond"/>
          <w:sz w:val="26"/>
          <w:szCs w:val="26"/>
        </w:rPr>
        <w:t xml:space="preserve">K.1. </w:t>
      </w:r>
      <w:r w:rsidR="00272CDA">
        <w:rPr>
          <w:rFonts w:ascii="Garamond" w:hAnsi="Garamond"/>
          <w:sz w:val="26"/>
          <w:szCs w:val="26"/>
        </w:rPr>
        <w:t xml:space="preserve">requires involvement of </w:t>
      </w:r>
      <w:r w:rsidR="00394C52" w:rsidRPr="00272CDA">
        <w:rPr>
          <w:rFonts w:ascii="Garamond" w:hAnsi="Garamond"/>
          <w:sz w:val="26"/>
          <w:szCs w:val="26"/>
        </w:rPr>
        <w:t>women actively in environmental decision-making at all levels</w:t>
      </w:r>
      <w:r w:rsidR="008E5CBF">
        <w:rPr>
          <w:rFonts w:ascii="Garamond" w:hAnsi="Garamond"/>
          <w:sz w:val="26"/>
          <w:szCs w:val="26"/>
        </w:rPr>
        <w:t xml:space="preserve">. We suggest that this section </w:t>
      </w:r>
      <w:r w:rsidR="00817767">
        <w:rPr>
          <w:rFonts w:ascii="Garamond" w:hAnsi="Garamond"/>
          <w:sz w:val="26"/>
          <w:szCs w:val="26"/>
        </w:rPr>
        <w:t>recommends</w:t>
      </w:r>
      <w:r w:rsidR="008E5CBF">
        <w:rPr>
          <w:rFonts w:ascii="Garamond" w:hAnsi="Garamond"/>
          <w:sz w:val="26"/>
          <w:szCs w:val="26"/>
        </w:rPr>
        <w:t xml:space="preserve"> states to report to UN treaty bodies, including the CEDAW committee, on </w:t>
      </w:r>
      <w:r w:rsidR="0052717A">
        <w:rPr>
          <w:rFonts w:ascii="Garamond" w:hAnsi="Garamond"/>
          <w:sz w:val="26"/>
          <w:szCs w:val="26"/>
        </w:rPr>
        <w:t xml:space="preserve">(1) </w:t>
      </w:r>
      <w:r w:rsidR="008E5CBF">
        <w:rPr>
          <w:rFonts w:ascii="Garamond" w:hAnsi="Garamond"/>
          <w:sz w:val="26"/>
          <w:szCs w:val="26"/>
        </w:rPr>
        <w:t xml:space="preserve">actions taken to </w:t>
      </w:r>
      <w:r w:rsidR="0052717A">
        <w:rPr>
          <w:rFonts w:ascii="Garamond" w:hAnsi="Garamond"/>
          <w:sz w:val="26"/>
          <w:szCs w:val="26"/>
        </w:rPr>
        <w:t xml:space="preserve">divest from fossil fuels (2) actions taken to enable a just and equitable transition to a </w:t>
      </w:r>
      <w:r w:rsidR="00057E19">
        <w:rPr>
          <w:rFonts w:ascii="Garamond" w:hAnsi="Garamond"/>
          <w:sz w:val="26"/>
          <w:szCs w:val="26"/>
        </w:rPr>
        <w:t xml:space="preserve">clean renewable energy sector that is community-centered and built on principles of energy democracy (3) </w:t>
      </w:r>
      <w:r w:rsidR="00817767">
        <w:rPr>
          <w:rFonts w:ascii="Garamond" w:hAnsi="Garamond"/>
          <w:sz w:val="26"/>
          <w:szCs w:val="26"/>
        </w:rPr>
        <w:t xml:space="preserve">actions taken to include Indigenous </w:t>
      </w:r>
      <w:r w:rsidR="005B7AE4">
        <w:rPr>
          <w:rFonts w:ascii="Garamond" w:hAnsi="Garamond"/>
          <w:sz w:val="26"/>
          <w:szCs w:val="26"/>
        </w:rPr>
        <w:t>leaders including women and girls, and Indigenous women human rights defenders in policymaking, at the national, regional and international levels, including appointing them on delegations to intergovernmental meetings.</w:t>
      </w:r>
    </w:p>
    <w:p w14:paraId="0B0BD9EF" w14:textId="4AEF2AFF" w:rsidR="00312472" w:rsidRPr="00141D9E" w:rsidRDefault="00141D9E">
      <w:pPr>
        <w:rPr>
          <w:rFonts w:ascii="Garamond" w:hAnsi="Garamond"/>
          <w:b/>
          <w:bCs/>
          <w:sz w:val="26"/>
          <w:szCs w:val="26"/>
        </w:rPr>
      </w:pPr>
      <w:r w:rsidRPr="00141D9E">
        <w:rPr>
          <w:rFonts w:ascii="Garamond" w:hAnsi="Garamond"/>
          <w:b/>
          <w:bCs/>
          <w:sz w:val="26"/>
          <w:szCs w:val="26"/>
        </w:rPr>
        <w:t>Conclusion</w:t>
      </w:r>
    </w:p>
    <w:p w14:paraId="4E93C6F7" w14:textId="29410D0C" w:rsidR="00141D9E" w:rsidRPr="001C66DE" w:rsidRDefault="00141D9E">
      <w:pPr>
        <w:rPr>
          <w:rFonts w:ascii="Garamond" w:hAnsi="Garamond"/>
          <w:sz w:val="26"/>
          <w:szCs w:val="26"/>
        </w:rPr>
      </w:pPr>
      <w:r>
        <w:rPr>
          <w:rFonts w:ascii="Garamond" w:hAnsi="Garamond"/>
          <w:sz w:val="26"/>
          <w:szCs w:val="26"/>
        </w:rPr>
        <w:t xml:space="preserve">We support the CEDAW Committee in their efforts to develop this General Recommendation, and remain available </w:t>
      </w:r>
      <w:r w:rsidR="009A135B">
        <w:rPr>
          <w:rFonts w:ascii="Garamond" w:hAnsi="Garamond"/>
          <w:sz w:val="26"/>
          <w:szCs w:val="26"/>
        </w:rPr>
        <w:t>to discuss any points raised in our submission.</w:t>
      </w:r>
    </w:p>
    <w:sectPr w:rsidR="00141D9E" w:rsidRPr="001C66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6305D" w14:textId="77777777" w:rsidR="00B25315" w:rsidRDefault="00B25315" w:rsidP="00DC7B1E">
      <w:pPr>
        <w:spacing w:after="0" w:line="240" w:lineRule="auto"/>
      </w:pPr>
      <w:r>
        <w:separator/>
      </w:r>
    </w:p>
  </w:endnote>
  <w:endnote w:type="continuationSeparator" w:id="0">
    <w:p w14:paraId="5B011F5F" w14:textId="77777777" w:rsidR="00B25315" w:rsidRDefault="00B25315" w:rsidP="00DC7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4B4F5" w14:textId="77777777" w:rsidR="00B25315" w:rsidRDefault="00B25315" w:rsidP="00DC7B1E">
      <w:pPr>
        <w:spacing w:after="0" w:line="240" w:lineRule="auto"/>
      </w:pPr>
      <w:r>
        <w:separator/>
      </w:r>
    </w:p>
  </w:footnote>
  <w:footnote w:type="continuationSeparator" w:id="0">
    <w:p w14:paraId="7B4D3CBF" w14:textId="77777777" w:rsidR="00B25315" w:rsidRDefault="00B25315" w:rsidP="00DC7B1E">
      <w:pPr>
        <w:spacing w:after="0" w:line="240" w:lineRule="auto"/>
      </w:pPr>
      <w:r>
        <w:continuationSeparator/>
      </w:r>
    </w:p>
  </w:footnote>
  <w:footnote w:id="1">
    <w:p w14:paraId="73B1BEA5" w14:textId="2F9C9C92" w:rsidR="00DC7B1E" w:rsidRPr="007E1AF4" w:rsidRDefault="00DC7B1E">
      <w:pPr>
        <w:pStyle w:val="FootnoteText"/>
        <w:rPr>
          <w:rFonts w:ascii="Garamond" w:hAnsi="Garamond"/>
          <w:sz w:val="22"/>
          <w:szCs w:val="28"/>
          <w:lang w:val="en-GB"/>
        </w:rPr>
      </w:pPr>
      <w:r w:rsidRPr="007E1AF4">
        <w:rPr>
          <w:rStyle w:val="FootnoteReference"/>
          <w:rFonts w:ascii="Garamond" w:hAnsi="Garamond"/>
          <w:sz w:val="22"/>
          <w:szCs w:val="28"/>
        </w:rPr>
        <w:footnoteRef/>
      </w:r>
      <w:r w:rsidRPr="007E1AF4">
        <w:rPr>
          <w:rFonts w:ascii="Garamond" w:hAnsi="Garamond"/>
          <w:sz w:val="22"/>
          <w:szCs w:val="28"/>
        </w:rPr>
        <w:t xml:space="preserve"> </w:t>
      </w:r>
      <w:r w:rsidR="00172AF3" w:rsidRPr="007E1AF4">
        <w:rPr>
          <w:rFonts w:ascii="Garamond" w:hAnsi="Garamond"/>
          <w:sz w:val="22"/>
          <w:szCs w:val="28"/>
        </w:rPr>
        <w:t>NIWA and AIPP j</w:t>
      </w:r>
      <w:r w:rsidR="00912298" w:rsidRPr="007E1AF4">
        <w:rPr>
          <w:rFonts w:ascii="Garamond" w:hAnsi="Garamond"/>
          <w:sz w:val="22"/>
          <w:szCs w:val="28"/>
        </w:rPr>
        <w:t>oint written submission to the Committee on the Elimination of All Forms of Discrimination Against Women (CEDAW) General Recommendation on Indigenous Women and Girls 79th Session, Geneva, 18th June 2021</w:t>
      </w:r>
      <w:r w:rsidR="00172AF3" w:rsidRPr="007E1AF4">
        <w:rPr>
          <w:rFonts w:ascii="Garamond" w:hAnsi="Garamond"/>
          <w:sz w:val="22"/>
          <w:szCs w:val="28"/>
        </w:rPr>
        <w:t xml:space="preserve">. Available online: </w:t>
      </w:r>
      <w:hyperlink r:id="rId1" w:history="1">
        <w:r w:rsidR="00172AF3" w:rsidRPr="007E1AF4">
          <w:rPr>
            <w:rStyle w:val="Hyperlink"/>
            <w:rFonts w:ascii="Garamond" w:hAnsi="Garamond"/>
            <w:sz w:val="22"/>
            <w:szCs w:val="28"/>
          </w:rPr>
          <w:t>https://aippnet.org/wp-content/uploads/2021/06/AIPP-CEDAW-23June2021.pdf</w:t>
        </w:r>
      </w:hyperlink>
      <w:r w:rsidR="00172AF3" w:rsidRPr="007E1AF4">
        <w:rPr>
          <w:rFonts w:ascii="Garamond" w:hAnsi="Garamond"/>
          <w:sz w:val="22"/>
          <w:szCs w:val="28"/>
        </w:rPr>
        <w:t xml:space="preserve"> </w:t>
      </w:r>
    </w:p>
  </w:footnote>
  <w:footnote w:id="2">
    <w:p w14:paraId="7D8DAE9B" w14:textId="03C191DA" w:rsidR="00133F48" w:rsidRPr="007E1AF4" w:rsidRDefault="00133F48" w:rsidP="004C1215">
      <w:pPr>
        <w:pStyle w:val="FootnoteText"/>
        <w:rPr>
          <w:rFonts w:ascii="Garamond" w:hAnsi="Garamond"/>
          <w:sz w:val="22"/>
          <w:szCs w:val="28"/>
        </w:rPr>
      </w:pPr>
      <w:r w:rsidRPr="007E1AF4">
        <w:rPr>
          <w:rStyle w:val="FootnoteReference"/>
          <w:rFonts w:ascii="Garamond" w:hAnsi="Garamond"/>
          <w:sz w:val="22"/>
          <w:szCs w:val="28"/>
        </w:rPr>
        <w:footnoteRef/>
      </w:r>
      <w:r w:rsidRPr="007E1AF4">
        <w:rPr>
          <w:rFonts w:ascii="Garamond" w:hAnsi="Garamond"/>
          <w:sz w:val="22"/>
          <w:szCs w:val="28"/>
        </w:rPr>
        <w:t xml:space="preserve"> </w:t>
      </w:r>
      <w:r w:rsidR="004C1215">
        <w:rPr>
          <w:rFonts w:ascii="Garamond" w:hAnsi="Garamond"/>
          <w:sz w:val="22"/>
          <w:szCs w:val="28"/>
        </w:rPr>
        <w:t xml:space="preserve">UN. (2019). </w:t>
      </w:r>
      <w:r w:rsidR="0040540C" w:rsidRPr="0040540C">
        <w:rPr>
          <w:rFonts w:ascii="Garamond" w:hAnsi="Garamond"/>
          <w:i/>
          <w:iCs/>
          <w:sz w:val="22"/>
          <w:szCs w:val="28"/>
        </w:rPr>
        <w:t>Report of the Fifth Asia-Pacific Forum on Sustainable Development</w:t>
      </w:r>
      <w:r w:rsidR="0040540C">
        <w:rPr>
          <w:rFonts w:ascii="Garamond" w:hAnsi="Garamond"/>
          <w:sz w:val="22"/>
          <w:szCs w:val="28"/>
        </w:rPr>
        <w:t>.</w:t>
      </w:r>
      <w:r w:rsidR="0040540C" w:rsidRPr="0040540C">
        <w:rPr>
          <w:rFonts w:ascii="Garamond" w:hAnsi="Garamond"/>
          <w:sz w:val="22"/>
          <w:szCs w:val="28"/>
        </w:rPr>
        <w:t xml:space="preserve"> </w:t>
      </w:r>
      <w:r w:rsidR="004C1215" w:rsidRPr="004C1215">
        <w:rPr>
          <w:rFonts w:ascii="Garamond" w:hAnsi="Garamond"/>
          <w:sz w:val="22"/>
          <w:szCs w:val="28"/>
        </w:rPr>
        <w:t>High-level political forum on sustainable development</w:t>
      </w:r>
      <w:r w:rsidR="0040540C">
        <w:rPr>
          <w:rFonts w:ascii="Garamond" w:hAnsi="Garamond"/>
          <w:sz w:val="22"/>
          <w:szCs w:val="28"/>
        </w:rPr>
        <w:t xml:space="preserve">; </w:t>
      </w:r>
      <w:r w:rsidR="004C1215" w:rsidRPr="004C1215">
        <w:rPr>
          <w:rFonts w:ascii="Garamond" w:hAnsi="Garamond"/>
          <w:sz w:val="22"/>
          <w:szCs w:val="28"/>
        </w:rPr>
        <w:t>Convened under the auspices of the Economic and</w:t>
      </w:r>
      <w:r w:rsidR="004C1215">
        <w:rPr>
          <w:rFonts w:ascii="Garamond" w:hAnsi="Garamond"/>
          <w:sz w:val="22"/>
          <w:szCs w:val="28"/>
        </w:rPr>
        <w:t xml:space="preserve"> </w:t>
      </w:r>
      <w:r w:rsidR="004C1215" w:rsidRPr="004C1215">
        <w:rPr>
          <w:rFonts w:ascii="Garamond" w:hAnsi="Garamond"/>
          <w:sz w:val="22"/>
          <w:szCs w:val="28"/>
        </w:rPr>
        <w:t>Social Council</w:t>
      </w:r>
      <w:r w:rsidR="004C1215">
        <w:rPr>
          <w:rFonts w:ascii="Garamond" w:hAnsi="Garamond"/>
          <w:sz w:val="22"/>
          <w:szCs w:val="28"/>
        </w:rPr>
        <w:t xml:space="preserve">. </w:t>
      </w:r>
      <w:r w:rsidR="007E1AF4" w:rsidRPr="007E1AF4">
        <w:rPr>
          <w:rFonts w:ascii="Garamond" w:hAnsi="Garamond"/>
          <w:sz w:val="22"/>
          <w:szCs w:val="28"/>
        </w:rPr>
        <w:t xml:space="preserve">UN </w:t>
      </w:r>
      <w:r w:rsidR="004C1215">
        <w:rPr>
          <w:rFonts w:ascii="Garamond" w:hAnsi="Garamond"/>
          <w:sz w:val="22"/>
          <w:szCs w:val="28"/>
        </w:rPr>
        <w:t>d</w:t>
      </w:r>
      <w:r w:rsidR="007E1AF4" w:rsidRPr="007E1AF4">
        <w:rPr>
          <w:rFonts w:ascii="Garamond" w:hAnsi="Garamond"/>
          <w:sz w:val="22"/>
          <w:szCs w:val="28"/>
        </w:rPr>
        <w:t>oc</w:t>
      </w:r>
      <w:r w:rsidR="004C1215">
        <w:rPr>
          <w:rFonts w:ascii="Garamond" w:hAnsi="Garamond"/>
          <w:sz w:val="22"/>
          <w:szCs w:val="28"/>
        </w:rPr>
        <w:t>:</w:t>
      </w:r>
      <w:r w:rsidR="007E1AF4" w:rsidRPr="007E1AF4">
        <w:rPr>
          <w:rFonts w:ascii="Garamond" w:hAnsi="Garamond"/>
          <w:sz w:val="22"/>
          <w:szCs w:val="28"/>
        </w:rPr>
        <w:t xml:space="preserve"> E/HLPF/2019/3/Add.2, </w:t>
      </w:r>
      <w:r w:rsidRPr="007E1AF4">
        <w:rPr>
          <w:rFonts w:ascii="Garamond" w:hAnsi="Garamond"/>
          <w:sz w:val="22"/>
          <w:szCs w:val="28"/>
        </w:rPr>
        <w:t>Para 15</w:t>
      </w:r>
      <w:r w:rsidR="007E1AF4" w:rsidRPr="007E1AF4">
        <w:rPr>
          <w:rFonts w:ascii="Garamond" w:hAnsi="Garamond"/>
          <w:sz w:val="22"/>
          <w:szCs w:val="28"/>
        </w:rPr>
        <w:t xml:space="preserve">. Available online: </w:t>
      </w:r>
      <w:r w:rsidRPr="007E1AF4">
        <w:rPr>
          <w:rFonts w:ascii="Garamond" w:hAnsi="Garamond"/>
          <w:sz w:val="22"/>
          <w:szCs w:val="28"/>
        </w:rPr>
        <w:t xml:space="preserve"> </w:t>
      </w:r>
      <w:hyperlink r:id="rId2" w:history="1">
        <w:r w:rsidR="007E1AF4" w:rsidRPr="007E1AF4">
          <w:rPr>
            <w:rStyle w:val="Hyperlink"/>
            <w:rFonts w:ascii="Garamond" w:hAnsi="Garamond"/>
            <w:sz w:val="22"/>
            <w:szCs w:val="28"/>
          </w:rPr>
          <w:t>https://sustainabledevelopment.un.org/content/documents/22670E_HLPF_2019_3_Add_2_Note_by_the_Secretariat_on_reports_of_the_regional_forums_ESCAP.pdf</w:t>
        </w:r>
      </w:hyperlink>
      <w:r w:rsidRPr="007E1AF4">
        <w:rPr>
          <w:rFonts w:ascii="Garamond" w:hAnsi="Garamond"/>
          <w:sz w:val="22"/>
          <w:szCs w:val="28"/>
        </w:rPr>
        <w:t xml:space="preserve"> </w:t>
      </w:r>
    </w:p>
  </w:footnote>
  <w:footnote w:id="3">
    <w:p w14:paraId="2905D3C8" w14:textId="094AF0DE" w:rsidR="000167E3" w:rsidRPr="007E1AF4" w:rsidRDefault="000167E3">
      <w:pPr>
        <w:pStyle w:val="FootnoteText"/>
        <w:rPr>
          <w:rFonts w:ascii="Garamond" w:hAnsi="Garamond"/>
          <w:sz w:val="22"/>
          <w:szCs w:val="28"/>
        </w:rPr>
      </w:pPr>
      <w:r w:rsidRPr="007E1AF4">
        <w:rPr>
          <w:rStyle w:val="FootnoteReference"/>
          <w:rFonts w:ascii="Garamond" w:hAnsi="Garamond"/>
          <w:sz w:val="22"/>
          <w:szCs w:val="28"/>
        </w:rPr>
        <w:footnoteRef/>
      </w:r>
      <w:r w:rsidRPr="007E1AF4">
        <w:rPr>
          <w:rFonts w:ascii="Garamond" w:hAnsi="Garamond"/>
          <w:sz w:val="22"/>
          <w:szCs w:val="28"/>
        </w:rPr>
        <w:t xml:space="preserve"> </w:t>
      </w:r>
      <w:r w:rsidR="00255BE5" w:rsidRPr="007E1AF4">
        <w:rPr>
          <w:rFonts w:ascii="Garamond" w:hAnsi="Garamond"/>
          <w:sz w:val="22"/>
          <w:szCs w:val="28"/>
        </w:rPr>
        <w:t xml:space="preserve">Human Rights Watch. (2020). </w:t>
      </w:r>
      <w:r w:rsidR="00255BE5" w:rsidRPr="007E1AF4">
        <w:rPr>
          <w:rFonts w:ascii="Garamond" w:hAnsi="Garamond"/>
          <w:i/>
          <w:iCs/>
          <w:sz w:val="22"/>
          <w:szCs w:val="28"/>
        </w:rPr>
        <w:t>Still No Answers on Activist’s Disappearance in Bangladesh</w:t>
      </w:r>
      <w:r w:rsidR="00255BE5" w:rsidRPr="007E1AF4">
        <w:rPr>
          <w:rFonts w:ascii="Garamond" w:hAnsi="Garamond"/>
          <w:sz w:val="22"/>
          <w:szCs w:val="28"/>
        </w:rPr>
        <w:t xml:space="preserve">. </w:t>
      </w:r>
      <w:hyperlink r:id="rId3" w:history="1">
        <w:r w:rsidR="00255BE5" w:rsidRPr="007E1AF4">
          <w:rPr>
            <w:rStyle w:val="Hyperlink"/>
            <w:rFonts w:ascii="Garamond" w:hAnsi="Garamond"/>
            <w:sz w:val="22"/>
            <w:szCs w:val="28"/>
          </w:rPr>
          <w:t>https://www.hrw.org/news/2020/04/08/still-no-answers-activists-disappearance-bangladesh</w:t>
        </w:r>
      </w:hyperlink>
      <w:r w:rsidRPr="007E1AF4">
        <w:rPr>
          <w:rFonts w:ascii="Garamond" w:hAnsi="Garamond"/>
          <w:sz w:val="22"/>
          <w:szCs w:val="28"/>
        </w:rPr>
        <w:t xml:space="preserve"> </w:t>
      </w:r>
    </w:p>
  </w:footnote>
  <w:footnote w:id="4">
    <w:p w14:paraId="44AC1834" w14:textId="4CD15778" w:rsidR="00317A0F" w:rsidRPr="007E1AF4" w:rsidRDefault="00317A0F">
      <w:pPr>
        <w:pStyle w:val="FootnoteText"/>
        <w:rPr>
          <w:rFonts w:ascii="Garamond" w:hAnsi="Garamond"/>
          <w:sz w:val="22"/>
          <w:szCs w:val="28"/>
        </w:rPr>
      </w:pPr>
      <w:r w:rsidRPr="007E1AF4">
        <w:rPr>
          <w:rStyle w:val="FootnoteReference"/>
          <w:rFonts w:ascii="Garamond" w:hAnsi="Garamond"/>
          <w:sz w:val="22"/>
          <w:szCs w:val="28"/>
        </w:rPr>
        <w:footnoteRef/>
      </w:r>
      <w:r w:rsidRPr="007E1AF4">
        <w:rPr>
          <w:rFonts w:ascii="Garamond" w:hAnsi="Garamond"/>
          <w:sz w:val="22"/>
          <w:szCs w:val="28"/>
        </w:rPr>
        <w:t xml:space="preserve"> </w:t>
      </w:r>
      <w:r w:rsidR="00A55299" w:rsidRPr="007E1AF4">
        <w:rPr>
          <w:rFonts w:ascii="Garamond" w:hAnsi="Garamond"/>
          <w:sz w:val="22"/>
          <w:szCs w:val="28"/>
        </w:rPr>
        <w:t>Centre for Peace and Conflict Studies. (2019).</w:t>
      </w:r>
      <w:r w:rsidR="0012774F" w:rsidRPr="007E1AF4">
        <w:rPr>
          <w:rFonts w:ascii="Garamond" w:hAnsi="Garamond"/>
          <w:sz w:val="22"/>
          <w:szCs w:val="28"/>
        </w:rPr>
        <w:t xml:space="preserve"> </w:t>
      </w:r>
      <w:r w:rsidR="0012774F" w:rsidRPr="007E1AF4">
        <w:rPr>
          <w:rFonts w:ascii="Garamond" w:hAnsi="Garamond"/>
          <w:i/>
          <w:iCs/>
          <w:sz w:val="22"/>
          <w:szCs w:val="28"/>
        </w:rPr>
        <w:t>Reexamining Ethnic Identity in Myanmar</w:t>
      </w:r>
      <w:r w:rsidR="0012774F" w:rsidRPr="007E1AF4">
        <w:rPr>
          <w:rFonts w:ascii="Garamond" w:hAnsi="Garamond"/>
          <w:sz w:val="22"/>
          <w:szCs w:val="28"/>
        </w:rPr>
        <w:t>. Pp 5. Available online:</w:t>
      </w:r>
      <w:r w:rsidR="00A55299" w:rsidRPr="007E1AF4">
        <w:rPr>
          <w:rFonts w:ascii="Garamond" w:hAnsi="Garamond"/>
          <w:sz w:val="22"/>
          <w:szCs w:val="28"/>
        </w:rPr>
        <w:t xml:space="preserve"> </w:t>
      </w:r>
      <w:hyperlink r:id="rId4" w:history="1">
        <w:r w:rsidR="00A55299" w:rsidRPr="007E1AF4">
          <w:rPr>
            <w:rStyle w:val="Hyperlink"/>
            <w:rFonts w:ascii="Garamond" w:hAnsi="Garamond"/>
            <w:sz w:val="22"/>
            <w:szCs w:val="28"/>
          </w:rPr>
          <w:t>https://reliefweb.int/sites/reliefweb.int/files/resources/Ethnic-Identity-in-Myanmar.pdf</w:t>
        </w:r>
      </w:hyperlink>
      <w:r w:rsidR="00A55299" w:rsidRPr="007E1AF4">
        <w:rPr>
          <w:rFonts w:ascii="Garamond" w:hAnsi="Garamond"/>
          <w:sz w:val="22"/>
          <w:szCs w:val="28"/>
        </w:rPr>
        <w:t xml:space="preserve"> </w:t>
      </w:r>
    </w:p>
  </w:footnote>
  <w:footnote w:id="5">
    <w:p w14:paraId="2FE24A94" w14:textId="1EE7358E" w:rsidR="007678C6" w:rsidRPr="00471E83" w:rsidRDefault="007678C6">
      <w:pPr>
        <w:pStyle w:val="FootnoteText"/>
        <w:rPr>
          <w:rFonts w:ascii="Garamond" w:hAnsi="Garamond"/>
          <w:sz w:val="24"/>
          <w:szCs w:val="32"/>
        </w:rPr>
      </w:pPr>
      <w:r w:rsidRPr="00471E83">
        <w:rPr>
          <w:rStyle w:val="FootnoteReference"/>
          <w:rFonts w:ascii="Garamond" w:hAnsi="Garamond"/>
          <w:sz w:val="24"/>
          <w:szCs w:val="32"/>
        </w:rPr>
        <w:footnoteRef/>
      </w:r>
      <w:r w:rsidRPr="00471E83">
        <w:rPr>
          <w:rFonts w:ascii="Garamond" w:hAnsi="Garamond"/>
          <w:sz w:val="24"/>
          <w:szCs w:val="32"/>
        </w:rPr>
        <w:t xml:space="preserve"> World Bank:</w:t>
      </w:r>
      <w:r w:rsidR="00471E83">
        <w:rPr>
          <w:rFonts w:ascii="Garamond" w:hAnsi="Garamond"/>
          <w:sz w:val="24"/>
          <w:szCs w:val="32"/>
        </w:rPr>
        <w:t xml:space="preserve"> Social Protection &amp; </w:t>
      </w:r>
      <w:proofErr w:type="spellStart"/>
      <w:r w:rsidR="00471E83">
        <w:rPr>
          <w:rFonts w:ascii="Garamond" w:hAnsi="Garamond"/>
          <w:sz w:val="24"/>
          <w:szCs w:val="32"/>
        </w:rPr>
        <w:t>Labour</w:t>
      </w:r>
      <w:proofErr w:type="spellEnd"/>
      <w:r w:rsidR="00471E83">
        <w:rPr>
          <w:rFonts w:ascii="Garamond" w:hAnsi="Garamond"/>
          <w:sz w:val="24"/>
          <w:szCs w:val="32"/>
        </w:rPr>
        <w:t xml:space="preserve"> Overview. Available online:</w:t>
      </w:r>
      <w:r w:rsidRPr="00471E83">
        <w:rPr>
          <w:rFonts w:ascii="Garamond" w:hAnsi="Garamond"/>
          <w:sz w:val="24"/>
          <w:szCs w:val="32"/>
        </w:rPr>
        <w:t xml:space="preserve"> </w:t>
      </w:r>
      <w:hyperlink r:id="rId5" w:anchor="1" w:history="1">
        <w:r w:rsidRPr="00471E83">
          <w:rPr>
            <w:rStyle w:val="Hyperlink"/>
            <w:rFonts w:ascii="Garamond" w:hAnsi="Garamond"/>
            <w:sz w:val="24"/>
            <w:szCs w:val="32"/>
          </w:rPr>
          <w:t>https://www.worldbank.org/en/topic/socialprotection/overview#1</w:t>
        </w:r>
      </w:hyperlink>
      <w:r w:rsidRPr="00471E83">
        <w:rPr>
          <w:rFonts w:ascii="Garamond" w:hAnsi="Garamond"/>
          <w:sz w:val="24"/>
          <w:szCs w:val="32"/>
        </w:rPr>
        <w:t xml:space="preserve"> </w:t>
      </w:r>
    </w:p>
  </w:footnote>
  <w:footnote w:id="6">
    <w:p w14:paraId="77A5E878" w14:textId="0BE6ED97" w:rsidR="00192690" w:rsidRPr="007E1AF4" w:rsidRDefault="00192690">
      <w:pPr>
        <w:pStyle w:val="FootnoteText"/>
        <w:rPr>
          <w:rFonts w:ascii="Garamond" w:hAnsi="Garamond"/>
          <w:sz w:val="22"/>
          <w:szCs w:val="28"/>
        </w:rPr>
      </w:pPr>
      <w:r w:rsidRPr="007E1AF4">
        <w:rPr>
          <w:rStyle w:val="FootnoteReference"/>
          <w:rFonts w:ascii="Garamond" w:hAnsi="Garamond"/>
          <w:sz w:val="22"/>
          <w:szCs w:val="28"/>
        </w:rPr>
        <w:footnoteRef/>
      </w:r>
      <w:r w:rsidRPr="007E1AF4">
        <w:rPr>
          <w:rFonts w:ascii="Garamond" w:hAnsi="Garamond"/>
          <w:sz w:val="22"/>
          <w:szCs w:val="28"/>
        </w:rPr>
        <w:t xml:space="preserve"> </w:t>
      </w:r>
      <w:r w:rsidR="009761E5" w:rsidRPr="007E1AF4">
        <w:rPr>
          <w:rFonts w:ascii="Garamond" w:hAnsi="Garamond"/>
          <w:sz w:val="22"/>
          <w:szCs w:val="28"/>
        </w:rPr>
        <w:t xml:space="preserve">OHCHR: </w:t>
      </w:r>
      <w:r w:rsidRPr="007E1AF4">
        <w:rPr>
          <w:rFonts w:ascii="Garamond" w:hAnsi="Garamond"/>
          <w:sz w:val="22"/>
          <w:szCs w:val="28"/>
        </w:rPr>
        <w:t>Statement by the Independent Expert on the promotion of a democratic and equitable international order, Alfred de Zayas, on the upcoming signing the Trans-Pacific Partnership</w:t>
      </w:r>
      <w:r w:rsidR="009761E5" w:rsidRPr="007E1AF4">
        <w:rPr>
          <w:rFonts w:ascii="Garamond" w:hAnsi="Garamond"/>
          <w:sz w:val="22"/>
          <w:szCs w:val="28"/>
        </w:rPr>
        <w:t xml:space="preserve">. Available online: </w:t>
      </w:r>
      <w:hyperlink r:id="rId6" w:history="1">
        <w:r w:rsidR="009761E5" w:rsidRPr="007E1AF4">
          <w:rPr>
            <w:rStyle w:val="Hyperlink"/>
            <w:rFonts w:ascii="Garamond" w:hAnsi="Garamond"/>
            <w:sz w:val="22"/>
            <w:szCs w:val="28"/>
          </w:rPr>
          <w:t>https://www.ohchr.org/en/NewsEvents/Pages/DisplayNews.aspx?NewsID=17005&amp;LangID=E</w:t>
        </w:r>
      </w:hyperlink>
      <w:r w:rsidR="009761E5" w:rsidRPr="007E1AF4">
        <w:rPr>
          <w:rFonts w:ascii="Garamond" w:hAnsi="Garamond"/>
          <w:sz w:val="22"/>
          <w:szCs w:val="28"/>
        </w:rPr>
        <w:t xml:space="preserve"> </w:t>
      </w:r>
    </w:p>
  </w:footnote>
  <w:footnote w:id="7">
    <w:p w14:paraId="73AC7E76" w14:textId="1A84FC09" w:rsidR="003658A0" w:rsidRPr="007E1AF4" w:rsidRDefault="003658A0" w:rsidP="003658A0">
      <w:pPr>
        <w:pStyle w:val="FootnoteText"/>
        <w:rPr>
          <w:rFonts w:ascii="Garamond" w:hAnsi="Garamond"/>
          <w:sz w:val="22"/>
          <w:szCs w:val="28"/>
        </w:rPr>
      </w:pPr>
      <w:r w:rsidRPr="007E1AF4">
        <w:rPr>
          <w:rStyle w:val="FootnoteReference"/>
          <w:rFonts w:ascii="Garamond" w:hAnsi="Garamond"/>
          <w:sz w:val="22"/>
          <w:szCs w:val="28"/>
        </w:rPr>
        <w:footnoteRef/>
      </w:r>
      <w:r w:rsidRPr="007E1AF4">
        <w:rPr>
          <w:rFonts w:ascii="Garamond" w:hAnsi="Garamond"/>
          <w:sz w:val="22"/>
          <w:szCs w:val="28"/>
        </w:rPr>
        <w:t xml:space="preserve"> BBC</w:t>
      </w:r>
      <w:r w:rsidR="00B36811">
        <w:rPr>
          <w:rFonts w:ascii="Garamond" w:hAnsi="Garamond"/>
          <w:sz w:val="22"/>
          <w:szCs w:val="28"/>
        </w:rPr>
        <w:t>.</w:t>
      </w:r>
      <w:r w:rsidRPr="007E1AF4">
        <w:rPr>
          <w:rFonts w:ascii="Garamond" w:hAnsi="Garamond"/>
          <w:sz w:val="22"/>
          <w:szCs w:val="28"/>
        </w:rPr>
        <w:t xml:space="preserve"> (2021). COP26: Fossil fuel industry has largest delegation at climate summit</w:t>
      </w:r>
    </w:p>
    <w:p w14:paraId="420255F8" w14:textId="3B7C632A" w:rsidR="003658A0" w:rsidRPr="007E1AF4" w:rsidRDefault="00B25315">
      <w:pPr>
        <w:pStyle w:val="FootnoteText"/>
        <w:rPr>
          <w:rFonts w:ascii="Garamond" w:hAnsi="Garamond"/>
          <w:sz w:val="22"/>
          <w:szCs w:val="28"/>
        </w:rPr>
      </w:pPr>
      <w:hyperlink r:id="rId7" w:history="1">
        <w:r w:rsidR="003658A0" w:rsidRPr="007E1AF4">
          <w:rPr>
            <w:rStyle w:val="Hyperlink"/>
            <w:rFonts w:ascii="Garamond" w:hAnsi="Garamond"/>
            <w:sz w:val="22"/>
            <w:szCs w:val="28"/>
          </w:rPr>
          <w:t>https://www.bbc.com/news/science-environment-59199484</w:t>
        </w:r>
      </w:hyperlink>
      <w:r w:rsidR="003658A0" w:rsidRPr="007E1AF4">
        <w:rPr>
          <w:rFonts w:ascii="Garamond" w:hAnsi="Garamond"/>
          <w:sz w:val="22"/>
          <w:szCs w:val="2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539D6"/>
    <w:multiLevelType w:val="multilevel"/>
    <w:tmpl w:val="0950AEB2"/>
    <w:lvl w:ilvl="0">
      <w:start w:val="1"/>
      <w:numFmt w:val="upperLetter"/>
      <w:lvlText w:val="%1."/>
      <w:lvlJc w:val="left"/>
      <w:pPr>
        <w:ind w:left="720" w:hanging="36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DAA6647"/>
    <w:multiLevelType w:val="hybridMultilevel"/>
    <w:tmpl w:val="CAC221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CC7"/>
    <w:rsid w:val="000079E8"/>
    <w:rsid w:val="0001004C"/>
    <w:rsid w:val="00010589"/>
    <w:rsid w:val="00010D8C"/>
    <w:rsid w:val="000167E3"/>
    <w:rsid w:val="00027653"/>
    <w:rsid w:val="00040A83"/>
    <w:rsid w:val="0004419B"/>
    <w:rsid w:val="00052C44"/>
    <w:rsid w:val="00057E19"/>
    <w:rsid w:val="000815CC"/>
    <w:rsid w:val="000836B2"/>
    <w:rsid w:val="000917D9"/>
    <w:rsid w:val="00092C46"/>
    <w:rsid w:val="000B1DCC"/>
    <w:rsid w:val="000B2F98"/>
    <w:rsid w:val="000B6B8E"/>
    <w:rsid w:val="000C7EA3"/>
    <w:rsid w:val="000D3DE3"/>
    <w:rsid w:val="000D6590"/>
    <w:rsid w:val="000E4191"/>
    <w:rsid w:val="00105801"/>
    <w:rsid w:val="00105F9D"/>
    <w:rsid w:val="00113633"/>
    <w:rsid w:val="001213AD"/>
    <w:rsid w:val="001213E5"/>
    <w:rsid w:val="0012774F"/>
    <w:rsid w:val="00133F48"/>
    <w:rsid w:val="00136FA4"/>
    <w:rsid w:val="00141D9E"/>
    <w:rsid w:val="001463E9"/>
    <w:rsid w:val="0015086B"/>
    <w:rsid w:val="00161CDB"/>
    <w:rsid w:val="00161F8C"/>
    <w:rsid w:val="00172267"/>
    <w:rsid w:val="00172AF3"/>
    <w:rsid w:val="001900C1"/>
    <w:rsid w:val="00192690"/>
    <w:rsid w:val="00192855"/>
    <w:rsid w:val="001A4AA3"/>
    <w:rsid w:val="001B0BBF"/>
    <w:rsid w:val="001C4973"/>
    <w:rsid w:val="001C66DE"/>
    <w:rsid w:val="001E59BB"/>
    <w:rsid w:val="001F642D"/>
    <w:rsid w:val="0020659F"/>
    <w:rsid w:val="0020779B"/>
    <w:rsid w:val="00217054"/>
    <w:rsid w:val="0022049F"/>
    <w:rsid w:val="00222FA0"/>
    <w:rsid w:val="00225DBC"/>
    <w:rsid w:val="00226A8D"/>
    <w:rsid w:val="0022713D"/>
    <w:rsid w:val="002276A4"/>
    <w:rsid w:val="0023257F"/>
    <w:rsid w:val="0023690C"/>
    <w:rsid w:val="00237222"/>
    <w:rsid w:val="0024541E"/>
    <w:rsid w:val="00255BE5"/>
    <w:rsid w:val="00260F41"/>
    <w:rsid w:val="00270C77"/>
    <w:rsid w:val="00272CDA"/>
    <w:rsid w:val="00277E5C"/>
    <w:rsid w:val="002A373C"/>
    <w:rsid w:val="002A750E"/>
    <w:rsid w:val="002C0460"/>
    <w:rsid w:val="002C1853"/>
    <w:rsid w:val="002C62AC"/>
    <w:rsid w:val="002E2D4C"/>
    <w:rsid w:val="002E549B"/>
    <w:rsid w:val="002E5BD6"/>
    <w:rsid w:val="002F08A6"/>
    <w:rsid w:val="002F3DAA"/>
    <w:rsid w:val="002F5A52"/>
    <w:rsid w:val="0030360E"/>
    <w:rsid w:val="003178D3"/>
    <w:rsid w:val="00317A0F"/>
    <w:rsid w:val="0032058B"/>
    <w:rsid w:val="00324A29"/>
    <w:rsid w:val="00332CA0"/>
    <w:rsid w:val="003340DF"/>
    <w:rsid w:val="00346394"/>
    <w:rsid w:val="003473DF"/>
    <w:rsid w:val="003503C1"/>
    <w:rsid w:val="00352E84"/>
    <w:rsid w:val="00354552"/>
    <w:rsid w:val="003658A0"/>
    <w:rsid w:val="00367E0D"/>
    <w:rsid w:val="003760FD"/>
    <w:rsid w:val="0038080F"/>
    <w:rsid w:val="003929BA"/>
    <w:rsid w:val="00394C52"/>
    <w:rsid w:val="003B3CD0"/>
    <w:rsid w:val="003C5571"/>
    <w:rsid w:val="003D3A42"/>
    <w:rsid w:val="003D6F42"/>
    <w:rsid w:val="003E4387"/>
    <w:rsid w:val="003F48B5"/>
    <w:rsid w:val="0040391E"/>
    <w:rsid w:val="0040540C"/>
    <w:rsid w:val="00431A36"/>
    <w:rsid w:val="00432724"/>
    <w:rsid w:val="00435016"/>
    <w:rsid w:val="00441EA8"/>
    <w:rsid w:val="004453A0"/>
    <w:rsid w:val="00450144"/>
    <w:rsid w:val="00461F1B"/>
    <w:rsid w:val="004637AC"/>
    <w:rsid w:val="00471B1E"/>
    <w:rsid w:val="00471E83"/>
    <w:rsid w:val="0047717F"/>
    <w:rsid w:val="00480BF8"/>
    <w:rsid w:val="004838EF"/>
    <w:rsid w:val="00497F45"/>
    <w:rsid w:val="004A5CBB"/>
    <w:rsid w:val="004C1215"/>
    <w:rsid w:val="004C67A9"/>
    <w:rsid w:val="004C7EF6"/>
    <w:rsid w:val="004D6957"/>
    <w:rsid w:val="004D73CD"/>
    <w:rsid w:val="004E48B4"/>
    <w:rsid w:val="004E7B40"/>
    <w:rsid w:val="004F53F1"/>
    <w:rsid w:val="004F6AD0"/>
    <w:rsid w:val="00505506"/>
    <w:rsid w:val="00511EFB"/>
    <w:rsid w:val="00512C55"/>
    <w:rsid w:val="005150B9"/>
    <w:rsid w:val="00520B00"/>
    <w:rsid w:val="005264D4"/>
    <w:rsid w:val="0052653B"/>
    <w:rsid w:val="0052717A"/>
    <w:rsid w:val="00552D93"/>
    <w:rsid w:val="00555C12"/>
    <w:rsid w:val="005663FA"/>
    <w:rsid w:val="00574C45"/>
    <w:rsid w:val="0058456E"/>
    <w:rsid w:val="005929F3"/>
    <w:rsid w:val="005A33C0"/>
    <w:rsid w:val="005A7537"/>
    <w:rsid w:val="005B3716"/>
    <w:rsid w:val="005B7AE4"/>
    <w:rsid w:val="005C3948"/>
    <w:rsid w:val="005E03F9"/>
    <w:rsid w:val="005E44C3"/>
    <w:rsid w:val="006168C6"/>
    <w:rsid w:val="0061709F"/>
    <w:rsid w:val="006205DF"/>
    <w:rsid w:val="00626D34"/>
    <w:rsid w:val="0063556B"/>
    <w:rsid w:val="0063728B"/>
    <w:rsid w:val="00652B5A"/>
    <w:rsid w:val="00655709"/>
    <w:rsid w:val="00657BCE"/>
    <w:rsid w:val="0067467A"/>
    <w:rsid w:val="006774EF"/>
    <w:rsid w:val="006961B4"/>
    <w:rsid w:val="006B1610"/>
    <w:rsid w:val="006B7766"/>
    <w:rsid w:val="006C73F7"/>
    <w:rsid w:val="006D0240"/>
    <w:rsid w:val="006E4925"/>
    <w:rsid w:val="00703384"/>
    <w:rsid w:val="00717A96"/>
    <w:rsid w:val="00737123"/>
    <w:rsid w:val="0074634C"/>
    <w:rsid w:val="007468A6"/>
    <w:rsid w:val="00746CA9"/>
    <w:rsid w:val="00746FEB"/>
    <w:rsid w:val="00756F26"/>
    <w:rsid w:val="007678C6"/>
    <w:rsid w:val="007933EC"/>
    <w:rsid w:val="00796EF5"/>
    <w:rsid w:val="007A06AF"/>
    <w:rsid w:val="007D20B7"/>
    <w:rsid w:val="007D5FBA"/>
    <w:rsid w:val="007E15A6"/>
    <w:rsid w:val="007E1AF4"/>
    <w:rsid w:val="007E552A"/>
    <w:rsid w:val="00805D77"/>
    <w:rsid w:val="00806D13"/>
    <w:rsid w:val="00817767"/>
    <w:rsid w:val="008208C5"/>
    <w:rsid w:val="008234D4"/>
    <w:rsid w:val="00823899"/>
    <w:rsid w:val="00830F57"/>
    <w:rsid w:val="00834446"/>
    <w:rsid w:val="00834742"/>
    <w:rsid w:val="00835953"/>
    <w:rsid w:val="00837309"/>
    <w:rsid w:val="00837BFB"/>
    <w:rsid w:val="00843C90"/>
    <w:rsid w:val="00863E04"/>
    <w:rsid w:val="0087676F"/>
    <w:rsid w:val="008819E6"/>
    <w:rsid w:val="00887FEF"/>
    <w:rsid w:val="008971D4"/>
    <w:rsid w:val="008B09CD"/>
    <w:rsid w:val="008D74A1"/>
    <w:rsid w:val="008E3C48"/>
    <w:rsid w:val="008E42F7"/>
    <w:rsid w:val="008E5CBF"/>
    <w:rsid w:val="00905A07"/>
    <w:rsid w:val="00912298"/>
    <w:rsid w:val="0092717C"/>
    <w:rsid w:val="00935F1A"/>
    <w:rsid w:val="009447F6"/>
    <w:rsid w:val="00952DAB"/>
    <w:rsid w:val="009605C2"/>
    <w:rsid w:val="00963263"/>
    <w:rsid w:val="009761E5"/>
    <w:rsid w:val="009768EC"/>
    <w:rsid w:val="00985329"/>
    <w:rsid w:val="0098776D"/>
    <w:rsid w:val="009A135B"/>
    <w:rsid w:val="009C153F"/>
    <w:rsid w:val="009C4C96"/>
    <w:rsid w:val="009C6F0E"/>
    <w:rsid w:val="009D46E5"/>
    <w:rsid w:val="009E0541"/>
    <w:rsid w:val="009E1513"/>
    <w:rsid w:val="009F1FD0"/>
    <w:rsid w:val="00A039D3"/>
    <w:rsid w:val="00A05085"/>
    <w:rsid w:val="00A1333A"/>
    <w:rsid w:val="00A16B11"/>
    <w:rsid w:val="00A213A0"/>
    <w:rsid w:val="00A2377D"/>
    <w:rsid w:val="00A3672F"/>
    <w:rsid w:val="00A44B74"/>
    <w:rsid w:val="00A52800"/>
    <w:rsid w:val="00A55299"/>
    <w:rsid w:val="00A65000"/>
    <w:rsid w:val="00A71003"/>
    <w:rsid w:val="00A71BFC"/>
    <w:rsid w:val="00A90D2F"/>
    <w:rsid w:val="00A9183C"/>
    <w:rsid w:val="00AA402F"/>
    <w:rsid w:val="00AC6946"/>
    <w:rsid w:val="00AD2D31"/>
    <w:rsid w:val="00AE05D8"/>
    <w:rsid w:val="00AE3AF6"/>
    <w:rsid w:val="00AE6837"/>
    <w:rsid w:val="00AF6BCE"/>
    <w:rsid w:val="00B23D8D"/>
    <w:rsid w:val="00B25315"/>
    <w:rsid w:val="00B36811"/>
    <w:rsid w:val="00B520D7"/>
    <w:rsid w:val="00B661E8"/>
    <w:rsid w:val="00B74EAD"/>
    <w:rsid w:val="00B8287A"/>
    <w:rsid w:val="00BA0205"/>
    <w:rsid w:val="00BB5BC4"/>
    <w:rsid w:val="00BC14B8"/>
    <w:rsid w:val="00BC2469"/>
    <w:rsid w:val="00BC60B0"/>
    <w:rsid w:val="00BE02F6"/>
    <w:rsid w:val="00BE1068"/>
    <w:rsid w:val="00BE3959"/>
    <w:rsid w:val="00BE4C67"/>
    <w:rsid w:val="00BF5948"/>
    <w:rsid w:val="00C04BF7"/>
    <w:rsid w:val="00C12444"/>
    <w:rsid w:val="00C13EDC"/>
    <w:rsid w:val="00C5004C"/>
    <w:rsid w:val="00C7460B"/>
    <w:rsid w:val="00C828EE"/>
    <w:rsid w:val="00C83063"/>
    <w:rsid w:val="00C91F51"/>
    <w:rsid w:val="00CB34FA"/>
    <w:rsid w:val="00CC32B6"/>
    <w:rsid w:val="00CE5ED6"/>
    <w:rsid w:val="00CE7311"/>
    <w:rsid w:val="00CF0D71"/>
    <w:rsid w:val="00CF10C4"/>
    <w:rsid w:val="00D1543E"/>
    <w:rsid w:val="00D17BC0"/>
    <w:rsid w:val="00D309F3"/>
    <w:rsid w:val="00D32967"/>
    <w:rsid w:val="00D37F95"/>
    <w:rsid w:val="00D543F3"/>
    <w:rsid w:val="00D57982"/>
    <w:rsid w:val="00D708D7"/>
    <w:rsid w:val="00D718F0"/>
    <w:rsid w:val="00D804EC"/>
    <w:rsid w:val="00D90D70"/>
    <w:rsid w:val="00D97CCC"/>
    <w:rsid w:val="00DA3B27"/>
    <w:rsid w:val="00DA71A9"/>
    <w:rsid w:val="00DB46B2"/>
    <w:rsid w:val="00DC39DE"/>
    <w:rsid w:val="00DC401F"/>
    <w:rsid w:val="00DC4DB5"/>
    <w:rsid w:val="00DC7B1E"/>
    <w:rsid w:val="00DD68FD"/>
    <w:rsid w:val="00E04816"/>
    <w:rsid w:val="00E051EA"/>
    <w:rsid w:val="00E11125"/>
    <w:rsid w:val="00E11950"/>
    <w:rsid w:val="00E1525B"/>
    <w:rsid w:val="00E22C33"/>
    <w:rsid w:val="00E373CD"/>
    <w:rsid w:val="00E37D34"/>
    <w:rsid w:val="00E51281"/>
    <w:rsid w:val="00E52744"/>
    <w:rsid w:val="00E60DD0"/>
    <w:rsid w:val="00E642C9"/>
    <w:rsid w:val="00E7002E"/>
    <w:rsid w:val="00E7346A"/>
    <w:rsid w:val="00E82CFB"/>
    <w:rsid w:val="00E84B75"/>
    <w:rsid w:val="00EC43DD"/>
    <w:rsid w:val="00EC4900"/>
    <w:rsid w:val="00EC5CC7"/>
    <w:rsid w:val="00EC6593"/>
    <w:rsid w:val="00ED2389"/>
    <w:rsid w:val="00ED72B8"/>
    <w:rsid w:val="00EE1B93"/>
    <w:rsid w:val="00EE76E6"/>
    <w:rsid w:val="00EF6772"/>
    <w:rsid w:val="00F10C3E"/>
    <w:rsid w:val="00F1768E"/>
    <w:rsid w:val="00F33511"/>
    <w:rsid w:val="00F53F1A"/>
    <w:rsid w:val="00F56A3D"/>
    <w:rsid w:val="00F75966"/>
    <w:rsid w:val="00F77C74"/>
    <w:rsid w:val="00F8532D"/>
    <w:rsid w:val="00F92DFF"/>
    <w:rsid w:val="00FA4866"/>
    <w:rsid w:val="00FA6872"/>
    <w:rsid w:val="00FB2903"/>
    <w:rsid w:val="00FD4D6A"/>
    <w:rsid w:val="00FF2C84"/>
    <w:rsid w:val="00FF2E0A"/>
    <w:rsid w:val="00FF421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663EB"/>
  <w15:chartTrackingRefBased/>
  <w15:docId w15:val="{D46AAF24-E17C-43F4-96FF-9EC134A5D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58A0"/>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C7B1E"/>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DC7B1E"/>
    <w:rPr>
      <w:sz w:val="20"/>
      <w:szCs w:val="25"/>
    </w:rPr>
  </w:style>
  <w:style w:type="character" w:styleId="FootnoteReference">
    <w:name w:val="footnote reference"/>
    <w:basedOn w:val="DefaultParagraphFont"/>
    <w:uiPriority w:val="99"/>
    <w:semiHidden/>
    <w:unhideWhenUsed/>
    <w:rsid w:val="00DC7B1E"/>
    <w:rPr>
      <w:vertAlign w:val="superscript"/>
    </w:rPr>
  </w:style>
  <w:style w:type="character" w:styleId="Hyperlink">
    <w:name w:val="Hyperlink"/>
    <w:basedOn w:val="DefaultParagraphFont"/>
    <w:uiPriority w:val="99"/>
    <w:unhideWhenUsed/>
    <w:rsid w:val="00172AF3"/>
    <w:rPr>
      <w:color w:val="0563C1" w:themeColor="hyperlink"/>
      <w:u w:val="single"/>
    </w:rPr>
  </w:style>
  <w:style w:type="character" w:styleId="UnresolvedMention">
    <w:name w:val="Unresolved Mention"/>
    <w:basedOn w:val="DefaultParagraphFont"/>
    <w:uiPriority w:val="99"/>
    <w:semiHidden/>
    <w:unhideWhenUsed/>
    <w:rsid w:val="00172AF3"/>
    <w:rPr>
      <w:color w:val="605E5C"/>
      <w:shd w:val="clear" w:color="auto" w:fill="E1DFDD"/>
    </w:rPr>
  </w:style>
  <w:style w:type="paragraph" w:styleId="ListParagraph">
    <w:name w:val="List Paragraph"/>
    <w:basedOn w:val="Normal"/>
    <w:uiPriority w:val="34"/>
    <w:qFormat/>
    <w:rsid w:val="00C5004C"/>
    <w:pPr>
      <w:ind w:left="720"/>
      <w:contextualSpacing/>
    </w:pPr>
  </w:style>
  <w:style w:type="character" w:customStyle="1" w:styleId="Heading1Char">
    <w:name w:val="Heading 1 Char"/>
    <w:basedOn w:val="DefaultParagraphFont"/>
    <w:link w:val="Heading1"/>
    <w:uiPriority w:val="9"/>
    <w:rsid w:val="003658A0"/>
    <w:rPr>
      <w:rFonts w:asciiTheme="majorHAnsi" w:eastAsiaTheme="majorEastAsia" w:hAnsiTheme="majorHAnsi" w:cstheme="majorBidi"/>
      <w:color w:val="2F5496" w:themeColor="accent1" w:themeShade="BF"/>
      <w:sz w:val="32"/>
      <w:szCs w:val="40"/>
    </w:rPr>
  </w:style>
  <w:style w:type="paragraph" w:styleId="NormalWeb">
    <w:name w:val="Normal (Web)"/>
    <w:basedOn w:val="Normal"/>
    <w:uiPriority w:val="99"/>
    <w:semiHidden/>
    <w:unhideWhenUsed/>
    <w:rsid w:val="00756F26"/>
    <w:rPr>
      <w:rFonts w:ascii="Times New Roman" w:hAnsi="Times New Roman" w:cs="Angsana New"/>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426442">
      <w:bodyDiv w:val="1"/>
      <w:marLeft w:val="0"/>
      <w:marRight w:val="0"/>
      <w:marTop w:val="0"/>
      <w:marBottom w:val="0"/>
      <w:divBdr>
        <w:top w:val="none" w:sz="0" w:space="0" w:color="auto"/>
        <w:left w:val="none" w:sz="0" w:space="0" w:color="auto"/>
        <w:bottom w:val="none" w:sz="0" w:space="0" w:color="auto"/>
        <w:right w:val="none" w:sz="0" w:space="0" w:color="auto"/>
      </w:divBdr>
    </w:div>
    <w:div w:id="1214122285">
      <w:bodyDiv w:val="1"/>
      <w:marLeft w:val="0"/>
      <w:marRight w:val="0"/>
      <w:marTop w:val="0"/>
      <w:marBottom w:val="0"/>
      <w:divBdr>
        <w:top w:val="none" w:sz="0" w:space="0" w:color="auto"/>
        <w:left w:val="none" w:sz="0" w:space="0" w:color="auto"/>
        <w:bottom w:val="none" w:sz="0" w:space="0" w:color="auto"/>
        <w:right w:val="none" w:sz="0" w:space="0" w:color="auto"/>
      </w:divBdr>
    </w:div>
    <w:div w:id="1251962654">
      <w:bodyDiv w:val="1"/>
      <w:marLeft w:val="0"/>
      <w:marRight w:val="0"/>
      <w:marTop w:val="0"/>
      <w:marBottom w:val="0"/>
      <w:divBdr>
        <w:top w:val="none" w:sz="0" w:space="0" w:color="auto"/>
        <w:left w:val="none" w:sz="0" w:space="0" w:color="auto"/>
        <w:bottom w:val="none" w:sz="0" w:space="0" w:color="auto"/>
        <w:right w:val="none" w:sz="0" w:space="0" w:color="auto"/>
      </w:divBdr>
    </w:div>
    <w:div w:id="1261329862">
      <w:bodyDiv w:val="1"/>
      <w:marLeft w:val="0"/>
      <w:marRight w:val="0"/>
      <w:marTop w:val="0"/>
      <w:marBottom w:val="0"/>
      <w:divBdr>
        <w:top w:val="none" w:sz="0" w:space="0" w:color="auto"/>
        <w:left w:val="none" w:sz="0" w:space="0" w:color="auto"/>
        <w:bottom w:val="none" w:sz="0" w:space="0" w:color="auto"/>
        <w:right w:val="none" w:sz="0" w:space="0" w:color="auto"/>
      </w:divBdr>
    </w:div>
    <w:div w:id="1314918230">
      <w:bodyDiv w:val="1"/>
      <w:marLeft w:val="0"/>
      <w:marRight w:val="0"/>
      <w:marTop w:val="0"/>
      <w:marBottom w:val="0"/>
      <w:divBdr>
        <w:top w:val="none" w:sz="0" w:space="0" w:color="auto"/>
        <w:left w:val="none" w:sz="0" w:space="0" w:color="auto"/>
        <w:bottom w:val="none" w:sz="0" w:space="0" w:color="auto"/>
        <w:right w:val="none" w:sz="0" w:space="0" w:color="auto"/>
      </w:divBdr>
    </w:div>
    <w:div w:id="1576088471">
      <w:bodyDiv w:val="1"/>
      <w:marLeft w:val="0"/>
      <w:marRight w:val="0"/>
      <w:marTop w:val="0"/>
      <w:marBottom w:val="0"/>
      <w:divBdr>
        <w:top w:val="none" w:sz="0" w:space="0" w:color="auto"/>
        <w:left w:val="none" w:sz="0" w:space="0" w:color="auto"/>
        <w:bottom w:val="none" w:sz="0" w:space="0" w:color="auto"/>
        <w:right w:val="none" w:sz="0" w:space="0" w:color="auto"/>
      </w:divBdr>
    </w:div>
    <w:div w:id="192237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hrw.org/news/2020/04/08/still-no-answers-activists-disappearance-bangladesh" TargetMode="External"/><Relationship Id="rId7" Type="http://schemas.openxmlformats.org/officeDocument/2006/relationships/hyperlink" Target="https://www.bbc.com/news/science-environment-59199484" TargetMode="External"/><Relationship Id="rId2" Type="http://schemas.openxmlformats.org/officeDocument/2006/relationships/hyperlink" Target="https://sustainabledevelopment.un.org/content/documents/22670E_HLPF_2019_3_Add_2_Note_by_the_Secretariat_on_reports_of_the_regional_forums_ESCAP.pdf" TargetMode="External"/><Relationship Id="rId1" Type="http://schemas.openxmlformats.org/officeDocument/2006/relationships/hyperlink" Target="https://aippnet.org/wp-content/uploads/2021/06/AIPP-CEDAW-23June2021.pdf" TargetMode="External"/><Relationship Id="rId6" Type="http://schemas.openxmlformats.org/officeDocument/2006/relationships/hyperlink" Target="https://www.ohchr.org/en/NewsEvents/Pages/DisplayNews.aspx?NewsID=17005&amp;LangID=E" TargetMode="External"/><Relationship Id="rId5" Type="http://schemas.openxmlformats.org/officeDocument/2006/relationships/hyperlink" Target="https://www.worldbank.org/en/topic/socialprotection/overview" TargetMode="External"/><Relationship Id="rId4" Type="http://schemas.openxmlformats.org/officeDocument/2006/relationships/hyperlink" Target="https://reliefweb.int/sites/reliefweb.int/files/resources/Ethnic-Identity-in-Myanma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0F336-7A83-4EAE-9C52-B71762F49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3169</Words>
  <Characters>18067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Sanam Amin</dc:creator>
  <cp:keywords/>
  <dc:description/>
  <cp:lastModifiedBy>Pragyaa Rai</cp:lastModifiedBy>
  <cp:revision>3</cp:revision>
  <dcterms:created xsi:type="dcterms:W3CDTF">2022-01-31T09:38:00Z</dcterms:created>
  <dcterms:modified xsi:type="dcterms:W3CDTF">2022-01-31T09:41:00Z</dcterms:modified>
</cp:coreProperties>
</file>