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79" w:rsidRPr="00472199" w:rsidRDefault="00BB7979" w:rsidP="00BB7979">
      <w:pPr>
        <w:rPr>
          <w:rFonts w:ascii="Arial" w:hAnsi="Arial" w:cs="Arial"/>
          <w:b/>
          <w:sz w:val="22"/>
          <w:szCs w:val="22"/>
        </w:rPr>
      </w:pPr>
      <w:bookmarkStart w:id="0" w:name="_GoBack"/>
      <w:bookmarkEnd w:id="0"/>
    </w:p>
    <w:p w:rsidR="002B54DE" w:rsidRPr="006D032B" w:rsidRDefault="002B54DE" w:rsidP="00FE5907">
      <w:pPr>
        <w:jc w:val="center"/>
        <w:rPr>
          <w:rFonts w:ascii="Arial" w:hAnsi="Arial" w:cs="Arial"/>
          <w:b/>
        </w:rPr>
      </w:pPr>
      <w:r w:rsidRPr="006D032B">
        <w:rPr>
          <w:rFonts w:ascii="Arial" w:hAnsi="Arial" w:cs="Arial"/>
          <w:b/>
        </w:rPr>
        <w:t>Comments by the European Union to the Committee on the Elimination of Discrimination against Women (CEDAW) on the draft General Recommendation No. 39 on the rights of indigenous women and girls</w:t>
      </w:r>
    </w:p>
    <w:p w:rsidR="002B54DE" w:rsidRPr="002B54DE" w:rsidRDefault="002B54DE" w:rsidP="002B54DE">
      <w:pPr>
        <w:rPr>
          <w:rFonts w:ascii="Arial" w:hAnsi="Arial" w:cs="Arial"/>
          <w:b/>
          <w:sz w:val="22"/>
          <w:szCs w:val="22"/>
        </w:rPr>
      </w:pPr>
    </w:p>
    <w:p w:rsidR="002B54DE" w:rsidRPr="00220B85" w:rsidRDefault="002B54DE" w:rsidP="002B54DE">
      <w:pPr>
        <w:jc w:val="both"/>
        <w:rPr>
          <w:rFonts w:ascii="Arial" w:hAnsi="Arial" w:cs="Arial"/>
          <w:sz w:val="22"/>
          <w:szCs w:val="22"/>
        </w:rPr>
      </w:pPr>
      <w:r w:rsidRPr="00220B85">
        <w:rPr>
          <w:rFonts w:ascii="Arial" w:hAnsi="Arial" w:cs="Arial"/>
          <w:sz w:val="22"/>
          <w:szCs w:val="22"/>
        </w:rPr>
        <w:t xml:space="preserve">The European Union would like to thank the CEDAW Committee for the opportunity to comment on the on the draft General Recommendation No. 39 on the rights of indigenous women and girls. The EU welcomes the </w:t>
      </w:r>
      <w:r w:rsidR="006D032B" w:rsidRPr="00220B85">
        <w:rPr>
          <w:rFonts w:ascii="Arial" w:hAnsi="Arial" w:cs="Arial"/>
          <w:sz w:val="22"/>
          <w:szCs w:val="22"/>
        </w:rPr>
        <w:t xml:space="preserve">timely and critical </w:t>
      </w:r>
      <w:r w:rsidRPr="00220B85">
        <w:rPr>
          <w:rFonts w:ascii="Arial" w:hAnsi="Arial" w:cs="Arial"/>
          <w:sz w:val="22"/>
          <w:szCs w:val="22"/>
        </w:rPr>
        <w:t xml:space="preserve">initiative of a separate General recommendation pertaining to rights of indigenous women and girls. </w:t>
      </w:r>
    </w:p>
    <w:p w:rsidR="002B54DE" w:rsidRPr="00220B85" w:rsidRDefault="002B54DE" w:rsidP="002B54DE">
      <w:pPr>
        <w:rPr>
          <w:rFonts w:ascii="Arial" w:hAnsi="Arial" w:cs="Arial"/>
          <w:b/>
          <w:sz w:val="22"/>
          <w:szCs w:val="22"/>
        </w:rPr>
      </w:pPr>
    </w:p>
    <w:p w:rsidR="00767C35" w:rsidRPr="00220B85" w:rsidRDefault="002B54DE" w:rsidP="002B54DE">
      <w:pPr>
        <w:rPr>
          <w:rFonts w:ascii="Arial" w:hAnsi="Arial" w:cs="Arial"/>
          <w:b/>
          <w:sz w:val="22"/>
          <w:szCs w:val="22"/>
        </w:rPr>
      </w:pPr>
      <w:r w:rsidRPr="00220B85">
        <w:rPr>
          <w:rFonts w:ascii="Arial" w:hAnsi="Arial" w:cs="Arial"/>
          <w:b/>
          <w:sz w:val="22"/>
          <w:szCs w:val="22"/>
        </w:rPr>
        <w:t>Specific comments:</w:t>
      </w:r>
    </w:p>
    <w:p w:rsidR="00767C35" w:rsidRPr="00220B85" w:rsidRDefault="00767C35" w:rsidP="002B54DE">
      <w:pPr>
        <w:rPr>
          <w:rFonts w:ascii="Arial" w:hAnsi="Arial" w:cs="Arial"/>
          <w:sz w:val="22"/>
          <w:szCs w:val="22"/>
        </w:rPr>
      </w:pPr>
    </w:p>
    <w:p w:rsidR="00767C35" w:rsidRPr="00220B85" w:rsidRDefault="00767C35" w:rsidP="006D032B">
      <w:pPr>
        <w:ind w:left="2160" w:hanging="2160"/>
        <w:rPr>
          <w:rFonts w:ascii="Arial" w:hAnsi="Arial" w:cs="Arial"/>
          <w:sz w:val="22"/>
          <w:szCs w:val="22"/>
        </w:rPr>
      </w:pPr>
      <w:r w:rsidRPr="00220B85">
        <w:rPr>
          <w:rFonts w:ascii="Arial" w:hAnsi="Arial" w:cs="Arial"/>
          <w:b/>
          <w:sz w:val="22"/>
          <w:szCs w:val="22"/>
        </w:rPr>
        <w:t>Introduction</w:t>
      </w:r>
      <w:r w:rsidRPr="00220B85">
        <w:rPr>
          <w:rFonts w:ascii="Arial" w:hAnsi="Arial" w:cs="Arial"/>
          <w:sz w:val="22"/>
          <w:szCs w:val="22"/>
        </w:rPr>
        <w:t xml:space="preserve">: </w:t>
      </w:r>
      <w:r w:rsidR="006D032B" w:rsidRPr="00220B85">
        <w:rPr>
          <w:rFonts w:ascii="Arial" w:hAnsi="Arial" w:cs="Arial"/>
          <w:sz w:val="22"/>
          <w:szCs w:val="22"/>
        </w:rPr>
        <w:tab/>
      </w:r>
      <w:r w:rsidR="006D032B" w:rsidRPr="00FE5907">
        <w:rPr>
          <w:rFonts w:ascii="Arial" w:hAnsi="Arial" w:cs="Arial"/>
          <w:sz w:val="22"/>
          <w:szCs w:val="22"/>
          <w:u w:val="single"/>
        </w:rPr>
        <w:t>The EU notes</w:t>
      </w:r>
      <w:r w:rsidRPr="00FE5907">
        <w:rPr>
          <w:rFonts w:ascii="Arial" w:hAnsi="Arial" w:cs="Arial"/>
          <w:sz w:val="22"/>
          <w:szCs w:val="22"/>
          <w:u w:val="single"/>
        </w:rPr>
        <w:t xml:space="preserve"> that the Recommendation to some degree depicts indigenous peoples as a homogenous group. Currently it does not reflect the diversity of the around 5000 indigenous peoples of the world across continents – that their needs and situations really are very different. This diversity-aspect could be refle</w:t>
      </w:r>
      <w:r w:rsidR="006D032B" w:rsidRPr="00FE5907">
        <w:rPr>
          <w:rFonts w:ascii="Arial" w:hAnsi="Arial" w:cs="Arial"/>
          <w:sz w:val="22"/>
          <w:szCs w:val="22"/>
          <w:u w:val="single"/>
        </w:rPr>
        <w:t xml:space="preserve">cted upon somewhere in the introduction </w:t>
      </w:r>
      <w:r w:rsidRPr="00FE5907">
        <w:rPr>
          <w:rFonts w:ascii="Arial" w:hAnsi="Arial" w:cs="Arial"/>
          <w:sz w:val="22"/>
          <w:szCs w:val="22"/>
          <w:u w:val="single"/>
        </w:rPr>
        <w:t>of the recommendation text</w:t>
      </w:r>
      <w:r w:rsidR="006D032B" w:rsidRPr="00FE5907">
        <w:rPr>
          <w:rFonts w:ascii="Arial" w:hAnsi="Arial" w:cs="Arial"/>
          <w:sz w:val="22"/>
          <w:szCs w:val="22"/>
          <w:u w:val="single"/>
        </w:rPr>
        <w:t>, by stressing that some parts of the recommendation will only be applicable to certain Indigenous peoples</w:t>
      </w:r>
      <w:r w:rsidRPr="00FE5907">
        <w:rPr>
          <w:rFonts w:ascii="Arial" w:hAnsi="Arial" w:cs="Arial"/>
          <w:sz w:val="22"/>
          <w:szCs w:val="22"/>
          <w:u w:val="single"/>
        </w:rPr>
        <w:t>.</w:t>
      </w:r>
      <w:r w:rsidRPr="00220B85">
        <w:rPr>
          <w:rFonts w:ascii="Arial" w:hAnsi="Arial" w:cs="Arial"/>
          <w:sz w:val="22"/>
          <w:szCs w:val="22"/>
        </w:rPr>
        <w:t xml:space="preserve">   </w:t>
      </w:r>
    </w:p>
    <w:p w:rsidR="002B54DE" w:rsidRPr="00220B85" w:rsidRDefault="002B54DE" w:rsidP="002B54DE">
      <w:pPr>
        <w:rPr>
          <w:rFonts w:ascii="Arial" w:hAnsi="Arial" w:cs="Arial"/>
          <w:sz w:val="22"/>
          <w:szCs w:val="22"/>
        </w:rPr>
      </w:pPr>
      <w:r w:rsidRPr="00220B85">
        <w:rPr>
          <w:rFonts w:ascii="Arial" w:hAnsi="Arial" w:cs="Arial"/>
          <w:sz w:val="22"/>
          <w:szCs w:val="22"/>
        </w:rPr>
        <w:t xml:space="preserve"> </w:t>
      </w:r>
    </w:p>
    <w:p w:rsidR="002B54DE" w:rsidRPr="00220B85" w:rsidRDefault="002B54DE" w:rsidP="00D26B32">
      <w:pPr>
        <w:ind w:left="2160" w:hanging="2160"/>
        <w:rPr>
          <w:rFonts w:ascii="Arial" w:hAnsi="Arial" w:cs="Arial"/>
          <w:sz w:val="22"/>
          <w:szCs w:val="22"/>
        </w:rPr>
      </w:pPr>
      <w:r w:rsidRPr="00220B85">
        <w:rPr>
          <w:rFonts w:ascii="Arial" w:hAnsi="Arial" w:cs="Arial"/>
          <w:b/>
          <w:sz w:val="22"/>
          <w:szCs w:val="22"/>
        </w:rPr>
        <w:t>Introduction pt 5:,</w:t>
      </w:r>
      <w:r w:rsidRPr="00220B85">
        <w:rPr>
          <w:rFonts w:ascii="Arial" w:hAnsi="Arial" w:cs="Arial"/>
          <w:sz w:val="22"/>
          <w:szCs w:val="22"/>
        </w:rPr>
        <w:t xml:space="preserve"> </w:t>
      </w:r>
      <w:r w:rsidRPr="00220B85">
        <w:rPr>
          <w:rFonts w:ascii="Arial" w:hAnsi="Arial" w:cs="Arial"/>
          <w:sz w:val="22"/>
          <w:szCs w:val="22"/>
        </w:rPr>
        <w:tab/>
      </w:r>
      <w:r w:rsidR="00D26B32" w:rsidRPr="00220B85">
        <w:rPr>
          <w:rFonts w:ascii="Arial" w:hAnsi="Arial" w:cs="Arial"/>
          <w:sz w:val="22"/>
          <w:szCs w:val="22"/>
        </w:rPr>
        <w:t xml:space="preserve">The </w:t>
      </w:r>
      <w:r w:rsidRPr="00220B85">
        <w:rPr>
          <w:rFonts w:ascii="Arial" w:hAnsi="Arial" w:cs="Arial"/>
          <w:sz w:val="22"/>
          <w:szCs w:val="22"/>
        </w:rPr>
        <w:t xml:space="preserve">reference to voluntary isolation or initial contact could be clarified, currently this formulation leaves very much room for interpretation. </w:t>
      </w:r>
    </w:p>
    <w:p w:rsidR="002B54DE" w:rsidRPr="00220B85" w:rsidRDefault="002B54DE" w:rsidP="002B54DE">
      <w:pPr>
        <w:rPr>
          <w:rFonts w:ascii="Arial" w:hAnsi="Arial" w:cs="Arial"/>
          <w:b/>
          <w:sz w:val="22"/>
          <w:szCs w:val="22"/>
        </w:rPr>
      </w:pPr>
    </w:p>
    <w:p w:rsidR="00220B85" w:rsidRPr="00220B85" w:rsidRDefault="00220B85" w:rsidP="00220B85">
      <w:pPr>
        <w:ind w:left="2160" w:hanging="2160"/>
        <w:rPr>
          <w:rFonts w:ascii="Arial" w:hAnsi="Arial" w:cs="Arial"/>
          <w:color w:val="000000"/>
          <w:sz w:val="22"/>
          <w:szCs w:val="22"/>
        </w:rPr>
      </w:pPr>
      <w:r w:rsidRPr="00220B85">
        <w:rPr>
          <w:rFonts w:ascii="Arial" w:hAnsi="Arial" w:cs="Arial"/>
          <w:b/>
          <w:sz w:val="22"/>
          <w:szCs w:val="22"/>
        </w:rPr>
        <w:t>p. 15 Part f.</w:t>
      </w:r>
      <w:r w:rsidRPr="00220B85">
        <w:rPr>
          <w:rFonts w:ascii="Arial" w:hAnsi="Arial" w:cs="Arial"/>
          <w:b/>
          <w:sz w:val="22"/>
          <w:szCs w:val="22"/>
        </w:rPr>
        <w:tab/>
      </w:r>
      <w:r w:rsidRPr="00220B85">
        <w:rPr>
          <w:rFonts w:ascii="Arial" w:hAnsi="Arial" w:cs="Arial"/>
          <w:color w:val="000000"/>
          <w:sz w:val="22"/>
          <w:szCs w:val="22"/>
        </w:rPr>
        <w:t xml:space="preserve">Instead of singling out “legally incapacitated indigenous women” the text could refer to </w:t>
      </w:r>
      <w:r w:rsidR="00FE5907">
        <w:rPr>
          <w:rFonts w:ascii="Arial" w:hAnsi="Arial" w:cs="Arial"/>
          <w:color w:val="000000"/>
          <w:sz w:val="22"/>
          <w:szCs w:val="22"/>
        </w:rPr>
        <w:t xml:space="preserve">the importance of </w:t>
      </w:r>
      <w:r w:rsidRPr="00220B85">
        <w:rPr>
          <w:rFonts w:ascii="Arial" w:hAnsi="Arial" w:cs="Arial"/>
          <w:color w:val="000000"/>
          <w:sz w:val="22"/>
          <w:szCs w:val="22"/>
        </w:rPr>
        <w:t>access of all indigenous women and girls and their access to legal aid.</w:t>
      </w:r>
    </w:p>
    <w:p w:rsidR="00220B85" w:rsidRPr="00220B85" w:rsidRDefault="00220B85" w:rsidP="00220B85">
      <w:pPr>
        <w:ind w:left="2160" w:hanging="2160"/>
        <w:rPr>
          <w:rFonts w:ascii="Arial" w:hAnsi="Arial" w:cs="Arial"/>
          <w:color w:val="000000"/>
          <w:sz w:val="22"/>
          <w:szCs w:val="22"/>
        </w:rPr>
      </w:pPr>
    </w:p>
    <w:p w:rsidR="00220B85" w:rsidRPr="00220B85" w:rsidRDefault="00220B85" w:rsidP="00220B85">
      <w:pPr>
        <w:ind w:left="2160" w:hanging="2160"/>
        <w:rPr>
          <w:rFonts w:ascii="Arial" w:hAnsi="Arial" w:cs="Arial"/>
          <w:color w:val="000000"/>
          <w:sz w:val="22"/>
          <w:szCs w:val="22"/>
        </w:rPr>
      </w:pPr>
      <w:r w:rsidRPr="00FE5907">
        <w:rPr>
          <w:rFonts w:ascii="Arial" w:hAnsi="Arial" w:cs="Arial"/>
          <w:b/>
          <w:color w:val="000000"/>
          <w:sz w:val="22"/>
          <w:szCs w:val="22"/>
        </w:rPr>
        <w:t>p.18 47b:</w:t>
      </w:r>
      <w:r w:rsidRPr="00220B85">
        <w:rPr>
          <w:rFonts w:ascii="Arial" w:hAnsi="Arial" w:cs="Arial"/>
          <w:color w:val="000000"/>
          <w:sz w:val="22"/>
          <w:szCs w:val="22"/>
        </w:rPr>
        <w:t xml:space="preserve"> </w:t>
      </w:r>
      <w:r w:rsidRPr="00220B85">
        <w:rPr>
          <w:rFonts w:ascii="Arial" w:hAnsi="Arial" w:cs="Arial"/>
          <w:color w:val="000000"/>
          <w:sz w:val="22"/>
          <w:szCs w:val="22"/>
        </w:rPr>
        <w:tab/>
        <w:t>The notion of environmental, spiritual, and cultural violence is unclear and the recommendation could instead r</w:t>
      </w:r>
      <w:r w:rsidR="00FE5907">
        <w:rPr>
          <w:rFonts w:ascii="Arial" w:hAnsi="Arial" w:cs="Arial"/>
          <w:color w:val="000000"/>
          <w:sz w:val="22"/>
          <w:szCs w:val="22"/>
        </w:rPr>
        <w:t>e</w:t>
      </w:r>
      <w:r w:rsidRPr="00220B85">
        <w:rPr>
          <w:rFonts w:ascii="Arial" w:hAnsi="Arial" w:cs="Arial"/>
          <w:color w:val="000000"/>
          <w:sz w:val="22"/>
          <w:szCs w:val="22"/>
        </w:rPr>
        <w:t>fer to all forms of violence</w:t>
      </w:r>
      <w:r w:rsidR="00FE5907">
        <w:rPr>
          <w:rFonts w:ascii="Arial" w:hAnsi="Arial" w:cs="Arial"/>
          <w:color w:val="000000"/>
          <w:sz w:val="22"/>
          <w:szCs w:val="22"/>
        </w:rPr>
        <w:t xml:space="preserve"> instead of detailing types of violence, which </w:t>
      </w:r>
      <w:r w:rsidR="00C46B5D">
        <w:rPr>
          <w:rFonts w:ascii="Arial" w:hAnsi="Arial" w:cs="Arial"/>
          <w:color w:val="000000"/>
          <w:sz w:val="22"/>
          <w:szCs w:val="22"/>
        </w:rPr>
        <w:t>would need definitions</w:t>
      </w:r>
      <w:r w:rsidRPr="00220B85">
        <w:rPr>
          <w:rFonts w:ascii="Arial" w:hAnsi="Arial" w:cs="Arial"/>
          <w:color w:val="000000"/>
          <w:sz w:val="22"/>
          <w:szCs w:val="22"/>
        </w:rPr>
        <w:t>.</w:t>
      </w:r>
    </w:p>
    <w:p w:rsidR="00220B85" w:rsidRPr="00220B85" w:rsidRDefault="00220B85" w:rsidP="00220B85">
      <w:pPr>
        <w:ind w:left="2160" w:hanging="2160"/>
        <w:rPr>
          <w:rFonts w:ascii="Arial" w:hAnsi="Arial" w:cs="Arial"/>
          <w:b/>
          <w:color w:val="000000"/>
          <w:sz w:val="22"/>
          <w:szCs w:val="22"/>
        </w:rPr>
      </w:pPr>
    </w:p>
    <w:p w:rsidR="00FE5907" w:rsidRDefault="00FE5907" w:rsidP="00FE5907">
      <w:pPr>
        <w:ind w:left="2160" w:hanging="2160"/>
        <w:rPr>
          <w:rFonts w:ascii="Arial" w:hAnsi="Arial" w:cs="Arial"/>
          <w:color w:val="000000"/>
          <w:sz w:val="22"/>
          <w:szCs w:val="22"/>
        </w:rPr>
      </w:pPr>
      <w:r w:rsidRPr="00220B85">
        <w:rPr>
          <w:rFonts w:ascii="Arial" w:hAnsi="Arial" w:cs="Arial"/>
          <w:b/>
          <w:sz w:val="22"/>
          <w:szCs w:val="22"/>
        </w:rPr>
        <w:t xml:space="preserve">p.20 para 52 h. </w:t>
      </w:r>
      <w:r w:rsidRPr="00220B85">
        <w:rPr>
          <w:rFonts w:ascii="Arial" w:hAnsi="Arial" w:cs="Arial"/>
          <w:b/>
          <w:sz w:val="22"/>
          <w:szCs w:val="22"/>
        </w:rPr>
        <w:tab/>
      </w:r>
      <w:r w:rsidRPr="00220B85">
        <w:rPr>
          <w:rFonts w:ascii="Arial" w:hAnsi="Arial" w:cs="Arial"/>
          <w:sz w:val="22"/>
          <w:szCs w:val="22"/>
        </w:rPr>
        <w:t>“</w:t>
      </w:r>
      <w:r w:rsidRPr="00220B85">
        <w:rPr>
          <w:rFonts w:ascii="Arial" w:hAnsi="Arial" w:cs="Arial"/>
          <w:color w:val="000000"/>
          <w:sz w:val="22"/>
          <w:szCs w:val="22"/>
        </w:rPr>
        <w:t xml:space="preserve">States measures should include the creation of specialized government instances to protect women human rights defenders, with the effective, real, and meaningful participation of women human rights defenders.” -&gt; it would be </w:t>
      </w:r>
      <w:r>
        <w:rPr>
          <w:rFonts w:ascii="Arial" w:hAnsi="Arial" w:cs="Arial"/>
          <w:color w:val="000000"/>
          <w:sz w:val="22"/>
          <w:szCs w:val="22"/>
        </w:rPr>
        <w:t>feasible</w:t>
      </w:r>
      <w:r w:rsidRPr="00220B85">
        <w:rPr>
          <w:rFonts w:ascii="Arial" w:hAnsi="Arial" w:cs="Arial"/>
          <w:color w:val="000000"/>
          <w:sz w:val="22"/>
          <w:szCs w:val="22"/>
        </w:rPr>
        <w:t xml:space="preserve"> not to specify that </w:t>
      </w:r>
      <w:r>
        <w:rPr>
          <w:rFonts w:ascii="Arial" w:hAnsi="Arial" w:cs="Arial"/>
          <w:color w:val="000000"/>
          <w:sz w:val="22"/>
          <w:szCs w:val="22"/>
        </w:rPr>
        <w:t>entities</w:t>
      </w:r>
      <w:r w:rsidRPr="00220B85">
        <w:rPr>
          <w:rFonts w:ascii="Arial" w:hAnsi="Arial" w:cs="Arial"/>
          <w:color w:val="000000"/>
          <w:sz w:val="22"/>
          <w:szCs w:val="22"/>
        </w:rPr>
        <w:t xml:space="preserve"> to support human rights defenders need to be government instances, </w:t>
      </w:r>
      <w:r w:rsidR="00C46B5D">
        <w:rPr>
          <w:rFonts w:ascii="Arial" w:hAnsi="Arial" w:cs="Arial"/>
          <w:color w:val="000000"/>
          <w:sz w:val="22"/>
          <w:szCs w:val="22"/>
        </w:rPr>
        <w:t xml:space="preserve">as </w:t>
      </w:r>
      <w:r w:rsidRPr="00220B85">
        <w:rPr>
          <w:rFonts w:ascii="Arial" w:hAnsi="Arial" w:cs="Arial"/>
          <w:color w:val="000000"/>
          <w:sz w:val="22"/>
          <w:szCs w:val="22"/>
        </w:rPr>
        <w:t xml:space="preserve">they rather </w:t>
      </w:r>
      <w:r w:rsidR="00C46B5D" w:rsidRPr="00220B85">
        <w:rPr>
          <w:rFonts w:ascii="Arial" w:hAnsi="Arial" w:cs="Arial"/>
          <w:color w:val="000000"/>
          <w:sz w:val="22"/>
          <w:szCs w:val="22"/>
        </w:rPr>
        <w:t xml:space="preserve">could </w:t>
      </w:r>
      <w:r w:rsidR="00C46B5D">
        <w:rPr>
          <w:rFonts w:ascii="Arial" w:hAnsi="Arial" w:cs="Arial"/>
          <w:color w:val="000000"/>
          <w:sz w:val="22"/>
          <w:szCs w:val="22"/>
        </w:rPr>
        <w:t>be</w:t>
      </w:r>
      <w:r w:rsidRPr="00220B85">
        <w:rPr>
          <w:rFonts w:ascii="Arial" w:hAnsi="Arial" w:cs="Arial"/>
          <w:color w:val="000000"/>
          <w:sz w:val="22"/>
          <w:szCs w:val="22"/>
        </w:rPr>
        <w:t xml:space="preserve"> civil-society led or independent.</w:t>
      </w:r>
    </w:p>
    <w:p w:rsidR="00FE5907" w:rsidRPr="00220B85" w:rsidRDefault="00FE5907" w:rsidP="00FE5907">
      <w:pPr>
        <w:ind w:left="2160" w:hanging="2160"/>
        <w:rPr>
          <w:rFonts w:ascii="Arial" w:hAnsi="Arial" w:cs="Arial"/>
          <w:b/>
          <w:sz w:val="22"/>
          <w:szCs w:val="22"/>
        </w:rPr>
      </w:pPr>
    </w:p>
    <w:p w:rsidR="002B54DE" w:rsidRPr="00220B85" w:rsidRDefault="002B54DE" w:rsidP="002B54DE">
      <w:pPr>
        <w:ind w:left="2160" w:hanging="2160"/>
        <w:rPr>
          <w:rFonts w:ascii="Arial" w:hAnsi="Arial" w:cs="Arial"/>
          <w:b/>
          <w:sz w:val="22"/>
          <w:szCs w:val="22"/>
        </w:rPr>
      </w:pPr>
      <w:r w:rsidRPr="00220B85">
        <w:rPr>
          <w:rFonts w:ascii="Arial" w:hAnsi="Arial" w:cs="Arial"/>
          <w:b/>
          <w:sz w:val="22"/>
          <w:szCs w:val="22"/>
        </w:rPr>
        <w:t>p.28 para 71</w:t>
      </w:r>
      <w:r w:rsidR="00767C35" w:rsidRPr="00220B85">
        <w:rPr>
          <w:rFonts w:ascii="Arial" w:hAnsi="Arial" w:cs="Arial"/>
          <w:b/>
          <w:sz w:val="22"/>
          <w:szCs w:val="22"/>
        </w:rPr>
        <w:t>a</w:t>
      </w:r>
      <w:r w:rsidRPr="00220B85">
        <w:rPr>
          <w:rFonts w:ascii="Arial" w:hAnsi="Arial" w:cs="Arial"/>
          <w:b/>
          <w:sz w:val="22"/>
          <w:szCs w:val="22"/>
        </w:rPr>
        <w:tab/>
      </w:r>
      <w:r w:rsidR="00D26B32" w:rsidRPr="00220B85">
        <w:rPr>
          <w:rFonts w:ascii="Arial" w:hAnsi="Arial" w:cs="Arial"/>
          <w:sz w:val="22"/>
          <w:szCs w:val="22"/>
        </w:rPr>
        <w:t>The EU welcomes this section, however, i</w:t>
      </w:r>
      <w:r w:rsidR="00767C35" w:rsidRPr="00220B85">
        <w:rPr>
          <w:rFonts w:ascii="Arial" w:hAnsi="Arial" w:cs="Arial"/>
          <w:sz w:val="22"/>
          <w:szCs w:val="22"/>
        </w:rPr>
        <w:t>t could be specified that more measures are needed by various public and private actors to consult and ensure that the principle of</w:t>
      </w:r>
      <w:r w:rsidRPr="00220B85">
        <w:rPr>
          <w:rFonts w:ascii="Arial" w:hAnsi="Arial" w:cs="Arial"/>
          <w:sz w:val="22"/>
          <w:szCs w:val="22"/>
        </w:rPr>
        <w:t xml:space="preserve"> free, prior and informed consent of </w:t>
      </w:r>
      <w:r w:rsidR="00767C35" w:rsidRPr="00220B85">
        <w:rPr>
          <w:rFonts w:ascii="Arial" w:hAnsi="Arial" w:cs="Arial"/>
          <w:sz w:val="22"/>
          <w:szCs w:val="22"/>
        </w:rPr>
        <w:t>indigenous peoples are fully realized</w:t>
      </w:r>
      <w:r w:rsidR="00D26B32" w:rsidRPr="00220B85">
        <w:rPr>
          <w:rFonts w:ascii="Arial" w:hAnsi="Arial" w:cs="Arial"/>
          <w:sz w:val="22"/>
          <w:szCs w:val="22"/>
        </w:rPr>
        <w:t>.</w:t>
      </w:r>
    </w:p>
    <w:p w:rsidR="00767C35" w:rsidRPr="00220B85" w:rsidRDefault="00767C35" w:rsidP="002B54DE">
      <w:pPr>
        <w:ind w:left="2160" w:hanging="2160"/>
        <w:rPr>
          <w:rFonts w:ascii="Arial" w:hAnsi="Arial" w:cs="Arial"/>
          <w:b/>
          <w:sz w:val="22"/>
          <w:szCs w:val="22"/>
        </w:rPr>
      </w:pPr>
    </w:p>
    <w:p w:rsidR="00D26B32" w:rsidRPr="00220B85" w:rsidRDefault="00FE5907" w:rsidP="00767C35">
      <w:pPr>
        <w:ind w:left="2160" w:hanging="2160"/>
        <w:rPr>
          <w:rFonts w:ascii="Arial" w:hAnsi="Arial" w:cs="Arial"/>
          <w:sz w:val="22"/>
          <w:szCs w:val="22"/>
        </w:rPr>
      </w:pPr>
      <w:r>
        <w:rPr>
          <w:rFonts w:ascii="Arial" w:hAnsi="Arial" w:cs="Arial"/>
          <w:b/>
          <w:sz w:val="22"/>
          <w:szCs w:val="22"/>
        </w:rPr>
        <w:t>p.</w:t>
      </w:r>
      <w:r w:rsidR="006D032B" w:rsidRPr="00220B85">
        <w:rPr>
          <w:rFonts w:ascii="Arial" w:hAnsi="Arial" w:cs="Arial"/>
          <w:b/>
          <w:sz w:val="22"/>
          <w:szCs w:val="22"/>
        </w:rPr>
        <w:t xml:space="preserve"> 28 para 71b</w:t>
      </w:r>
      <w:r w:rsidR="00767C35" w:rsidRPr="00220B85">
        <w:rPr>
          <w:rFonts w:ascii="Arial" w:hAnsi="Arial" w:cs="Arial"/>
          <w:b/>
          <w:sz w:val="22"/>
          <w:szCs w:val="22"/>
        </w:rPr>
        <w:tab/>
      </w:r>
      <w:r w:rsidR="00767C35" w:rsidRPr="00220B85">
        <w:rPr>
          <w:rFonts w:ascii="Arial" w:hAnsi="Arial" w:cs="Arial"/>
          <w:sz w:val="22"/>
          <w:szCs w:val="22"/>
        </w:rPr>
        <w:t>Specify the need to p</w:t>
      </w:r>
      <w:r w:rsidR="002B54DE" w:rsidRPr="00220B85">
        <w:rPr>
          <w:rFonts w:ascii="Arial" w:hAnsi="Arial" w:cs="Arial"/>
          <w:sz w:val="22"/>
          <w:szCs w:val="22"/>
        </w:rPr>
        <w:t xml:space="preserve">revent and regulate activities by private actors </w:t>
      </w:r>
      <w:r w:rsidR="00767C35" w:rsidRPr="00220B85">
        <w:rPr>
          <w:rFonts w:ascii="Arial" w:hAnsi="Arial" w:cs="Arial"/>
          <w:sz w:val="22"/>
          <w:szCs w:val="22"/>
        </w:rPr>
        <w:t xml:space="preserve">not </w:t>
      </w:r>
      <w:r w:rsidR="002B54DE" w:rsidRPr="00220B85">
        <w:rPr>
          <w:rFonts w:ascii="Arial" w:hAnsi="Arial" w:cs="Arial"/>
          <w:sz w:val="22"/>
          <w:szCs w:val="22"/>
        </w:rPr>
        <w:t>that may undermine the rights of indigenous women and girls to their lands, territories and environment</w:t>
      </w:r>
      <w:r w:rsidR="00767C35" w:rsidRPr="00220B85">
        <w:rPr>
          <w:rFonts w:ascii="Arial" w:hAnsi="Arial" w:cs="Arial"/>
          <w:sz w:val="22"/>
          <w:szCs w:val="22"/>
        </w:rPr>
        <w:t xml:space="preserve"> but all activities that may affect them</w:t>
      </w:r>
      <w:r w:rsidR="00220B85" w:rsidRPr="00220B85">
        <w:rPr>
          <w:rFonts w:ascii="Arial" w:hAnsi="Arial" w:cs="Arial"/>
          <w:sz w:val="22"/>
          <w:szCs w:val="22"/>
        </w:rPr>
        <w:t>.</w:t>
      </w:r>
    </w:p>
    <w:p w:rsidR="002873F7" w:rsidRPr="00220B85" w:rsidRDefault="002873F7">
      <w:pPr>
        <w:rPr>
          <w:rFonts w:ascii="Arial" w:hAnsi="Arial" w:cs="Arial"/>
          <w:sz w:val="22"/>
          <w:szCs w:val="22"/>
        </w:rPr>
      </w:pPr>
    </w:p>
    <w:sectPr w:rsidR="002873F7" w:rsidRPr="00220B85" w:rsidSect="00BB7979">
      <w:footerReference w:type="default" r:id="rId7"/>
      <w:headerReference w:type="first" r:id="rId8"/>
      <w:footerReference w:type="first" r:id="rId9"/>
      <w:pgSz w:w="11906" w:h="16838"/>
      <w:pgMar w:top="156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93" w:rsidRDefault="00792793" w:rsidP="00BB7979">
      <w:r>
        <w:separator/>
      </w:r>
    </w:p>
  </w:endnote>
  <w:endnote w:type="continuationSeparator" w:id="0">
    <w:p w:rsidR="00792793" w:rsidRDefault="00792793" w:rsidP="00B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7C6BA9">
    <w:pPr>
      <w:pStyle w:val="Footer"/>
      <w:jc w:val="center"/>
    </w:pPr>
    <w:r>
      <w:fldChar w:fldCharType="begin"/>
    </w:r>
    <w:r>
      <w:instrText>PAGE</w:instrText>
    </w:r>
    <w:r>
      <w:fldChar w:fldCharType="separate"/>
    </w:r>
    <w:r w:rsidR="00C46B5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792793">
    <w:pPr>
      <w:pStyle w:val="Footer"/>
      <w:rPr>
        <w:sz w:val="24"/>
        <w:szCs w:val="24"/>
      </w:rPr>
    </w:pPr>
  </w:p>
  <w:p w:rsidR="00062ABF" w:rsidRDefault="007C6BA9">
    <w:pPr>
      <w:pStyle w:val="Footer"/>
    </w:pPr>
    <w:r w:rsidRPr="007D6C85">
      <w:rPr>
        <w:lang w:val="fr-FR"/>
      </w:rPr>
      <w:t xml:space="preserve">Service Européen pour l'Action Extérieure, B-1046 Bruxelles / Europese dienst voor extern optreden, B-1046 Brussel - Belgium. </w:t>
    </w:r>
    <w:r>
      <w:t>Telephone: (32-2) 584 11 11.</w:t>
    </w:r>
    <w:r>
      <w:rPr>
        <w:noProof/>
      </w:rPr>
      <w:br/>
      <w:t xml:space="preserve">Office: </w:t>
    </w:r>
    <w:r>
      <w:rPr>
        <w:noProof/>
        <w:lang w:val="en-US"/>
      </w:rPr>
      <w:t>EEAS SCHU 07/006</w:t>
    </w:r>
    <w:r>
      <w:rPr>
        <w:noProof/>
      </w:rPr>
      <w:t xml:space="preserve"> Telephone: direct line (32-2) 584 </w:t>
    </w:r>
    <w:r w:rsidR="00CA054A">
      <w:rPr>
        <w:noProof/>
      </w:rPr>
      <w:t>6258</w:t>
    </w:r>
  </w:p>
  <w:p w:rsidR="00062ABF" w:rsidRPr="00CA054A" w:rsidRDefault="007C6BA9">
    <w:pPr>
      <w:pStyle w:val="Footer"/>
    </w:pPr>
    <w:r w:rsidRPr="00CA054A">
      <w:t xml:space="preserve">E-mail: </w:t>
    </w:r>
    <w:r w:rsidR="00CA054A" w:rsidRPr="00CA054A">
      <w:t>Belen</w:t>
    </w:r>
    <w:r w:rsidRPr="00CA054A">
      <w:t>.</w:t>
    </w:r>
    <w:r w:rsidR="00CA054A" w:rsidRPr="00CA054A">
      <w:t>Martinez-Carbonell</w:t>
    </w:r>
    <w:r w:rsidRPr="00CA054A">
      <w:t>@eeas.europa.eu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93" w:rsidRDefault="00792793" w:rsidP="00BB7979">
      <w:r>
        <w:separator/>
      </w:r>
    </w:p>
  </w:footnote>
  <w:footnote w:type="continuationSeparator" w:id="0">
    <w:p w:rsidR="00792793" w:rsidRDefault="00792793" w:rsidP="00BB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792793">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BA4C46"/>
    <w:multiLevelType w:val="hybridMultilevel"/>
    <w:tmpl w:val="BDC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37B22"/>
    <w:multiLevelType w:val="hybridMultilevel"/>
    <w:tmpl w:val="CE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335A3"/>
    <w:multiLevelType w:val="hybridMultilevel"/>
    <w:tmpl w:val="DE3647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E0692E"/>
    <w:multiLevelType w:val="hybridMultilevel"/>
    <w:tmpl w:val="B5D66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A4A27"/>
    <w:rsid w:val="00220B85"/>
    <w:rsid w:val="002873F7"/>
    <w:rsid w:val="002B54DE"/>
    <w:rsid w:val="00460327"/>
    <w:rsid w:val="00471337"/>
    <w:rsid w:val="00472199"/>
    <w:rsid w:val="004A312B"/>
    <w:rsid w:val="005875A9"/>
    <w:rsid w:val="00643481"/>
    <w:rsid w:val="006A4A27"/>
    <w:rsid w:val="006D032B"/>
    <w:rsid w:val="00767C35"/>
    <w:rsid w:val="00792793"/>
    <w:rsid w:val="007C6BA9"/>
    <w:rsid w:val="009E10E0"/>
    <w:rsid w:val="00AA1747"/>
    <w:rsid w:val="00BB7979"/>
    <w:rsid w:val="00C46B5D"/>
    <w:rsid w:val="00CA054A"/>
    <w:rsid w:val="00D26B32"/>
    <w:rsid w:val="00D47185"/>
    <w:rsid w:val="00D74625"/>
    <w:rsid w:val="00D96F1E"/>
    <w:rsid w:val="00E87541"/>
    <w:rsid w:val="00FE5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34FE2-557E-4D0F-B34E-E4E85E1B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7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7979"/>
    <w:pPr>
      <w:ind w:right="-567"/>
    </w:pPr>
    <w:rPr>
      <w:rFonts w:ascii="Arial" w:hAnsi="Arial"/>
      <w:sz w:val="16"/>
      <w:szCs w:val="20"/>
      <w:lang w:eastAsia="en-US"/>
    </w:rPr>
  </w:style>
  <w:style w:type="character" w:customStyle="1" w:styleId="FooterChar">
    <w:name w:val="Footer Char"/>
    <w:basedOn w:val="DefaultParagraphFont"/>
    <w:link w:val="Footer"/>
    <w:rsid w:val="00BB7979"/>
    <w:rPr>
      <w:rFonts w:ascii="Arial" w:eastAsia="Times New Roman" w:hAnsi="Arial" w:cs="Times New Roman"/>
      <w:sz w:val="16"/>
      <w:szCs w:val="20"/>
    </w:rPr>
  </w:style>
  <w:style w:type="paragraph" w:styleId="Header">
    <w:name w:val="header"/>
    <w:basedOn w:val="Normal"/>
    <w:link w:val="HeaderChar"/>
    <w:rsid w:val="00BB7979"/>
    <w:pPr>
      <w:tabs>
        <w:tab w:val="center" w:pos="4153"/>
        <w:tab w:val="right" w:pos="8306"/>
      </w:tabs>
      <w:spacing w:after="240"/>
      <w:jc w:val="both"/>
    </w:pPr>
    <w:rPr>
      <w:szCs w:val="20"/>
      <w:lang w:eastAsia="en-US"/>
    </w:rPr>
  </w:style>
  <w:style w:type="character" w:customStyle="1" w:styleId="HeaderChar">
    <w:name w:val="Header Char"/>
    <w:basedOn w:val="DefaultParagraphFont"/>
    <w:link w:val="Header"/>
    <w:rsid w:val="00BB7979"/>
    <w:rPr>
      <w:rFonts w:ascii="Times New Roman" w:eastAsia="Times New Roman" w:hAnsi="Times New Roman" w:cs="Times New Roman"/>
      <w:sz w:val="24"/>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rsid w:val="00BB797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B7979"/>
    <w:rPr>
      <w:color w:val="0563C1" w:themeColor="hyperlink"/>
      <w:u w:val="single"/>
    </w:rPr>
  </w:style>
  <w:style w:type="paragraph" w:styleId="FootnoteText">
    <w:name w:val="footnote text"/>
    <w:basedOn w:val="Normal"/>
    <w:link w:val="FootnoteTextChar"/>
    <w:uiPriority w:val="99"/>
    <w:semiHidden/>
    <w:unhideWhenUsed/>
    <w:rsid w:val="00BB797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B7979"/>
    <w:rPr>
      <w:sz w:val="20"/>
      <w:szCs w:val="20"/>
    </w:rPr>
  </w:style>
  <w:style w:type="character" w:styleId="FootnoteReference">
    <w:name w:val="footnote reference"/>
    <w:aliases w:val="referencia nota al pie,Footnote symbol,Footnote,FC,Texto de nota al pie,BVI fnr,Ref. de nota al pie2,Nota de pie,Ref,de nota al pie,Pie de pagina,Texto nota al pie,Appel note de bas de p,Ref. de nota al pie 2,ftref, BVI fnr, Car1"/>
    <w:basedOn w:val="DefaultParagraphFont"/>
    <w:link w:val="BVIfnrCharCar1CarChar"/>
    <w:uiPriority w:val="99"/>
    <w:unhideWhenUsed/>
    <w:rsid w:val="00BB7979"/>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BB7979"/>
    <w:pPr>
      <w:spacing w:before="30"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BB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8770">
      <w:bodyDiv w:val="1"/>
      <w:marLeft w:val="0"/>
      <w:marRight w:val="0"/>
      <w:marTop w:val="0"/>
      <w:marBottom w:val="0"/>
      <w:divBdr>
        <w:top w:val="none" w:sz="0" w:space="0" w:color="auto"/>
        <w:left w:val="none" w:sz="0" w:space="0" w:color="auto"/>
        <w:bottom w:val="none" w:sz="0" w:space="0" w:color="auto"/>
        <w:right w:val="none" w:sz="0" w:space="0" w:color="auto"/>
      </w:divBdr>
    </w:div>
    <w:div w:id="404373521">
      <w:bodyDiv w:val="1"/>
      <w:marLeft w:val="0"/>
      <w:marRight w:val="0"/>
      <w:marTop w:val="0"/>
      <w:marBottom w:val="0"/>
      <w:divBdr>
        <w:top w:val="none" w:sz="0" w:space="0" w:color="auto"/>
        <w:left w:val="none" w:sz="0" w:space="0" w:color="auto"/>
        <w:bottom w:val="none" w:sz="0" w:space="0" w:color="auto"/>
        <w:right w:val="none" w:sz="0" w:space="0" w:color="auto"/>
      </w:divBdr>
    </w:div>
    <w:div w:id="18560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MIGNUCCI Isabelle (EEAS)</dc:creator>
  <cp:keywords/>
  <dc:description/>
  <cp:lastModifiedBy>LAHDENSUU Laura (EEAS-GENEVA)</cp:lastModifiedBy>
  <cp:revision>2</cp:revision>
  <dcterms:created xsi:type="dcterms:W3CDTF">2022-02-07T14:32:00Z</dcterms:created>
  <dcterms:modified xsi:type="dcterms:W3CDTF">2022-02-07T14:32:00Z</dcterms:modified>
</cp:coreProperties>
</file>