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8F" w:rsidRPr="00144ED9" w:rsidRDefault="000C0A0C" w:rsidP="005A1C71">
      <w:pPr>
        <w:jc w:val="center"/>
        <w:rPr>
          <w:rFonts w:ascii="Times New Roman" w:hAnsi="Times New Roman" w:cs="Times New Roman"/>
          <w:b/>
          <w:sz w:val="24"/>
          <w:szCs w:val="24"/>
        </w:rPr>
      </w:pPr>
      <w:r w:rsidRPr="00144ED9">
        <w:rPr>
          <w:rFonts w:ascii="Times New Roman" w:hAnsi="Times New Roman" w:cs="Times New Roman"/>
          <w:b/>
          <w:sz w:val="24"/>
          <w:szCs w:val="24"/>
        </w:rPr>
        <w:t xml:space="preserve">Comments to the Draft Recommendation </w:t>
      </w:r>
      <w:r w:rsidR="00C524BC" w:rsidRPr="00144ED9">
        <w:rPr>
          <w:rFonts w:ascii="Times New Roman" w:hAnsi="Times New Roman" w:cs="Times New Roman"/>
          <w:b/>
          <w:sz w:val="24"/>
          <w:szCs w:val="24"/>
        </w:rPr>
        <w:t>No. 39 on</w:t>
      </w:r>
      <w:r w:rsidRPr="00144ED9">
        <w:rPr>
          <w:rFonts w:ascii="Times New Roman" w:hAnsi="Times New Roman" w:cs="Times New Roman"/>
          <w:b/>
          <w:sz w:val="24"/>
          <w:szCs w:val="24"/>
        </w:rPr>
        <w:t xml:space="preserve"> I</w:t>
      </w:r>
      <w:r w:rsidR="00C524BC" w:rsidRPr="00144ED9">
        <w:rPr>
          <w:rFonts w:ascii="Times New Roman" w:hAnsi="Times New Roman" w:cs="Times New Roman"/>
          <w:b/>
          <w:sz w:val="24"/>
          <w:szCs w:val="24"/>
        </w:rPr>
        <w:t xml:space="preserve">ndigenous </w:t>
      </w:r>
      <w:r w:rsidRPr="00144ED9">
        <w:rPr>
          <w:rFonts w:ascii="Times New Roman" w:hAnsi="Times New Roman" w:cs="Times New Roman"/>
          <w:b/>
          <w:sz w:val="24"/>
          <w:szCs w:val="24"/>
        </w:rPr>
        <w:t>W</w:t>
      </w:r>
      <w:r w:rsidR="00C524BC" w:rsidRPr="00144ED9">
        <w:rPr>
          <w:rFonts w:ascii="Times New Roman" w:hAnsi="Times New Roman" w:cs="Times New Roman"/>
          <w:b/>
          <w:sz w:val="24"/>
          <w:szCs w:val="24"/>
        </w:rPr>
        <w:t xml:space="preserve">omen and </w:t>
      </w:r>
      <w:r w:rsidRPr="00144ED9">
        <w:rPr>
          <w:rFonts w:ascii="Times New Roman" w:hAnsi="Times New Roman" w:cs="Times New Roman"/>
          <w:b/>
          <w:sz w:val="24"/>
          <w:szCs w:val="24"/>
        </w:rPr>
        <w:t>G</w:t>
      </w:r>
      <w:r w:rsidR="00C524BC" w:rsidRPr="00144ED9">
        <w:rPr>
          <w:rFonts w:ascii="Times New Roman" w:hAnsi="Times New Roman" w:cs="Times New Roman"/>
          <w:b/>
          <w:sz w:val="24"/>
          <w:szCs w:val="24"/>
        </w:rPr>
        <w:t>irls</w:t>
      </w:r>
    </w:p>
    <w:p w:rsidR="000C0A0C" w:rsidRPr="00144ED9" w:rsidRDefault="000C0A0C" w:rsidP="005A1C71">
      <w:pPr>
        <w:jc w:val="center"/>
        <w:rPr>
          <w:rFonts w:ascii="Times New Roman" w:hAnsi="Times New Roman" w:cs="Times New Roman"/>
          <w:b/>
          <w:sz w:val="24"/>
          <w:szCs w:val="24"/>
        </w:rPr>
      </w:pPr>
      <w:r w:rsidRPr="00144ED9">
        <w:rPr>
          <w:rFonts w:ascii="Times New Roman" w:hAnsi="Times New Roman" w:cs="Times New Roman"/>
          <w:b/>
          <w:sz w:val="24"/>
          <w:szCs w:val="24"/>
        </w:rPr>
        <w:t>Romina Quezada</w:t>
      </w:r>
      <w:r w:rsidR="00C524BC" w:rsidRPr="00144ED9">
        <w:rPr>
          <w:rStyle w:val="FootnoteReference"/>
          <w:rFonts w:ascii="Times New Roman" w:hAnsi="Times New Roman" w:cs="Times New Roman"/>
          <w:b/>
          <w:sz w:val="24"/>
          <w:szCs w:val="24"/>
        </w:rPr>
        <w:footnoteReference w:id="1"/>
      </w:r>
    </w:p>
    <w:p w:rsidR="000C0A0C" w:rsidRPr="00144ED9" w:rsidRDefault="000C0A0C">
      <w:pPr>
        <w:rPr>
          <w:rFonts w:ascii="Times New Roman" w:hAnsi="Times New Roman" w:cs="Times New Roman"/>
          <w:sz w:val="24"/>
          <w:szCs w:val="24"/>
        </w:rPr>
      </w:pPr>
    </w:p>
    <w:p w:rsidR="000C0A0C" w:rsidRPr="00144ED9" w:rsidRDefault="000C0A0C">
      <w:pPr>
        <w:rPr>
          <w:rFonts w:ascii="Times New Roman" w:hAnsi="Times New Roman" w:cs="Times New Roman"/>
          <w:b/>
          <w:sz w:val="24"/>
          <w:szCs w:val="24"/>
        </w:rPr>
      </w:pPr>
      <w:r w:rsidRPr="00144ED9">
        <w:rPr>
          <w:rFonts w:ascii="Times New Roman" w:hAnsi="Times New Roman" w:cs="Times New Roman"/>
          <w:b/>
          <w:sz w:val="24"/>
          <w:szCs w:val="24"/>
        </w:rPr>
        <w:t>Background</w:t>
      </w:r>
    </w:p>
    <w:p w:rsidR="00803145" w:rsidRDefault="00061CDB">
      <w:pPr>
        <w:rPr>
          <w:rFonts w:ascii="Times New Roman" w:hAnsi="Times New Roman" w:cs="Times New Roman"/>
          <w:sz w:val="24"/>
          <w:szCs w:val="24"/>
        </w:rPr>
      </w:pPr>
      <w:r>
        <w:rPr>
          <w:rFonts w:ascii="Times New Roman" w:hAnsi="Times New Roman" w:cs="Times New Roman"/>
          <w:sz w:val="24"/>
          <w:szCs w:val="24"/>
        </w:rPr>
        <w:t>The comments in this document</w:t>
      </w:r>
      <w:r w:rsidR="000C0A0C" w:rsidRPr="00144ED9">
        <w:rPr>
          <w:rFonts w:ascii="Times New Roman" w:hAnsi="Times New Roman" w:cs="Times New Roman"/>
          <w:sz w:val="24"/>
          <w:szCs w:val="24"/>
        </w:rPr>
        <w:t xml:space="preserve"> </w:t>
      </w:r>
      <w:r w:rsidR="00F127E3">
        <w:rPr>
          <w:rFonts w:ascii="Times New Roman" w:hAnsi="Times New Roman" w:cs="Times New Roman"/>
          <w:sz w:val="24"/>
          <w:szCs w:val="24"/>
        </w:rPr>
        <w:t>are based on three ge</w:t>
      </w:r>
      <w:r>
        <w:rPr>
          <w:rFonts w:ascii="Times New Roman" w:hAnsi="Times New Roman" w:cs="Times New Roman"/>
          <w:sz w:val="24"/>
          <w:szCs w:val="24"/>
        </w:rPr>
        <w:t>neral observations</w:t>
      </w:r>
      <w:r w:rsidR="00F127E3">
        <w:rPr>
          <w:rFonts w:ascii="Times New Roman" w:hAnsi="Times New Roman" w:cs="Times New Roman"/>
          <w:sz w:val="24"/>
          <w:szCs w:val="24"/>
        </w:rPr>
        <w:t xml:space="preserve">: </w:t>
      </w:r>
    </w:p>
    <w:p w:rsidR="000C0A0C" w:rsidRPr="00F127E3" w:rsidRDefault="00F127E3" w:rsidP="00F127E3">
      <w:pPr>
        <w:rPr>
          <w:rFonts w:ascii="Times New Roman" w:hAnsi="Times New Roman" w:cs="Times New Roman"/>
          <w:sz w:val="24"/>
          <w:szCs w:val="24"/>
        </w:rPr>
      </w:pPr>
      <w:r>
        <w:rPr>
          <w:rFonts w:ascii="Times New Roman" w:hAnsi="Times New Roman" w:cs="Times New Roman"/>
          <w:sz w:val="24"/>
          <w:szCs w:val="24"/>
        </w:rPr>
        <w:t>1.</w:t>
      </w:r>
      <w:r w:rsidR="000C0A0C" w:rsidRPr="00F127E3">
        <w:rPr>
          <w:rFonts w:ascii="Times New Roman" w:hAnsi="Times New Roman" w:cs="Times New Roman"/>
          <w:sz w:val="24"/>
          <w:szCs w:val="24"/>
        </w:rPr>
        <w:t xml:space="preserve">I agree on paragraph 4 of </w:t>
      </w:r>
      <w:r w:rsidR="00DA5BFF" w:rsidRPr="00F127E3">
        <w:rPr>
          <w:rFonts w:ascii="Times New Roman" w:hAnsi="Times New Roman" w:cs="Times New Roman"/>
          <w:sz w:val="24"/>
          <w:szCs w:val="24"/>
        </w:rPr>
        <w:t>the Draft Recommendation No. 39 on Indigenous Women and Girls</w:t>
      </w:r>
      <w:r w:rsidR="000C0A0C" w:rsidRPr="00F127E3">
        <w:rPr>
          <w:rFonts w:ascii="Times New Roman" w:hAnsi="Times New Roman" w:cs="Times New Roman"/>
          <w:sz w:val="24"/>
          <w:szCs w:val="24"/>
        </w:rPr>
        <w:t xml:space="preserve"> –hereafter referred to as the Draft– in that the approach to formulate and implement the rights of Indigenous girls and women should be intersectional, intercultural, and multidisciplinary. </w:t>
      </w:r>
    </w:p>
    <w:p w:rsidR="000C0A0C" w:rsidRPr="00F127E3" w:rsidRDefault="00F127E3" w:rsidP="00F127E3">
      <w:pPr>
        <w:rPr>
          <w:rFonts w:ascii="Times New Roman" w:hAnsi="Times New Roman" w:cs="Times New Roman"/>
          <w:sz w:val="24"/>
          <w:szCs w:val="24"/>
        </w:rPr>
      </w:pPr>
      <w:r>
        <w:rPr>
          <w:rFonts w:ascii="Times New Roman" w:hAnsi="Times New Roman" w:cs="Times New Roman"/>
          <w:sz w:val="24"/>
          <w:szCs w:val="24"/>
        </w:rPr>
        <w:t>2.</w:t>
      </w:r>
      <w:r w:rsidR="000C0A0C" w:rsidRPr="00F127E3">
        <w:rPr>
          <w:rFonts w:ascii="Times New Roman" w:hAnsi="Times New Roman" w:cs="Times New Roman"/>
          <w:sz w:val="24"/>
          <w:szCs w:val="24"/>
        </w:rPr>
        <w:t xml:space="preserve">I recognize the usefulness of data to support arguments and guide policies relevant to the rights of Indigenous girls and women. I therefore make suggestions in this regard that take into account Indigenous girls and women’s sociocultural contexts –the national, the local, and the community contexts. </w:t>
      </w:r>
    </w:p>
    <w:p w:rsidR="000C0A0C" w:rsidRPr="00144ED9" w:rsidRDefault="00CB492E">
      <w:pPr>
        <w:rPr>
          <w:rFonts w:ascii="Times New Roman" w:hAnsi="Times New Roman" w:cs="Times New Roman"/>
          <w:sz w:val="24"/>
          <w:szCs w:val="24"/>
        </w:rPr>
      </w:pPr>
      <w:r>
        <w:rPr>
          <w:rFonts w:ascii="Times New Roman" w:hAnsi="Times New Roman" w:cs="Times New Roman"/>
          <w:sz w:val="24"/>
          <w:szCs w:val="24"/>
        </w:rPr>
        <w:t>3.I suggest considering</w:t>
      </w:r>
      <w:r w:rsidR="00F127E3">
        <w:rPr>
          <w:rFonts w:ascii="Times New Roman" w:hAnsi="Times New Roman" w:cs="Times New Roman"/>
          <w:sz w:val="24"/>
          <w:szCs w:val="24"/>
        </w:rPr>
        <w:t xml:space="preserve"> t</w:t>
      </w:r>
      <w:r w:rsidR="000C0A0C" w:rsidRPr="00144ED9">
        <w:rPr>
          <w:rFonts w:ascii="Times New Roman" w:hAnsi="Times New Roman" w:cs="Times New Roman"/>
          <w:sz w:val="24"/>
          <w:szCs w:val="24"/>
        </w:rPr>
        <w:t xml:space="preserve">he CEDAW framework </w:t>
      </w:r>
      <w:r w:rsidR="007A3C98" w:rsidRPr="00144ED9">
        <w:rPr>
          <w:rFonts w:ascii="Times New Roman" w:hAnsi="Times New Roman" w:cs="Times New Roman"/>
          <w:sz w:val="24"/>
          <w:szCs w:val="24"/>
        </w:rPr>
        <w:t>that appears in General Re</w:t>
      </w:r>
      <w:r>
        <w:rPr>
          <w:rFonts w:ascii="Times New Roman" w:hAnsi="Times New Roman" w:cs="Times New Roman"/>
          <w:sz w:val="24"/>
          <w:szCs w:val="24"/>
        </w:rPr>
        <w:t>commendation No. 28, and that monitors equality, for its inclusion in</w:t>
      </w:r>
      <w:r w:rsidR="00F127E3">
        <w:rPr>
          <w:rFonts w:ascii="Times New Roman" w:hAnsi="Times New Roman" w:cs="Times New Roman"/>
          <w:sz w:val="24"/>
          <w:szCs w:val="24"/>
        </w:rPr>
        <w:t xml:space="preserve"> the Draft</w:t>
      </w:r>
      <w:r w:rsidR="000C0A0C" w:rsidRPr="00144ED9">
        <w:rPr>
          <w:rFonts w:ascii="Times New Roman" w:hAnsi="Times New Roman" w:cs="Times New Roman"/>
          <w:sz w:val="24"/>
          <w:szCs w:val="24"/>
        </w:rPr>
        <w:t>.</w:t>
      </w:r>
      <w:r w:rsidR="00D464D7" w:rsidRPr="00144ED9">
        <w:rPr>
          <w:rStyle w:val="FootnoteReference"/>
          <w:rFonts w:ascii="Times New Roman" w:hAnsi="Times New Roman" w:cs="Times New Roman"/>
          <w:sz w:val="24"/>
          <w:szCs w:val="24"/>
        </w:rPr>
        <w:footnoteReference w:id="2"/>
      </w:r>
      <w:r w:rsidR="000C0A0C" w:rsidRPr="00144ED9">
        <w:rPr>
          <w:rFonts w:ascii="Times New Roman" w:hAnsi="Times New Roman" w:cs="Times New Roman"/>
          <w:sz w:val="24"/>
          <w:szCs w:val="24"/>
        </w:rPr>
        <w:t xml:space="preserve"> </w:t>
      </w:r>
      <w:r w:rsidR="00F127E3" w:rsidRPr="00144ED9">
        <w:rPr>
          <w:rFonts w:ascii="Times New Roman" w:hAnsi="Times New Roman" w:cs="Times New Roman"/>
          <w:sz w:val="24"/>
          <w:szCs w:val="24"/>
        </w:rPr>
        <w:t>The CEDAW framework distinguish</w:t>
      </w:r>
      <w:r>
        <w:rPr>
          <w:rFonts w:ascii="Times New Roman" w:hAnsi="Times New Roman" w:cs="Times New Roman"/>
          <w:sz w:val="24"/>
          <w:szCs w:val="24"/>
        </w:rPr>
        <w:t>es</w:t>
      </w:r>
      <w:r w:rsidR="00F127E3" w:rsidRPr="00144ED9">
        <w:rPr>
          <w:rFonts w:ascii="Times New Roman" w:hAnsi="Times New Roman" w:cs="Times New Roman"/>
          <w:sz w:val="24"/>
          <w:szCs w:val="24"/>
        </w:rPr>
        <w:t xml:space="preserve"> between de </w:t>
      </w:r>
      <w:r w:rsidR="00491927">
        <w:rPr>
          <w:rFonts w:ascii="Times New Roman" w:hAnsi="Times New Roman" w:cs="Times New Roman"/>
          <w:sz w:val="24"/>
          <w:szCs w:val="24"/>
        </w:rPr>
        <w:t>jure</w:t>
      </w:r>
      <w:r w:rsidR="00F127E3" w:rsidRPr="00144ED9">
        <w:rPr>
          <w:rFonts w:ascii="Times New Roman" w:hAnsi="Times New Roman" w:cs="Times New Roman"/>
          <w:sz w:val="24"/>
          <w:szCs w:val="24"/>
        </w:rPr>
        <w:t xml:space="preserve"> equality, de facto equality, and results equality</w:t>
      </w:r>
      <w:r>
        <w:rPr>
          <w:rFonts w:ascii="Times New Roman" w:hAnsi="Times New Roman" w:cs="Times New Roman"/>
          <w:sz w:val="24"/>
          <w:szCs w:val="24"/>
        </w:rPr>
        <w:t>, distinction by which it is possible to monitor and evaluate equality and equity.</w:t>
      </w:r>
      <w:r w:rsidR="00F127E3">
        <w:rPr>
          <w:rFonts w:ascii="Times New Roman" w:hAnsi="Times New Roman" w:cs="Times New Roman"/>
          <w:sz w:val="24"/>
          <w:szCs w:val="24"/>
        </w:rPr>
        <w:t xml:space="preserve"> However, i</w:t>
      </w:r>
      <w:r w:rsidR="000C0A0C" w:rsidRPr="00144ED9">
        <w:rPr>
          <w:rFonts w:ascii="Times New Roman" w:hAnsi="Times New Roman" w:cs="Times New Roman"/>
          <w:sz w:val="24"/>
          <w:szCs w:val="24"/>
        </w:rPr>
        <w:t>nternational documents have opted for including the concept of equity within equality, which has led to misinterpretations of what is sex and gender equality.</w:t>
      </w:r>
      <w:r w:rsidR="00C767FB">
        <w:rPr>
          <w:rStyle w:val="FootnoteReference"/>
          <w:rFonts w:ascii="Times New Roman" w:hAnsi="Times New Roman" w:cs="Times New Roman"/>
          <w:sz w:val="24"/>
          <w:szCs w:val="24"/>
        </w:rPr>
        <w:footnoteReference w:id="3"/>
      </w:r>
      <w:r w:rsidR="000C0A0C" w:rsidRPr="00144ED9">
        <w:rPr>
          <w:rFonts w:ascii="Times New Roman" w:hAnsi="Times New Roman" w:cs="Times New Roman"/>
          <w:sz w:val="24"/>
          <w:szCs w:val="24"/>
        </w:rPr>
        <w:t xml:space="preserve"> While equality usually relates to all genders accessing the same opportunities, equity refers to ensuring that certain individuals or collectives actually benefit from having access to those same opportunities.</w:t>
      </w:r>
      <w:r w:rsidR="00F127E3">
        <w:rPr>
          <w:rStyle w:val="FootnoteReference"/>
          <w:rFonts w:ascii="Times New Roman" w:hAnsi="Times New Roman" w:cs="Times New Roman"/>
          <w:sz w:val="24"/>
          <w:szCs w:val="24"/>
        </w:rPr>
        <w:footnoteReference w:id="4"/>
      </w:r>
      <w:r w:rsidR="000C0A0C" w:rsidRPr="00144ED9">
        <w:rPr>
          <w:rFonts w:ascii="Times New Roman" w:hAnsi="Times New Roman" w:cs="Times New Roman"/>
          <w:sz w:val="24"/>
          <w:szCs w:val="24"/>
        </w:rPr>
        <w:t xml:space="preserve"> The merging of equity within equality at the international level has obscured the purpose and proper implementation of equity at the nation</w:t>
      </w:r>
      <w:r>
        <w:rPr>
          <w:rFonts w:ascii="Times New Roman" w:hAnsi="Times New Roman" w:cs="Times New Roman"/>
          <w:sz w:val="24"/>
          <w:szCs w:val="24"/>
        </w:rPr>
        <w:t xml:space="preserve">al level, but CEDAW’s General Recommendation No. 28 does allow for </w:t>
      </w:r>
      <w:r w:rsidR="001660F3">
        <w:rPr>
          <w:rFonts w:ascii="Times New Roman" w:hAnsi="Times New Roman" w:cs="Times New Roman"/>
          <w:sz w:val="24"/>
          <w:szCs w:val="24"/>
        </w:rPr>
        <w:t>the tracking of equity. I therefore base my recommendations on this framework, emphasizing</w:t>
      </w:r>
      <w:r w:rsidR="004722B7" w:rsidRPr="00144ED9">
        <w:rPr>
          <w:rFonts w:ascii="Times New Roman" w:hAnsi="Times New Roman" w:cs="Times New Roman"/>
          <w:sz w:val="24"/>
          <w:szCs w:val="24"/>
        </w:rPr>
        <w:t xml:space="preserve"> and urging State</w:t>
      </w:r>
      <w:r w:rsidR="0066735D" w:rsidRPr="00144ED9">
        <w:rPr>
          <w:rFonts w:ascii="Times New Roman" w:hAnsi="Times New Roman" w:cs="Times New Roman"/>
          <w:sz w:val="24"/>
          <w:szCs w:val="24"/>
        </w:rPr>
        <w:t>s p</w:t>
      </w:r>
      <w:r w:rsidR="004722B7" w:rsidRPr="00144ED9">
        <w:rPr>
          <w:rFonts w:ascii="Times New Roman" w:hAnsi="Times New Roman" w:cs="Times New Roman"/>
          <w:sz w:val="24"/>
          <w:szCs w:val="24"/>
        </w:rPr>
        <w:t>arties and related stakeholders to implement those distinctions in the data collection, mo</w:t>
      </w:r>
      <w:r w:rsidR="001660F3">
        <w:rPr>
          <w:rFonts w:ascii="Times New Roman" w:hAnsi="Times New Roman" w:cs="Times New Roman"/>
          <w:sz w:val="24"/>
          <w:szCs w:val="24"/>
        </w:rPr>
        <w:t>nitoring, and decision making on</w:t>
      </w:r>
      <w:r w:rsidR="004722B7" w:rsidRPr="00144ED9">
        <w:rPr>
          <w:rFonts w:ascii="Times New Roman" w:hAnsi="Times New Roman" w:cs="Times New Roman"/>
          <w:sz w:val="24"/>
          <w:szCs w:val="24"/>
        </w:rPr>
        <w:t xml:space="preserve"> the rights of Indigenous girls and women. </w:t>
      </w:r>
    </w:p>
    <w:p w:rsidR="0066735D" w:rsidRPr="00144ED9" w:rsidRDefault="0066735D">
      <w:pPr>
        <w:rPr>
          <w:rFonts w:ascii="Times New Roman" w:hAnsi="Times New Roman" w:cs="Times New Roman"/>
          <w:b/>
          <w:sz w:val="24"/>
          <w:szCs w:val="24"/>
        </w:rPr>
      </w:pPr>
    </w:p>
    <w:p w:rsidR="005A1C71" w:rsidRPr="00144ED9" w:rsidRDefault="009C1790">
      <w:pPr>
        <w:rPr>
          <w:rFonts w:ascii="Times New Roman" w:hAnsi="Times New Roman" w:cs="Times New Roman"/>
          <w:b/>
          <w:sz w:val="24"/>
          <w:szCs w:val="24"/>
        </w:rPr>
      </w:pPr>
      <w:r w:rsidRPr="00144ED9">
        <w:rPr>
          <w:rFonts w:ascii="Times New Roman" w:hAnsi="Times New Roman" w:cs="Times New Roman"/>
          <w:b/>
          <w:sz w:val="24"/>
          <w:szCs w:val="24"/>
        </w:rPr>
        <w:t>Comments</w:t>
      </w:r>
      <w:r w:rsidR="001660F3">
        <w:rPr>
          <w:rFonts w:ascii="Times New Roman" w:hAnsi="Times New Roman" w:cs="Times New Roman"/>
          <w:b/>
          <w:sz w:val="24"/>
          <w:szCs w:val="24"/>
        </w:rPr>
        <w:t xml:space="preserve"> to the Draft</w:t>
      </w:r>
    </w:p>
    <w:p w:rsidR="00803145" w:rsidRDefault="00803145">
      <w:pPr>
        <w:rPr>
          <w:rFonts w:ascii="Times New Roman" w:hAnsi="Times New Roman" w:cs="Times New Roman"/>
          <w:sz w:val="24"/>
          <w:szCs w:val="24"/>
        </w:rPr>
      </w:pPr>
      <w:r>
        <w:rPr>
          <w:rFonts w:ascii="Times New Roman" w:hAnsi="Times New Roman" w:cs="Times New Roman"/>
          <w:sz w:val="24"/>
          <w:szCs w:val="24"/>
        </w:rPr>
        <w:t xml:space="preserve">The following comments start with a number indicating the paragraph to which the comment refers.  </w:t>
      </w:r>
    </w:p>
    <w:p w:rsidR="00D521B0" w:rsidRPr="00144ED9" w:rsidRDefault="00D521B0">
      <w:pPr>
        <w:rPr>
          <w:rFonts w:ascii="Times New Roman" w:hAnsi="Times New Roman" w:cs="Times New Roman"/>
          <w:sz w:val="24"/>
          <w:szCs w:val="24"/>
        </w:rPr>
      </w:pPr>
      <w:r w:rsidRPr="00144ED9">
        <w:rPr>
          <w:rFonts w:ascii="Times New Roman" w:hAnsi="Times New Roman" w:cs="Times New Roman"/>
          <w:sz w:val="24"/>
          <w:szCs w:val="24"/>
        </w:rPr>
        <w:t>4. The incorporation of the CEDA</w:t>
      </w:r>
      <w:r w:rsidR="00061CDB">
        <w:rPr>
          <w:rFonts w:ascii="Times New Roman" w:hAnsi="Times New Roman" w:cs="Times New Roman"/>
          <w:sz w:val="24"/>
          <w:szCs w:val="24"/>
        </w:rPr>
        <w:t>W framework cited in the background section</w:t>
      </w:r>
      <w:r w:rsidRPr="00144ED9">
        <w:rPr>
          <w:rFonts w:ascii="Times New Roman" w:hAnsi="Times New Roman" w:cs="Times New Roman"/>
          <w:sz w:val="24"/>
          <w:szCs w:val="24"/>
        </w:rPr>
        <w:t xml:space="preserve"> to</w:t>
      </w:r>
      <w:r w:rsidR="001660F3">
        <w:rPr>
          <w:rFonts w:ascii="Times New Roman" w:hAnsi="Times New Roman" w:cs="Times New Roman"/>
          <w:sz w:val="24"/>
          <w:szCs w:val="24"/>
        </w:rPr>
        <w:t xml:space="preserve"> the Draft complements</w:t>
      </w:r>
      <w:r w:rsidRPr="00144ED9">
        <w:rPr>
          <w:rFonts w:ascii="Times New Roman" w:hAnsi="Times New Roman" w:cs="Times New Roman"/>
          <w:sz w:val="24"/>
          <w:szCs w:val="24"/>
        </w:rPr>
        <w:t xml:space="preserve"> intersectionality, </w:t>
      </w:r>
      <w:proofErr w:type="spellStart"/>
      <w:r w:rsidRPr="00144ED9">
        <w:rPr>
          <w:rFonts w:ascii="Times New Roman" w:hAnsi="Times New Roman" w:cs="Times New Roman"/>
          <w:sz w:val="24"/>
          <w:szCs w:val="24"/>
        </w:rPr>
        <w:t>interculturality</w:t>
      </w:r>
      <w:proofErr w:type="spellEnd"/>
      <w:r w:rsidRPr="00144ED9">
        <w:rPr>
          <w:rFonts w:ascii="Times New Roman" w:hAnsi="Times New Roman" w:cs="Times New Roman"/>
          <w:sz w:val="24"/>
          <w:szCs w:val="24"/>
        </w:rPr>
        <w:t xml:space="preserve"> and </w:t>
      </w:r>
      <w:proofErr w:type="spellStart"/>
      <w:r w:rsidRPr="00144ED9">
        <w:rPr>
          <w:rFonts w:ascii="Times New Roman" w:hAnsi="Times New Roman" w:cs="Times New Roman"/>
          <w:sz w:val="24"/>
          <w:szCs w:val="24"/>
        </w:rPr>
        <w:t>multidisciplinarity</w:t>
      </w:r>
      <w:proofErr w:type="spellEnd"/>
      <w:r w:rsidR="001660F3">
        <w:rPr>
          <w:rFonts w:ascii="Times New Roman" w:hAnsi="Times New Roman" w:cs="Times New Roman"/>
          <w:sz w:val="24"/>
          <w:szCs w:val="24"/>
        </w:rPr>
        <w:t>. It</w:t>
      </w:r>
      <w:r w:rsidRPr="00144ED9">
        <w:rPr>
          <w:rFonts w:ascii="Times New Roman" w:hAnsi="Times New Roman" w:cs="Times New Roman"/>
          <w:sz w:val="24"/>
          <w:szCs w:val="24"/>
        </w:rPr>
        <w:t xml:space="preserve"> makes use of the Committee’s existing guidelines and provides a more robust recommendation to ensure Indigenous girls and women’s rights. </w:t>
      </w:r>
    </w:p>
    <w:p w:rsidR="005A1C71" w:rsidRPr="00144ED9" w:rsidRDefault="005A1C71">
      <w:pPr>
        <w:rPr>
          <w:rFonts w:ascii="Times New Roman" w:hAnsi="Times New Roman" w:cs="Times New Roman"/>
          <w:sz w:val="24"/>
          <w:szCs w:val="24"/>
        </w:rPr>
      </w:pPr>
      <w:r w:rsidRPr="00144ED9">
        <w:rPr>
          <w:rFonts w:ascii="Times New Roman" w:hAnsi="Times New Roman" w:cs="Times New Roman"/>
          <w:sz w:val="24"/>
          <w:szCs w:val="24"/>
        </w:rPr>
        <w:t>10. State</w:t>
      </w:r>
      <w:r w:rsidR="0066735D" w:rsidRPr="00144ED9">
        <w:rPr>
          <w:rFonts w:ascii="Times New Roman" w:hAnsi="Times New Roman" w:cs="Times New Roman"/>
          <w:sz w:val="24"/>
          <w:szCs w:val="24"/>
        </w:rPr>
        <w:t>s p</w:t>
      </w:r>
      <w:r w:rsidRPr="00144ED9">
        <w:rPr>
          <w:rFonts w:ascii="Times New Roman" w:hAnsi="Times New Roman" w:cs="Times New Roman"/>
          <w:sz w:val="24"/>
          <w:szCs w:val="24"/>
        </w:rPr>
        <w:t xml:space="preserve">arties and </w:t>
      </w:r>
      <w:r w:rsidR="003067CA" w:rsidRPr="00144ED9">
        <w:rPr>
          <w:rFonts w:ascii="Times New Roman" w:hAnsi="Times New Roman" w:cs="Times New Roman"/>
          <w:sz w:val="24"/>
          <w:szCs w:val="24"/>
        </w:rPr>
        <w:t>stakeholder</w:t>
      </w:r>
      <w:r w:rsidRPr="00144ED9">
        <w:rPr>
          <w:rFonts w:ascii="Times New Roman" w:hAnsi="Times New Roman" w:cs="Times New Roman"/>
          <w:sz w:val="24"/>
          <w:szCs w:val="24"/>
        </w:rPr>
        <w:t xml:space="preserve">s must find ways to ensure the participation of Indigenous women from within the State apparatus as well, and not only within Indigenous communities. This procedure legitimizes decision making and is in line with CEDAW’s de facto equality. </w:t>
      </w:r>
    </w:p>
    <w:p w:rsidR="005A1C71" w:rsidRPr="00144ED9" w:rsidRDefault="005A1C71">
      <w:pPr>
        <w:rPr>
          <w:rFonts w:ascii="Times New Roman" w:hAnsi="Times New Roman" w:cs="Times New Roman"/>
          <w:sz w:val="24"/>
          <w:szCs w:val="24"/>
        </w:rPr>
      </w:pPr>
      <w:r w:rsidRPr="00144ED9">
        <w:rPr>
          <w:rFonts w:ascii="Times New Roman" w:hAnsi="Times New Roman" w:cs="Times New Roman"/>
          <w:sz w:val="24"/>
          <w:szCs w:val="24"/>
        </w:rPr>
        <w:t>In the same paragraph, data collection systems must be designed with and validated by Indigenous girls and women in each community. This aspect ensures that the indicators and data created take into account</w:t>
      </w:r>
      <w:r w:rsidR="00061CDB">
        <w:rPr>
          <w:rFonts w:ascii="Times New Roman" w:hAnsi="Times New Roman" w:cs="Times New Roman"/>
          <w:sz w:val="24"/>
          <w:szCs w:val="24"/>
        </w:rPr>
        <w:t xml:space="preserve"> and reflect</w:t>
      </w:r>
      <w:r w:rsidRPr="00144ED9">
        <w:rPr>
          <w:rFonts w:ascii="Times New Roman" w:hAnsi="Times New Roman" w:cs="Times New Roman"/>
          <w:sz w:val="24"/>
          <w:szCs w:val="24"/>
        </w:rPr>
        <w:t xml:space="preserve"> the cultural specificities of each Indigenous community when it comes to the concept of gender and gender roles. This idea is r</w:t>
      </w:r>
      <w:r w:rsidR="001929F0">
        <w:rPr>
          <w:rFonts w:ascii="Times New Roman" w:hAnsi="Times New Roman" w:cs="Times New Roman"/>
          <w:sz w:val="24"/>
          <w:szCs w:val="24"/>
        </w:rPr>
        <w:t>eflected in para.</w:t>
      </w:r>
      <w:bookmarkStart w:id="0" w:name="_GoBack"/>
      <w:bookmarkEnd w:id="0"/>
      <w:r w:rsidRPr="00144ED9">
        <w:rPr>
          <w:rFonts w:ascii="Times New Roman" w:hAnsi="Times New Roman" w:cs="Times New Roman"/>
          <w:sz w:val="24"/>
          <w:szCs w:val="24"/>
        </w:rPr>
        <w:t xml:space="preserve"> 32 of the Draft, but it must be implemented in every data collection process.</w:t>
      </w:r>
      <w:r w:rsidR="001660F3">
        <w:rPr>
          <w:rStyle w:val="FootnoteReference"/>
          <w:rFonts w:ascii="Times New Roman" w:hAnsi="Times New Roman" w:cs="Times New Roman"/>
          <w:sz w:val="24"/>
          <w:szCs w:val="24"/>
        </w:rPr>
        <w:footnoteReference w:id="5"/>
      </w:r>
    </w:p>
    <w:p w:rsidR="005A1C71" w:rsidRPr="00144ED9" w:rsidRDefault="003067CA">
      <w:pPr>
        <w:rPr>
          <w:rFonts w:ascii="Times New Roman" w:hAnsi="Times New Roman" w:cs="Times New Roman"/>
          <w:sz w:val="24"/>
          <w:szCs w:val="24"/>
        </w:rPr>
      </w:pPr>
      <w:r w:rsidRPr="00144ED9">
        <w:rPr>
          <w:rFonts w:ascii="Times New Roman" w:hAnsi="Times New Roman" w:cs="Times New Roman"/>
          <w:sz w:val="24"/>
          <w:szCs w:val="24"/>
        </w:rPr>
        <w:t>17. State</w:t>
      </w:r>
      <w:r w:rsidR="0066735D" w:rsidRPr="00144ED9">
        <w:rPr>
          <w:rFonts w:ascii="Times New Roman" w:hAnsi="Times New Roman" w:cs="Times New Roman"/>
          <w:sz w:val="24"/>
          <w:szCs w:val="24"/>
        </w:rPr>
        <w:t>s p</w:t>
      </w:r>
      <w:r w:rsidRPr="00144ED9">
        <w:rPr>
          <w:rFonts w:ascii="Times New Roman" w:hAnsi="Times New Roman" w:cs="Times New Roman"/>
          <w:sz w:val="24"/>
          <w:szCs w:val="24"/>
        </w:rPr>
        <w:t xml:space="preserve">arties must guarantee that the self-determination of Indigenous girls and women does not result in discriminatory or violent reactions that may hinder their </w:t>
      </w:r>
      <w:r w:rsidR="003575B7" w:rsidRPr="00144ED9">
        <w:rPr>
          <w:rFonts w:ascii="Times New Roman" w:hAnsi="Times New Roman" w:cs="Times New Roman"/>
          <w:sz w:val="24"/>
          <w:szCs w:val="24"/>
        </w:rPr>
        <w:t xml:space="preserve">possibilities for educational and professional growth, nor their social or political participation. </w:t>
      </w:r>
    </w:p>
    <w:p w:rsidR="003575B7" w:rsidRPr="00144ED9" w:rsidRDefault="003575B7">
      <w:pPr>
        <w:rPr>
          <w:rFonts w:ascii="Times New Roman" w:hAnsi="Times New Roman" w:cs="Times New Roman"/>
          <w:sz w:val="24"/>
          <w:szCs w:val="24"/>
        </w:rPr>
      </w:pPr>
      <w:r w:rsidRPr="00144ED9">
        <w:rPr>
          <w:rFonts w:ascii="Times New Roman" w:hAnsi="Times New Roman" w:cs="Times New Roman"/>
          <w:sz w:val="24"/>
          <w:szCs w:val="24"/>
        </w:rPr>
        <w:t>18. Gender equality must be defined and monitored according to the CEDAW’s framewo</w:t>
      </w:r>
      <w:r w:rsidR="00061CDB">
        <w:rPr>
          <w:rFonts w:ascii="Times New Roman" w:hAnsi="Times New Roman" w:cs="Times New Roman"/>
          <w:sz w:val="24"/>
          <w:szCs w:val="24"/>
        </w:rPr>
        <w:t>rk cited</w:t>
      </w:r>
      <w:r w:rsidR="001660F3">
        <w:rPr>
          <w:rFonts w:ascii="Times New Roman" w:hAnsi="Times New Roman" w:cs="Times New Roman"/>
          <w:sz w:val="24"/>
          <w:szCs w:val="24"/>
        </w:rPr>
        <w:t xml:space="preserve"> in the background section</w:t>
      </w:r>
      <w:r w:rsidRPr="00144ED9">
        <w:rPr>
          <w:rFonts w:ascii="Times New Roman" w:hAnsi="Times New Roman" w:cs="Times New Roman"/>
          <w:sz w:val="24"/>
          <w:szCs w:val="24"/>
        </w:rPr>
        <w:t xml:space="preserve"> of this document.</w:t>
      </w:r>
    </w:p>
    <w:p w:rsidR="003575B7" w:rsidRPr="00144ED9" w:rsidRDefault="003575B7">
      <w:pPr>
        <w:rPr>
          <w:rFonts w:ascii="Times New Roman" w:hAnsi="Times New Roman" w:cs="Times New Roman"/>
          <w:sz w:val="24"/>
          <w:szCs w:val="24"/>
        </w:rPr>
      </w:pPr>
      <w:r w:rsidRPr="00144ED9">
        <w:rPr>
          <w:rFonts w:ascii="Times New Roman" w:hAnsi="Times New Roman" w:cs="Times New Roman"/>
          <w:sz w:val="24"/>
          <w:szCs w:val="24"/>
        </w:rPr>
        <w:t>20. Physical appearance and accent when speaking could be added to the list of reasons for discrimination.</w:t>
      </w:r>
    </w:p>
    <w:p w:rsidR="003575B7" w:rsidRPr="00144ED9" w:rsidRDefault="003575B7">
      <w:pPr>
        <w:rPr>
          <w:rFonts w:ascii="Times New Roman" w:hAnsi="Times New Roman" w:cs="Times New Roman"/>
          <w:sz w:val="24"/>
          <w:szCs w:val="24"/>
        </w:rPr>
      </w:pPr>
      <w:r w:rsidRPr="00144ED9">
        <w:rPr>
          <w:rFonts w:ascii="Times New Roman" w:hAnsi="Times New Roman" w:cs="Times New Roman"/>
          <w:sz w:val="24"/>
          <w:szCs w:val="24"/>
        </w:rPr>
        <w:t>28 (a). Data colle</w:t>
      </w:r>
      <w:r w:rsidR="001660F3">
        <w:rPr>
          <w:rFonts w:ascii="Times New Roman" w:hAnsi="Times New Roman" w:cs="Times New Roman"/>
          <w:sz w:val="24"/>
          <w:szCs w:val="24"/>
        </w:rPr>
        <w:t>ction and disaggregation must be</w:t>
      </w:r>
      <w:r w:rsidRPr="00144ED9">
        <w:rPr>
          <w:rFonts w:ascii="Times New Roman" w:hAnsi="Times New Roman" w:cs="Times New Roman"/>
          <w:sz w:val="24"/>
          <w:szCs w:val="24"/>
        </w:rPr>
        <w:t xml:space="preserve"> culturally appropriate to the Indigenous girls and women of each community. This </w:t>
      </w:r>
      <w:r w:rsidR="0016578E">
        <w:rPr>
          <w:rFonts w:ascii="Times New Roman" w:hAnsi="Times New Roman" w:cs="Times New Roman"/>
          <w:sz w:val="24"/>
          <w:szCs w:val="24"/>
        </w:rPr>
        <w:t xml:space="preserve">point </w:t>
      </w:r>
      <w:r w:rsidRPr="00144ED9">
        <w:rPr>
          <w:rFonts w:ascii="Times New Roman" w:hAnsi="Times New Roman" w:cs="Times New Roman"/>
          <w:sz w:val="24"/>
          <w:szCs w:val="24"/>
        </w:rPr>
        <w:t>relates to para. 28 (</w:t>
      </w:r>
      <w:proofErr w:type="spellStart"/>
      <w:r w:rsidRPr="00144ED9">
        <w:rPr>
          <w:rFonts w:ascii="Times New Roman" w:hAnsi="Times New Roman" w:cs="Times New Roman"/>
          <w:sz w:val="24"/>
          <w:szCs w:val="24"/>
        </w:rPr>
        <w:t>i</w:t>
      </w:r>
      <w:proofErr w:type="spellEnd"/>
      <w:r w:rsidRPr="00144ED9">
        <w:rPr>
          <w:rFonts w:ascii="Times New Roman" w:hAnsi="Times New Roman" w:cs="Times New Roman"/>
          <w:sz w:val="24"/>
          <w:szCs w:val="24"/>
        </w:rPr>
        <w:t>) to ensure Indigenous girls and women’s participation in the design of data collection instruments related to them.</w:t>
      </w:r>
      <w:r w:rsidR="009B7B35" w:rsidRPr="00144ED9">
        <w:rPr>
          <w:rFonts w:ascii="Times New Roman" w:hAnsi="Times New Roman" w:cs="Times New Roman"/>
          <w:sz w:val="24"/>
          <w:szCs w:val="24"/>
        </w:rPr>
        <w:t xml:space="preserve"> An example of effective participation may be that suggested in para. 38, related to judiciary systems. </w:t>
      </w:r>
    </w:p>
    <w:p w:rsidR="00D521B0" w:rsidRPr="00144ED9" w:rsidRDefault="001F3CBF">
      <w:pPr>
        <w:rPr>
          <w:rFonts w:ascii="Times New Roman" w:hAnsi="Times New Roman" w:cs="Times New Roman"/>
          <w:sz w:val="24"/>
          <w:szCs w:val="24"/>
        </w:rPr>
      </w:pPr>
      <w:r w:rsidRPr="00144ED9">
        <w:rPr>
          <w:rFonts w:ascii="Times New Roman" w:hAnsi="Times New Roman" w:cs="Times New Roman"/>
          <w:sz w:val="24"/>
          <w:szCs w:val="24"/>
        </w:rPr>
        <w:t xml:space="preserve">46 &amp; 47 (a). The reference in para. 46 to effective legal frameworks for Indigenous girls and women </w:t>
      </w:r>
      <w:r w:rsidR="00D521B0" w:rsidRPr="00144ED9">
        <w:rPr>
          <w:rFonts w:ascii="Times New Roman" w:hAnsi="Times New Roman" w:cs="Times New Roman"/>
          <w:sz w:val="24"/>
          <w:szCs w:val="24"/>
        </w:rPr>
        <w:t>may be specified in para. 47 (a) according the CEDA</w:t>
      </w:r>
      <w:r w:rsidR="0016578E">
        <w:rPr>
          <w:rFonts w:ascii="Times New Roman" w:hAnsi="Times New Roman" w:cs="Times New Roman"/>
          <w:sz w:val="24"/>
          <w:szCs w:val="24"/>
        </w:rPr>
        <w:t>W’s framework cite</w:t>
      </w:r>
      <w:r w:rsidR="00D521B0" w:rsidRPr="00144ED9">
        <w:rPr>
          <w:rFonts w:ascii="Times New Roman" w:hAnsi="Times New Roman" w:cs="Times New Roman"/>
          <w:sz w:val="24"/>
          <w:szCs w:val="24"/>
        </w:rPr>
        <w:t>d in the background section of this document. The need for an effective legal framework permeates t</w:t>
      </w:r>
      <w:r w:rsidR="00C767FB">
        <w:rPr>
          <w:rFonts w:ascii="Times New Roman" w:hAnsi="Times New Roman" w:cs="Times New Roman"/>
          <w:sz w:val="24"/>
          <w:szCs w:val="24"/>
        </w:rPr>
        <w:t>he intersectional nature of the</w:t>
      </w:r>
      <w:r w:rsidR="00D521B0" w:rsidRPr="00144ED9">
        <w:rPr>
          <w:rFonts w:ascii="Times New Roman" w:hAnsi="Times New Roman" w:cs="Times New Roman"/>
          <w:sz w:val="24"/>
          <w:szCs w:val="24"/>
        </w:rPr>
        <w:t xml:space="preserve"> Draft.</w:t>
      </w:r>
    </w:p>
    <w:p w:rsidR="00D521B0" w:rsidRPr="00144ED9" w:rsidRDefault="0079047B">
      <w:pPr>
        <w:rPr>
          <w:rFonts w:ascii="Times New Roman" w:hAnsi="Times New Roman" w:cs="Times New Roman"/>
          <w:sz w:val="24"/>
          <w:szCs w:val="24"/>
        </w:rPr>
      </w:pPr>
      <w:r w:rsidRPr="00144ED9">
        <w:rPr>
          <w:rFonts w:ascii="Times New Roman" w:hAnsi="Times New Roman" w:cs="Times New Roman"/>
          <w:sz w:val="24"/>
          <w:szCs w:val="24"/>
        </w:rPr>
        <w:t>49. The paragraph should mention</w:t>
      </w:r>
      <w:r w:rsidR="003825D3" w:rsidRPr="00144ED9">
        <w:rPr>
          <w:rFonts w:ascii="Times New Roman" w:hAnsi="Times New Roman" w:cs="Times New Roman"/>
          <w:sz w:val="24"/>
          <w:szCs w:val="24"/>
        </w:rPr>
        <w:t xml:space="preserve"> the long distances that </w:t>
      </w:r>
      <w:r w:rsidR="0016578E">
        <w:rPr>
          <w:rFonts w:ascii="Times New Roman" w:hAnsi="Times New Roman" w:cs="Times New Roman"/>
          <w:sz w:val="24"/>
          <w:szCs w:val="24"/>
        </w:rPr>
        <w:t xml:space="preserve">Indigenous </w:t>
      </w:r>
      <w:r w:rsidR="003825D3" w:rsidRPr="00144ED9">
        <w:rPr>
          <w:rFonts w:ascii="Times New Roman" w:hAnsi="Times New Roman" w:cs="Times New Roman"/>
          <w:sz w:val="24"/>
          <w:szCs w:val="24"/>
        </w:rPr>
        <w:t>girls and women must travel, sometime</w:t>
      </w:r>
      <w:r w:rsidR="001660F3">
        <w:rPr>
          <w:rFonts w:ascii="Times New Roman" w:hAnsi="Times New Roman" w:cs="Times New Roman"/>
          <w:sz w:val="24"/>
          <w:szCs w:val="24"/>
        </w:rPr>
        <w:t>s</w:t>
      </w:r>
      <w:r w:rsidR="003825D3" w:rsidRPr="00144ED9">
        <w:rPr>
          <w:rFonts w:ascii="Times New Roman" w:hAnsi="Times New Roman" w:cs="Times New Roman"/>
          <w:sz w:val="24"/>
          <w:szCs w:val="24"/>
        </w:rPr>
        <w:t xml:space="preserve"> alone, to access any form of participation. </w:t>
      </w:r>
      <w:r w:rsidRPr="00144ED9">
        <w:rPr>
          <w:rFonts w:ascii="Times New Roman" w:hAnsi="Times New Roman" w:cs="Times New Roman"/>
          <w:sz w:val="24"/>
          <w:szCs w:val="24"/>
        </w:rPr>
        <w:t xml:space="preserve">This information </w:t>
      </w:r>
      <w:r w:rsidR="00C767FB">
        <w:rPr>
          <w:rFonts w:ascii="Times New Roman" w:hAnsi="Times New Roman" w:cs="Times New Roman"/>
          <w:sz w:val="24"/>
          <w:szCs w:val="24"/>
        </w:rPr>
        <w:t>is in line with para. 22 of the</w:t>
      </w:r>
      <w:r w:rsidRPr="00144ED9">
        <w:rPr>
          <w:rFonts w:ascii="Times New Roman" w:hAnsi="Times New Roman" w:cs="Times New Roman"/>
          <w:sz w:val="24"/>
          <w:szCs w:val="24"/>
        </w:rPr>
        <w:t xml:space="preserve"> Draft.</w:t>
      </w:r>
    </w:p>
    <w:p w:rsidR="003825D3" w:rsidRPr="00144ED9" w:rsidRDefault="003825D3">
      <w:pPr>
        <w:rPr>
          <w:rFonts w:ascii="Times New Roman" w:hAnsi="Times New Roman" w:cs="Times New Roman"/>
          <w:sz w:val="24"/>
          <w:szCs w:val="24"/>
        </w:rPr>
      </w:pPr>
      <w:r w:rsidRPr="00144ED9">
        <w:rPr>
          <w:rFonts w:ascii="Times New Roman" w:hAnsi="Times New Roman" w:cs="Times New Roman"/>
          <w:sz w:val="24"/>
          <w:szCs w:val="24"/>
        </w:rPr>
        <w:lastRenderedPageBreak/>
        <w:t>50. The effective representation of those women who stand an opportunity to be elected during election campaigns relates to the effective implementation of t</w:t>
      </w:r>
      <w:r w:rsidR="001660F3">
        <w:rPr>
          <w:rFonts w:ascii="Times New Roman" w:hAnsi="Times New Roman" w:cs="Times New Roman"/>
          <w:sz w:val="24"/>
          <w:szCs w:val="24"/>
        </w:rPr>
        <w:t>he CEDAW framework cited</w:t>
      </w:r>
      <w:r w:rsidRPr="00144ED9">
        <w:rPr>
          <w:rFonts w:ascii="Times New Roman" w:hAnsi="Times New Roman" w:cs="Times New Roman"/>
          <w:sz w:val="24"/>
          <w:szCs w:val="24"/>
        </w:rPr>
        <w:t xml:space="preserve"> in the background section of this document. Rightly specified, this</w:t>
      </w:r>
      <w:r w:rsidR="0016578E">
        <w:rPr>
          <w:rFonts w:ascii="Times New Roman" w:hAnsi="Times New Roman" w:cs="Times New Roman"/>
          <w:sz w:val="24"/>
          <w:szCs w:val="24"/>
        </w:rPr>
        <w:t xml:space="preserve"> situation</w:t>
      </w:r>
      <w:r w:rsidRPr="00144ED9">
        <w:rPr>
          <w:rFonts w:ascii="Times New Roman" w:hAnsi="Times New Roman" w:cs="Times New Roman"/>
          <w:sz w:val="24"/>
          <w:szCs w:val="24"/>
        </w:rPr>
        <w:t xml:space="preserve"> is not always an issue of gender parity, but of equity based on the assets of an Indigenous woman candidate.</w:t>
      </w:r>
    </w:p>
    <w:p w:rsidR="003825D3" w:rsidRPr="00144ED9" w:rsidRDefault="003825D3">
      <w:pPr>
        <w:rPr>
          <w:rFonts w:ascii="Times New Roman" w:hAnsi="Times New Roman" w:cs="Times New Roman"/>
          <w:sz w:val="24"/>
          <w:szCs w:val="24"/>
        </w:rPr>
      </w:pPr>
      <w:r w:rsidRPr="00144ED9">
        <w:rPr>
          <w:rFonts w:ascii="Times New Roman" w:hAnsi="Times New Roman" w:cs="Times New Roman"/>
          <w:sz w:val="24"/>
          <w:szCs w:val="24"/>
        </w:rPr>
        <w:t xml:space="preserve">52 (a). </w:t>
      </w:r>
      <w:r w:rsidR="0079047B" w:rsidRPr="00144ED9">
        <w:rPr>
          <w:rFonts w:ascii="Times New Roman" w:hAnsi="Times New Roman" w:cs="Times New Roman"/>
          <w:sz w:val="24"/>
          <w:szCs w:val="24"/>
        </w:rPr>
        <w:t xml:space="preserve">The CEDAW framework </w:t>
      </w:r>
      <w:r w:rsidR="001660F3">
        <w:rPr>
          <w:rFonts w:ascii="Times New Roman" w:hAnsi="Times New Roman" w:cs="Times New Roman"/>
          <w:sz w:val="24"/>
          <w:szCs w:val="24"/>
        </w:rPr>
        <w:t xml:space="preserve">cited in the background section of this document </w:t>
      </w:r>
      <w:r w:rsidR="0016578E">
        <w:rPr>
          <w:rFonts w:ascii="Times New Roman" w:hAnsi="Times New Roman" w:cs="Times New Roman"/>
          <w:sz w:val="24"/>
          <w:szCs w:val="24"/>
        </w:rPr>
        <w:t>may be useful</w:t>
      </w:r>
      <w:r w:rsidR="0079047B" w:rsidRPr="00144ED9">
        <w:rPr>
          <w:rFonts w:ascii="Times New Roman" w:hAnsi="Times New Roman" w:cs="Times New Roman"/>
          <w:sz w:val="24"/>
          <w:szCs w:val="24"/>
        </w:rPr>
        <w:t xml:space="preserve"> to help monitor the referred procedures.</w:t>
      </w:r>
    </w:p>
    <w:p w:rsidR="0079047B" w:rsidRPr="00144ED9" w:rsidRDefault="0079047B">
      <w:pPr>
        <w:rPr>
          <w:rFonts w:ascii="Times New Roman" w:hAnsi="Times New Roman" w:cs="Times New Roman"/>
          <w:sz w:val="24"/>
          <w:szCs w:val="24"/>
        </w:rPr>
      </w:pPr>
      <w:r w:rsidRPr="00144ED9">
        <w:rPr>
          <w:rFonts w:ascii="Times New Roman" w:hAnsi="Times New Roman" w:cs="Times New Roman"/>
          <w:sz w:val="24"/>
          <w:szCs w:val="24"/>
        </w:rPr>
        <w:t>52 (e). The training of public servants in Indigenous girls and women’s rights is fundamental to promoting their effective participation in public life.</w:t>
      </w:r>
      <w:r w:rsidR="00440F4F" w:rsidRPr="00144ED9">
        <w:rPr>
          <w:rFonts w:ascii="Times New Roman" w:hAnsi="Times New Roman" w:cs="Times New Roman"/>
          <w:sz w:val="24"/>
          <w:szCs w:val="24"/>
        </w:rPr>
        <w:t xml:space="preserve"> An example of this suggestion is made explicit in para. 60</w:t>
      </w:r>
      <w:r w:rsidR="00965232" w:rsidRPr="00144ED9">
        <w:rPr>
          <w:rFonts w:ascii="Times New Roman" w:hAnsi="Times New Roman" w:cs="Times New Roman"/>
          <w:sz w:val="24"/>
          <w:szCs w:val="24"/>
        </w:rPr>
        <w:t xml:space="preserve">, related to health. </w:t>
      </w:r>
    </w:p>
    <w:p w:rsidR="0079047B" w:rsidRPr="00144ED9" w:rsidRDefault="0079047B">
      <w:pPr>
        <w:rPr>
          <w:rFonts w:ascii="Times New Roman" w:hAnsi="Times New Roman" w:cs="Times New Roman"/>
          <w:sz w:val="24"/>
          <w:szCs w:val="24"/>
        </w:rPr>
      </w:pPr>
      <w:r w:rsidRPr="00144ED9">
        <w:rPr>
          <w:rFonts w:ascii="Times New Roman" w:hAnsi="Times New Roman" w:cs="Times New Roman"/>
          <w:sz w:val="24"/>
          <w:szCs w:val="24"/>
        </w:rPr>
        <w:t>54 (b). Such information procedures should be translated into as many Indigenous languages spoken in a given country as possible.</w:t>
      </w:r>
    </w:p>
    <w:p w:rsidR="00965232" w:rsidRPr="00144ED9" w:rsidRDefault="001660F3">
      <w:pPr>
        <w:rPr>
          <w:rFonts w:ascii="Times New Roman" w:hAnsi="Times New Roman" w:cs="Times New Roman"/>
          <w:sz w:val="24"/>
          <w:szCs w:val="24"/>
        </w:rPr>
      </w:pPr>
      <w:r>
        <w:rPr>
          <w:rFonts w:ascii="Times New Roman" w:hAnsi="Times New Roman" w:cs="Times New Roman"/>
          <w:sz w:val="24"/>
          <w:szCs w:val="24"/>
        </w:rPr>
        <w:t xml:space="preserve">56. Paragraph 56 should add another item </w:t>
      </w:r>
      <w:r w:rsidR="00965232" w:rsidRPr="00144ED9">
        <w:rPr>
          <w:rFonts w:ascii="Times New Roman" w:hAnsi="Times New Roman" w:cs="Times New Roman"/>
          <w:sz w:val="24"/>
          <w:szCs w:val="24"/>
        </w:rPr>
        <w:t>that ensures the access and training in the use of digital learning tools by Indigenous girls and women. In line with paras. 68 (e), 78, and 80 (e), the COVID-19 pandemic revealed the inapplicability of digital learning in many Indigenous communities. This situation is against education as a human right.</w:t>
      </w:r>
      <w:r w:rsidR="00C83F0D">
        <w:rPr>
          <w:rStyle w:val="FootnoteReference"/>
          <w:rFonts w:ascii="Times New Roman" w:hAnsi="Times New Roman" w:cs="Times New Roman"/>
          <w:sz w:val="24"/>
          <w:szCs w:val="24"/>
        </w:rPr>
        <w:footnoteReference w:id="6"/>
      </w:r>
      <w:r w:rsidR="00965232" w:rsidRPr="00144ED9">
        <w:rPr>
          <w:rFonts w:ascii="Times New Roman" w:hAnsi="Times New Roman" w:cs="Times New Roman"/>
          <w:sz w:val="24"/>
          <w:szCs w:val="24"/>
        </w:rPr>
        <w:t xml:space="preserve"> This argument is in line with </w:t>
      </w:r>
      <w:r w:rsidR="000B66A1">
        <w:rPr>
          <w:rFonts w:ascii="Times New Roman" w:hAnsi="Times New Roman" w:cs="Times New Roman"/>
          <w:sz w:val="24"/>
          <w:szCs w:val="24"/>
        </w:rPr>
        <w:t xml:space="preserve">para. </w:t>
      </w:r>
      <w:r w:rsidR="00965232" w:rsidRPr="00144ED9">
        <w:rPr>
          <w:rFonts w:ascii="Times New Roman" w:hAnsi="Times New Roman" w:cs="Times New Roman"/>
          <w:sz w:val="24"/>
          <w:szCs w:val="24"/>
        </w:rPr>
        <w:t>75 (d), and meets the provision of quality education stated in 56 (b).</w:t>
      </w:r>
    </w:p>
    <w:p w:rsidR="00440F4F" w:rsidRPr="00144ED9" w:rsidRDefault="0079047B">
      <w:pPr>
        <w:rPr>
          <w:rFonts w:ascii="Times New Roman" w:hAnsi="Times New Roman" w:cs="Times New Roman"/>
          <w:sz w:val="24"/>
          <w:szCs w:val="24"/>
        </w:rPr>
      </w:pPr>
      <w:r w:rsidRPr="00144ED9">
        <w:rPr>
          <w:rFonts w:ascii="Times New Roman" w:hAnsi="Times New Roman" w:cs="Times New Roman"/>
          <w:sz w:val="24"/>
          <w:szCs w:val="24"/>
        </w:rPr>
        <w:t>56 (b). Education should be provided in or close to the communities where Indigenous girls and women live to protect their ways of life and ensure that long distances do not interfere with their choice or right to access education. Further, State</w:t>
      </w:r>
      <w:r w:rsidR="0066735D" w:rsidRPr="00144ED9">
        <w:rPr>
          <w:rFonts w:ascii="Times New Roman" w:hAnsi="Times New Roman" w:cs="Times New Roman"/>
          <w:sz w:val="24"/>
          <w:szCs w:val="24"/>
        </w:rPr>
        <w:t>s p</w:t>
      </w:r>
      <w:r w:rsidRPr="00144ED9">
        <w:rPr>
          <w:rFonts w:ascii="Times New Roman" w:hAnsi="Times New Roman" w:cs="Times New Roman"/>
          <w:sz w:val="24"/>
          <w:szCs w:val="24"/>
        </w:rPr>
        <w:t xml:space="preserve">arties must ensure that education in Indigenous communities is as reputable as that of other regions and cities, </w:t>
      </w:r>
      <w:r w:rsidR="00440F4F" w:rsidRPr="00144ED9">
        <w:rPr>
          <w:rFonts w:ascii="Times New Roman" w:hAnsi="Times New Roman" w:cs="Times New Roman"/>
          <w:sz w:val="24"/>
          <w:szCs w:val="24"/>
        </w:rPr>
        <w:t>to make sure that Indigenous girls and women stand a possibility to access higher levels of education and be admitted to prestigious universities. Ensuring thi</w:t>
      </w:r>
      <w:r w:rsidR="000A6323">
        <w:rPr>
          <w:rFonts w:ascii="Times New Roman" w:hAnsi="Times New Roman" w:cs="Times New Roman"/>
          <w:sz w:val="24"/>
          <w:szCs w:val="24"/>
        </w:rPr>
        <w:t>s aspect of education also enhanc</w:t>
      </w:r>
      <w:r w:rsidR="00440F4F" w:rsidRPr="00144ED9">
        <w:rPr>
          <w:rFonts w:ascii="Times New Roman" w:hAnsi="Times New Roman" w:cs="Times New Roman"/>
          <w:sz w:val="24"/>
          <w:szCs w:val="24"/>
        </w:rPr>
        <w:t>es Indigenous girls and women’s probabilities to access a good job, contributing in this way to their growth, as well as that of their community and thei</w:t>
      </w:r>
      <w:r w:rsidR="000A6323">
        <w:rPr>
          <w:rFonts w:ascii="Times New Roman" w:hAnsi="Times New Roman" w:cs="Times New Roman"/>
          <w:sz w:val="24"/>
          <w:szCs w:val="24"/>
        </w:rPr>
        <w:t>r country. This argument is</w:t>
      </w:r>
      <w:r w:rsidR="00440F4F" w:rsidRPr="00144ED9">
        <w:rPr>
          <w:rFonts w:ascii="Times New Roman" w:hAnsi="Times New Roman" w:cs="Times New Roman"/>
          <w:sz w:val="24"/>
          <w:szCs w:val="24"/>
        </w:rPr>
        <w:t xml:space="preserve"> in line with para. 57.</w:t>
      </w:r>
    </w:p>
    <w:p w:rsidR="00440F4F" w:rsidRPr="00144ED9" w:rsidRDefault="00440F4F">
      <w:pPr>
        <w:rPr>
          <w:rFonts w:ascii="Times New Roman" w:hAnsi="Times New Roman" w:cs="Times New Roman"/>
          <w:sz w:val="24"/>
          <w:szCs w:val="24"/>
        </w:rPr>
      </w:pPr>
      <w:r w:rsidRPr="00144ED9">
        <w:rPr>
          <w:rFonts w:ascii="Times New Roman" w:hAnsi="Times New Roman" w:cs="Times New Roman"/>
          <w:sz w:val="24"/>
          <w:szCs w:val="24"/>
        </w:rPr>
        <w:t>56 (f). Stakeholders must organize training programs on Indigenous girls and women’s rights at all administrative and educational levels.</w:t>
      </w:r>
    </w:p>
    <w:p w:rsidR="0079047B" w:rsidRPr="00144ED9" w:rsidRDefault="00440F4F">
      <w:pPr>
        <w:rPr>
          <w:rFonts w:ascii="Times New Roman" w:hAnsi="Times New Roman" w:cs="Times New Roman"/>
          <w:sz w:val="24"/>
          <w:szCs w:val="24"/>
        </w:rPr>
      </w:pPr>
      <w:r w:rsidRPr="00144ED9">
        <w:rPr>
          <w:rFonts w:ascii="Times New Roman" w:hAnsi="Times New Roman" w:cs="Times New Roman"/>
          <w:sz w:val="24"/>
          <w:szCs w:val="24"/>
        </w:rPr>
        <w:t>56 (g). Para. 56 should be monitored according to th</w:t>
      </w:r>
      <w:r w:rsidR="001660F3">
        <w:rPr>
          <w:rFonts w:ascii="Times New Roman" w:hAnsi="Times New Roman" w:cs="Times New Roman"/>
          <w:sz w:val="24"/>
          <w:szCs w:val="24"/>
        </w:rPr>
        <w:t>e CEDAW framework cited</w:t>
      </w:r>
      <w:r w:rsidRPr="00144ED9">
        <w:rPr>
          <w:rFonts w:ascii="Times New Roman" w:hAnsi="Times New Roman" w:cs="Times New Roman"/>
          <w:sz w:val="24"/>
          <w:szCs w:val="24"/>
        </w:rPr>
        <w:t xml:space="preserve"> in the background section of this document to ensure not only de </w:t>
      </w:r>
      <w:r w:rsidR="00491927">
        <w:rPr>
          <w:rFonts w:ascii="Times New Roman" w:hAnsi="Times New Roman" w:cs="Times New Roman"/>
          <w:sz w:val="24"/>
          <w:szCs w:val="24"/>
        </w:rPr>
        <w:t>jure</w:t>
      </w:r>
      <w:r w:rsidRPr="00144ED9">
        <w:rPr>
          <w:rFonts w:ascii="Times New Roman" w:hAnsi="Times New Roman" w:cs="Times New Roman"/>
          <w:sz w:val="24"/>
          <w:szCs w:val="24"/>
        </w:rPr>
        <w:t xml:space="preserve"> equality, but also de facto and results equality. </w:t>
      </w:r>
    </w:p>
    <w:p w:rsidR="0079047B" w:rsidRPr="00144ED9" w:rsidRDefault="00440F4F">
      <w:pPr>
        <w:rPr>
          <w:rFonts w:ascii="Times New Roman" w:hAnsi="Times New Roman" w:cs="Times New Roman"/>
          <w:sz w:val="24"/>
          <w:szCs w:val="24"/>
        </w:rPr>
      </w:pPr>
      <w:r w:rsidRPr="00144ED9">
        <w:rPr>
          <w:rFonts w:ascii="Times New Roman" w:hAnsi="Times New Roman" w:cs="Times New Roman"/>
          <w:sz w:val="24"/>
          <w:szCs w:val="24"/>
        </w:rPr>
        <w:t xml:space="preserve">58 (a). Equity, mentioned in this paragraph, should be made explicit in monitoring and implementation frameworks. This argument applies specifically to </w:t>
      </w:r>
      <w:r w:rsidR="000A6323">
        <w:rPr>
          <w:rFonts w:ascii="Times New Roman" w:hAnsi="Times New Roman" w:cs="Times New Roman"/>
          <w:sz w:val="24"/>
          <w:szCs w:val="24"/>
        </w:rPr>
        <w:t xml:space="preserve">paras. </w:t>
      </w:r>
      <w:r w:rsidRPr="00144ED9">
        <w:rPr>
          <w:rFonts w:ascii="Times New Roman" w:hAnsi="Times New Roman" w:cs="Times New Roman"/>
          <w:sz w:val="24"/>
          <w:szCs w:val="24"/>
        </w:rPr>
        <w:t xml:space="preserve">58 (a) </w:t>
      </w:r>
      <w:proofErr w:type="spellStart"/>
      <w:r w:rsidRPr="00144ED9">
        <w:rPr>
          <w:rFonts w:ascii="Times New Roman" w:hAnsi="Times New Roman" w:cs="Times New Roman"/>
          <w:sz w:val="24"/>
          <w:szCs w:val="24"/>
        </w:rPr>
        <w:t>i</w:t>
      </w:r>
      <w:proofErr w:type="spellEnd"/>
      <w:r w:rsidRPr="00144ED9">
        <w:rPr>
          <w:rFonts w:ascii="Times New Roman" w:hAnsi="Times New Roman" w:cs="Times New Roman"/>
          <w:sz w:val="24"/>
          <w:szCs w:val="24"/>
        </w:rPr>
        <w:t xml:space="preserve">. and 58 (a) vi., and is in line with </w:t>
      </w:r>
      <w:r w:rsidR="000A6323">
        <w:rPr>
          <w:rFonts w:ascii="Times New Roman" w:hAnsi="Times New Roman" w:cs="Times New Roman"/>
          <w:sz w:val="24"/>
          <w:szCs w:val="24"/>
        </w:rPr>
        <w:t xml:space="preserve">paras. </w:t>
      </w:r>
      <w:r w:rsidRPr="00144ED9">
        <w:rPr>
          <w:rFonts w:ascii="Times New Roman" w:hAnsi="Times New Roman" w:cs="Times New Roman"/>
          <w:sz w:val="24"/>
          <w:szCs w:val="24"/>
        </w:rPr>
        <w:t>56 (b) and 56 (f) in the context of high rank positions in universities, but its applicability is intersectional.</w:t>
      </w:r>
    </w:p>
    <w:p w:rsidR="003575B7" w:rsidRPr="00144ED9" w:rsidRDefault="00585A0C">
      <w:pPr>
        <w:rPr>
          <w:rFonts w:ascii="Times New Roman" w:hAnsi="Times New Roman" w:cs="Times New Roman"/>
          <w:sz w:val="24"/>
          <w:szCs w:val="24"/>
        </w:rPr>
      </w:pPr>
      <w:r w:rsidRPr="00144ED9">
        <w:rPr>
          <w:rFonts w:ascii="Times New Roman" w:hAnsi="Times New Roman" w:cs="Times New Roman"/>
          <w:sz w:val="24"/>
          <w:szCs w:val="24"/>
        </w:rPr>
        <w:t xml:space="preserve">78 (b). Participation should be implemented and monitored according </w:t>
      </w:r>
      <w:r w:rsidR="001660F3">
        <w:rPr>
          <w:rFonts w:ascii="Times New Roman" w:hAnsi="Times New Roman" w:cs="Times New Roman"/>
          <w:sz w:val="24"/>
          <w:szCs w:val="24"/>
        </w:rPr>
        <w:t>to the CEDAW framework cited</w:t>
      </w:r>
      <w:r w:rsidRPr="00144ED9">
        <w:rPr>
          <w:rFonts w:ascii="Times New Roman" w:hAnsi="Times New Roman" w:cs="Times New Roman"/>
          <w:sz w:val="24"/>
          <w:szCs w:val="24"/>
        </w:rPr>
        <w:t xml:space="preserve"> in the background section of this document.</w:t>
      </w:r>
    </w:p>
    <w:sectPr w:rsidR="003575B7" w:rsidRPr="00144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D2" w:rsidRDefault="007C6ED2" w:rsidP="00C524BC">
      <w:pPr>
        <w:spacing w:after="0" w:line="240" w:lineRule="auto"/>
      </w:pPr>
      <w:r>
        <w:separator/>
      </w:r>
    </w:p>
  </w:endnote>
  <w:endnote w:type="continuationSeparator" w:id="0">
    <w:p w:rsidR="007C6ED2" w:rsidRDefault="007C6ED2" w:rsidP="00C5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D2" w:rsidRDefault="007C6ED2" w:rsidP="00C524BC">
      <w:pPr>
        <w:spacing w:after="0" w:line="240" w:lineRule="auto"/>
      </w:pPr>
      <w:r>
        <w:separator/>
      </w:r>
    </w:p>
  </w:footnote>
  <w:footnote w:type="continuationSeparator" w:id="0">
    <w:p w:rsidR="007C6ED2" w:rsidRDefault="007C6ED2" w:rsidP="00C524BC">
      <w:pPr>
        <w:spacing w:after="0" w:line="240" w:lineRule="auto"/>
      </w:pPr>
      <w:r>
        <w:continuationSeparator/>
      </w:r>
    </w:p>
  </w:footnote>
  <w:footnote w:id="1">
    <w:p w:rsidR="0026208A" w:rsidRPr="001660F3" w:rsidRDefault="0026208A">
      <w:pPr>
        <w:pStyle w:val="FootnoteText"/>
        <w:rPr>
          <w:rFonts w:ascii="Times New Roman" w:hAnsi="Times New Roman" w:cs="Times New Roman"/>
        </w:rPr>
      </w:pPr>
      <w:r w:rsidRPr="00144ED9">
        <w:rPr>
          <w:rStyle w:val="FootnoteReference"/>
          <w:rFonts w:ascii="Times New Roman" w:hAnsi="Times New Roman" w:cs="Times New Roman"/>
        </w:rPr>
        <w:footnoteRef/>
      </w:r>
      <w:r w:rsidRPr="00144ED9">
        <w:rPr>
          <w:rFonts w:ascii="Times New Roman" w:hAnsi="Times New Roman" w:cs="Times New Roman"/>
        </w:rPr>
        <w:t xml:space="preserve"> Romina Quezada is a doctoral candidate in International and Comparative Education at Teachers College, </w:t>
      </w:r>
      <w:r w:rsidRPr="001660F3">
        <w:rPr>
          <w:rFonts w:ascii="Times New Roman" w:hAnsi="Times New Roman" w:cs="Times New Roman"/>
        </w:rPr>
        <w:t>Columbia University. She is Assistant to the Indigenous Peoples’ Rights and Policy Summer Program and the MOOC on Indigenous Rights and Policy at the Institute for the Study of Human Ri</w:t>
      </w:r>
      <w:r w:rsidR="001671F1" w:rsidRPr="001660F3">
        <w:rPr>
          <w:rFonts w:ascii="Times New Roman" w:hAnsi="Times New Roman" w:cs="Times New Roman"/>
        </w:rPr>
        <w:t>ghts (ISHR)</w:t>
      </w:r>
      <w:r w:rsidRPr="001660F3">
        <w:rPr>
          <w:rFonts w:ascii="Times New Roman" w:hAnsi="Times New Roman" w:cs="Times New Roman"/>
        </w:rPr>
        <w:t>, as well as Rapporteur of the Indige</w:t>
      </w:r>
      <w:r w:rsidR="001671F1" w:rsidRPr="001660F3">
        <w:rPr>
          <w:rFonts w:ascii="Times New Roman" w:hAnsi="Times New Roman" w:cs="Times New Roman"/>
        </w:rPr>
        <w:t>nous Studies University Seminar, all at Columbia University.</w:t>
      </w:r>
      <w:r w:rsidRPr="001660F3">
        <w:rPr>
          <w:rFonts w:ascii="Times New Roman" w:hAnsi="Times New Roman" w:cs="Times New Roman"/>
        </w:rPr>
        <w:t xml:space="preserve"> She is </w:t>
      </w:r>
      <w:r w:rsidR="001671F1" w:rsidRPr="001660F3">
        <w:rPr>
          <w:rFonts w:ascii="Times New Roman" w:hAnsi="Times New Roman" w:cs="Times New Roman"/>
        </w:rPr>
        <w:t xml:space="preserve">also </w:t>
      </w:r>
      <w:r w:rsidRPr="001660F3">
        <w:rPr>
          <w:rFonts w:ascii="Times New Roman" w:hAnsi="Times New Roman" w:cs="Times New Roman"/>
        </w:rPr>
        <w:t>Secretary of the Indigenous Knowledge and the Academy Special Interest Group at the Comparative and International Education Society (CIES). The views provided in this document do not necessarily reflect those of the institutions and programs mentioned.</w:t>
      </w:r>
    </w:p>
  </w:footnote>
  <w:footnote w:id="2">
    <w:p w:rsidR="0026208A" w:rsidRPr="001660F3" w:rsidRDefault="0026208A">
      <w:pPr>
        <w:pStyle w:val="FootnoteText"/>
        <w:rPr>
          <w:rFonts w:ascii="Times New Roman" w:hAnsi="Times New Roman" w:cs="Times New Roman"/>
        </w:rPr>
      </w:pPr>
      <w:r w:rsidRPr="001660F3">
        <w:rPr>
          <w:rStyle w:val="FootnoteReference"/>
          <w:rFonts w:ascii="Times New Roman" w:hAnsi="Times New Roman" w:cs="Times New Roman"/>
        </w:rPr>
        <w:footnoteRef/>
      </w:r>
      <w:r w:rsidRPr="001660F3">
        <w:rPr>
          <w:rFonts w:ascii="Times New Roman" w:hAnsi="Times New Roman" w:cs="Times New Roman"/>
        </w:rPr>
        <w:t xml:space="preserve"> CEDAW, “General Recommendation No. 28 on the core obligation of State</w:t>
      </w:r>
      <w:r w:rsidR="00491927">
        <w:rPr>
          <w:rFonts w:ascii="Times New Roman" w:hAnsi="Times New Roman" w:cs="Times New Roman"/>
        </w:rPr>
        <w:t>s</w:t>
      </w:r>
      <w:r w:rsidRPr="001660F3">
        <w:rPr>
          <w:rFonts w:ascii="Times New Roman" w:hAnsi="Times New Roman" w:cs="Times New Roman"/>
        </w:rPr>
        <w:t xml:space="preserve"> parties under article 2 of the Convention on the Elimination of all forms of Discrimination Against Women” (CEDAW, 2010).</w:t>
      </w:r>
      <w:r w:rsidR="001671F1" w:rsidRPr="001660F3">
        <w:rPr>
          <w:rFonts w:ascii="Times New Roman" w:hAnsi="Times New Roman" w:cs="Times New Roman"/>
        </w:rPr>
        <w:t xml:space="preserve"> </w:t>
      </w:r>
    </w:p>
  </w:footnote>
  <w:footnote w:id="3">
    <w:p w:rsidR="0026208A" w:rsidRPr="001660F3" w:rsidRDefault="0026208A">
      <w:pPr>
        <w:pStyle w:val="FootnoteText"/>
        <w:rPr>
          <w:rFonts w:ascii="Times New Roman" w:hAnsi="Times New Roman" w:cs="Times New Roman"/>
        </w:rPr>
      </w:pPr>
      <w:r w:rsidRPr="001660F3">
        <w:rPr>
          <w:rStyle w:val="FootnoteReference"/>
          <w:rFonts w:ascii="Times New Roman" w:hAnsi="Times New Roman" w:cs="Times New Roman"/>
        </w:rPr>
        <w:footnoteRef/>
      </w:r>
      <w:r w:rsidRPr="001660F3">
        <w:rPr>
          <w:rFonts w:ascii="Times New Roman" w:hAnsi="Times New Roman" w:cs="Times New Roman"/>
        </w:rPr>
        <w:t xml:space="preserve"> UN Women Training Centre, “Equity.” Gender Equality Glossary, accessed January 23, 2022, </w:t>
      </w:r>
      <w:hyperlink r:id="rId1" w:history="1">
        <w:r w:rsidRPr="001660F3">
          <w:rPr>
            <w:rStyle w:val="Hyperlink"/>
            <w:rFonts w:ascii="Times New Roman" w:hAnsi="Times New Roman" w:cs="Times New Roman"/>
          </w:rPr>
          <w:t>Gender Equality Glossary (unwomen.org)</w:t>
        </w:r>
      </w:hyperlink>
    </w:p>
  </w:footnote>
  <w:footnote w:id="4">
    <w:p w:rsidR="00F127E3" w:rsidRPr="00F127E3" w:rsidRDefault="00F127E3" w:rsidP="00F127E3">
      <w:pPr>
        <w:pStyle w:val="FootnoteText"/>
        <w:rPr>
          <w:lang w:val="es-MX"/>
        </w:rPr>
      </w:pPr>
      <w:r w:rsidRPr="001660F3">
        <w:rPr>
          <w:rStyle w:val="FootnoteReference"/>
          <w:rFonts w:ascii="Times New Roman" w:hAnsi="Times New Roman" w:cs="Times New Roman"/>
        </w:rPr>
        <w:footnoteRef/>
      </w:r>
      <w:r w:rsidRPr="001660F3">
        <w:rPr>
          <w:rFonts w:ascii="Times New Roman" w:hAnsi="Times New Roman" w:cs="Times New Roman"/>
          <w:lang w:val="es-MX"/>
        </w:rPr>
        <w:t xml:space="preserve"> </w:t>
      </w:r>
      <w:proofErr w:type="spellStart"/>
      <w:r w:rsidRPr="001660F3">
        <w:rPr>
          <w:rStyle w:val="Hyperlink"/>
          <w:rFonts w:ascii="Times New Roman" w:hAnsi="Times New Roman" w:cs="Times New Roman"/>
          <w:color w:val="auto"/>
          <w:u w:val="none"/>
          <w:lang w:val="es-MX"/>
        </w:rPr>
        <w:t>For</w:t>
      </w:r>
      <w:proofErr w:type="spellEnd"/>
      <w:r w:rsidRPr="001660F3">
        <w:rPr>
          <w:rStyle w:val="Hyperlink"/>
          <w:rFonts w:ascii="Times New Roman" w:hAnsi="Times New Roman" w:cs="Times New Roman"/>
          <w:color w:val="auto"/>
          <w:u w:val="none"/>
          <w:lang w:val="es-MX"/>
        </w:rPr>
        <w:t xml:space="preserve"> a more </w:t>
      </w:r>
      <w:proofErr w:type="spellStart"/>
      <w:r w:rsidRPr="001660F3">
        <w:rPr>
          <w:rStyle w:val="Hyperlink"/>
          <w:rFonts w:ascii="Times New Roman" w:hAnsi="Times New Roman" w:cs="Times New Roman"/>
          <w:color w:val="auto"/>
          <w:u w:val="none"/>
          <w:lang w:val="es-MX"/>
        </w:rPr>
        <w:t>developed</w:t>
      </w:r>
      <w:proofErr w:type="spellEnd"/>
      <w:r w:rsidRPr="001660F3">
        <w:rPr>
          <w:rStyle w:val="Hyperlink"/>
          <w:rFonts w:ascii="Times New Roman" w:hAnsi="Times New Roman" w:cs="Times New Roman"/>
          <w:color w:val="auto"/>
          <w:u w:val="none"/>
          <w:lang w:val="es-MX"/>
        </w:rPr>
        <w:t xml:space="preserve"> </w:t>
      </w:r>
      <w:proofErr w:type="spellStart"/>
      <w:r w:rsidRPr="001660F3">
        <w:rPr>
          <w:rStyle w:val="Hyperlink"/>
          <w:rFonts w:ascii="Times New Roman" w:hAnsi="Times New Roman" w:cs="Times New Roman"/>
          <w:color w:val="auto"/>
          <w:u w:val="none"/>
          <w:lang w:val="es-MX"/>
        </w:rPr>
        <w:t>explanation</w:t>
      </w:r>
      <w:proofErr w:type="spellEnd"/>
      <w:r w:rsidRPr="001660F3">
        <w:rPr>
          <w:rStyle w:val="Hyperlink"/>
          <w:rFonts w:ascii="Times New Roman" w:hAnsi="Times New Roman" w:cs="Times New Roman"/>
          <w:color w:val="auto"/>
          <w:u w:val="none"/>
          <w:lang w:val="es-MX"/>
        </w:rPr>
        <w:t xml:space="preserve"> of </w:t>
      </w:r>
      <w:proofErr w:type="spellStart"/>
      <w:r w:rsidRPr="001660F3">
        <w:rPr>
          <w:rStyle w:val="Hyperlink"/>
          <w:rFonts w:ascii="Times New Roman" w:hAnsi="Times New Roman" w:cs="Times New Roman"/>
          <w:color w:val="auto"/>
          <w:u w:val="none"/>
          <w:lang w:val="es-MX"/>
        </w:rPr>
        <w:t>the</w:t>
      </w:r>
      <w:proofErr w:type="spellEnd"/>
      <w:r w:rsidRPr="001660F3">
        <w:rPr>
          <w:rStyle w:val="Hyperlink"/>
          <w:rFonts w:ascii="Times New Roman" w:hAnsi="Times New Roman" w:cs="Times New Roman"/>
          <w:color w:val="auto"/>
          <w:u w:val="none"/>
          <w:lang w:val="es-MX"/>
        </w:rPr>
        <w:t xml:space="preserve"> </w:t>
      </w:r>
      <w:proofErr w:type="spellStart"/>
      <w:r w:rsidRPr="001660F3">
        <w:rPr>
          <w:rStyle w:val="Hyperlink"/>
          <w:rFonts w:ascii="Times New Roman" w:hAnsi="Times New Roman" w:cs="Times New Roman"/>
          <w:color w:val="auto"/>
          <w:u w:val="none"/>
          <w:lang w:val="es-MX"/>
        </w:rPr>
        <w:t>argument</w:t>
      </w:r>
      <w:proofErr w:type="spellEnd"/>
      <w:r w:rsidRPr="001660F3">
        <w:rPr>
          <w:rStyle w:val="Hyperlink"/>
          <w:rFonts w:ascii="Times New Roman" w:hAnsi="Times New Roman" w:cs="Times New Roman"/>
          <w:color w:val="auto"/>
          <w:u w:val="none"/>
          <w:lang w:val="es-MX"/>
        </w:rPr>
        <w:t xml:space="preserve">, </w:t>
      </w:r>
      <w:proofErr w:type="spellStart"/>
      <w:r w:rsidRPr="001660F3">
        <w:rPr>
          <w:rStyle w:val="Hyperlink"/>
          <w:rFonts w:ascii="Times New Roman" w:hAnsi="Times New Roman" w:cs="Times New Roman"/>
          <w:color w:val="auto"/>
          <w:u w:val="none"/>
          <w:lang w:val="es-MX"/>
        </w:rPr>
        <w:t>see</w:t>
      </w:r>
      <w:proofErr w:type="spellEnd"/>
      <w:r w:rsidRPr="001660F3">
        <w:rPr>
          <w:rStyle w:val="Hyperlink"/>
          <w:rFonts w:ascii="Times New Roman" w:hAnsi="Times New Roman" w:cs="Times New Roman"/>
          <w:color w:val="auto"/>
          <w:u w:val="none"/>
          <w:lang w:val="es-MX"/>
        </w:rPr>
        <w:t xml:space="preserve"> </w:t>
      </w:r>
      <w:r w:rsidRPr="001660F3">
        <w:rPr>
          <w:rFonts w:ascii="Times New Roman" w:hAnsi="Times New Roman" w:cs="Times New Roman"/>
          <w:lang w:val="es-MX"/>
        </w:rPr>
        <w:t>Regina Cortina and Romina Quezada, “La igualdad de género en la investigación de alto rango en la Universidad Nacional Autónoma de México: una lente feminista,”</w:t>
      </w:r>
      <w:r w:rsidRPr="00144ED9">
        <w:rPr>
          <w:rFonts w:ascii="Times New Roman" w:hAnsi="Times New Roman" w:cs="Times New Roman"/>
          <w:lang w:val="es-MX"/>
        </w:rPr>
        <w:t xml:space="preserve"> </w:t>
      </w:r>
      <w:r w:rsidRPr="0026208A">
        <w:rPr>
          <w:rFonts w:ascii="Times New Roman" w:hAnsi="Times New Roman" w:cs="Times New Roman"/>
          <w:i/>
          <w:lang w:val="es-MX"/>
        </w:rPr>
        <w:t>Revista de Educación Superior del Sur Global - RESUR</w:t>
      </w:r>
      <w:r>
        <w:rPr>
          <w:rFonts w:ascii="Times New Roman" w:hAnsi="Times New Roman" w:cs="Times New Roman"/>
          <w:lang w:val="es-MX"/>
        </w:rPr>
        <w:t>, no. 13 (2021):</w:t>
      </w:r>
      <w:r w:rsidRPr="00144ED9">
        <w:rPr>
          <w:rFonts w:ascii="Times New Roman" w:hAnsi="Times New Roman" w:cs="Times New Roman"/>
          <w:lang w:val="es-MX"/>
        </w:rPr>
        <w:t xml:space="preserve"> </w:t>
      </w:r>
      <w:r w:rsidR="007C6ED2">
        <w:fldChar w:fldCharType="begin"/>
      </w:r>
      <w:r w:rsidR="007C6ED2" w:rsidRPr="001929F0">
        <w:rPr>
          <w:lang w:val="es-MX"/>
        </w:rPr>
        <w:instrText xml:space="preserve"> HYPERLINK "https://doi.org/10.25087/resur13a1" </w:instrText>
      </w:r>
      <w:r w:rsidR="007C6ED2">
        <w:fldChar w:fldCharType="separate"/>
      </w:r>
      <w:r w:rsidRPr="00144ED9">
        <w:rPr>
          <w:rStyle w:val="Hyperlink"/>
          <w:rFonts w:ascii="Times New Roman" w:hAnsi="Times New Roman" w:cs="Times New Roman"/>
          <w:shd w:val="clear" w:color="auto" w:fill="FFFFFF"/>
          <w:lang w:val="es-MX"/>
        </w:rPr>
        <w:t>https://doi.org/10.25087/resur13a1</w:t>
      </w:r>
      <w:r w:rsidR="007C6ED2">
        <w:rPr>
          <w:rStyle w:val="Hyperlink"/>
          <w:rFonts w:ascii="Times New Roman" w:hAnsi="Times New Roman" w:cs="Times New Roman"/>
          <w:shd w:val="clear" w:color="auto" w:fill="FFFFFF"/>
          <w:lang w:val="es-MX"/>
        </w:rPr>
        <w:fldChar w:fldCharType="end"/>
      </w:r>
    </w:p>
  </w:footnote>
  <w:footnote w:id="5">
    <w:p w:rsidR="001660F3" w:rsidRDefault="001660F3">
      <w:pPr>
        <w:pStyle w:val="FootnoteText"/>
      </w:pPr>
      <w:r>
        <w:rPr>
          <w:rStyle w:val="FootnoteReference"/>
        </w:rPr>
        <w:footnoteRef/>
      </w:r>
      <w:r>
        <w:t xml:space="preserve"> </w:t>
      </w:r>
      <w:r w:rsidRPr="001660F3">
        <w:rPr>
          <w:rFonts w:ascii="Times New Roman" w:hAnsi="Times New Roman" w:cs="Times New Roman"/>
        </w:rPr>
        <w:t xml:space="preserve">For an example of data validated by Indigenous girls and women, see the Indigenous Navigator, </w:t>
      </w:r>
      <w:hyperlink r:id="rId2" w:history="1">
        <w:r w:rsidRPr="001660F3">
          <w:rPr>
            <w:rStyle w:val="Hyperlink"/>
            <w:rFonts w:ascii="Times New Roman" w:hAnsi="Times New Roman" w:cs="Times New Roman"/>
          </w:rPr>
          <w:t>www.indigenousnavigator.org</w:t>
        </w:r>
      </w:hyperlink>
      <w:r>
        <w:t xml:space="preserve">  </w:t>
      </w:r>
    </w:p>
  </w:footnote>
  <w:footnote w:id="6">
    <w:p w:rsidR="0026208A" w:rsidRPr="007673FB" w:rsidRDefault="0026208A">
      <w:pPr>
        <w:pStyle w:val="FootnoteText"/>
        <w:rPr>
          <w:rFonts w:ascii="Times New Roman" w:hAnsi="Times New Roman" w:cs="Times New Roman"/>
        </w:rPr>
      </w:pPr>
      <w:r w:rsidRPr="007673FB">
        <w:rPr>
          <w:rStyle w:val="FootnoteReference"/>
          <w:rFonts w:ascii="Times New Roman" w:hAnsi="Times New Roman" w:cs="Times New Roman"/>
        </w:rPr>
        <w:footnoteRef/>
      </w:r>
      <w:r w:rsidR="009C0ED6">
        <w:rPr>
          <w:rFonts w:ascii="Times New Roman" w:hAnsi="Times New Roman" w:cs="Times New Roman"/>
        </w:rPr>
        <w:t xml:space="preserve"> UNESCO, “</w:t>
      </w:r>
      <w:r w:rsidRPr="007673FB">
        <w:rPr>
          <w:rFonts w:ascii="Times New Roman" w:hAnsi="Times New Roman" w:cs="Times New Roman"/>
        </w:rPr>
        <w:t>What you need to know about the righ</w:t>
      </w:r>
      <w:r w:rsidR="009C0ED6">
        <w:rPr>
          <w:rFonts w:ascii="Times New Roman" w:hAnsi="Times New Roman" w:cs="Times New Roman"/>
        </w:rPr>
        <w:t>t to education”, November 26, 2020,</w:t>
      </w:r>
      <w:r w:rsidRPr="007673FB">
        <w:rPr>
          <w:rFonts w:ascii="Times New Roman" w:hAnsi="Times New Roman" w:cs="Times New Roman"/>
        </w:rPr>
        <w:t xml:space="preserve"> </w:t>
      </w:r>
      <w:hyperlink r:id="rId3" w:history="1">
        <w:r w:rsidRPr="007673FB">
          <w:rPr>
            <w:rStyle w:val="Hyperlink"/>
            <w:rFonts w:ascii="Times New Roman" w:hAnsi="Times New Roman" w:cs="Times New Roman"/>
          </w:rPr>
          <w:t>What you need to know about the right to education (unesco.org)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94008"/>
    <w:multiLevelType w:val="hybridMultilevel"/>
    <w:tmpl w:val="721E8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0C"/>
    <w:rsid w:val="00061CDB"/>
    <w:rsid w:val="000A6323"/>
    <w:rsid w:val="000B66A1"/>
    <w:rsid w:val="000C0A0C"/>
    <w:rsid w:val="00144ED9"/>
    <w:rsid w:val="0016578E"/>
    <w:rsid w:val="001660F3"/>
    <w:rsid w:val="001671F1"/>
    <w:rsid w:val="001929F0"/>
    <w:rsid w:val="001F3CBF"/>
    <w:rsid w:val="0026208A"/>
    <w:rsid w:val="002B32DB"/>
    <w:rsid w:val="003067CA"/>
    <w:rsid w:val="003575B7"/>
    <w:rsid w:val="003825D3"/>
    <w:rsid w:val="00440F4F"/>
    <w:rsid w:val="004722B7"/>
    <w:rsid w:val="00491927"/>
    <w:rsid w:val="00585A0C"/>
    <w:rsid w:val="005A1C71"/>
    <w:rsid w:val="005D3929"/>
    <w:rsid w:val="006047FF"/>
    <w:rsid w:val="0066735D"/>
    <w:rsid w:val="006C1D05"/>
    <w:rsid w:val="00766863"/>
    <w:rsid w:val="007673FB"/>
    <w:rsid w:val="0079047B"/>
    <w:rsid w:val="007A3C98"/>
    <w:rsid w:val="007A5A04"/>
    <w:rsid w:val="007C6ED2"/>
    <w:rsid w:val="00803145"/>
    <w:rsid w:val="00965232"/>
    <w:rsid w:val="009B7B35"/>
    <w:rsid w:val="009C0ED6"/>
    <w:rsid w:val="009C1790"/>
    <w:rsid w:val="00A31F8F"/>
    <w:rsid w:val="00C0203C"/>
    <w:rsid w:val="00C524BC"/>
    <w:rsid w:val="00C767FB"/>
    <w:rsid w:val="00C83F0D"/>
    <w:rsid w:val="00CB492E"/>
    <w:rsid w:val="00D464D7"/>
    <w:rsid w:val="00D521B0"/>
    <w:rsid w:val="00DA5BFF"/>
    <w:rsid w:val="00E31EFD"/>
    <w:rsid w:val="00EB6B3A"/>
    <w:rsid w:val="00EE59D5"/>
    <w:rsid w:val="00F127E3"/>
    <w:rsid w:val="00F8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4156"/>
  <w15:chartTrackingRefBased/>
  <w15:docId w15:val="{3D909E98-0EE8-4497-B619-73008ED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2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4BC"/>
    <w:rPr>
      <w:sz w:val="20"/>
      <w:szCs w:val="20"/>
    </w:rPr>
  </w:style>
  <w:style w:type="character" w:styleId="FootnoteReference">
    <w:name w:val="footnote reference"/>
    <w:basedOn w:val="DefaultParagraphFont"/>
    <w:uiPriority w:val="99"/>
    <w:semiHidden/>
    <w:unhideWhenUsed/>
    <w:rsid w:val="00C524BC"/>
    <w:rPr>
      <w:vertAlign w:val="superscript"/>
    </w:rPr>
  </w:style>
  <w:style w:type="character" w:styleId="Hyperlink">
    <w:name w:val="Hyperlink"/>
    <w:basedOn w:val="DefaultParagraphFont"/>
    <w:uiPriority w:val="99"/>
    <w:unhideWhenUsed/>
    <w:rsid w:val="007A5A04"/>
    <w:rPr>
      <w:color w:val="0563C1" w:themeColor="hyperlink"/>
      <w:u w:val="single"/>
    </w:rPr>
  </w:style>
  <w:style w:type="character" w:styleId="FollowedHyperlink">
    <w:name w:val="FollowedHyperlink"/>
    <w:basedOn w:val="DefaultParagraphFont"/>
    <w:uiPriority w:val="99"/>
    <w:semiHidden/>
    <w:unhideWhenUsed/>
    <w:rsid w:val="009C0ED6"/>
    <w:rPr>
      <w:color w:val="954F72" w:themeColor="followedHyperlink"/>
      <w:u w:val="single"/>
    </w:rPr>
  </w:style>
  <w:style w:type="paragraph" w:styleId="ListParagraph">
    <w:name w:val="List Paragraph"/>
    <w:basedOn w:val="Normal"/>
    <w:uiPriority w:val="34"/>
    <w:qFormat/>
    <w:rsid w:val="00F12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unesco.org/news/what-you-need-know-about-right-education" TargetMode="External"/><Relationship Id="rId2" Type="http://schemas.openxmlformats.org/officeDocument/2006/relationships/hyperlink" Target="http://www.indigenousnavigator.org" TargetMode="External"/><Relationship Id="rId1" Type="http://schemas.openxmlformats.org/officeDocument/2006/relationships/hyperlink" Target="https://trainingcentre.unwomen.org/mod/glossary/view.php?id=36&amp;mode=search&amp;hook=equity&amp;fullsear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CB2F-B147-427A-827C-149327D9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dc:description/>
  <cp:lastModifiedBy>Romina</cp:lastModifiedBy>
  <cp:revision>29</cp:revision>
  <dcterms:created xsi:type="dcterms:W3CDTF">2022-01-23T17:22:00Z</dcterms:created>
  <dcterms:modified xsi:type="dcterms:W3CDTF">2022-01-29T23:55:00Z</dcterms:modified>
</cp:coreProperties>
</file>