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C058" w14:textId="77777777" w:rsidR="00A11357" w:rsidRDefault="00A11357" w:rsidP="00A11357">
      <w:pPr>
        <w:jc w:val="center"/>
      </w:pPr>
      <w:r>
        <w:t>Submission for:</w:t>
      </w:r>
    </w:p>
    <w:p w14:paraId="54687242" w14:textId="3DFFD9EE" w:rsidR="00227815" w:rsidRPr="00A11357" w:rsidRDefault="00A11357" w:rsidP="00A11357">
      <w:pPr>
        <w:jc w:val="center"/>
        <w:rPr>
          <w:b/>
          <w:bCs/>
          <w:i/>
          <w:iCs/>
        </w:rPr>
      </w:pPr>
      <w:r w:rsidRPr="00A11357">
        <w:rPr>
          <w:b/>
          <w:bCs/>
        </w:rPr>
        <w:t xml:space="preserve"> </w:t>
      </w:r>
      <w:r w:rsidRPr="00A11357">
        <w:rPr>
          <w:b/>
          <w:bCs/>
          <w:i/>
          <w:iCs/>
        </w:rPr>
        <w:t>Call for Comments: Draft General Recommendation on the rights of indigenous women and girls</w:t>
      </w:r>
    </w:p>
    <w:p w14:paraId="1B585F39" w14:textId="15DFA387" w:rsidR="00A11357" w:rsidRPr="00A11357" w:rsidRDefault="00A11357" w:rsidP="00A11357">
      <w:pPr>
        <w:jc w:val="center"/>
        <w:rPr>
          <w:b/>
          <w:bCs/>
        </w:rPr>
      </w:pPr>
      <w:r>
        <w:rPr>
          <w:b/>
          <w:bCs/>
        </w:rPr>
        <w:t>Committee on the Elimination of Discrimination Against Women</w:t>
      </w:r>
    </w:p>
    <w:p w14:paraId="5387651C" w14:textId="0C3ECB40" w:rsidR="00A11357" w:rsidRDefault="00A11357" w:rsidP="00A11357">
      <w:pPr>
        <w:jc w:val="center"/>
      </w:pPr>
    </w:p>
    <w:p w14:paraId="60081530" w14:textId="77777777" w:rsidR="00A11357" w:rsidRDefault="00A11357" w:rsidP="00A11357">
      <w:pPr>
        <w:jc w:val="center"/>
      </w:pPr>
    </w:p>
    <w:p w14:paraId="2C7BE4CB" w14:textId="15991403" w:rsidR="008339EC" w:rsidRPr="0025300B" w:rsidRDefault="00227815" w:rsidP="00836002">
      <w:pPr>
        <w:pStyle w:val="ListParagraph"/>
        <w:numPr>
          <w:ilvl w:val="0"/>
          <w:numId w:val="5"/>
        </w:numPr>
        <w:jc w:val="both"/>
        <w:rPr>
          <w:rFonts w:cstheme="minorHAnsi"/>
        </w:rPr>
      </w:pPr>
      <w:r w:rsidRPr="0025300B">
        <w:rPr>
          <w:rFonts w:cstheme="minorHAnsi"/>
        </w:rPr>
        <w:t xml:space="preserve">Franciscans International welcomes the draft General Recommendation on indigenous women and girls; we note our prior submission </w:t>
      </w:r>
      <w:r w:rsidR="007B6D7A" w:rsidRPr="0025300B">
        <w:rPr>
          <w:rFonts w:cstheme="minorHAnsi"/>
        </w:rPr>
        <w:t xml:space="preserve">to the Committee on the Elimination of Discrimination against Women. </w:t>
      </w:r>
      <w:r w:rsidRPr="0025300B">
        <w:rPr>
          <w:rFonts w:cstheme="minorHAnsi"/>
        </w:rPr>
        <w:t xml:space="preserve"> </w:t>
      </w:r>
    </w:p>
    <w:p w14:paraId="73CB97E7" w14:textId="77777777" w:rsidR="00227815" w:rsidRPr="001D2E08" w:rsidRDefault="00227815" w:rsidP="00836002">
      <w:pPr>
        <w:jc w:val="both"/>
        <w:rPr>
          <w:rFonts w:cstheme="minorHAnsi"/>
        </w:rPr>
      </w:pPr>
    </w:p>
    <w:p w14:paraId="66C78042" w14:textId="274C4FEE" w:rsidR="008339EC" w:rsidRPr="0025300B" w:rsidRDefault="008339EC" w:rsidP="00836002">
      <w:pPr>
        <w:pStyle w:val="ListParagraph"/>
        <w:numPr>
          <w:ilvl w:val="0"/>
          <w:numId w:val="5"/>
        </w:numPr>
        <w:jc w:val="both"/>
        <w:rPr>
          <w:rFonts w:cstheme="minorHAnsi"/>
        </w:rPr>
      </w:pPr>
      <w:r w:rsidRPr="0025300B">
        <w:rPr>
          <w:rFonts w:cstheme="minorHAnsi"/>
        </w:rPr>
        <w:t xml:space="preserve">We </w:t>
      </w:r>
      <w:r w:rsidR="00817727" w:rsidRPr="0025300B">
        <w:rPr>
          <w:rFonts w:cstheme="minorHAnsi"/>
        </w:rPr>
        <w:t xml:space="preserve">particularly </w:t>
      </w:r>
      <w:r w:rsidR="00C72E60">
        <w:rPr>
          <w:rFonts w:cstheme="minorHAnsi"/>
        </w:rPr>
        <w:t xml:space="preserve">welcome and </w:t>
      </w:r>
      <w:r w:rsidRPr="0025300B">
        <w:rPr>
          <w:rFonts w:cstheme="minorHAnsi"/>
        </w:rPr>
        <w:t xml:space="preserve">support </w:t>
      </w:r>
      <w:r w:rsidR="00C72E60">
        <w:rPr>
          <w:rFonts w:cstheme="minorHAnsi"/>
        </w:rPr>
        <w:t xml:space="preserve">references to climate change and </w:t>
      </w:r>
      <w:r w:rsidRPr="0025300B">
        <w:rPr>
          <w:rFonts w:cstheme="minorHAnsi"/>
        </w:rPr>
        <w:t xml:space="preserve">the inclusion of the right to </w:t>
      </w:r>
      <w:r w:rsidR="00C72E60">
        <w:rPr>
          <w:rFonts w:cstheme="minorHAnsi"/>
        </w:rPr>
        <w:t xml:space="preserve">a </w:t>
      </w:r>
      <w:r w:rsidRPr="0025300B">
        <w:rPr>
          <w:rFonts w:cstheme="minorHAnsi"/>
        </w:rPr>
        <w:t xml:space="preserve">clean, safe, healthy, and sustainable environment throughout the General Recommendation, and underscore the indispensability of this right to </w:t>
      </w:r>
      <w:r w:rsidR="00817727" w:rsidRPr="0025300B">
        <w:rPr>
          <w:rFonts w:cstheme="minorHAnsi"/>
        </w:rPr>
        <w:t xml:space="preserve">the </w:t>
      </w:r>
      <w:r w:rsidRPr="0025300B">
        <w:rPr>
          <w:rFonts w:cstheme="minorHAnsi"/>
        </w:rPr>
        <w:t>lives and livelihoods of indigenous women.</w:t>
      </w:r>
    </w:p>
    <w:p w14:paraId="4FFC1CF3" w14:textId="413F6C1F" w:rsidR="008339EC" w:rsidRPr="001D2E08" w:rsidRDefault="008339EC" w:rsidP="00836002">
      <w:pPr>
        <w:jc w:val="both"/>
        <w:rPr>
          <w:rFonts w:cstheme="minorHAnsi"/>
        </w:rPr>
      </w:pPr>
    </w:p>
    <w:p w14:paraId="1423781D" w14:textId="1159DDB2" w:rsidR="00935898" w:rsidRPr="0025300B" w:rsidRDefault="0025300B" w:rsidP="00836002">
      <w:pPr>
        <w:jc w:val="both"/>
        <w:rPr>
          <w:rFonts w:cstheme="minorHAnsi"/>
          <w:i/>
          <w:iCs/>
        </w:rPr>
      </w:pPr>
      <w:r w:rsidRPr="0025300B">
        <w:rPr>
          <w:rFonts w:cstheme="minorHAnsi"/>
          <w:i/>
          <w:iCs/>
        </w:rPr>
        <w:t xml:space="preserve">General Obligations &amp; the Right to </w:t>
      </w:r>
      <w:r w:rsidR="00935898" w:rsidRPr="0025300B">
        <w:rPr>
          <w:rFonts w:cstheme="minorHAnsi"/>
          <w:i/>
          <w:iCs/>
        </w:rPr>
        <w:t>Self-Determination</w:t>
      </w:r>
    </w:p>
    <w:p w14:paraId="7E3BA6FC" w14:textId="77777777" w:rsidR="00935898" w:rsidRDefault="00935898" w:rsidP="00836002">
      <w:pPr>
        <w:jc w:val="both"/>
        <w:rPr>
          <w:rFonts w:cstheme="minorHAnsi"/>
        </w:rPr>
      </w:pPr>
    </w:p>
    <w:p w14:paraId="3923B64E" w14:textId="40DB78C2" w:rsidR="00817727" w:rsidRPr="0025300B" w:rsidRDefault="00C72E60" w:rsidP="00836002">
      <w:pPr>
        <w:pStyle w:val="ListParagraph"/>
        <w:numPr>
          <w:ilvl w:val="0"/>
          <w:numId w:val="5"/>
        </w:numPr>
        <w:jc w:val="both"/>
        <w:rPr>
          <w:rFonts w:cstheme="minorHAnsi"/>
        </w:rPr>
      </w:pPr>
      <w:r>
        <w:rPr>
          <w:rFonts w:cstheme="minorHAnsi"/>
        </w:rPr>
        <w:t>T</w:t>
      </w:r>
      <w:r w:rsidR="00817727" w:rsidRPr="0025300B">
        <w:rPr>
          <w:rFonts w:cstheme="minorHAnsi"/>
        </w:rPr>
        <w:t>he draft identifies the “absence of the effective implementation of their right to self-determination” as a root cause of discrimination against indigenous women and girls</w:t>
      </w:r>
      <w:r w:rsidR="000C55DC" w:rsidRPr="0025300B">
        <w:rPr>
          <w:rFonts w:cstheme="minorHAnsi"/>
        </w:rPr>
        <w:t xml:space="preserve"> (para 11) and recognizes self-determination “as a key element to ensure that indigenous women live free from gender-based violence and discrimination […]” (para 17)</w:t>
      </w:r>
      <w:r w:rsidR="00817727" w:rsidRPr="0025300B">
        <w:rPr>
          <w:rFonts w:cstheme="minorHAnsi"/>
        </w:rPr>
        <w:t xml:space="preserve">. </w:t>
      </w:r>
    </w:p>
    <w:p w14:paraId="03C07E5C" w14:textId="77777777" w:rsidR="00EC5D5A" w:rsidRPr="001D2E08" w:rsidRDefault="00EC5D5A" w:rsidP="00836002">
      <w:pPr>
        <w:jc w:val="both"/>
        <w:rPr>
          <w:rFonts w:eastAsia="Times New Roman" w:cstheme="minorHAnsi"/>
          <w:color w:val="000000"/>
          <w:shd w:val="clear" w:color="auto" w:fill="FFFFFF"/>
        </w:rPr>
      </w:pPr>
    </w:p>
    <w:p w14:paraId="7F1A69F7" w14:textId="5AFAC236" w:rsidR="00C72E60" w:rsidRPr="000F2CFC" w:rsidRDefault="000C55DC" w:rsidP="00836002">
      <w:pPr>
        <w:pStyle w:val="ListParagraph"/>
        <w:numPr>
          <w:ilvl w:val="0"/>
          <w:numId w:val="5"/>
        </w:numPr>
        <w:jc w:val="both"/>
        <w:rPr>
          <w:rFonts w:cstheme="minorHAnsi"/>
        </w:rPr>
      </w:pPr>
      <w:r w:rsidRPr="0025300B">
        <w:rPr>
          <w:rFonts w:eastAsia="Times New Roman" w:cstheme="minorHAnsi"/>
          <w:color w:val="000000"/>
          <w:shd w:val="clear" w:color="auto" w:fill="FFFFFF"/>
        </w:rPr>
        <w:t>Given the importance of this right</w:t>
      </w:r>
      <w:r w:rsidR="00AE3703" w:rsidRPr="0025300B">
        <w:rPr>
          <w:rFonts w:eastAsia="Times New Roman" w:cstheme="minorHAnsi"/>
          <w:color w:val="000000"/>
          <w:shd w:val="clear" w:color="auto" w:fill="FFFFFF"/>
        </w:rPr>
        <w:t xml:space="preserve">, as a peremptory norm of international law </w:t>
      </w:r>
      <w:r w:rsidR="00AE3703" w:rsidRPr="0025300B">
        <w:rPr>
          <w:rFonts w:cstheme="minorHAnsi"/>
        </w:rPr>
        <w:t>from which no derogation is permitted,</w:t>
      </w:r>
      <w:r w:rsidR="00AE3703" w:rsidRPr="001D2E08">
        <w:rPr>
          <w:rStyle w:val="FootnoteReference"/>
          <w:rFonts w:cstheme="minorHAnsi"/>
        </w:rPr>
        <w:footnoteReference w:id="1"/>
      </w:r>
      <w:r w:rsidR="00AE3703" w:rsidRPr="0025300B">
        <w:rPr>
          <w:rFonts w:cstheme="minorHAnsi"/>
        </w:rPr>
        <w:t xml:space="preserve"> the General Recommendation should include a specific recommendation on the right to self-determination. We note that as a peremptory norm, States are required to cooperate and work to bring to an end a breach of this right, and are further required to not recognize as lawful a situation arising from the breach or ‘render aid or assistance in maintaining’ the situation.</w:t>
      </w:r>
      <w:r w:rsidR="00AE3703" w:rsidRPr="001D2E08">
        <w:rPr>
          <w:rStyle w:val="FootnoteReference"/>
          <w:rFonts w:cstheme="minorHAnsi"/>
        </w:rPr>
        <w:footnoteReference w:id="2"/>
      </w:r>
      <w:r w:rsidR="00AE3703" w:rsidRPr="0025300B">
        <w:rPr>
          <w:rFonts w:cstheme="minorHAnsi"/>
        </w:rPr>
        <w:t xml:space="preserve"> In </w:t>
      </w:r>
      <w:r w:rsidR="009F7698">
        <w:rPr>
          <w:rFonts w:cstheme="minorHAnsi"/>
        </w:rPr>
        <w:t xml:space="preserve">its </w:t>
      </w:r>
      <w:r w:rsidR="00AE3703" w:rsidRPr="0025300B">
        <w:rPr>
          <w:rFonts w:cstheme="minorHAnsi"/>
        </w:rPr>
        <w:t>General Comment 12, the Human Rights Committee notes that paragraph 3 of common Article 1 “imposes specific obligations on States parties, not only in relation to their own peoples but vis-à-vis all peoples which have not been able to exercise or have been deprived of the possibility of exercising their right to self-determination.”</w:t>
      </w:r>
      <w:r w:rsidR="00AE3703" w:rsidRPr="001D2E08">
        <w:rPr>
          <w:rStyle w:val="FootnoteReference"/>
          <w:rFonts w:cstheme="minorHAnsi"/>
        </w:rPr>
        <w:footnoteReference w:id="3"/>
      </w:r>
      <w:r w:rsidR="0005606B" w:rsidRPr="0025300B">
        <w:rPr>
          <w:rFonts w:cstheme="minorHAnsi"/>
        </w:rPr>
        <w:t xml:space="preserve"> </w:t>
      </w:r>
      <w:r w:rsidR="0005606B" w:rsidRPr="00C72E60">
        <w:rPr>
          <w:rFonts w:cstheme="minorHAnsi"/>
        </w:rPr>
        <w:t xml:space="preserve">Accordingly, </w:t>
      </w:r>
      <w:r w:rsidR="00C72E60">
        <w:rPr>
          <w:rFonts w:cstheme="minorHAnsi"/>
        </w:rPr>
        <w:t xml:space="preserve">we call on the Committee to </w:t>
      </w:r>
      <w:r w:rsidR="00C72E60">
        <w:rPr>
          <w:rFonts w:cstheme="minorHAnsi"/>
        </w:rPr>
        <w:lastRenderedPageBreak/>
        <w:t>include a</w:t>
      </w:r>
      <w:r w:rsidR="0005606B" w:rsidRPr="00C72E60">
        <w:rPr>
          <w:rFonts w:cstheme="minorHAnsi"/>
        </w:rPr>
        <w:t xml:space="preserve"> recommendation in section IV </w:t>
      </w:r>
      <w:r w:rsidR="001D2E08" w:rsidRPr="00C72E60">
        <w:rPr>
          <w:rFonts w:cstheme="minorHAnsi"/>
        </w:rPr>
        <w:t>“</w:t>
      </w:r>
      <w:r w:rsidR="0005606B" w:rsidRPr="00C72E60">
        <w:rPr>
          <w:rFonts w:cstheme="minorHAnsi"/>
        </w:rPr>
        <w:t xml:space="preserve">General </w:t>
      </w:r>
      <w:r w:rsidR="001D2E08" w:rsidRPr="00C72E60">
        <w:rPr>
          <w:rFonts w:cstheme="minorHAnsi"/>
        </w:rPr>
        <w:t>o</w:t>
      </w:r>
      <w:r w:rsidR="0005606B" w:rsidRPr="00C72E60">
        <w:rPr>
          <w:rFonts w:cstheme="minorHAnsi"/>
        </w:rPr>
        <w:t>bligations</w:t>
      </w:r>
      <w:r w:rsidR="001D2E08" w:rsidRPr="00C72E60">
        <w:rPr>
          <w:rFonts w:cstheme="minorHAnsi"/>
        </w:rPr>
        <w:t xml:space="preserve"> of States parties […]”</w:t>
      </w:r>
      <w:r w:rsidR="00C72E60">
        <w:rPr>
          <w:rFonts w:cstheme="minorHAnsi"/>
        </w:rPr>
        <w:t xml:space="preserve">, which </w:t>
      </w:r>
      <w:r w:rsidR="000F2CFC">
        <w:rPr>
          <w:rFonts w:cstheme="minorHAnsi"/>
        </w:rPr>
        <w:t xml:space="preserve">calls on </w:t>
      </w:r>
      <w:r w:rsidR="00C72E60" w:rsidRPr="000F2CFC">
        <w:rPr>
          <w:rFonts w:cstheme="minorHAnsi"/>
        </w:rPr>
        <w:t>States parties</w:t>
      </w:r>
      <w:r w:rsidR="000F2CFC" w:rsidRPr="000F2CFC">
        <w:rPr>
          <w:rFonts w:cstheme="minorHAnsi"/>
        </w:rPr>
        <w:t xml:space="preserve"> </w:t>
      </w:r>
      <w:r w:rsidR="009F7698">
        <w:rPr>
          <w:rFonts w:cstheme="minorHAnsi"/>
        </w:rPr>
        <w:t xml:space="preserve">to </w:t>
      </w:r>
      <w:r w:rsidR="000F2CFC" w:rsidRPr="000F2CFC">
        <w:rPr>
          <w:rFonts w:cstheme="minorHAnsi"/>
        </w:rPr>
        <w:t>take measures to promote and protect the right to self-determination.</w:t>
      </w:r>
    </w:p>
    <w:p w14:paraId="679B76C2" w14:textId="77777777" w:rsidR="00AE3703" w:rsidRDefault="00AE3703" w:rsidP="00836002">
      <w:pPr>
        <w:jc w:val="both"/>
        <w:rPr>
          <w:rFonts w:ascii="Verdana" w:eastAsia="Times New Roman" w:hAnsi="Verdana" w:cs="Times New Roman"/>
          <w:color w:val="000000"/>
          <w:sz w:val="19"/>
          <w:szCs w:val="19"/>
          <w:shd w:val="clear" w:color="auto" w:fill="FFFFFF"/>
        </w:rPr>
      </w:pPr>
    </w:p>
    <w:p w14:paraId="1A20F263" w14:textId="18120116" w:rsidR="00AE3703" w:rsidRPr="0025300B" w:rsidRDefault="00935898" w:rsidP="00836002">
      <w:pPr>
        <w:jc w:val="both"/>
        <w:rPr>
          <w:rFonts w:ascii="Verdana" w:eastAsia="Times New Roman" w:hAnsi="Verdana" w:cs="Times New Roman"/>
          <w:i/>
          <w:iCs/>
          <w:color w:val="000000"/>
          <w:sz w:val="19"/>
          <w:szCs w:val="19"/>
          <w:shd w:val="clear" w:color="auto" w:fill="FFFFFF"/>
        </w:rPr>
      </w:pPr>
      <w:r w:rsidRPr="0025300B">
        <w:rPr>
          <w:rFonts w:ascii="Verdana" w:eastAsia="Times New Roman" w:hAnsi="Verdana" w:cs="Times New Roman"/>
          <w:i/>
          <w:iCs/>
          <w:color w:val="000000"/>
          <w:sz w:val="19"/>
          <w:szCs w:val="19"/>
          <w:shd w:val="clear" w:color="auto" w:fill="FFFFFF"/>
        </w:rPr>
        <w:t>Rights to Land, Territories, and Natural Resources</w:t>
      </w:r>
    </w:p>
    <w:p w14:paraId="05C05D25" w14:textId="77777777" w:rsidR="00935898" w:rsidRDefault="00935898" w:rsidP="00836002">
      <w:pPr>
        <w:jc w:val="both"/>
        <w:rPr>
          <w:rFonts w:ascii="Verdana" w:eastAsia="Times New Roman" w:hAnsi="Verdana" w:cs="Times New Roman"/>
          <w:color w:val="000000"/>
          <w:sz w:val="19"/>
          <w:szCs w:val="19"/>
          <w:shd w:val="clear" w:color="auto" w:fill="FFFFFF"/>
        </w:rPr>
      </w:pPr>
    </w:p>
    <w:p w14:paraId="6FEDFCDB" w14:textId="058D4A3D" w:rsidR="00AE3703" w:rsidRPr="0025300B" w:rsidRDefault="002A4DE4" w:rsidP="00836002">
      <w:pPr>
        <w:pStyle w:val="ListParagraph"/>
        <w:numPr>
          <w:ilvl w:val="0"/>
          <w:numId w:val="5"/>
        </w:numPr>
        <w:jc w:val="both"/>
        <w:rPr>
          <w:rFonts w:eastAsia="Times New Roman" w:cstheme="minorHAnsi"/>
          <w:color w:val="000000"/>
          <w:shd w:val="clear" w:color="auto" w:fill="FFFFFF"/>
        </w:rPr>
      </w:pPr>
      <w:r w:rsidRPr="0025300B">
        <w:rPr>
          <w:rFonts w:eastAsia="Times New Roman" w:cstheme="minorHAnsi"/>
          <w:color w:val="000000"/>
          <w:shd w:val="clear" w:color="auto" w:fill="FFFFFF"/>
        </w:rPr>
        <w:t>Franciscans International</w:t>
      </w:r>
      <w:r w:rsidR="004A7E97" w:rsidRPr="0025300B">
        <w:rPr>
          <w:rFonts w:eastAsia="Times New Roman" w:cstheme="minorHAnsi"/>
          <w:color w:val="000000"/>
          <w:shd w:val="clear" w:color="auto" w:fill="FFFFFF"/>
        </w:rPr>
        <w:t xml:space="preserve"> further welcome</w:t>
      </w:r>
      <w:r w:rsidR="009F7698">
        <w:rPr>
          <w:rFonts w:eastAsia="Times New Roman" w:cstheme="minorHAnsi"/>
          <w:color w:val="000000"/>
          <w:shd w:val="clear" w:color="auto" w:fill="FFFFFF"/>
        </w:rPr>
        <w:t>s</w:t>
      </w:r>
      <w:r w:rsidR="004A7E97" w:rsidRPr="0025300B">
        <w:rPr>
          <w:rFonts w:eastAsia="Times New Roman" w:cstheme="minorHAnsi"/>
          <w:color w:val="000000"/>
          <w:shd w:val="clear" w:color="auto" w:fill="FFFFFF"/>
        </w:rPr>
        <w:t xml:space="preserve"> section </w:t>
      </w:r>
      <w:r w:rsidRPr="0025300B">
        <w:rPr>
          <w:rFonts w:eastAsia="Times New Roman" w:cstheme="minorHAnsi"/>
          <w:color w:val="000000"/>
          <w:shd w:val="clear" w:color="auto" w:fill="FFFFFF"/>
        </w:rPr>
        <w:t>I.</w:t>
      </w:r>
      <w:r w:rsidR="004A7E97" w:rsidRPr="0025300B">
        <w:rPr>
          <w:rFonts w:eastAsia="Times New Roman" w:cstheme="minorHAnsi"/>
          <w:color w:val="000000"/>
          <w:shd w:val="clear" w:color="auto" w:fill="FFFFFF"/>
        </w:rPr>
        <w:t xml:space="preserve"> “Rights to land, territories, and natural resources,” and call</w:t>
      </w:r>
      <w:r w:rsidR="009F7698">
        <w:rPr>
          <w:rFonts w:eastAsia="Times New Roman" w:cstheme="minorHAnsi"/>
          <w:color w:val="000000"/>
          <w:shd w:val="clear" w:color="auto" w:fill="FFFFFF"/>
        </w:rPr>
        <w:t>s</w:t>
      </w:r>
      <w:r w:rsidR="004A7E97" w:rsidRPr="0025300B">
        <w:rPr>
          <w:rFonts w:eastAsia="Times New Roman" w:cstheme="minorHAnsi"/>
          <w:color w:val="000000"/>
          <w:shd w:val="clear" w:color="auto" w:fill="FFFFFF"/>
        </w:rPr>
        <w:t xml:space="preserve"> on the </w:t>
      </w:r>
      <w:r w:rsidR="000F2CFC">
        <w:rPr>
          <w:rFonts w:eastAsia="Times New Roman" w:cstheme="minorHAnsi"/>
          <w:color w:val="000000"/>
          <w:shd w:val="clear" w:color="auto" w:fill="FFFFFF"/>
        </w:rPr>
        <w:t>C</w:t>
      </w:r>
      <w:r w:rsidR="004A7E97" w:rsidRPr="0025300B">
        <w:rPr>
          <w:rFonts w:eastAsia="Times New Roman" w:cstheme="minorHAnsi"/>
          <w:color w:val="000000"/>
          <w:shd w:val="clear" w:color="auto" w:fill="FFFFFF"/>
        </w:rPr>
        <w:t>ommittee to reiterate the link between the right to self-determination and rights to land, territories, and natural resources (as noted in paragraph 11) in this section and its recommendations.</w:t>
      </w:r>
      <w:r w:rsidR="00C5279B" w:rsidRPr="0025300B">
        <w:rPr>
          <w:rFonts w:eastAsia="Times New Roman" w:cstheme="minorHAnsi"/>
          <w:color w:val="000000"/>
          <w:shd w:val="clear" w:color="auto" w:fill="FFFFFF"/>
        </w:rPr>
        <w:t xml:space="preserve"> It would be further important to emphasize that the right to self-determination includes</w:t>
      </w:r>
      <w:r w:rsidR="004A7E97" w:rsidRPr="0025300B">
        <w:rPr>
          <w:rFonts w:eastAsia="Times New Roman" w:cstheme="minorHAnsi"/>
          <w:color w:val="000000"/>
          <w:shd w:val="clear" w:color="auto" w:fill="FFFFFF"/>
        </w:rPr>
        <w:t xml:space="preserve"> </w:t>
      </w:r>
      <w:r w:rsidR="00C5279B" w:rsidRPr="0025300B">
        <w:rPr>
          <w:rFonts w:eastAsia="Times New Roman" w:cstheme="minorHAnsi"/>
          <w:color w:val="000000"/>
          <w:shd w:val="clear" w:color="auto" w:fill="FFFFFF"/>
        </w:rPr>
        <w:t>the “right of peoples and nations to permanent sovereignty over their wealth and resources</w:t>
      </w:r>
      <w:r w:rsidR="00813248" w:rsidRPr="0025300B">
        <w:rPr>
          <w:rFonts w:eastAsia="Times New Roman" w:cstheme="minorHAnsi"/>
          <w:color w:val="000000"/>
          <w:shd w:val="clear" w:color="auto" w:fill="FFFFFF"/>
        </w:rPr>
        <w:t>,</w:t>
      </w:r>
      <w:r w:rsidR="00C5279B" w:rsidRPr="0025300B">
        <w:rPr>
          <w:rFonts w:eastAsia="Times New Roman" w:cstheme="minorHAnsi"/>
          <w:color w:val="000000"/>
          <w:shd w:val="clear" w:color="auto" w:fill="FFFFFF"/>
        </w:rPr>
        <w:t>”</w:t>
      </w:r>
      <w:r w:rsidR="00813248" w:rsidRPr="00813248">
        <w:rPr>
          <w:rStyle w:val="FootnoteReference"/>
          <w:rFonts w:eastAsia="Times New Roman" w:cstheme="minorHAnsi"/>
          <w:color w:val="000000"/>
          <w:shd w:val="clear" w:color="auto" w:fill="FFFFFF"/>
        </w:rPr>
        <w:footnoteReference w:id="4"/>
      </w:r>
      <w:r w:rsidR="00C5279B" w:rsidRPr="0025300B">
        <w:rPr>
          <w:rFonts w:eastAsia="Times New Roman" w:cstheme="minorHAnsi"/>
          <w:color w:val="000000"/>
          <w:shd w:val="clear" w:color="auto" w:fill="FFFFFF"/>
        </w:rPr>
        <w:t xml:space="preserve"> </w:t>
      </w:r>
      <w:r w:rsidR="004A7E97" w:rsidRPr="0025300B">
        <w:rPr>
          <w:rFonts w:eastAsia="Times New Roman" w:cstheme="minorHAnsi"/>
          <w:color w:val="000000"/>
          <w:shd w:val="clear" w:color="auto" w:fill="FFFFFF"/>
        </w:rPr>
        <w:t xml:space="preserve"> </w:t>
      </w:r>
      <w:r w:rsidR="00813248" w:rsidRPr="0025300B">
        <w:rPr>
          <w:rFonts w:eastAsia="Times New Roman" w:cstheme="minorHAnsi"/>
          <w:color w:val="000000"/>
          <w:shd w:val="clear" w:color="auto" w:fill="FFFFFF"/>
        </w:rPr>
        <w:t>and that this right remains vested in the “peoples of colonial and Non-Self-Governing Territories</w:t>
      </w:r>
      <w:r w:rsidR="00EF4FFC" w:rsidRPr="0025300B">
        <w:rPr>
          <w:rFonts w:eastAsia="Times New Roman" w:cstheme="minorHAnsi"/>
          <w:color w:val="000000"/>
          <w:shd w:val="clear" w:color="auto" w:fill="FFFFFF"/>
        </w:rPr>
        <w:t>,</w:t>
      </w:r>
      <w:r w:rsidR="00813248" w:rsidRPr="0025300B">
        <w:rPr>
          <w:rFonts w:eastAsia="Times New Roman" w:cstheme="minorHAnsi"/>
          <w:color w:val="000000"/>
          <w:shd w:val="clear" w:color="auto" w:fill="FFFFFF"/>
        </w:rPr>
        <w:t>”</w:t>
      </w:r>
      <w:r w:rsidR="00813248">
        <w:rPr>
          <w:rStyle w:val="FootnoteReference"/>
          <w:rFonts w:eastAsia="Times New Roman" w:cstheme="minorHAnsi"/>
          <w:color w:val="000000"/>
          <w:shd w:val="clear" w:color="auto" w:fill="FFFFFF"/>
        </w:rPr>
        <w:footnoteReference w:id="5"/>
      </w:r>
      <w:r w:rsidR="00EF4FFC" w:rsidRPr="0025300B">
        <w:rPr>
          <w:rFonts w:eastAsia="Times New Roman" w:cstheme="minorHAnsi"/>
          <w:color w:val="000000"/>
          <w:shd w:val="clear" w:color="auto" w:fill="FFFFFF"/>
        </w:rPr>
        <w:t xml:space="preserve"> as well as peoples under occupation.</w:t>
      </w:r>
      <w:r w:rsidR="00EF4FFC">
        <w:rPr>
          <w:rStyle w:val="FootnoteReference"/>
          <w:rFonts w:eastAsia="Times New Roman" w:cstheme="minorHAnsi"/>
          <w:color w:val="000000"/>
          <w:shd w:val="clear" w:color="auto" w:fill="FFFFFF"/>
        </w:rPr>
        <w:footnoteReference w:id="6"/>
      </w:r>
      <w:r w:rsidR="00EF4FFC" w:rsidRPr="0025300B">
        <w:rPr>
          <w:rFonts w:eastAsia="Times New Roman" w:cstheme="minorHAnsi"/>
          <w:color w:val="000000"/>
          <w:shd w:val="clear" w:color="auto" w:fill="FFFFFF"/>
        </w:rPr>
        <w:t xml:space="preserve"> As already mentioned in the Committee’s draft, such contexts of colonization and foreign control often aggravate </w:t>
      </w:r>
      <w:r w:rsidR="00FC6FEF" w:rsidRPr="0025300B">
        <w:rPr>
          <w:rFonts w:eastAsia="Times New Roman" w:cstheme="minorHAnsi"/>
          <w:color w:val="000000"/>
          <w:shd w:val="clear" w:color="auto" w:fill="FFFFFF"/>
        </w:rPr>
        <w:t xml:space="preserve">discrimination against indigenous women and girls. </w:t>
      </w:r>
    </w:p>
    <w:p w14:paraId="7EEDC93B" w14:textId="034DDC57" w:rsidR="002A4DE4" w:rsidRPr="00813248" w:rsidRDefault="002A4DE4" w:rsidP="00836002">
      <w:pPr>
        <w:jc w:val="both"/>
        <w:rPr>
          <w:rFonts w:eastAsia="Times New Roman" w:cstheme="minorHAnsi"/>
          <w:color w:val="000000"/>
          <w:shd w:val="clear" w:color="auto" w:fill="FFFFFF"/>
        </w:rPr>
      </w:pPr>
    </w:p>
    <w:p w14:paraId="5D0AAB7A" w14:textId="0B53C5F0" w:rsidR="002A4DE4" w:rsidRPr="0025300B" w:rsidRDefault="00EF4FFC" w:rsidP="00836002">
      <w:pPr>
        <w:pStyle w:val="ListParagraph"/>
        <w:numPr>
          <w:ilvl w:val="0"/>
          <w:numId w:val="5"/>
        </w:numPr>
        <w:jc w:val="both"/>
        <w:rPr>
          <w:rFonts w:eastAsia="Times New Roman" w:cstheme="minorHAnsi"/>
          <w:color w:val="000000"/>
          <w:shd w:val="clear" w:color="auto" w:fill="FFFFFF"/>
        </w:rPr>
      </w:pPr>
      <w:r w:rsidRPr="0025300B">
        <w:rPr>
          <w:rFonts w:eastAsia="Times New Roman" w:cstheme="minorHAnsi"/>
          <w:color w:val="000000"/>
          <w:shd w:val="clear" w:color="auto" w:fill="FFFFFF"/>
        </w:rPr>
        <w:t>Accordingly, w</w:t>
      </w:r>
      <w:r w:rsidR="002A4DE4" w:rsidRPr="0025300B">
        <w:rPr>
          <w:rFonts w:eastAsia="Times New Roman" w:cstheme="minorHAnsi"/>
          <w:color w:val="000000"/>
          <w:shd w:val="clear" w:color="auto" w:fill="FFFFFF"/>
        </w:rPr>
        <w:t xml:space="preserve">e also note that </w:t>
      </w:r>
      <w:r w:rsidR="009F7698">
        <w:rPr>
          <w:rFonts w:eastAsia="Times New Roman" w:cstheme="minorHAnsi"/>
          <w:color w:val="000000"/>
          <w:shd w:val="clear" w:color="auto" w:fill="FFFFFF"/>
        </w:rPr>
        <w:t xml:space="preserve">issues of </w:t>
      </w:r>
      <w:r w:rsidR="002A4DE4" w:rsidRPr="0025300B">
        <w:rPr>
          <w:rFonts w:eastAsia="Times New Roman" w:cstheme="minorHAnsi"/>
          <w:color w:val="000000"/>
          <w:shd w:val="clear" w:color="auto" w:fill="FFFFFF"/>
        </w:rPr>
        <w:t xml:space="preserve">control over land, territories, and natural resources are often central causes </w:t>
      </w:r>
      <w:r w:rsidR="0065499F" w:rsidRPr="0025300B">
        <w:rPr>
          <w:rFonts w:eastAsia="Times New Roman" w:cstheme="minorHAnsi"/>
          <w:color w:val="000000"/>
          <w:shd w:val="clear" w:color="auto" w:fill="FFFFFF"/>
        </w:rPr>
        <w:t>of armed conflict, including situations of occupation. While the Committee notes that armed conflict, along with other factors have been “catalysts of gender-based violence and discrimination against indigenous women and girls” and notes other rights which may be particularly vulnerable during armed conflict, section I. does not address or provide a specific recommendation on the issue. The General Recommendation should underscore the need for States to adhere to their obligations under</w:t>
      </w:r>
      <w:r w:rsidR="00FA590F">
        <w:rPr>
          <w:rFonts w:eastAsia="Times New Roman" w:cstheme="minorHAnsi"/>
          <w:color w:val="000000"/>
          <w:shd w:val="clear" w:color="auto" w:fill="FFFFFF"/>
        </w:rPr>
        <w:t xml:space="preserve"> international human rights law and</w:t>
      </w:r>
      <w:r w:rsidR="0065499F" w:rsidRPr="0025300B">
        <w:rPr>
          <w:rFonts w:eastAsia="Times New Roman" w:cstheme="minorHAnsi"/>
          <w:color w:val="000000"/>
          <w:shd w:val="clear" w:color="auto" w:fill="FFFFFF"/>
        </w:rPr>
        <w:t xml:space="preserve"> international humanitarian law in situations of armed conflict, including provisions related to </w:t>
      </w:r>
      <w:r w:rsidR="00680A26" w:rsidRPr="0025300B">
        <w:rPr>
          <w:rFonts w:eastAsia="Times New Roman" w:cstheme="minorHAnsi"/>
          <w:color w:val="000000"/>
          <w:shd w:val="clear" w:color="auto" w:fill="FFFFFF"/>
        </w:rPr>
        <w:t>land and natural resources</w:t>
      </w:r>
      <w:r w:rsidR="005577BE" w:rsidRPr="0025300B">
        <w:rPr>
          <w:rFonts w:eastAsia="Times New Roman" w:cstheme="minorHAnsi"/>
          <w:color w:val="000000"/>
          <w:shd w:val="clear" w:color="auto" w:fill="FFFFFF"/>
        </w:rPr>
        <w:t xml:space="preserve">. </w:t>
      </w:r>
      <w:r w:rsidR="0065499F" w:rsidRPr="0025300B">
        <w:rPr>
          <w:rFonts w:eastAsia="Times New Roman" w:cstheme="minorHAnsi"/>
          <w:color w:val="000000"/>
          <w:shd w:val="clear" w:color="auto" w:fill="FFFFFF"/>
        </w:rPr>
        <w:t xml:space="preserve"> </w:t>
      </w:r>
    </w:p>
    <w:p w14:paraId="56AB3C37" w14:textId="0231E3F9" w:rsidR="004A7E97" w:rsidRDefault="004A7E97" w:rsidP="00836002">
      <w:pPr>
        <w:jc w:val="both"/>
        <w:rPr>
          <w:rFonts w:ascii="Verdana" w:eastAsia="Times New Roman" w:hAnsi="Verdana" w:cs="Times New Roman"/>
          <w:color w:val="000000"/>
          <w:sz w:val="19"/>
          <w:szCs w:val="19"/>
          <w:shd w:val="clear" w:color="auto" w:fill="FFFFFF"/>
        </w:rPr>
      </w:pPr>
    </w:p>
    <w:p w14:paraId="4F0380B4" w14:textId="462DEFF4" w:rsidR="004A7E97" w:rsidRPr="0025300B" w:rsidRDefault="001827B5" w:rsidP="00836002">
      <w:pPr>
        <w:jc w:val="both"/>
        <w:rPr>
          <w:rFonts w:eastAsia="Times New Roman" w:cstheme="minorHAnsi"/>
          <w:i/>
          <w:iCs/>
          <w:color w:val="000000"/>
          <w:shd w:val="clear" w:color="auto" w:fill="FFFFFF"/>
        </w:rPr>
      </w:pPr>
      <w:r w:rsidRPr="0025300B">
        <w:rPr>
          <w:rFonts w:eastAsia="Times New Roman" w:cstheme="minorHAnsi"/>
          <w:i/>
          <w:iCs/>
          <w:color w:val="000000"/>
          <w:shd w:val="clear" w:color="auto" w:fill="FFFFFF"/>
        </w:rPr>
        <w:t>Humanitarian Access</w:t>
      </w:r>
      <w:r w:rsidR="00BA5D72" w:rsidRPr="0025300B">
        <w:rPr>
          <w:rFonts w:eastAsia="Times New Roman" w:cstheme="minorHAnsi"/>
          <w:i/>
          <w:iCs/>
          <w:color w:val="000000"/>
          <w:shd w:val="clear" w:color="auto" w:fill="FFFFFF"/>
        </w:rPr>
        <w:t xml:space="preserve"> and Protection</w:t>
      </w:r>
      <w:r w:rsidRPr="0025300B">
        <w:rPr>
          <w:rFonts w:eastAsia="Times New Roman" w:cstheme="minorHAnsi"/>
          <w:i/>
          <w:iCs/>
          <w:color w:val="000000"/>
          <w:shd w:val="clear" w:color="auto" w:fill="FFFFFF"/>
        </w:rPr>
        <w:t xml:space="preserve"> and </w:t>
      </w:r>
      <w:r w:rsidR="0056677B" w:rsidRPr="0025300B">
        <w:rPr>
          <w:rFonts w:eastAsia="Times New Roman" w:cstheme="minorHAnsi"/>
          <w:i/>
          <w:iCs/>
          <w:color w:val="000000"/>
          <w:shd w:val="clear" w:color="auto" w:fill="FFFFFF"/>
        </w:rPr>
        <w:t>Return to land</w:t>
      </w:r>
    </w:p>
    <w:p w14:paraId="43C09915" w14:textId="77777777" w:rsidR="0056677B" w:rsidRPr="00976CF7" w:rsidRDefault="0056677B" w:rsidP="00836002">
      <w:pPr>
        <w:jc w:val="both"/>
        <w:rPr>
          <w:rFonts w:eastAsia="Times New Roman" w:cstheme="minorHAnsi"/>
          <w:color w:val="000000"/>
          <w:shd w:val="clear" w:color="auto" w:fill="FFFFFF"/>
        </w:rPr>
      </w:pPr>
    </w:p>
    <w:p w14:paraId="351B8F6B" w14:textId="2F720F15" w:rsidR="00941B94" w:rsidRPr="0025300B" w:rsidRDefault="0056677B" w:rsidP="00836002">
      <w:pPr>
        <w:pStyle w:val="ListParagraph"/>
        <w:numPr>
          <w:ilvl w:val="0"/>
          <w:numId w:val="5"/>
        </w:numPr>
        <w:jc w:val="both"/>
        <w:rPr>
          <w:rFonts w:eastAsia="Times New Roman" w:cstheme="minorHAnsi"/>
          <w:color w:val="000000"/>
          <w:shd w:val="clear" w:color="auto" w:fill="FFFFFF"/>
        </w:rPr>
      </w:pPr>
      <w:r w:rsidRPr="0025300B">
        <w:rPr>
          <w:rFonts w:eastAsia="Times New Roman" w:cstheme="minorHAnsi"/>
          <w:color w:val="000000"/>
          <w:shd w:val="clear" w:color="auto" w:fill="FFFFFF"/>
        </w:rPr>
        <w:t>O</w:t>
      </w:r>
      <w:r w:rsidR="00935898" w:rsidRPr="0025300B">
        <w:rPr>
          <w:rFonts w:eastAsia="Times New Roman" w:cstheme="minorHAnsi"/>
          <w:color w:val="000000"/>
          <w:shd w:val="clear" w:color="auto" w:fill="FFFFFF"/>
        </w:rPr>
        <w:t xml:space="preserve">ur prior submission called on the Committee to include </w:t>
      </w:r>
      <w:r w:rsidR="00941B94" w:rsidRPr="0025300B">
        <w:rPr>
          <w:rFonts w:eastAsia="Times New Roman" w:cstheme="minorHAnsi"/>
          <w:color w:val="000000"/>
          <w:shd w:val="clear" w:color="auto" w:fill="FFFFFF"/>
        </w:rPr>
        <w:t xml:space="preserve">a </w:t>
      </w:r>
      <w:r w:rsidR="00935898" w:rsidRPr="0025300B">
        <w:rPr>
          <w:rFonts w:eastAsia="Times New Roman" w:cstheme="minorHAnsi"/>
          <w:color w:val="000000"/>
          <w:shd w:val="clear" w:color="auto" w:fill="FFFFFF"/>
        </w:rPr>
        <w:t xml:space="preserve">General Recommendation that would “call on States to ensure humanitarian access for indigenous women and girls as well as others who are displaced by </w:t>
      </w:r>
      <w:r w:rsidR="009F7698">
        <w:rPr>
          <w:rFonts w:eastAsia="Times New Roman" w:cstheme="minorHAnsi"/>
          <w:color w:val="000000"/>
          <w:shd w:val="clear" w:color="auto" w:fill="FFFFFF"/>
        </w:rPr>
        <w:t>S</w:t>
      </w:r>
      <w:r w:rsidR="00935898" w:rsidRPr="0025300B">
        <w:rPr>
          <w:rFonts w:eastAsia="Times New Roman" w:cstheme="minorHAnsi"/>
          <w:color w:val="000000"/>
          <w:shd w:val="clear" w:color="auto" w:fill="FFFFFF"/>
        </w:rPr>
        <w:t xml:space="preserve">tate violence or armed conflict and ensure their return to their land and property.” </w:t>
      </w:r>
      <w:r w:rsidR="00941B94" w:rsidRPr="0025300B">
        <w:rPr>
          <w:rFonts w:eastAsia="Times New Roman" w:cstheme="minorHAnsi"/>
          <w:color w:val="000000"/>
          <w:shd w:val="clear" w:color="auto" w:fill="FFFFFF"/>
        </w:rPr>
        <w:t xml:space="preserve">Such a recommendation would be consistent with international humanitarian law. In particular, the rules of customary international humanitarian law, as detailed by the ICRC, underscore: </w:t>
      </w:r>
    </w:p>
    <w:p w14:paraId="0534497C" w14:textId="0DF04B60" w:rsidR="00941B94" w:rsidRDefault="00941B94" w:rsidP="00836002">
      <w:pPr>
        <w:pStyle w:val="ListParagraph"/>
        <w:numPr>
          <w:ilvl w:val="0"/>
          <w:numId w:val="6"/>
        </w:numPr>
        <w:jc w:val="both"/>
        <w:rPr>
          <w:rFonts w:eastAsia="Times New Roman" w:cstheme="minorHAnsi"/>
          <w:color w:val="000000"/>
          <w:shd w:val="clear" w:color="auto" w:fill="FFFFFF"/>
        </w:rPr>
      </w:pPr>
      <w:r w:rsidRPr="00941B94">
        <w:rPr>
          <w:rFonts w:eastAsia="Times New Roman" w:cstheme="minorHAnsi"/>
          <w:color w:val="000000"/>
          <w:shd w:val="clear" w:color="auto" w:fill="FFFFFF"/>
        </w:rPr>
        <w:lastRenderedPageBreak/>
        <w:t>“</w:t>
      </w:r>
      <w:r w:rsidRPr="00941B94">
        <w:rPr>
          <w:rFonts w:eastAsia="Times New Roman" w:cstheme="minorHAnsi"/>
          <w:i/>
          <w:iCs/>
          <w:color w:val="000000"/>
          <w:shd w:val="clear" w:color="auto" w:fill="FFFFFF"/>
        </w:rPr>
        <w:t>Displaced persons have a right to voluntary return in safety to their homes or places of habitual residence as soon as the reasons for their displacement cease to exist.</w:t>
      </w:r>
      <w:r>
        <w:rPr>
          <w:rFonts w:eastAsia="Times New Roman" w:cstheme="minorHAnsi"/>
          <w:color w:val="000000"/>
          <w:shd w:val="clear" w:color="auto" w:fill="FFFFFF"/>
        </w:rPr>
        <w:t>”</w:t>
      </w:r>
      <w:r>
        <w:rPr>
          <w:rStyle w:val="FootnoteReference"/>
          <w:rFonts w:eastAsia="Times New Roman" w:cstheme="minorHAnsi"/>
          <w:color w:val="000000"/>
          <w:shd w:val="clear" w:color="auto" w:fill="FFFFFF"/>
        </w:rPr>
        <w:footnoteReference w:id="7"/>
      </w:r>
    </w:p>
    <w:p w14:paraId="5688520E" w14:textId="77777777" w:rsidR="0025300B" w:rsidRPr="00941B94" w:rsidRDefault="0025300B" w:rsidP="00836002">
      <w:pPr>
        <w:pStyle w:val="ListParagraph"/>
        <w:ind w:left="1440"/>
        <w:jc w:val="both"/>
        <w:rPr>
          <w:rFonts w:eastAsia="Times New Roman" w:cstheme="minorHAnsi"/>
          <w:color w:val="000000"/>
          <w:shd w:val="clear" w:color="auto" w:fill="FFFFFF"/>
        </w:rPr>
      </w:pPr>
    </w:p>
    <w:p w14:paraId="463BC921" w14:textId="12E926F2" w:rsidR="00941B94" w:rsidRPr="00941B94" w:rsidRDefault="00941B94" w:rsidP="00836002">
      <w:pPr>
        <w:pStyle w:val="ListParagraph"/>
        <w:numPr>
          <w:ilvl w:val="0"/>
          <w:numId w:val="6"/>
        </w:numPr>
        <w:jc w:val="both"/>
        <w:rPr>
          <w:rFonts w:eastAsia="Times New Roman" w:cstheme="minorHAnsi"/>
          <w:color w:val="000000"/>
          <w:shd w:val="clear" w:color="auto" w:fill="FFFFFF"/>
        </w:rPr>
      </w:pPr>
      <w:r>
        <w:rPr>
          <w:rFonts w:eastAsia="Times New Roman" w:cstheme="minorHAnsi"/>
          <w:color w:val="000000"/>
          <w:shd w:val="clear" w:color="auto" w:fill="FFFFFF"/>
        </w:rPr>
        <w:t>“</w:t>
      </w:r>
      <w:r w:rsidRPr="00941B94">
        <w:rPr>
          <w:rFonts w:eastAsia="Times New Roman" w:cstheme="minorHAnsi"/>
          <w:i/>
          <w:iCs/>
          <w:color w:val="000000"/>
          <w:shd w:val="clear" w:color="auto" w:fill="FFFFFF"/>
        </w:rPr>
        <w:t>The specific protection, health and assistance needs of women affected by armed conflict must be respect</w:t>
      </w:r>
      <w:r w:rsidR="00953A28">
        <w:rPr>
          <w:rFonts w:eastAsia="Times New Roman" w:cstheme="minorHAnsi"/>
          <w:i/>
          <w:iCs/>
          <w:color w:val="000000"/>
          <w:shd w:val="clear" w:color="auto" w:fill="FFFFFF"/>
        </w:rPr>
        <w:t>ed</w:t>
      </w:r>
      <w:r>
        <w:rPr>
          <w:rFonts w:eastAsia="Times New Roman" w:cstheme="minorHAnsi"/>
          <w:color w:val="000000"/>
          <w:shd w:val="clear" w:color="auto" w:fill="FFFFFF"/>
        </w:rPr>
        <w:t>.”</w:t>
      </w:r>
      <w:r>
        <w:rPr>
          <w:rStyle w:val="FootnoteReference"/>
          <w:rFonts w:eastAsia="Times New Roman" w:cstheme="minorHAnsi"/>
          <w:color w:val="000000"/>
          <w:shd w:val="clear" w:color="auto" w:fill="FFFFFF"/>
        </w:rPr>
        <w:footnoteReference w:id="8"/>
      </w:r>
    </w:p>
    <w:p w14:paraId="17A8582E" w14:textId="77777777" w:rsidR="00626CCA" w:rsidRPr="00976CF7" w:rsidRDefault="00626CCA" w:rsidP="00836002">
      <w:pPr>
        <w:jc w:val="both"/>
        <w:rPr>
          <w:rFonts w:eastAsia="Times New Roman" w:cstheme="minorHAnsi"/>
          <w:color w:val="000000"/>
          <w:shd w:val="clear" w:color="auto" w:fill="FFFFFF"/>
        </w:rPr>
      </w:pPr>
    </w:p>
    <w:p w14:paraId="5F88DDA7" w14:textId="5C7A51E4" w:rsidR="00626CCA" w:rsidRPr="002B26B0" w:rsidRDefault="004A6A3A" w:rsidP="002B26B0">
      <w:pPr>
        <w:pStyle w:val="ListParagraph"/>
        <w:numPr>
          <w:ilvl w:val="0"/>
          <w:numId w:val="5"/>
        </w:numPr>
        <w:jc w:val="both"/>
        <w:rPr>
          <w:rFonts w:eastAsia="Times New Roman" w:cstheme="minorHAnsi"/>
        </w:rPr>
      </w:pPr>
      <w:r>
        <w:rPr>
          <w:rFonts w:eastAsia="Times New Roman" w:cstheme="minorHAnsi"/>
          <w:color w:val="000000"/>
          <w:shd w:val="clear" w:color="auto" w:fill="FFFFFF"/>
        </w:rPr>
        <w:t xml:space="preserve">As many conflicts on land are generated or fueled by so-called “mega-projects” or </w:t>
      </w:r>
      <w:proofErr w:type="gramStart"/>
      <w:r>
        <w:rPr>
          <w:rFonts w:eastAsia="Times New Roman" w:cstheme="minorHAnsi"/>
          <w:color w:val="000000"/>
          <w:shd w:val="clear" w:color="auto" w:fill="FFFFFF"/>
        </w:rPr>
        <w:t>large scale</w:t>
      </w:r>
      <w:proofErr w:type="gramEnd"/>
      <w:r>
        <w:rPr>
          <w:rFonts w:eastAsia="Times New Roman" w:cstheme="minorHAnsi"/>
          <w:color w:val="000000"/>
          <w:shd w:val="clear" w:color="auto" w:fill="FFFFFF"/>
        </w:rPr>
        <w:t xml:space="preserve"> development projects, w</w:t>
      </w:r>
      <w:r w:rsidR="00626CCA" w:rsidRPr="0025300B">
        <w:rPr>
          <w:rFonts w:eastAsia="Times New Roman" w:cstheme="minorHAnsi"/>
          <w:color w:val="000000"/>
          <w:shd w:val="clear" w:color="auto" w:fill="FFFFFF"/>
        </w:rPr>
        <w:t xml:space="preserve">e </w:t>
      </w:r>
      <w:r w:rsidR="001827B5" w:rsidRPr="0025300B">
        <w:rPr>
          <w:rFonts w:eastAsia="Times New Roman" w:cstheme="minorHAnsi"/>
          <w:color w:val="000000"/>
          <w:shd w:val="clear" w:color="auto" w:fill="FFFFFF"/>
        </w:rPr>
        <w:t xml:space="preserve">also </w:t>
      </w:r>
      <w:r w:rsidR="00626CCA" w:rsidRPr="0025300B">
        <w:rPr>
          <w:rFonts w:eastAsia="Times New Roman" w:cstheme="minorHAnsi"/>
          <w:color w:val="000000"/>
          <w:shd w:val="clear" w:color="auto" w:fill="FFFFFF"/>
        </w:rPr>
        <w:t xml:space="preserve">note the </w:t>
      </w:r>
      <w:r w:rsidR="002B26B0">
        <w:rPr>
          <w:rFonts w:eastAsia="Times New Roman" w:cstheme="minorHAnsi"/>
          <w:color w:val="000000"/>
          <w:shd w:val="clear" w:color="auto" w:fill="FFFFFF"/>
        </w:rPr>
        <w:t>Pinheiro Principles which holds that “All refugees and displaced persons have the right to return voluntarily to their former homes, lands or places of habitual residence, in safety and dignity.”</w:t>
      </w:r>
      <w:r w:rsidR="00F74447">
        <w:rPr>
          <w:rStyle w:val="FootnoteReference"/>
          <w:rFonts w:eastAsia="Times New Roman" w:cstheme="minorHAnsi"/>
          <w:color w:val="000000"/>
          <w:shd w:val="clear" w:color="auto" w:fill="FFFFFF"/>
        </w:rPr>
        <w:footnoteReference w:id="9"/>
      </w:r>
      <w:r w:rsidR="002B26B0">
        <w:rPr>
          <w:rFonts w:eastAsia="Times New Roman" w:cstheme="minorHAnsi"/>
          <w:color w:val="000000"/>
          <w:shd w:val="clear" w:color="auto" w:fill="FFFFFF"/>
        </w:rPr>
        <w:t xml:space="preserve"> Similarly, the </w:t>
      </w:r>
      <w:r w:rsidR="00626CCA" w:rsidRPr="009F1C73">
        <w:rPr>
          <w:rFonts w:eastAsia="Times New Roman" w:cstheme="minorHAnsi"/>
          <w:color w:val="000000"/>
          <w:shd w:val="clear" w:color="auto" w:fill="FFFFFF"/>
        </w:rPr>
        <w:t>Basic Principles and Guidelines on Development-Based Evictions and Displacement which underscore the duty and responsibility of authorities “</w:t>
      </w:r>
      <w:r w:rsidR="00626CCA" w:rsidRPr="002B26B0">
        <w:rPr>
          <w:rFonts w:eastAsia="Times New Roman" w:cstheme="minorHAnsi"/>
        </w:rPr>
        <w:t>to assist returning persons, groups or communities to recover, to the maximum extent possible, the property and possessions that they left behind or were dispossessed of upon their eviction.”</w:t>
      </w:r>
      <w:r w:rsidR="00626CCA" w:rsidRPr="00976CF7">
        <w:rPr>
          <w:rStyle w:val="FootnoteReference"/>
          <w:rFonts w:eastAsia="Times New Roman" w:cstheme="minorHAnsi"/>
        </w:rPr>
        <w:footnoteReference w:id="10"/>
      </w:r>
      <w:r w:rsidR="00626CCA" w:rsidRPr="002B26B0">
        <w:rPr>
          <w:rFonts w:eastAsia="Times New Roman" w:cstheme="minorHAnsi"/>
        </w:rPr>
        <w:t xml:space="preserve"> When this is not possible, the Guidelines call for authorities to provide “appropriate compensation or other forms of just reparation.”</w:t>
      </w:r>
      <w:r w:rsidR="00626CCA" w:rsidRPr="00976CF7">
        <w:rPr>
          <w:rStyle w:val="FootnoteReference"/>
          <w:rFonts w:eastAsia="Times New Roman" w:cstheme="minorHAnsi"/>
        </w:rPr>
        <w:footnoteReference w:id="11"/>
      </w:r>
      <w:r w:rsidR="00626CCA" w:rsidRPr="002B26B0">
        <w:rPr>
          <w:rFonts w:eastAsia="Times New Roman" w:cstheme="minorHAnsi"/>
        </w:rPr>
        <w:t xml:space="preserve"> </w:t>
      </w:r>
    </w:p>
    <w:p w14:paraId="5D2D64BC" w14:textId="556D344E" w:rsidR="00935898" w:rsidRPr="0025300B" w:rsidRDefault="00935898" w:rsidP="00836002">
      <w:pPr>
        <w:pStyle w:val="ListParagraph"/>
        <w:jc w:val="both"/>
        <w:rPr>
          <w:rFonts w:ascii="Verdana" w:eastAsia="Times New Roman" w:hAnsi="Verdana" w:cs="Times New Roman"/>
          <w:color w:val="000000"/>
          <w:sz w:val="19"/>
          <w:szCs w:val="19"/>
          <w:shd w:val="clear" w:color="auto" w:fill="FFFFFF"/>
        </w:rPr>
      </w:pPr>
    </w:p>
    <w:p w14:paraId="597C707F" w14:textId="77777777" w:rsidR="00BE6E1A" w:rsidRPr="00935898" w:rsidRDefault="00BE6E1A" w:rsidP="00836002">
      <w:pPr>
        <w:jc w:val="both"/>
        <w:rPr>
          <w:rFonts w:ascii="Verdana" w:eastAsia="Times New Roman" w:hAnsi="Verdana" w:cs="Times New Roman"/>
          <w:color w:val="000000"/>
          <w:sz w:val="19"/>
          <w:szCs w:val="19"/>
          <w:shd w:val="clear" w:color="auto" w:fill="FFFFFF"/>
        </w:rPr>
      </w:pPr>
    </w:p>
    <w:p w14:paraId="7FD1761B" w14:textId="15F4A203" w:rsidR="004A7E97" w:rsidRPr="0025300B" w:rsidRDefault="00BE6E1A" w:rsidP="00836002">
      <w:pPr>
        <w:jc w:val="both"/>
        <w:rPr>
          <w:rFonts w:eastAsia="Times New Roman" w:cstheme="minorHAnsi"/>
          <w:i/>
          <w:iCs/>
          <w:color w:val="000000"/>
          <w:shd w:val="clear" w:color="auto" w:fill="FFFFFF"/>
        </w:rPr>
      </w:pPr>
      <w:r w:rsidRPr="0025300B">
        <w:rPr>
          <w:rFonts w:eastAsia="Times New Roman" w:cstheme="minorHAnsi"/>
          <w:i/>
          <w:iCs/>
          <w:color w:val="000000"/>
          <w:shd w:val="clear" w:color="auto" w:fill="FFFFFF"/>
        </w:rPr>
        <w:t>Business and Human Rights</w:t>
      </w:r>
    </w:p>
    <w:p w14:paraId="64F819D1" w14:textId="1D0340C4" w:rsidR="00BE6E1A" w:rsidRDefault="00BE6E1A" w:rsidP="00836002">
      <w:pPr>
        <w:jc w:val="both"/>
        <w:rPr>
          <w:rFonts w:eastAsia="Times New Roman" w:cstheme="minorHAnsi"/>
          <w:i/>
          <w:iCs/>
          <w:color w:val="000000"/>
          <w:shd w:val="clear" w:color="auto" w:fill="FFFFFF"/>
        </w:rPr>
      </w:pPr>
    </w:p>
    <w:p w14:paraId="3E702FF4" w14:textId="5D9CA969" w:rsidR="00A11357" w:rsidRPr="0025300B" w:rsidRDefault="00A11357" w:rsidP="00836002">
      <w:pPr>
        <w:pStyle w:val="ListParagraph"/>
        <w:numPr>
          <w:ilvl w:val="0"/>
          <w:numId w:val="5"/>
        </w:numPr>
        <w:jc w:val="both"/>
        <w:rPr>
          <w:rFonts w:eastAsia="Times New Roman" w:cstheme="minorHAnsi"/>
          <w:color w:val="000000"/>
          <w:shd w:val="clear" w:color="auto" w:fill="FFFFFF"/>
        </w:rPr>
      </w:pPr>
      <w:r w:rsidRPr="0025300B">
        <w:rPr>
          <w:rFonts w:eastAsia="Times New Roman" w:cstheme="minorHAnsi"/>
          <w:color w:val="000000"/>
          <w:shd w:val="clear" w:color="auto" w:fill="FFFFFF"/>
        </w:rPr>
        <w:t>We welcome the inclusion of the principle of free, prior, and informed consent throughout the draft</w:t>
      </w:r>
      <w:r w:rsidR="009D6AE3" w:rsidRPr="0025300B">
        <w:rPr>
          <w:rFonts w:eastAsia="Times New Roman" w:cstheme="minorHAnsi"/>
          <w:color w:val="000000"/>
          <w:shd w:val="clear" w:color="auto" w:fill="FFFFFF"/>
        </w:rPr>
        <w:t xml:space="preserve">, and urge the Committee to strength language in relation to business and human rights. In paragraph 52(f), we suggest adding at the end “and ensure that these economic activities do not adversely impact </w:t>
      </w:r>
      <w:r w:rsidR="00B4511F" w:rsidRPr="0025300B">
        <w:rPr>
          <w:rFonts w:eastAsia="Times New Roman" w:cstheme="minorHAnsi"/>
          <w:color w:val="000000"/>
          <w:shd w:val="clear" w:color="auto" w:fill="FFFFFF"/>
        </w:rPr>
        <w:t>human rights, including those of indigenous women and girls.”</w:t>
      </w:r>
      <w:r w:rsidR="009D6AE3" w:rsidRPr="0025300B">
        <w:rPr>
          <w:rFonts w:eastAsia="Times New Roman" w:cstheme="minorHAnsi"/>
          <w:color w:val="000000"/>
          <w:shd w:val="clear" w:color="auto" w:fill="FFFFFF"/>
        </w:rPr>
        <w:t xml:space="preserve"> </w:t>
      </w:r>
    </w:p>
    <w:p w14:paraId="5E1C059F" w14:textId="741094DA" w:rsidR="00B4511F" w:rsidRDefault="00B4511F" w:rsidP="00836002">
      <w:pPr>
        <w:jc w:val="both"/>
        <w:rPr>
          <w:rFonts w:eastAsia="Times New Roman" w:cstheme="minorHAnsi"/>
          <w:color w:val="000000"/>
          <w:shd w:val="clear" w:color="auto" w:fill="FFFFFF"/>
        </w:rPr>
      </w:pPr>
    </w:p>
    <w:p w14:paraId="3B2B6535" w14:textId="21515DD2" w:rsidR="00B4511F" w:rsidRPr="0025300B" w:rsidRDefault="00B4511F" w:rsidP="00836002">
      <w:pPr>
        <w:pStyle w:val="ListParagraph"/>
        <w:numPr>
          <w:ilvl w:val="0"/>
          <w:numId w:val="5"/>
        </w:numPr>
        <w:jc w:val="both"/>
        <w:rPr>
          <w:rFonts w:eastAsia="Times New Roman" w:cstheme="minorHAnsi"/>
          <w:color w:val="000000"/>
          <w:shd w:val="clear" w:color="auto" w:fill="FFFFFF"/>
        </w:rPr>
      </w:pPr>
      <w:r w:rsidRPr="0025300B">
        <w:rPr>
          <w:rFonts w:eastAsia="Times New Roman" w:cstheme="minorHAnsi"/>
          <w:color w:val="000000"/>
          <w:shd w:val="clear" w:color="auto" w:fill="FFFFFF"/>
        </w:rPr>
        <w:t xml:space="preserve">Similarly, </w:t>
      </w:r>
      <w:proofErr w:type="gramStart"/>
      <w:r w:rsidRPr="0025300B">
        <w:rPr>
          <w:rFonts w:eastAsia="Times New Roman" w:cstheme="minorHAnsi"/>
          <w:color w:val="000000"/>
          <w:shd w:val="clear" w:color="auto" w:fill="FFFFFF"/>
        </w:rPr>
        <w:t>in regard to</w:t>
      </w:r>
      <w:proofErr w:type="gramEnd"/>
      <w:r w:rsidRPr="0025300B">
        <w:rPr>
          <w:rFonts w:eastAsia="Times New Roman" w:cstheme="minorHAnsi"/>
          <w:color w:val="000000"/>
          <w:shd w:val="clear" w:color="auto" w:fill="FFFFFF"/>
        </w:rPr>
        <w:t xml:space="preserve"> para. 71 (d), we suggest adding language on accountability and access to remedy</w:t>
      </w:r>
      <w:r w:rsidR="000F2CFC">
        <w:rPr>
          <w:rFonts w:eastAsia="Times New Roman" w:cstheme="minorHAnsi"/>
          <w:color w:val="000000"/>
          <w:shd w:val="clear" w:color="auto" w:fill="FFFFFF"/>
        </w:rPr>
        <w:t xml:space="preserve"> so</w:t>
      </w:r>
      <w:r w:rsidR="005F724F" w:rsidRPr="0025300B">
        <w:rPr>
          <w:rFonts w:eastAsia="Times New Roman" w:cstheme="minorHAnsi"/>
          <w:color w:val="000000"/>
          <w:shd w:val="clear" w:color="auto" w:fill="FFFFFF"/>
        </w:rPr>
        <w:t xml:space="preserve"> that </w:t>
      </w:r>
      <w:r w:rsidRPr="0025300B">
        <w:rPr>
          <w:rFonts w:eastAsia="Times New Roman" w:cstheme="minorHAnsi"/>
          <w:color w:val="000000"/>
          <w:shd w:val="clear" w:color="auto" w:fill="FFFFFF"/>
        </w:rPr>
        <w:t>the subparagraph read</w:t>
      </w:r>
      <w:r w:rsidR="00285A07">
        <w:rPr>
          <w:rFonts w:eastAsia="Times New Roman" w:cstheme="minorHAnsi"/>
          <w:color w:val="000000"/>
          <w:shd w:val="clear" w:color="auto" w:fill="FFFFFF"/>
        </w:rPr>
        <w:t>s</w:t>
      </w:r>
      <w:r w:rsidRPr="0025300B">
        <w:rPr>
          <w:rFonts w:eastAsia="Times New Roman" w:cstheme="minorHAnsi"/>
          <w:color w:val="000000"/>
          <w:shd w:val="clear" w:color="auto" w:fill="FFFFFF"/>
        </w:rPr>
        <w:t xml:space="preserve"> “Prevent and regulate activities </w:t>
      </w:r>
      <w:r w:rsidR="005F724F" w:rsidRPr="0025300B">
        <w:rPr>
          <w:rFonts w:eastAsia="Times New Roman" w:cstheme="minorHAnsi"/>
          <w:color w:val="000000"/>
          <w:shd w:val="clear" w:color="auto" w:fill="FFFFFF"/>
        </w:rPr>
        <w:t>by private actors that may undermined the rights of indigenous women and girls to their lands, territories and environment, including by establishing effective mechanisms for monitoring and enforceability.”</w:t>
      </w:r>
    </w:p>
    <w:p w14:paraId="2237DFD3" w14:textId="77777777" w:rsidR="008477E8" w:rsidRDefault="008477E8" w:rsidP="00C07916"/>
    <w:sectPr w:rsidR="008477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8A92" w14:textId="77777777" w:rsidR="008C2509" w:rsidRDefault="008C2509" w:rsidP="00EC5D5A">
      <w:r>
        <w:separator/>
      </w:r>
    </w:p>
  </w:endnote>
  <w:endnote w:type="continuationSeparator" w:id="0">
    <w:p w14:paraId="0D361A33" w14:textId="77777777" w:rsidR="008C2509" w:rsidRDefault="008C2509" w:rsidP="00EC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0937" w14:textId="77777777" w:rsidR="008C2509" w:rsidRDefault="008C2509" w:rsidP="00EC5D5A">
      <w:r>
        <w:separator/>
      </w:r>
    </w:p>
  </w:footnote>
  <w:footnote w:type="continuationSeparator" w:id="0">
    <w:p w14:paraId="056C35A3" w14:textId="77777777" w:rsidR="008C2509" w:rsidRDefault="008C2509" w:rsidP="00EC5D5A">
      <w:r>
        <w:continuationSeparator/>
      </w:r>
    </w:p>
  </w:footnote>
  <w:footnote w:id="1">
    <w:p w14:paraId="12829AB2" w14:textId="77777777" w:rsidR="00AE3703" w:rsidRPr="00A924CA" w:rsidRDefault="00AE3703" w:rsidP="00AE3703">
      <w:pPr>
        <w:pStyle w:val="FootnoteText"/>
      </w:pPr>
      <w:r w:rsidRPr="00A924CA">
        <w:rPr>
          <w:rStyle w:val="FootnoteReference"/>
        </w:rPr>
        <w:footnoteRef/>
      </w:r>
      <w:r w:rsidRPr="00A924CA">
        <w:t xml:space="preserve"> Report of the International Law Commission, Seventy-fourth Session, A/74/10, Conclusion 23, p.146 </w:t>
      </w:r>
    </w:p>
  </w:footnote>
  <w:footnote w:id="2">
    <w:p w14:paraId="473A5877" w14:textId="77777777" w:rsidR="00AE3703" w:rsidRPr="00A924CA" w:rsidRDefault="00AE3703" w:rsidP="00AE3703">
      <w:pPr>
        <w:pStyle w:val="FootnoteText"/>
      </w:pPr>
      <w:r w:rsidRPr="00A924CA">
        <w:rPr>
          <w:rStyle w:val="FootnoteReference"/>
        </w:rPr>
        <w:footnoteRef/>
      </w:r>
      <w:r w:rsidRPr="00A924CA">
        <w:t xml:space="preserve"> Responsibility of States for Internationally Wrongful Acts, 2001, Articles 40 &amp; 41, </w:t>
      </w:r>
      <w:hyperlink r:id="rId1" w:history="1">
        <w:r w:rsidRPr="00A924CA">
          <w:rPr>
            <w:rStyle w:val="Hyperlink"/>
          </w:rPr>
          <w:t>https://legal.un.org/ilc/texts/instruments/english/draft_articles/9_6_2001.pdf</w:t>
        </w:r>
      </w:hyperlink>
      <w:r w:rsidRPr="00A924CA">
        <w:t xml:space="preserve"> </w:t>
      </w:r>
    </w:p>
  </w:footnote>
  <w:footnote w:id="3">
    <w:p w14:paraId="2460B276" w14:textId="77777777" w:rsidR="00AE3703" w:rsidRPr="00A924CA" w:rsidRDefault="00AE3703" w:rsidP="00AE3703">
      <w:pPr>
        <w:pStyle w:val="FootnoteText"/>
      </w:pPr>
      <w:r w:rsidRPr="00A924CA">
        <w:rPr>
          <w:rStyle w:val="FootnoteReference"/>
        </w:rPr>
        <w:footnoteRef/>
      </w:r>
      <w:r w:rsidRPr="00A924CA">
        <w:t xml:space="preserve"> CCPR General Comment No. 12: Article 1 (Right to Self-determination)</w:t>
      </w:r>
    </w:p>
    <w:p w14:paraId="2CAB1B8E" w14:textId="16A68C40" w:rsidR="00AE3703" w:rsidRDefault="00AE3703" w:rsidP="00AE3703">
      <w:pPr>
        <w:pStyle w:val="FootnoteText"/>
      </w:pPr>
      <w:r w:rsidRPr="00A924CA">
        <w:t>The Right to Self-determination of Peoples, Adopted at the Twenty-first Session of the Human Rights Committee, on 13 March 1984, Para. 6</w:t>
      </w:r>
      <w:r w:rsidR="0005606B">
        <w:t>.</w:t>
      </w:r>
    </w:p>
    <w:p w14:paraId="0E5F21DC" w14:textId="7DD457B3" w:rsidR="0005606B" w:rsidRPr="00A924CA" w:rsidRDefault="0005606B" w:rsidP="00AE3703">
      <w:pPr>
        <w:pStyle w:val="FootnoteText"/>
      </w:pPr>
      <w:r w:rsidRPr="0005606B">
        <w:rPr>
          <w:i/>
          <w:iCs/>
        </w:rPr>
        <w:t>See also</w:t>
      </w:r>
      <w:r>
        <w:t xml:space="preserve">: </w:t>
      </w:r>
      <w:r w:rsidRPr="0005606B">
        <w:t>“</w:t>
      </w:r>
      <w:r w:rsidRPr="00EC5D5A">
        <w:t>States shall take resolute steps to eliminate the massive and flagrant violations of the human rights of peoples and human beings affected by situations such as those resulting from apartheid , all forms of racism and racial discrimination, colonialism, foreign domination and occupation, aggression, foreign interference and threats against national sovereignty, national unity and territorial integrity, threats of war and refusal to recognize the fundamental right of peoples to self-determination</w:t>
      </w:r>
      <w:r>
        <w:t xml:space="preserve">.” Declaration on the Right to Development, </w:t>
      </w:r>
      <w:r w:rsidRPr="00EC5D5A">
        <w:t>Adopted by General Assembly resolution 41/128 of 4 December 1986</w:t>
      </w:r>
      <w:r>
        <w:t xml:space="preserve">, Art. 5, </w:t>
      </w:r>
      <w:r w:rsidRPr="00EC5D5A">
        <w:t>https://www.ohchr.org/en/professionalinterest/pages/righttodevelopment.aspx</w:t>
      </w:r>
    </w:p>
  </w:footnote>
  <w:footnote w:id="4">
    <w:p w14:paraId="42395494" w14:textId="0F183D59" w:rsidR="00813248" w:rsidRPr="00813248" w:rsidRDefault="00813248" w:rsidP="00813248">
      <w:pPr>
        <w:pStyle w:val="FootnoteText"/>
      </w:pPr>
      <w:r>
        <w:rPr>
          <w:rStyle w:val="FootnoteReference"/>
        </w:rPr>
        <w:footnoteRef/>
      </w:r>
      <w:r>
        <w:t xml:space="preserve"> </w:t>
      </w:r>
      <w:r w:rsidRPr="00813248">
        <w:t>General Assembly resolution 1803 (XVII) of 14 December 1962, "Permanent sovereignty over natural resources"</w:t>
      </w:r>
      <w:r>
        <w:t xml:space="preserve">; See also: Declaration on the Right to Development, </w:t>
      </w:r>
      <w:r w:rsidRPr="00EC5D5A">
        <w:t>Adopted by General Assembly resolution 41/128 of 4 December 1986</w:t>
      </w:r>
      <w:r>
        <w:t>, Art. 1(2), which states:</w:t>
      </w:r>
    </w:p>
    <w:p w14:paraId="40B0BCC0" w14:textId="4AA5F053" w:rsidR="00813248" w:rsidRDefault="00813248">
      <w:pPr>
        <w:pStyle w:val="FootnoteText"/>
      </w:pPr>
      <w:r w:rsidRPr="00813248">
        <w:t>“</w:t>
      </w:r>
      <w:r w:rsidRPr="00EC5D5A">
        <w:t>The human right to development also implies the full realization of the right of peoples to self-determination, which includes, subject to the relevant provisions of both International Covenants on Human Rights, the exercise of their inalienable right to full sovereignty over all their natural wealth and resources</w:t>
      </w:r>
      <w:r>
        <w:t>”</w:t>
      </w:r>
    </w:p>
  </w:footnote>
  <w:footnote w:id="5">
    <w:p w14:paraId="1B0D7C7A" w14:textId="3C5CAEAD" w:rsidR="00813248" w:rsidRDefault="00813248">
      <w:pPr>
        <w:pStyle w:val="FootnoteText"/>
      </w:pPr>
      <w:r>
        <w:rPr>
          <w:rStyle w:val="FootnoteReference"/>
        </w:rPr>
        <w:footnoteRef/>
      </w:r>
      <w:r>
        <w:t xml:space="preserve"> </w:t>
      </w:r>
      <w:r w:rsidRPr="00813248">
        <w:t>Activities of Foreign Economic and Other Interests Which Impede the Implementation of the Declaration on the Granting of Independence to Colonial Countries and Peoples in Territories Under Colonial Domination, G.A. res. 50/33, U.N. Doc. A/RES/50/33 (1995)</w:t>
      </w:r>
    </w:p>
  </w:footnote>
  <w:footnote w:id="6">
    <w:p w14:paraId="0451A68F" w14:textId="0D818342" w:rsidR="00EF4FFC" w:rsidRDefault="00EF4FFC">
      <w:pPr>
        <w:pStyle w:val="FootnoteText"/>
      </w:pPr>
      <w:r>
        <w:rPr>
          <w:rStyle w:val="FootnoteReference"/>
        </w:rPr>
        <w:footnoteRef/>
      </w:r>
      <w:r>
        <w:t xml:space="preserve"> UN General Assembly Resolution 37/135 of 17 December 1982.</w:t>
      </w:r>
    </w:p>
  </w:footnote>
  <w:footnote w:id="7">
    <w:p w14:paraId="2827F4A6" w14:textId="48441D27" w:rsidR="00941B94" w:rsidRDefault="00941B94">
      <w:pPr>
        <w:pStyle w:val="FootnoteText"/>
      </w:pPr>
      <w:r>
        <w:rPr>
          <w:rStyle w:val="FootnoteReference"/>
        </w:rPr>
        <w:footnoteRef/>
      </w:r>
      <w:r>
        <w:t xml:space="preserve"> Rule 132. Return of Displaced Persons</w:t>
      </w:r>
      <w:r w:rsidR="0012048D">
        <w:t xml:space="preserve">, IHL Database Customary IHL, ICRC, </w:t>
      </w:r>
      <w:hyperlink r:id="rId2" w:history="1">
        <w:r w:rsidR="0012048D" w:rsidRPr="006D761E">
          <w:rPr>
            <w:rStyle w:val="Hyperlink"/>
          </w:rPr>
          <w:t>https://ihl-databases.icrc.org/customary-ihl/eng/docindex/v1_rul_rule132</w:t>
        </w:r>
      </w:hyperlink>
      <w:r w:rsidR="0012048D">
        <w:t xml:space="preserve"> </w:t>
      </w:r>
    </w:p>
  </w:footnote>
  <w:footnote w:id="8">
    <w:p w14:paraId="4BCD7170" w14:textId="77777777" w:rsidR="00941B94" w:rsidRDefault="00941B94" w:rsidP="00941B94">
      <w:pPr>
        <w:pStyle w:val="FootnoteText"/>
      </w:pPr>
      <w:r>
        <w:rPr>
          <w:rStyle w:val="FootnoteReference"/>
        </w:rPr>
        <w:footnoteRef/>
      </w:r>
      <w:r>
        <w:t xml:space="preserve"> Rule 134. Women, IHL Database Customary IHL, ICRC, </w:t>
      </w:r>
      <w:hyperlink r:id="rId3" w:history="1">
        <w:r w:rsidRPr="006D761E">
          <w:rPr>
            <w:rStyle w:val="Hyperlink"/>
          </w:rPr>
          <w:t>https://ihl-databases.icrc.org/customary-ihl/eng/docindex/v1_rul_rule134</w:t>
        </w:r>
      </w:hyperlink>
      <w:r>
        <w:t xml:space="preserve"> </w:t>
      </w:r>
    </w:p>
  </w:footnote>
  <w:footnote w:id="9">
    <w:p w14:paraId="5BA48DC4" w14:textId="2AB548CD" w:rsidR="00F74447" w:rsidRDefault="00F74447">
      <w:pPr>
        <w:pStyle w:val="FootnoteText"/>
      </w:pPr>
      <w:r>
        <w:rPr>
          <w:rStyle w:val="FootnoteReference"/>
        </w:rPr>
        <w:footnoteRef/>
      </w:r>
      <w:r>
        <w:t xml:space="preserve"> Principle 10. The Pinheiro Principles, United Nations Principles on Housing and Property Restitution for Refugees and Displaced Persons, </w:t>
      </w:r>
      <w:hyperlink r:id="rId4" w:history="1">
        <w:r w:rsidRPr="00DE3941">
          <w:rPr>
            <w:rStyle w:val="Hyperlink"/>
          </w:rPr>
          <w:t>https://2001-2009.state.gov/documents/organization/99774.pdf</w:t>
        </w:r>
      </w:hyperlink>
      <w:r>
        <w:t xml:space="preserve"> </w:t>
      </w:r>
    </w:p>
  </w:footnote>
  <w:footnote w:id="10">
    <w:p w14:paraId="5375369E" w14:textId="089BAE65" w:rsidR="001827B5" w:rsidRDefault="00626CCA">
      <w:pPr>
        <w:pStyle w:val="FootnoteText"/>
      </w:pPr>
      <w:r>
        <w:rPr>
          <w:rStyle w:val="FootnoteReference"/>
        </w:rPr>
        <w:footnoteRef/>
      </w:r>
      <w:r>
        <w:t xml:space="preserve"> </w:t>
      </w:r>
      <w:r w:rsidR="00976CF7">
        <w:t xml:space="preserve">Noting </w:t>
      </w:r>
      <w:r w:rsidR="001827B5">
        <w:t xml:space="preserve">also </w:t>
      </w:r>
      <w:r w:rsidR="00976CF7">
        <w:t>that</w:t>
      </w:r>
      <w:r w:rsidR="001827B5">
        <w:t xml:space="preserve"> forced evictions “invariably affect”</w:t>
      </w:r>
      <w:r w:rsidR="00976CF7">
        <w:t xml:space="preserve"> </w:t>
      </w:r>
      <w:r w:rsidR="001827B5">
        <w:t xml:space="preserve">indigenous peoples, women, and children, amongst other groups (para. 7). </w:t>
      </w:r>
    </w:p>
    <w:p w14:paraId="71B6F62B" w14:textId="05DB91CE" w:rsidR="00626CCA" w:rsidRDefault="00626CCA">
      <w:pPr>
        <w:pStyle w:val="FootnoteText"/>
      </w:pPr>
      <w:r>
        <w:t xml:space="preserve">Basic Principles and Guidelines on Development-Based Evictions and Displacement, </w:t>
      </w:r>
      <w:r w:rsidR="00C268C7">
        <w:t>annex 1 of report of the Special Rapporteur on adequate housing as a component of the right to an adequate standard of living, A/HRC/4/18, p</w:t>
      </w:r>
      <w:r>
        <w:t>ara. 66</w:t>
      </w:r>
      <w:r w:rsidR="00C268C7">
        <w:t xml:space="preserve">, </w:t>
      </w:r>
      <w:r w:rsidR="00C268C7" w:rsidRPr="00C268C7">
        <w:t>https://www.ohchr.org/documents/issues/housing/guidelines_en.pdf</w:t>
      </w:r>
    </w:p>
  </w:footnote>
  <w:footnote w:id="11">
    <w:p w14:paraId="6E78E165" w14:textId="7A17EB20" w:rsidR="00626CCA" w:rsidRDefault="00626CCA">
      <w:pPr>
        <w:pStyle w:val="FootnoteText"/>
      </w:pPr>
      <w:r>
        <w:rPr>
          <w:rStyle w:val="FootnoteReference"/>
        </w:rPr>
        <w:footnoteRef/>
      </w:r>
      <w:r>
        <w:t xml:space="preserve"> Id. </w:t>
      </w:r>
      <w:r w:rsidR="00C268C7">
        <w:t>p</w:t>
      </w:r>
      <w:r>
        <w:t>ara.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262"/>
    <w:multiLevelType w:val="hybridMultilevel"/>
    <w:tmpl w:val="4E96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A39CA"/>
    <w:multiLevelType w:val="multilevel"/>
    <w:tmpl w:val="70BC645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7C7951"/>
    <w:multiLevelType w:val="hybridMultilevel"/>
    <w:tmpl w:val="BC52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C3F6B"/>
    <w:multiLevelType w:val="hybridMultilevel"/>
    <w:tmpl w:val="7B923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00636D"/>
    <w:multiLevelType w:val="hybridMultilevel"/>
    <w:tmpl w:val="4F46B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5403B"/>
    <w:multiLevelType w:val="hybridMultilevel"/>
    <w:tmpl w:val="D7D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E1"/>
    <w:rsid w:val="0005606B"/>
    <w:rsid w:val="000C55DC"/>
    <w:rsid w:val="000F2CFC"/>
    <w:rsid w:val="0012048D"/>
    <w:rsid w:val="001827B5"/>
    <w:rsid w:val="001D2E08"/>
    <w:rsid w:val="001E1EB0"/>
    <w:rsid w:val="00227815"/>
    <w:rsid w:val="0025300B"/>
    <w:rsid w:val="00285A07"/>
    <w:rsid w:val="002A4DE4"/>
    <w:rsid w:val="002B26B0"/>
    <w:rsid w:val="002E4583"/>
    <w:rsid w:val="003645C2"/>
    <w:rsid w:val="0037687A"/>
    <w:rsid w:val="0038508B"/>
    <w:rsid w:val="00484518"/>
    <w:rsid w:val="004A6A3A"/>
    <w:rsid w:val="004A7E97"/>
    <w:rsid w:val="005577BE"/>
    <w:rsid w:val="0056677B"/>
    <w:rsid w:val="005F724F"/>
    <w:rsid w:val="006237AA"/>
    <w:rsid w:val="00626CCA"/>
    <w:rsid w:val="0065499F"/>
    <w:rsid w:val="006572E6"/>
    <w:rsid w:val="00680A26"/>
    <w:rsid w:val="00767AE6"/>
    <w:rsid w:val="007B6D7A"/>
    <w:rsid w:val="00813248"/>
    <w:rsid w:val="00817727"/>
    <w:rsid w:val="008339EC"/>
    <w:rsid w:val="00836002"/>
    <w:rsid w:val="008477E8"/>
    <w:rsid w:val="008C2509"/>
    <w:rsid w:val="00935898"/>
    <w:rsid w:val="00941B94"/>
    <w:rsid w:val="0094751E"/>
    <w:rsid w:val="00953A28"/>
    <w:rsid w:val="00976CF7"/>
    <w:rsid w:val="009D6AE3"/>
    <w:rsid w:val="009F1C73"/>
    <w:rsid w:val="009F7698"/>
    <w:rsid w:val="00A11357"/>
    <w:rsid w:val="00AD50E1"/>
    <w:rsid w:val="00AE3703"/>
    <w:rsid w:val="00B4511F"/>
    <w:rsid w:val="00BA5D72"/>
    <w:rsid w:val="00BE6E1A"/>
    <w:rsid w:val="00C07916"/>
    <w:rsid w:val="00C22807"/>
    <w:rsid w:val="00C268C7"/>
    <w:rsid w:val="00C5279B"/>
    <w:rsid w:val="00C72E60"/>
    <w:rsid w:val="00C93FDD"/>
    <w:rsid w:val="00E37AF2"/>
    <w:rsid w:val="00EC5D5A"/>
    <w:rsid w:val="00EF4FFC"/>
    <w:rsid w:val="00EF626E"/>
    <w:rsid w:val="00F74447"/>
    <w:rsid w:val="00FA590F"/>
    <w:rsid w:val="00FC6FEF"/>
    <w:rsid w:val="00FF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A011F2"/>
  <w15:chartTrackingRefBased/>
  <w15:docId w15:val="{0CE8EA09-9E93-F549-89A6-E1693FE9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32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5D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5D5A"/>
    <w:rPr>
      <w:sz w:val="20"/>
      <w:szCs w:val="20"/>
    </w:rPr>
  </w:style>
  <w:style w:type="character" w:customStyle="1" w:styleId="FootnoteTextChar">
    <w:name w:val="Footnote Text Char"/>
    <w:basedOn w:val="DefaultParagraphFont"/>
    <w:link w:val="FootnoteText"/>
    <w:uiPriority w:val="99"/>
    <w:rsid w:val="00EC5D5A"/>
    <w:rPr>
      <w:sz w:val="20"/>
      <w:szCs w:val="20"/>
    </w:rPr>
  </w:style>
  <w:style w:type="character" w:styleId="FootnoteReference">
    <w:name w:val="footnote reference"/>
    <w:basedOn w:val="DefaultParagraphFont"/>
    <w:uiPriority w:val="99"/>
    <w:unhideWhenUsed/>
    <w:rsid w:val="00EC5D5A"/>
    <w:rPr>
      <w:vertAlign w:val="superscript"/>
    </w:rPr>
  </w:style>
  <w:style w:type="character" w:customStyle="1" w:styleId="Heading3Char">
    <w:name w:val="Heading 3 Char"/>
    <w:basedOn w:val="DefaultParagraphFont"/>
    <w:link w:val="Heading3"/>
    <w:uiPriority w:val="9"/>
    <w:semiHidden/>
    <w:rsid w:val="00EC5D5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477E8"/>
    <w:pPr>
      <w:ind w:left="720"/>
      <w:contextualSpacing/>
    </w:pPr>
    <w:rPr>
      <w:rFonts w:eastAsiaTheme="minorEastAsia"/>
    </w:rPr>
  </w:style>
  <w:style w:type="character" w:styleId="Hyperlink">
    <w:name w:val="Hyperlink"/>
    <w:basedOn w:val="DefaultParagraphFont"/>
    <w:uiPriority w:val="99"/>
    <w:unhideWhenUsed/>
    <w:rsid w:val="008477E8"/>
    <w:rPr>
      <w:color w:val="0563C1" w:themeColor="hyperlink"/>
      <w:u w:val="single"/>
    </w:rPr>
  </w:style>
  <w:style w:type="character" w:styleId="CommentReference">
    <w:name w:val="annotation reference"/>
    <w:basedOn w:val="DefaultParagraphFont"/>
    <w:uiPriority w:val="99"/>
    <w:semiHidden/>
    <w:unhideWhenUsed/>
    <w:rsid w:val="000C55DC"/>
    <w:rPr>
      <w:sz w:val="16"/>
      <w:szCs w:val="16"/>
    </w:rPr>
  </w:style>
  <w:style w:type="paragraph" w:styleId="CommentText">
    <w:name w:val="annotation text"/>
    <w:basedOn w:val="Normal"/>
    <w:link w:val="CommentTextChar"/>
    <w:uiPriority w:val="99"/>
    <w:semiHidden/>
    <w:unhideWhenUsed/>
    <w:rsid w:val="000C55DC"/>
    <w:rPr>
      <w:sz w:val="20"/>
      <w:szCs w:val="20"/>
    </w:rPr>
  </w:style>
  <w:style w:type="character" w:customStyle="1" w:styleId="CommentTextChar">
    <w:name w:val="Comment Text Char"/>
    <w:basedOn w:val="DefaultParagraphFont"/>
    <w:link w:val="CommentText"/>
    <w:uiPriority w:val="99"/>
    <w:semiHidden/>
    <w:rsid w:val="000C55DC"/>
    <w:rPr>
      <w:sz w:val="20"/>
      <w:szCs w:val="20"/>
    </w:rPr>
  </w:style>
  <w:style w:type="paragraph" w:styleId="CommentSubject">
    <w:name w:val="annotation subject"/>
    <w:basedOn w:val="CommentText"/>
    <w:next w:val="CommentText"/>
    <w:link w:val="CommentSubjectChar"/>
    <w:uiPriority w:val="99"/>
    <w:semiHidden/>
    <w:unhideWhenUsed/>
    <w:rsid w:val="000C55DC"/>
    <w:rPr>
      <w:b/>
      <w:bCs/>
    </w:rPr>
  </w:style>
  <w:style w:type="character" w:customStyle="1" w:styleId="CommentSubjectChar">
    <w:name w:val="Comment Subject Char"/>
    <w:basedOn w:val="CommentTextChar"/>
    <w:link w:val="CommentSubject"/>
    <w:uiPriority w:val="99"/>
    <w:semiHidden/>
    <w:rsid w:val="000C55DC"/>
    <w:rPr>
      <w:b/>
      <w:bCs/>
      <w:sz w:val="20"/>
      <w:szCs w:val="20"/>
    </w:rPr>
  </w:style>
  <w:style w:type="character" w:customStyle="1" w:styleId="Heading2Char">
    <w:name w:val="Heading 2 Char"/>
    <w:basedOn w:val="DefaultParagraphFont"/>
    <w:link w:val="Heading2"/>
    <w:uiPriority w:val="9"/>
    <w:semiHidden/>
    <w:rsid w:val="0081324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827B5"/>
    <w:rPr>
      <w:color w:val="605E5C"/>
      <w:shd w:val="clear" w:color="auto" w:fill="E1DFDD"/>
    </w:rPr>
  </w:style>
  <w:style w:type="paragraph" w:styleId="Revision">
    <w:name w:val="Revision"/>
    <w:hidden/>
    <w:uiPriority w:val="99"/>
    <w:semiHidden/>
    <w:rsid w:val="009F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8273">
      <w:bodyDiv w:val="1"/>
      <w:marLeft w:val="0"/>
      <w:marRight w:val="0"/>
      <w:marTop w:val="0"/>
      <w:marBottom w:val="0"/>
      <w:divBdr>
        <w:top w:val="none" w:sz="0" w:space="0" w:color="auto"/>
        <w:left w:val="none" w:sz="0" w:space="0" w:color="auto"/>
        <w:bottom w:val="none" w:sz="0" w:space="0" w:color="auto"/>
        <w:right w:val="none" w:sz="0" w:space="0" w:color="auto"/>
      </w:divBdr>
    </w:div>
    <w:div w:id="325671953">
      <w:bodyDiv w:val="1"/>
      <w:marLeft w:val="0"/>
      <w:marRight w:val="0"/>
      <w:marTop w:val="0"/>
      <w:marBottom w:val="0"/>
      <w:divBdr>
        <w:top w:val="none" w:sz="0" w:space="0" w:color="auto"/>
        <w:left w:val="none" w:sz="0" w:space="0" w:color="auto"/>
        <w:bottom w:val="none" w:sz="0" w:space="0" w:color="auto"/>
        <w:right w:val="none" w:sz="0" w:space="0" w:color="auto"/>
      </w:divBdr>
    </w:div>
    <w:div w:id="497119437">
      <w:bodyDiv w:val="1"/>
      <w:marLeft w:val="0"/>
      <w:marRight w:val="0"/>
      <w:marTop w:val="0"/>
      <w:marBottom w:val="0"/>
      <w:divBdr>
        <w:top w:val="none" w:sz="0" w:space="0" w:color="auto"/>
        <w:left w:val="none" w:sz="0" w:space="0" w:color="auto"/>
        <w:bottom w:val="none" w:sz="0" w:space="0" w:color="auto"/>
        <w:right w:val="none" w:sz="0" w:space="0" w:color="auto"/>
      </w:divBdr>
    </w:div>
    <w:div w:id="503906939">
      <w:bodyDiv w:val="1"/>
      <w:marLeft w:val="0"/>
      <w:marRight w:val="0"/>
      <w:marTop w:val="0"/>
      <w:marBottom w:val="0"/>
      <w:divBdr>
        <w:top w:val="none" w:sz="0" w:space="0" w:color="auto"/>
        <w:left w:val="none" w:sz="0" w:space="0" w:color="auto"/>
        <w:bottom w:val="none" w:sz="0" w:space="0" w:color="auto"/>
        <w:right w:val="none" w:sz="0" w:space="0" w:color="auto"/>
      </w:divBdr>
    </w:div>
    <w:div w:id="668337452">
      <w:bodyDiv w:val="1"/>
      <w:marLeft w:val="0"/>
      <w:marRight w:val="0"/>
      <w:marTop w:val="0"/>
      <w:marBottom w:val="0"/>
      <w:divBdr>
        <w:top w:val="none" w:sz="0" w:space="0" w:color="auto"/>
        <w:left w:val="none" w:sz="0" w:space="0" w:color="auto"/>
        <w:bottom w:val="none" w:sz="0" w:space="0" w:color="auto"/>
        <w:right w:val="none" w:sz="0" w:space="0" w:color="auto"/>
      </w:divBdr>
    </w:div>
    <w:div w:id="716782276">
      <w:bodyDiv w:val="1"/>
      <w:marLeft w:val="0"/>
      <w:marRight w:val="0"/>
      <w:marTop w:val="0"/>
      <w:marBottom w:val="0"/>
      <w:divBdr>
        <w:top w:val="none" w:sz="0" w:space="0" w:color="auto"/>
        <w:left w:val="none" w:sz="0" w:space="0" w:color="auto"/>
        <w:bottom w:val="none" w:sz="0" w:space="0" w:color="auto"/>
        <w:right w:val="none" w:sz="0" w:space="0" w:color="auto"/>
      </w:divBdr>
    </w:div>
    <w:div w:id="846289848">
      <w:bodyDiv w:val="1"/>
      <w:marLeft w:val="0"/>
      <w:marRight w:val="0"/>
      <w:marTop w:val="0"/>
      <w:marBottom w:val="0"/>
      <w:divBdr>
        <w:top w:val="none" w:sz="0" w:space="0" w:color="auto"/>
        <w:left w:val="none" w:sz="0" w:space="0" w:color="auto"/>
        <w:bottom w:val="none" w:sz="0" w:space="0" w:color="auto"/>
        <w:right w:val="none" w:sz="0" w:space="0" w:color="auto"/>
      </w:divBdr>
    </w:div>
    <w:div w:id="926769091">
      <w:bodyDiv w:val="1"/>
      <w:marLeft w:val="0"/>
      <w:marRight w:val="0"/>
      <w:marTop w:val="0"/>
      <w:marBottom w:val="0"/>
      <w:divBdr>
        <w:top w:val="none" w:sz="0" w:space="0" w:color="auto"/>
        <w:left w:val="none" w:sz="0" w:space="0" w:color="auto"/>
        <w:bottom w:val="none" w:sz="0" w:space="0" w:color="auto"/>
        <w:right w:val="none" w:sz="0" w:space="0" w:color="auto"/>
      </w:divBdr>
    </w:div>
    <w:div w:id="1162890451">
      <w:bodyDiv w:val="1"/>
      <w:marLeft w:val="0"/>
      <w:marRight w:val="0"/>
      <w:marTop w:val="0"/>
      <w:marBottom w:val="0"/>
      <w:divBdr>
        <w:top w:val="none" w:sz="0" w:space="0" w:color="auto"/>
        <w:left w:val="none" w:sz="0" w:space="0" w:color="auto"/>
        <w:bottom w:val="none" w:sz="0" w:space="0" w:color="auto"/>
        <w:right w:val="none" w:sz="0" w:space="0" w:color="auto"/>
      </w:divBdr>
    </w:div>
    <w:div w:id="1212423211">
      <w:bodyDiv w:val="1"/>
      <w:marLeft w:val="0"/>
      <w:marRight w:val="0"/>
      <w:marTop w:val="0"/>
      <w:marBottom w:val="0"/>
      <w:divBdr>
        <w:top w:val="none" w:sz="0" w:space="0" w:color="auto"/>
        <w:left w:val="none" w:sz="0" w:space="0" w:color="auto"/>
        <w:bottom w:val="none" w:sz="0" w:space="0" w:color="auto"/>
        <w:right w:val="none" w:sz="0" w:space="0" w:color="auto"/>
      </w:divBdr>
    </w:div>
    <w:div w:id="1742363331">
      <w:bodyDiv w:val="1"/>
      <w:marLeft w:val="0"/>
      <w:marRight w:val="0"/>
      <w:marTop w:val="0"/>
      <w:marBottom w:val="0"/>
      <w:divBdr>
        <w:top w:val="none" w:sz="0" w:space="0" w:color="auto"/>
        <w:left w:val="none" w:sz="0" w:space="0" w:color="auto"/>
        <w:bottom w:val="none" w:sz="0" w:space="0" w:color="auto"/>
        <w:right w:val="none" w:sz="0" w:space="0" w:color="auto"/>
      </w:divBdr>
    </w:div>
    <w:div w:id="1871844829">
      <w:bodyDiv w:val="1"/>
      <w:marLeft w:val="0"/>
      <w:marRight w:val="0"/>
      <w:marTop w:val="0"/>
      <w:marBottom w:val="0"/>
      <w:divBdr>
        <w:top w:val="none" w:sz="0" w:space="0" w:color="auto"/>
        <w:left w:val="none" w:sz="0" w:space="0" w:color="auto"/>
        <w:bottom w:val="none" w:sz="0" w:space="0" w:color="auto"/>
        <w:right w:val="none" w:sz="0" w:space="0" w:color="auto"/>
      </w:divBdr>
    </w:div>
    <w:div w:id="19482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hl-databases.icrc.org/customary-ihl/eng/docindex/v1_rul_rule134" TargetMode="External"/><Relationship Id="rId2" Type="http://schemas.openxmlformats.org/officeDocument/2006/relationships/hyperlink" Target="https://ihl-databases.icrc.org/customary-ihl/eng/docindex/v1_rul_rule132" TargetMode="External"/><Relationship Id="rId1" Type="http://schemas.openxmlformats.org/officeDocument/2006/relationships/hyperlink" Target="https://legal.un.org/ilc/texts/instruments/english/draft_articles/9_6_2001.pdf" TargetMode="External"/><Relationship Id="rId4" Type="http://schemas.openxmlformats.org/officeDocument/2006/relationships/hyperlink" Target="https://2001-2009.state.gov/documents/organization/997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3535-E858-9D4E-9E23-0DB0962A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Farah</dc:creator>
  <cp:keywords/>
  <dc:description/>
  <cp:lastModifiedBy>Marya Farah</cp:lastModifiedBy>
  <cp:revision>7</cp:revision>
  <dcterms:created xsi:type="dcterms:W3CDTF">2022-01-31T09:22:00Z</dcterms:created>
  <dcterms:modified xsi:type="dcterms:W3CDTF">2022-01-31T17:50:00Z</dcterms:modified>
</cp:coreProperties>
</file>