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EE77" w14:textId="26F9F0F9" w:rsidR="002E68B1" w:rsidRPr="00203029" w:rsidRDefault="00203029" w:rsidP="002030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3029">
        <w:rPr>
          <w:rFonts w:ascii="Arial" w:hAnsi="Arial" w:cs="Arial"/>
          <w:b/>
          <w:bCs/>
          <w:sz w:val="24"/>
          <w:szCs w:val="24"/>
        </w:rPr>
        <w:t>DEFENSORÍA DEL PUEBLO DE LA NACIÓN</w:t>
      </w:r>
    </w:p>
    <w:p w14:paraId="5D9E4337" w14:textId="3E54F8BF" w:rsidR="00203029" w:rsidRPr="00203029" w:rsidRDefault="00203029" w:rsidP="002030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3029">
        <w:rPr>
          <w:rFonts w:ascii="Arial" w:hAnsi="Arial" w:cs="Arial"/>
          <w:b/>
          <w:bCs/>
          <w:sz w:val="24"/>
          <w:szCs w:val="24"/>
        </w:rPr>
        <w:t>REPÚBLICA ARGENTINA</w:t>
      </w:r>
    </w:p>
    <w:p w14:paraId="5CD7822A" w14:textId="17EF1184" w:rsidR="00203029" w:rsidRPr="00203029" w:rsidRDefault="00203029" w:rsidP="002030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3029">
        <w:rPr>
          <w:rFonts w:ascii="Arial" w:hAnsi="Arial" w:cs="Arial"/>
          <w:b/>
          <w:bCs/>
          <w:sz w:val="24"/>
          <w:szCs w:val="24"/>
        </w:rPr>
        <w:t>INSTITUCIÓN NACIONAL DE DERECHOS HUMANOS</w:t>
      </w:r>
    </w:p>
    <w:p w14:paraId="37FE0FA8" w14:textId="750EFA86" w:rsidR="003A18CC" w:rsidRPr="00203029" w:rsidRDefault="00203029" w:rsidP="002030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3029">
        <w:rPr>
          <w:rFonts w:ascii="Arial" w:hAnsi="Arial" w:cs="Arial"/>
          <w:b/>
          <w:bCs/>
          <w:sz w:val="24"/>
          <w:szCs w:val="24"/>
        </w:rPr>
        <w:t>Cuestionario relacionado con la resolución de la Asamblea General 68/268</w:t>
      </w:r>
    </w:p>
    <w:p w14:paraId="253B60B2" w14:textId="77777777" w:rsidR="00203029" w:rsidRDefault="00203029" w:rsidP="003A18C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077C78F0" w14:textId="77777777" w:rsidR="00203029" w:rsidRDefault="00203029" w:rsidP="003A18C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590C4D35" w14:textId="71F963F4" w:rsidR="003A18CC" w:rsidRDefault="003A18CC" w:rsidP="003A18C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La Defensoría del Pueblo de la República Argentina recibe con beneplácito el</w:t>
      </w:r>
      <w:r w:rsidRPr="003A18CC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F51F1F">
        <w:rPr>
          <w:rFonts w:ascii="Arial" w:eastAsia="Calibri" w:hAnsi="Arial" w:cs="Arial"/>
          <w:sz w:val="24"/>
          <w:szCs w:val="24"/>
          <w:lang w:val="es-ES"/>
        </w:rPr>
        <w:t>c</w:t>
      </w:r>
      <w:r w:rsidRPr="003A18CC">
        <w:rPr>
          <w:rFonts w:ascii="Arial" w:eastAsia="Calibri" w:hAnsi="Arial" w:cs="Arial"/>
          <w:sz w:val="24"/>
          <w:szCs w:val="24"/>
          <w:lang w:val="es-ES"/>
        </w:rPr>
        <w:t>uestionario relacionado con la resolución de la Asamblea General 68/268 sobre el “</w:t>
      </w:r>
      <w:bookmarkStart w:id="0" w:name="_Hlk95172178"/>
      <w:r w:rsidRPr="00F51F1F">
        <w:rPr>
          <w:rFonts w:ascii="Arial" w:eastAsia="Calibri" w:hAnsi="Arial" w:cs="Arial"/>
          <w:i/>
          <w:iCs/>
          <w:sz w:val="24"/>
          <w:szCs w:val="24"/>
          <w:lang w:val="es-ES"/>
        </w:rPr>
        <w:t>Fortalecimiento y mejora del funcionamiento eficaz del sistema de órganos creados en virtud de tratados de derechos humanos</w:t>
      </w:r>
      <w:bookmarkEnd w:id="0"/>
      <w:r w:rsidRPr="003A18CC">
        <w:rPr>
          <w:rFonts w:ascii="Arial" w:eastAsia="Calibri" w:hAnsi="Arial" w:cs="Arial"/>
          <w:sz w:val="24"/>
          <w:szCs w:val="24"/>
          <w:lang w:val="es-ES"/>
        </w:rPr>
        <w:t>”, adoptada el 9 de abril de 2014</w:t>
      </w:r>
      <w:r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71806381" w14:textId="65763CB4" w:rsidR="003C7517" w:rsidRDefault="003C7517" w:rsidP="003A18C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0403B483" w14:textId="6F11DC69" w:rsidR="003C7517" w:rsidRDefault="003C7517" w:rsidP="003A18CC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03029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Sobre el procedimiento simplificado: </w:t>
      </w:r>
    </w:p>
    <w:p w14:paraId="1B419325" w14:textId="77777777" w:rsidR="00203029" w:rsidRPr="00203029" w:rsidRDefault="00203029" w:rsidP="003A18CC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54BB83C7" w14:textId="0FA03E03" w:rsidR="003C7517" w:rsidRDefault="00203029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Consideramos que el </w:t>
      </w:r>
      <w:r w:rsidRPr="004E4846">
        <w:rPr>
          <w:rFonts w:ascii="Arial" w:eastAsia="Calibri" w:hAnsi="Arial" w:cs="Arial"/>
          <w:i/>
          <w:iCs/>
          <w:sz w:val="24"/>
          <w:szCs w:val="24"/>
          <w:lang w:val="es-ES"/>
        </w:rPr>
        <w:t>procedimiento simplificado de presentación de informes</w:t>
      </w:r>
      <w:r w:rsidR="009754C4">
        <w:rPr>
          <w:rFonts w:ascii="Arial" w:hAnsi="Arial" w:cs="Arial"/>
        </w:rPr>
        <w:t xml:space="preserve"> </w:t>
      </w:r>
      <w:r w:rsidRPr="003A18CC">
        <w:rPr>
          <w:rFonts w:ascii="Arial" w:eastAsia="Calibri" w:hAnsi="Arial" w:cs="Arial"/>
          <w:sz w:val="24"/>
          <w:szCs w:val="24"/>
          <w:lang w:val="es-ES"/>
        </w:rPr>
        <w:t>que actualmente introducen la mayoría de los órganos creados en virtud de tratados</w:t>
      </w:r>
      <w:r w:rsidR="00D43941">
        <w:rPr>
          <w:rFonts w:ascii="Arial" w:eastAsia="Calibri" w:hAnsi="Arial" w:cs="Arial"/>
          <w:sz w:val="24"/>
          <w:szCs w:val="24"/>
          <w:lang w:val="es-ES"/>
        </w:rPr>
        <w:t xml:space="preserve"> resulta un punto neurálgico en el fortalecimiento y mejora del funcionamiento eficaz de sistema de órganos creados en virtud de los tratados (TB) ya que </w:t>
      </w:r>
      <w:r>
        <w:rPr>
          <w:rFonts w:ascii="Arial" w:eastAsia="Calibri" w:hAnsi="Arial" w:cs="Arial"/>
          <w:sz w:val="24"/>
          <w:szCs w:val="24"/>
          <w:lang w:val="es-ES"/>
        </w:rPr>
        <w:t>o</w:t>
      </w:r>
      <w:r w:rsidRPr="00203029">
        <w:rPr>
          <w:rFonts w:ascii="Arial" w:eastAsia="Calibri" w:hAnsi="Arial" w:cs="Arial"/>
          <w:sz w:val="24"/>
          <w:szCs w:val="24"/>
          <w:lang w:val="es-ES"/>
        </w:rPr>
        <w:t xml:space="preserve">ptimiza el proceso de evaluación eliminando la necesidad de que los Estados presenten primero un informe y </w:t>
      </w:r>
      <w:r w:rsidR="00D71E19">
        <w:rPr>
          <w:rFonts w:ascii="Arial" w:eastAsia="Calibri" w:hAnsi="Arial" w:cs="Arial"/>
          <w:sz w:val="24"/>
          <w:szCs w:val="24"/>
          <w:lang w:val="es-ES"/>
        </w:rPr>
        <w:t>luego</w:t>
      </w:r>
      <w:r w:rsidRPr="0020302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D43941">
        <w:rPr>
          <w:rFonts w:ascii="Arial" w:eastAsia="Calibri" w:hAnsi="Arial" w:cs="Arial"/>
          <w:sz w:val="24"/>
          <w:szCs w:val="24"/>
          <w:lang w:val="es-ES"/>
        </w:rPr>
        <w:t xml:space="preserve">deban </w:t>
      </w:r>
      <w:r w:rsidRPr="00203029">
        <w:rPr>
          <w:rFonts w:ascii="Arial" w:eastAsia="Calibri" w:hAnsi="Arial" w:cs="Arial"/>
          <w:sz w:val="24"/>
          <w:szCs w:val="24"/>
          <w:lang w:val="es-ES"/>
        </w:rPr>
        <w:t>respond</w:t>
      </w:r>
      <w:r w:rsidR="00D43941">
        <w:rPr>
          <w:rFonts w:ascii="Arial" w:eastAsia="Calibri" w:hAnsi="Arial" w:cs="Arial"/>
          <w:sz w:val="24"/>
          <w:szCs w:val="24"/>
          <w:lang w:val="es-ES"/>
        </w:rPr>
        <w:t>er</w:t>
      </w:r>
      <w:r w:rsidRPr="00203029">
        <w:rPr>
          <w:rFonts w:ascii="Arial" w:eastAsia="Calibri" w:hAnsi="Arial" w:cs="Arial"/>
          <w:sz w:val="24"/>
          <w:szCs w:val="24"/>
          <w:lang w:val="es-ES"/>
        </w:rPr>
        <w:t xml:space="preserve"> a la lista de cuestiones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; ayuda </w:t>
      </w:r>
      <w:r w:rsidRPr="00203029">
        <w:rPr>
          <w:rFonts w:ascii="Arial" w:eastAsia="Calibri" w:hAnsi="Arial" w:cs="Arial"/>
          <w:sz w:val="24"/>
          <w:szCs w:val="24"/>
          <w:lang w:val="es-ES"/>
        </w:rPr>
        <w:t>a</w:t>
      </w:r>
      <w:r>
        <w:rPr>
          <w:rFonts w:ascii="Arial" w:eastAsia="Calibri" w:hAnsi="Arial" w:cs="Arial"/>
          <w:sz w:val="24"/>
          <w:szCs w:val="24"/>
          <w:lang w:val="es-ES"/>
        </w:rPr>
        <w:t>l</w:t>
      </w:r>
      <w:r w:rsidRPr="00203029">
        <w:rPr>
          <w:rFonts w:ascii="Arial" w:eastAsia="Calibri" w:hAnsi="Arial" w:cs="Arial"/>
          <w:sz w:val="24"/>
          <w:szCs w:val="24"/>
          <w:lang w:val="es-ES"/>
        </w:rPr>
        <w:t xml:space="preserve"> cumplimiento por</w:t>
      </w:r>
      <w:r w:rsidR="00D71E19">
        <w:rPr>
          <w:rFonts w:ascii="Arial" w:eastAsia="Calibri" w:hAnsi="Arial" w:cs="Arial"/>
          <w:sz w:val="24"/>
          <w:szCs w:val="24"/>
          <w:lang w:val="es-ES"/>
        </w:rPr>
        <w:t xml:space="preserve"> parte de</w:t>
      </w:r>
      <w:r w:rsidRPr="00203029">
        <w:rPr>
          <w:rFonts w:ascii="Arial" w:eastAsia="Calibri" w:hAnsi="Arial" w:cs="Arial"/>
          <w:sz w:val="24"/>
          <w:szCs w:val="24"/>
          <w:lang w:val="es-ES"/>
        </w:rPr>
        <w:t xml:space="preserve"> los Estados de la obligación de presentar informes a los órganos creados en virtud de tratados internacionales de derechos humanos</w:t>
      </w:r>
      <w:r>
        <w:rPr>
          <w:rFonts w:ascii="Arial" w:eastAsia="Calibri" w:hAnsi="Arial" w:cs="Arial"/>
          <w:sz w:val="24"/>
          <w:szCs w:val="24"/>
          <w:lang w:val="es-ES"/>
        </w:rPr>
        <w:t>; m</w:t>
      </w:r>
      <w:r w:rsidRPr="00203029">
        <w:rPr>
          <w:rFonts w:ascii="Arial" w:eastAsia="Calibri" w:hAnsi="Arial" w:cs="Arial"/>
          <w:sz w:val="24"/>
          <w:szCs w:val="24"/>
          <w:lang w:val="es-ES"/>
        </w:rPr>
        <w:t>ejora la calidad de los informes haciéndolos más focalizados, respondiendo específicamente a lo previsto</w:t>
      </w:r>
      <w:r>
        <w:rPr>
          <w:rFonts w:ascii="Arial" w:eastAsia="Calibri" w:hAnsi="Arial" w:cs="Arial"/>
          <w:sz w:val="24"/>
          <w:szCs w:val="24"/>
          <w:lang w:val="es-ES"/>
        </w:rPr>
        <w:t>; n</w:t>
      </w:r>
      <w:r w:rsidRPr="00203029">
        <w:rPr>
          <w:rFonts w:ascii="Arial" w:eastAsia="Calibri" w:hAnsi="Arial" w:cs="Arial"/>
          <w:sz w:val="24"/>
          <w:szCs w:val="24"/>
          <w:lang w:val="es-ES"/>
        </w:rPr>
        <w:t>o impide la oportunidad del Estado de completar con información complementaria.</w:t>
      </w:r>
    </w:p>
    <w:p w14:paraId="6A092C80" w14:textId="0AF7E952" w:rsidR="00203029" w:rsidRDefault="00203029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En este sentido, aboga</w:t>
      </w:r>
      <w:r w:rsidR="009754C4">
        <w:rPr>
          <w:rFonts w:ascii="Arial" w:eastAsia="Calibri" w:hAnsi="Arial" w:cs="Arial"/>
          <w:sz w:val="24"/>
          <w:szCs w:val="24"/>
          <w:lang w:val="es-ES"/>
        </w:rPr>
        <w:t xml:space="preserve">mos </w:t>
      </w:r>
      <w:r w:rsidR="00681280">
        <w:rPr>
          <w:rFonts w:ascii="Arial" w:eastAsia="Calibri" w:hAnsi="Arial" w:cs="Arial"/>
          <w:sz w:val="24"/>
          <w:szCs w:val="24"/>
          <w:lang w:val="es-ES"/>
        </w:rPr>
        <w:t>porque todos los órganos creados en virtud de los tratados adopten esta modalidad</w:t>
      </w:r>
      <w:r w:rsidR="00857086">
        <w:rPr>
          <w:rFonts w:ascii="Arial" w:eastAsia="Calibri" w:hAnsi="Arial" w:cs="Arial"/>
          <w:sz w:val="24"/>
          <w:szCs w:val="24"/>
          <w:lang w:val="es-ES"/>
        </w:rPr>
        <w:t xml:space="preserve"> en la que la</w:t>
      </w:r>
      <w:r w:rsidR="00D43941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D43941" w:rsidRPr="00D43941">
        <w:rPr>
          <w:rFonts w:ascii="Arial" w:eastAsia="Calibri" w:hAnsi="Arial" w:cs="Arial"/>
          <w:sz w:val="24"/>
          <w:szCs w:val="24"/>
          <w:lang w:val="es-ES"/>
        </w:rPr>
        <w:t>Lista de Cuestiones Previas</w:t>
      </w:r>
      <w:r w:rsidR="0085708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D43941">
        <w:rPr>
          <w:rFonts w:ascii="Arial" w:eastAsia="Calibri" w:hAnsi="Arial" w:cs="Arial"/>
          <w:sz w:val="24"/>
          <w:szCs w:val="24"/>
          <w:lang w:val="es-ES"/>
        </w:rPr>
        <w:t>(</w:t>
      </w:r>
      <w:proofErr w:type="spellStart"/>
      <w:r w:rsidR="00857086">
        <w:rPr>
          <w:rFonts w:ascii="Arial" w:eastAsia="Calibri" w:hAnsi="Arial" w:cs="Arial"/>
          <w:sz w:val="24"/>
          <w:szCs w:val="24"/>
          <w:lang w:val="es-ES"/>
        </w:rPr>
        <w:t>L</w:t>
      </w:r>
      <w:r w:rsidR="00D43941">
        <w:rPr>
          <w:rFonts w:ascii="Arial" w:eastAsia="Calibri" w:hAnsi="Arial" w:cs="Arial"/>
          <w:sz w:val="24"/>
          <w:szCs w:val="24"/>
          <w:lang w:val="es-ES"/>
        </w:rPr>
        <w:t>o</w:t>
      </w:r>
      <w:r w:rsidR="00857086">
        <w:rPr>
          <w:rFonts w:ascii="Arial" w:eastAsia="Calibri" w:hAnsi="Arial" w:cs="Arial"/>
          <w:sz w:val="24"/>
          <w:szCs w:val="24"/>
          <w:lang w:val="es-ES"/>
        </w:rPr>
        <w:t>IPR</w:t>
      </w:r>
      <w:proofErr w:type="spellEnd"/>
      <w:r w:rsidR="00D43941">
        <w:rPr>
          <w:rFonts w:ascii="Arial" w:eastAsia="Calibri" w:hAnsi="Arial" w:cs="Arial"/>
          <w:sz w:val="24"/>
          <w:szCs w:val="24"/>
          <w:lang w:val="es-ES"/>
        </w:rPr>
        <w:t>)</w:t>
      </w:r>
      <w:r w:rsidR="00857086">
        <w:rPr>
          <w:rFonts w:ascii="Arial" w:eastAsia="Calibri" w:hAnsi="Arial" w:cs="Arial"/>
          <w:sz w:val="24"/>
          <w:szCs w:val="24"/>
          <w:lang w:val="es-ES"/>
        </w:rPr>
        <w:t xml:space="preserve"> se convierte en el informe del Estado Parte</w:t>
      </w:r>
      <w:r w:rsidR="00120654">
        <w:rPr>
          <w:rFonts w:ascii="Arial" w:eastAsia="Calibri" w:hAnsi="Arial" w:cs="Arial"/>
          <w:sz w:val="24"/>
          <w:szCs w:val="24"/>
          <w:lang w:val="es-ES"/>
        </w:rPr>
        <w:t>, sin perjuicio del informe inicial que deberá seguir cumpliendo con las formalidades actuales.</w:t>
      </w:r>
    </w:p>
    <w:p w14:paraId="49949DA4" w14:textId="65706FAC" w:rsidR="00681280" w:rsidRDefault="00681280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2579042F" w14:textId="37EF3561" w:rsidR="00681280" w:rsidRPr="00EF7719" w:rsidRDefault="00681280" w:rsidP="0020302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EF7719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Sobre una metodología armonizada: </w:t>
      </w:r>
    </w:p>
    <w:p w14:paraId="3A2B1C00" w14:textId="22DE05C4" w:rsidR="00681280" w:rsidRDefault="00681280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3A8FFAE8" w14:textId="1072B9EA" w:rsidR="00681280" w:rsidRDefault="00C27C31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Quizás el hecho de que los órganos creados en virtud de los tratados hayan ido formándose en diferentes momentos</w:t>
      </w:r>
      <w:r w:rsidR="00EC2ABA">
        <w:rPr>
          <w:rFonts w:ascii="Arial" w:eastAsia="Calibri" w:hAnsi="Arial" w:cs="Arial"/>
          <w:sz w:val="24"/>
          <w:szCs w:val="24"/>
          <w:lang w:val="es-ES"/>
        </w:rPr>
        <w:t>,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tra</w:t>
      </w:r>
      <w:r w:rsidR="00D71E19">
        <w:rPr>
          <w:rFonts w:ascii="Arial" w:eastAsia="Calibri" w:hAnsi="Arial" w:cs="Arial"/>
          <w:sz w:val="24"/>
          <w:szCs w:val="24"/>
          <w:lang w:val="es-ES"/>
        </w:rPr>
        <w:t>e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como consecuencia que, si bien todos los </w:t>
      </w:r>
      <w:r w:rsidR="00857086">
        <w:rPr>
          <w:rFonts w:ascii="Arial" w:eastAsia="Calibri" w:hAnsi="Arial" w:cs="Arial"/>
          <w:sz w:val="24"/>
          <w:szCs w:val="24"/>
          <w:lang w:val="es-ES"/>
        </w:rPr>
        <w:t>TB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forman parte de un mismo sistema, no han logrado funcionar como un sistema armonizado y con la debida cohesión.</w:t>
      </w:r>
      <w:r w:rsidR="00EC2ABA">
        <w:rPr>
          <w:rFonts w:ascii="Arial" w:eastAsia="Calibri" w:hAnsi="Arial" w:cs="Arial"/>
          <w:sz w:val="24"/>
          <w:szCs w:val="24"/>
          <w:lang w:val="es-ES"/>
        </w:rPr>
        <w:t xml:space="preserve"> De allí que el Informe del </w:t>
      </w:r>
      <w:proofErr w:type="gramStart"/>
      <w:r w:rsidR="00EC2ABA">
        <w:rPr>
          <w:rFonts w:ascii="Arial" w:eastAsia="Calibri" w:hAnsi="Arial" w:cs="Arial"/>
          <w:sz w:val="24"/>
          <w:szCs w:val="24"/>
          <w:lang w:val="es-ES"/>
        </w:rPr>
        <w:t>Secretario General</w:t>
      </w:r>
      <w:proofErr w:type="gramEnd"/>
      <w:r w:rsidR="00EC2ABA">
        <w:rPr>
          <w:rStyle w:val="Refdenotaalpie"/>
          <w:rFonts w:ascii="Arial" w:eastAsia="Calibri" w:hAnsi="Arial" w:cs="Arial"/>
          <w:sz w:val="24"/>
          <w:szCs w:val="24"/>
          <w:lang w:val="es-ES"/>
        </w:rPr>
        <w:footnoteReference w:id="1"/>
      </w:r>
      <w:r w:rsidR="00EC2ABA">
        <w:rPr>
          <w:rFonts w:ascii="Arial" w:eastAsia="Calibri" w:hAnsi="Arial" w:cs="Arial"/>
          <w:sz w:val="24"/>
          <w:szCs w:val="24"/>
          <w:lang w:val="es-ES"/>
        </w:rPr>
        <w:t xml:space="preserve"> de agosto de 2018, en su punto 44, lo considerara entre los </w:t>
      </w:r>
      <w:r w:rsidR="00EC2ABA" w:rsidRPr="00EC2ABA">
        <w:rPr>
          <w:rFonts w:ascii="Arial" w:eastAsia="Calibri" w:hAnsi="Arial" w:cs="Arial"/>
          <w:i/>
          <w:iCs/>
          <w:sz w:val="24"/>
          <w:szCs w:val="24"/>
          <w:lang w:val="es-ES"/>
        </w:rPr>
        <w:t>desafíos pendientes</w:t>
      </w:r>
      <w:r w:rsidR="00EC2ABA"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3A9F3C39" w14:textId="1C5312F6" w:rsidR="00C27C31" w:rsidRDefault="006D2F0B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En este sentido, </w:t>
      </w:r>
      <w:r w:rsidRPr="006D2F0B">
        <w:rPr>
          <w:rFonts w:ascii="Arial" w:eastAsia="Calibri" w:hAnsi="Arial" w:cs="Arial"/>
          <w:sz w:val="24"/>
          <w:szCs w:val="24"/>
          <w:lang w:val="es-ES"/>
        </w:rPr>
        <w:t xml:space="preserve">los órganos de tratados </w:t>
      </w:r>
      <w:r>
        <w:rPr>
          <w:rFonts w:ascii="Arial" w:eastAsia="Calibri" w:hAnsi="Arial" w:cs="Arial"/>
          <w:sz w:val="24"/>
          <w:szCs w:val="24"/>
          <w:lang w:val="es-ES"/>
        </w:rPr>
        <w:t>deberían</w:t>
      </w:r>
      <w:r w:rsidRPr="006D2F0B">
        <w:rPr>
          <w:rFonts w:ascii="Arial" w:eastAsia="Calibri" w:hAnsi="Arial" w:cs="Arial"/>
          <w:sz w:val="24"/>
          <w:szCs w:val="24"/>
          <w:lang w:val="es-ES"/>
        </w:rPr>
        <w:t xml:space="preserve"> armonizar sus métodos de trabajo en materia de presentación de informes.</w:t>
      </w:r>
    </w:p>
    <w:p w14:paraId="39C1F1A4" w14:textId="6072FE3C" w:rsidR="00A246E3" w:rsidRDefault="00A246E3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La </w:t>
      </w:r>
      <w:r w:rsidR="00754218">
        <w:rPr>
          <w:rFonts w:ascii="Arial" w:eastAsia="Calibri" w:hAnsi="Arial" w:cs="Arial"/>
          <w:sz w:val="24"/>
          <w:szCs w:val="24"/>
          <w:lang w:val="es-ES"/>
        </w:rPr>
        <w:t>labor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de informar a todos lo TB en tiempo y forma se suma, no sólo para los Estados, sino también para las INDH, las ONG y otras partes interesadas, al cumplimiento de los informes solicitados por los procedimientos especiales y </w:t>
      </w:r>
      <w:r w:rsidR="00D71E19">
        <w:rPr>
          <w:rFonts w:ascii="Arial" w:eastAsia="Calibri" w:hAnsi="Arial" w:cs="Arial"/>
          <w:sz w:val="24"/>
          <w:szCs w:val="24"/>
          <w:lang w:val="es-ES"/>
        </w:rPr>
        <w:t xml:space="preserve">el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examen periódico universal, lo que </w:t>
      </w:r>
      <w:r w:rsidR="00F61D5A">
        <w:rPr>
          <w:rFonts w:ascii="Arial" w:eastAsia="Calibri" w:hAnsi="Arial" w:cs="Arial"/>
          <w:sz w:val="24"/>
          <w:szCs w:val="24"/>
          <w:lang w:val="es-ES"/>
        </w:rPr>
        <w:t>conlleva, en muchos casos,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F61D5A">
        <w:rPr>
          <w:rFonts w:ascii="Arial" w:eastAsia="Calibri" w:hAnsi="Arial" w:cs="Arial"/>
          <w:sz w:val="24"/>
          <w:szCs w:val="24"/>
          <w:lang w:val="es-ES"/>
        </w:rPr>
        <w:t>a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l retraso en la presentación de los informes, o, lo que es peor, la </w:t>
      </w:r>
      <w:r w:rsidR="00F61D5A">
        <w:rPr>
          <w:rFonts w:ascii="Arial" w:eastAsia="Calibri" w:hAnsi="Arial" w:cs="Arial"/>
          <w:sz w:val="24"/>
          <w:szCs w:val="24"/>
          <w:lang w:val="es-ES"/>
        </w:rPr>
        <w:t>ausencia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de </w:t>
      </w:r>
      <w:r w:rsidR="00857086">
        <w:rPr>
          <w:rFonts w:ascii="Arial" w:eastAsia="Calibri" w:hAnsi="Arial" w:cs="Arial"/>
          <w:sz w:val="24"/>
          <w:szCs w:val="24"/>
          <w:lang w:val="es-ES"/>
        </w:rPr>
        <w:t>ellos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. </w:t>
      </w:r>
    </w:p>
    <w:p w14:paraId="0674AD22" w14:textId="66EC9F15" w:rsidR="00F37173" w:rsidRDefault="00F37173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37173">
        <w:rPr>
          <w:rFonts w:ascii="Arial" w:eastAsia="Calibri" w:hAnsi="Arial" w:cs="Arial"/>
          <w:sz w:val="24"/>
          <w:szCs w:val="24"/>
          <w:lang w:val="es-ES"/>
        </w:rPr>
        <w:t>Las directrices armonizadas tienen por objeto fortalecer la capacidad de los Estados para cumplir sus obligaciones en materia de presentación de informes de manera puntual y efectiva, inclusive evitar la duplicación innecesaria de información. También tienen por objeto aumentar la eficacia del sistema de vigilancia de los tratados (HRI/GEN/2/Rev.6, p.4).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14:paraId="1E9FC76A" w14:textId="689B83E5" w:rsidR="00050AA3" w:rsidRDefault="00050AA3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Si bien son similares, l</w:t>
      </w:r>
      <w:r w:rsidRPr="00050AA3">
        <w:rPr>
          <w:rFonts w:ascii="Arial" w:eastAsia="Calibri" w:hAnsi="Arial" w:cs="Arial"/>
          <w:sz w:val="24"/>
          <w:szCs w:val="24"/>
          <w:lang w:val="es-ES"/>
        </w:rPr>
        <w:t xml:space="preserve">os requisitos para la presentación de los informes de Estados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y otras partes interesadas </w:t>
      </w:r>
      <w:r w:rsidRPr="00050AA3">
        <w:rPr>
          <w:rFonts w:ascii="Arial" w:eastAsia="Calibri" w:hAnsi="Arial" w:cs="Arial"/>
          <w:sz w:val="24"/>
          <w:szCs w:val="24"/>
          <w:lang w:val="es-ES"/>
        </w:rPr>
        <w:t xml:space="preserve">varían según cada </w:t>
      </w:r>
      <w:r>
        <w:rPr>
          <w:rFonts w:ascii="Arial" w:eastAsia="Calibri" w:hAnsi="Arial" w:cs="Arial"/>
          <w:sz w:val="24"/>
          <w:szCs w:val="24"/>
          <w:lang w:val="es-ES"/>
        </w:rPr>
        <w:t>TB.</w:t>
      </w:r>
    </w:p>
    <w:p w14:paraId="6FBC872B" w14:textId="2E9A6EAA" w:rsidR="00F61D5A" w:rsidRDefault="00F61D5A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759434EA" w14:textId="6E3B0EBF" w:rsidR="00F61D5A" w:rsidRPr="00440C12" w:rsidRDefault="00440C12" w:rsidP="0020302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440C12">
        <w:rPr>
          <w:rFonts w:ascii="Arial" w:eastAsia="Calibri" w:hAnsi="Arial" w:cs="Arial"/>
          <w:b/>
          <w:bCs/>
          <w:sz w:val="24"/>
          <w:szCs w:val="24"/>
          <w:lang w:val="es-ES"/>
        </w:rPr>
        <w:t>Recomendaciones e informes:</w:t>
      </w:r>
    </w:p>
    <w:p w14:paraId="5A1B1309" w14:textId="5BB6159D" w:rsidR="00F61D5A" w:rsidRDefault="00F61D5A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08724F6C" w14:textId="45DC8566" w:rsidR="00F61D5A" w:rsidRDefault="00F61D5A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En el punto 6 de la Res. A/RES/68/268</w:t>
      </w:r>
      <w:r w:rsidR="00AD63B0">
        <w:rPr>
          <w:rFonts w:ascii="Arial" w:eastAsia="Calibri" w:hAnsi="Arial" w:cs="Arial"/>
          <w:sz w:val="24"/>
          <w:szCs w:val="24"/>
          <w:lang w:val="es-ES"/>
        </w:rPr>
        <w:t xml:space="preserve">, se alienta a los órganos creados en virtud de los tratados a </w:t>
      </w:r>
      <w:r w:rsidR="00AD63B0" w:rsidRPr="00AD63B0">
        <w:rPr>
          <w:rFonts w:ascii="Arial" w:eastAsia="Calibri" w:hAnsi="Arial" w:cs="Arial"/>
          <w:i/>
          <w:iCs/>
          <w:sz w:val="24"/>
          <w:szCs w:val="24"/>
          <w:lang w:val="es-ES"/>
        </w:rPr>
        <w:t>formular observaciones finales breves, pertinentes, concretas y que</w:t>
      </w:r>
      <w:r w:rsidR="00AD63B0" w:rsidRPr="00AD63B0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="00AD63B0" w:rsidRPr="00AD63B0">
        <w:rPr>
          <w:rFonts w:ascii="Arial" w:eastAsia="Calibri" w:hAnsi="Arial" w:cs="Arial"/>
          <w:i/>
          <w:iCs/>
          <w:sz w:val="24"/>
          <w:szCs w:val="24"/>
          <w:lang w:val="es-ES"/>
        </w:rPr>
        <w:t>incluyan recomendaciones</w:t>
      </w:r>
      <w:r w:rsidR="00AD63B0">
        <w:rPr>
          <w:rFonts w:ascii="Arial" w:eastAsia="Calibri" w:hAnsi="Arial" w:cs="Arial"/>
          <w:sz w:val="24"/>
          <w:szCs w:val="24"/>
          <w:lang w:val="es-ES"/>
        </w:rPr>
        <w:t xml:space="preserve">… </w:t>
      </w:r>
      <w:r w:rsidR="00440C12">
        <w:rPr>
          <w:rFonts w:ascii="Arial" w:eastAsia="Calibri" w:hAnsi="Arial" w:cs="Arial"/>
          <w:sz w:val="24"/>
          <w:szCs w:val="24"/>
          <w:lang w:val="es-ES"/>
        </w:rPr>
        <w:t xml:space="preserve">En el mismo sentido, tanto los </w:t>
      </w:r>
      <w:r w:rsidR="00D90B8A">
        <w:rPr>
          <w:rFonts w:ascii="Arial" w:eastAsia="Calibri" w:hAnsi="Arial" w:cs="Arial"/>
          <w:sz w:val="24"/>
          <w:szCs w:val="24"/>
          <w:lang w:val="es-ES"/>
        </w:rPr>
        <w:t>informes estatales</w:t>
      </w:r>
      <w:r w:rsidR="00440C12">
        <w:rPr>
          <w:rFonts w:ascii="Arial" w:eastAsia="Calibri" w:hAnsi="Arial" w:cs="Arial"/>
          <w:sz w:val="24"/>
          <w:szCs w:val="24"/>
          <w:lang w:val="es-ES"/>
        </w:rPr>
        <w:t xml:space="preserve"> como los presentados por las INDH, ONG, y otras partes interesadas deberían estar </w:t>
      </w:r>
      <w:r w:rsidR="00440C12" w:rsidRPr="00440C12">
        <w:rPr>
          <w:rFonts w:ascii="Arial" w:eastAsia="Calibri" w:hAnsi="Arial" w:cs="Arial"/>
          <w:sz w:val="24"/>
          <w:szCs w:val="24"/>
          <w:lang w:val="es-ES"/>
        </w:rPr>
        <w:t>basad</w:t>
      </w:r>
      <w:r w:rsidR="00440C12">
        <w:rPr>
          <w:rFonts w:ascii="Arial" w:eastAsia="Calibri" w:hAnsi="Arial" w:cs="Arial"/>
          <w:sz w:val="24"/>
          <w:szCs w:val="24"/>
          <w:lang w:val="es-ES"/>
        </w:rPr>
        <w:t>o</w:t>
      </w:r>
      <w:r w:rsidR="00440C12" w:rsidRPr="00440C12">
        <w:rPr>
          <w:rFonts w:ascii="Arial" w:eastAsia="Calibri" w:hAnsi="Arial" w:cs="Arial"/>
          <w:sz w:val="24"/>
          <w:szCs w:val="24"/>
          <w:lang w:val="es-ES"/>
        </w:rPr>
        <w:t>s en un criterio SMART (por sus siglas en inglés)</w:t>
      </w:r>
      <w:r w:rsidR="00440C12">
        <w:rPr>
          <w:rFonts w:ascii="Arial" w:eastAsia="Calibri" w:hAnsi="Arial" w:cs="Arial"/>
          <w:sz w:val="24"/>
          <w:szCs w:val="24"/>
          <w:lang w:val="es-ES"/>
        </w:rPr>
        <w:t>, lo que facilitaría, al mismo tiempo, la labor de los TB.</w:t>
      </w:r>
    </w:p>
    <w:p w14:paraId="33AD0B28" w14:textId="16444E08" w:rsidR="00F61D5A" w:rsidRDefault="00F61D5A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55725389" w14:textId="69C093D5" w:rsidR="001D640A" w:rsidRPr="00FC1BD7" w:rsidRDefault="00FC1BD7" w:rsidP="0020302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C1BD7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Coordinación y previsibilidad: </w:t>
      </w:r>
    </w:p>
    <w:p w14:paraId="1BF45189" w14:textId="06E8B19D" w:rsidR="00FC1BD7" w:rsidRDefault="00FC1BD7" w:rsidP="002030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27F29A65" w14:textId="2BF7DE2C" w:rsidR="00FC1BD7" w:rsidRDefault="00FC1BD7" w:rsidP="00E7052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En cuanto al punto 34 de la Res. A/RES/68/268 en la que se 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>i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>nvita a los órganos creados en virtud de tratados de derechos humanos y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>a la Oficina del Alto Comisionado a que, en el marco de sus respectivos mandatos,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>sigan trabajando para aumentar la coordinación y la previsibilidad del proceso de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>presentación de informes, especialmente cooperando con los Estados Partes, con el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>fin de establecer un calendario claro y normalizado para la presentación de los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FC1BD7">
        <w:rPr>
          <w:rFonts w:ascii="Arial" w:eastAsia="Calibri" w:hAnsi="Arial" w:cs="Arial"/>
          <w:i/>
          <w:iCs/>
          <w:sz w:val="24"/>
          <w:szCs w:val="24"/>
          <w:lang w:val="es-ES"/>
        </w:rPr>
        <w:t>informes de los Estados partes</w:t>
      </w:r>
      <w:r w:rsidRPr="00FC1BD7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si bien acogemos la invitación con beneplácito, consideramos que ésta debiera extenderse </w:t>
      </w:r>
      <w:r w:rsidR="00172DF2">
        <w:rPr>
          <w:rFonts w:ascii="Arial" w:eastAsia="Calibri" w:hAnsi="Arial" w:cs="Arial"/>
          <w:sz w:val="24"/>
          <w:szCs w:val="24"/>
          <w:lang w:val="es-ES"/>
        </w:rPr>
        <w:t>con respecto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a las otras partes </w:t>
      </w:r>
      <w:r w:rsidR="00E70521">
        <w:rPr>
          <w:rFonts w:ascii="Arial" w:eastAsia="Calibri" w:hAnsi="Arial" w:cs="Arial"/>
          <w:sz w:val="24"/>
          <w:szCs w:val="24"/>
          <w:lang w:val="es-ES"/>
        </w:rPr>
        <w:t>interesadas</w:t>
      </w:r>
      <w:r w:rsidR="00172DF2">
        <w:rPr>
          <w:rFonts w:ascii="Arial" w:eastAsia="Calibri" w:hAnsi="Arial" w:cs="Arial"/>
          <w:sz w:val="24"/>
          <w:szCs w:val="24"/>
          <w:lang w:val="es-ES"/>
        </w:rPr>
        <w:t xml:space="preserve"> (</w:t>
      </w:r>
      <w:proofErr w:type="spellStart"/>
      <w:r w:rsidR="00172DF2">
        <w:rPr>
          <w:rFonts w:ascii="Arial" w:eastAsia="Calibri" w:hAnsi="Arial" w:cs="Arial"/>
          <w:sz w:val="24"/>
          <w:szCs w:val="24"/>
          <w:lang w:val="es-ES"/>
        </w:rPr>
        <w:t>indh´s</w:t>
      </w:r>
      <w:proofErr w:type="spellEnd"/>
      <w:r w:rsidR="00172DF2">
        <w:rPr>
          <w:rFonts w:ascii="Arial" w:eastAsia="Calibri" w:hAnsi="Arial" w:cs="Arial"/>
          <w:sz w:val="24"/>
          <w:szCs w:val="24"/>
          <w:lang w:val="es-ES"/>
        </w:rPr>
        <w:t xml:space="preserve">; </w:t>
      </w:r>
      <w:proofErr w:type="spellStart"/>
      <w:r w:rsidR="00172DF2">
        <w:rPr>
          <w:rFonts w:ascii="Arial" w:eastAsia="Calibri" w:hAnsi="Arial" w:cs="Arial"/>
          <w:sz w:val="24"/>
          <w:szCs w:val="24"/>
          <w:lang w:val="es-ES"/>
        </w:rPr>
        <w:t>ong´s</w:t>
      </w:r>
      <w:proofErr w:type="spellEnd"/>
      <w:r w:rsidR="00172DF2">
        <w:rPr>
          <w:rFonts w:ascii="Arial" w:eastAsia="Calibri" w:hAnsi="Arial" w:cs="Arial"/>
          <w:sz w:val="24"/>
          <w:szCs w:val="24"/>
          <w:lang w:val="es-ES"/>
        </w:rPr>
        <w:t>, etc.)</w:t>
      </w:r>
      <w:r w:rsidR="00E70521">
        <w:rPr>
          <w:rFonts w:ascii="Arial" w:eastAsia="Calibri" w:hAnsi="Arial" w:cs="Arial"/>
          <w:sz w:val="24"/>
          <w:szCs w:val="24"/>
          <w:lang w:val="es-ES"/>
        </w:rPr>
        <w:t xml:space="preserve"> para la elaboración y presentación de sus informes sombra</w:t>
      </w:r>
      <w:r w:rsidR="00172DF2">
        <w:rPr>
          <w:rFonts w:ascii="Arial" w:eastAsia="Calibri" w:hAnsi="Arial" w:cs="Arial"/>
          <w:sz w:val="24"/>
          <w:szCs w:val="24"/>
          <w:lang w:val="es-ES"/>
        </w:rPr>
        <w:t xml:space="preserve">. La comunicación hacia los </w:t>
      </w:r>
      <w:proofErr w:type="spellStart"/>
      <w:r w:rsidR="00172DF2" w:rsidRPr="00172DF2">
        <w:rPr>
          <w:rFonts w:ascii="Arial" w:eastAsia="Calibri" w:hAnsi="Arial" w:cs="Arial"/>
          <w:i/>
          <w:iCs/>
          <w:sz w:val="24"/>
          <w:szCs w:val="24"/>
          <w:lang w:val="es-ES"/>
        </w:rPr>
        <w:t>stakeholders</w:t>
      </w:r>
      <w:proofErr w:type="spellEnd"/>
      <w:r w:rsidR="00172DF2">
        <w:rPr>
          <w:rFonts w:ascii="Arial" w:eastAsia="Calibri" w:hAnsi="Arial" w:cs="Arial"/>
          <w:sz w:val="24"/>
          <w:szCs w:val="24"/>
          <w:lang w:val="es-ES"/>
        </w:rPr>
        <w:t xml:space="preserve"> es todavía escasa</w:t>
      </w:r>
      <w:r w:rsidR="00E70521">
        <w:rPr>
          <w:rFonts w:ascii="Arial" w:eastAsia="Calibri" w:hAnsi="Arial" w:cs="Arial"/>
          <w:sz w:val="24"/>
          <w:szCs w:val="24"/>
          <w:lang w:val="es-ES"/>
        </w:rPr>
        <w:t xml:space="preserve">, lo que no contribuye a </w:t>
      </w:r>
      <w:r w:rsidR="00E70521" w:rsidRPr="00E70521">
        <w:rPr>
          <w:rFonts w:ascii="Arial" w:eastAsia="Calibri" w:hAnsi="Arial" w:cs="Arial"/>
          <w:sz w:val="24"/>
          <w:szCs w:val="24"/>
          <w:lang w:val="es-ES"/>
        </w:rPr>
        <w:t>fortalecer y mejorar el funcionamiento eficaz del sistema de órganos</w:t>
      </w:r>
      <w:r w:rsidR="00E70521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E70521" w:rsidRPr="00E70521">
        <w:rPr>
          <w:rFonts w:ascii="Arial" w:eastAsia="Calibri" w:hAnsi="Arial" w:cs="Arial"/>
          <w:sz w:val="24"/>
          <w:szCs w:val="24"/>
          <w:lang w:val="es-ES"/>
        </w:rPr>
        <w:t>creados en virtud de tratados de derechos humanos.</w:t>
      </w:r>
    </w:p>
    <w:p w14:paraId="5F12FDBF" w14:textId="7677E866" w:rsidR="00EA7A0A" w:rsidRDefault="00EA7A0A" w:rsidP="00EA7A0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A ese respecto traemos a colación las palabras de</w:t>
      </w:r>
      <w:r w:rsidRPr="00EA7A0A">
        <w:rPr>
          <w:rFonts w:ascii="Arial" w:eastAsia="Calibri" w:hAnsi="Arial" w:cs="Arial"/>
          <w:sz w:val="24"/>
          <w:szCs w:val="24"/>
          <w:lang w:val="es-ES"/>
        </w:rPr>
        <w:t xml:space="preserve"> la Alta Comisionada sobre el fortalecimiento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sz w:val="24"/>
          <w:szCs w:val="24"/>
          <w:lang w:val="es-ES"/>
        </w:rPr>
        <w:t>del sistema de tratados de derechos humanos de las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sz w:val="24"/>
          <w:szCs w:val="24"/>
          <w:lang w:val="es-ES"/>
        </w:rPr>
        <w:t>Naciones Unidas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EA7A0A">
        <w:rPr>
          <w:rFonts w:ascii="Arial" w:eastAsia="Calibri" w:hAnsi="Arial" w:cs="Arial"/>
          <w:sz w:val="24"/>
          <w:szCs w:val="24"/>
          <w:lang w:val="es-ES"/>
        </w:rPr>
        <w:t>Navanethem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Pillay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en su informe de junio de 2012: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Los actores nacionales, tales como las instituciones nacionales de derechos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humanos (INDH) y las organizaciones de la sociedad civil desempeñan un papel</w:t>
      </w:r>
      <w:r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integral en el compromiso cíclico con el proceso para la presentación de informes</w:t>
      </w:r>
      <w:r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a de los organismos creados en virtud de los tratados, mediante el suministro de</w:t>
      </w:r>
      <w:r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información, la sensibilización y el seguimiento de la implementación de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lastRenderedPageBreak/>
        <w:t>recomendaciones. Sin embargo, la participación efectiva de las INDH y de las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organizaciones de la sociedad civil con el sistema de los órganos creados en virtud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de los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t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ratados se ve obstaculizada por numerosos factores, incluidos la limitada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sensibilización, capacidad y recursos; la multiplicidad de modelos de interacción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con los órganos creados en virtud de los tratados, y en algunos casos las presuntas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represalias del Estado parte. Además, puesto que cada órgano creado en virtud de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los tratados tiene diferentes reglas de participación, los actores nacionales no están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sacando provecho de su experiencia, sino que más bien tienen que aprender de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nuevo cada vez cómo cooperar con los órganos creados en virtud de los tratados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A7A0A">
        <w:rPr>
          <w:rFonts w:ascii="Arial" w:eastAsia="Calibri" w:hAnsi="Arial" w:cs="Arial"/>
          <w:i/>
          <w:iCs/>
          <w:sz w:val="24"/>
          <w:szCs w:val="24"/>
          <w:lang w:val="es-ES"/>
        </w:rPr>
        <w:t>individuales</w:t>
      </w:r>
      <w:r w:rsidRPr="00EA7A0A">
        <w:rPr>
          <w:rFonts w:ascii="Arial" w:eastAsia="Calibri" w:hAnsi="Arial" w:cs="Arial"/>
          <w:sz w:val="24"/>
          <w:szCs w:val="24"/>
          <w:lang w:val="es-ES"/>
        </w:rPr>
        <w:t>.</w:t>
      </w:r>
      <w:r w:rsidR="00547A9E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14:paraId="4931123F" w14:textId="711B8830" w:rsidR="00547A9E" w:rsidRDefault="00547A9E" w:rsidP="00547A9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47A9E">
        <w:rPr>
          <w:rFonts w:ascii="Arial" w:eastAsia="Calibri" w:hAnsi="Arial" w:cs="Arial"/>
          <w:i/>
          <w:iCs/>
          <w:sz w:val="24"/>
          <w:szCs w:val="24"/>
          <w:lang w:val="es-ES"/>
        </w:rPr>
        <w:t>A la vista de las organizaciones de la sociedad civil y las INDH, la variedad de</w:t>
      </w:r>
      <w:r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547A9E">
        <w:rPr>
          <w:rFonts w:ascii="Arial" w:eastAsia="Calibri" w:hAnsi="Arial" w:cs="Arial"/>
          <w:i/>
          <w:iCs/>
          <w:sz w:val="24"/>
          <w:szCs w:val="24"/>
          <w:lang w:val="es-ES"/>
        </w:rPr>
        <w:t>modelos de interacción con los órganos creados en virtud de los tratados (formato,</w:t>
      </w:r>
      <w:r w:rsidRPr="00547A9E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547A9E">
        <w:rPr>
          <w:rFonts w:ascii="Arial" w:eastAsia="Calibri" w:hAnsi="Arial" w:cs="Arial"/>
          <w:i/>
          <w:iCs/>
          <w:sz w:val="24"/>
          <w:szCs w:val="24"/>
          <w:lang w:val="es-ES"/>
        </w:rPr>
        <w:t>plazos de presentación de información escrita y presentación oral) reduce la</w:t>
      </w:r>
      <w:r w:rsidRPr="00547A9E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547A9E">
        <w:rPr>
          <w:rFonts w:ascii="Arial" w:eastAsia="Calibri" w:hAnsi="Arial" w:cs="Arial"/>
          <w:i/>
          <w:iCs/>
          <w:sz w:val="24"/>
          <w:szCs w:val="24"/>
          <w:lang w:val="es-ES"/>
        </w:rPr>
        <w:t>accesibilidad del sistema de tratados, en particular para organizaciones de la</w:t>
      </w:r>
      <w:r w:rsidRPr="00547A9E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547A9E">
        <w:rPr>
          <w:rFonts w:ascii="Arial" w:eastAsia="Calibri" w:hAnsi="Arial" w:cs="Arial"/>
          <w:i/>
          <w:iCs/>
          <w:sz w:val="24"/>
          <w:szCs w:val="24"/>
          <w:lang w:val="es-ES"/>
        </w:rPr>
        <w:t>sociedad civil nacionales y populares</w:t>
      </w:r>
      <w:r w:rsidRPr="00547A9E">
        <w:rPr>
          <w:rFonts w:ascii="Arial" w:eastAsia="Calibri" w:hAnsi="Arial" w:cs="Arial"/>
          <w:sz w:val="24"/>
          <w:szCs w:val="24"/>
          <w:lang w:val="es-ES"/>
        </w:rPr>
        <w:t>.</w:t>
      </w:r>
      <w:r w:rsidR="008B0F29">
        <w:rPr>
          <w:rStyle w:val="Refdenotaalpie"/>
          <w:rFonts w:ascii="Arial" w:eastAsia="Calibri" w:hAnsi="Arial" w:cs="Arial"/>
          <w:sz w:val="24"/>
          <w:szCs w:val="24"/>
          <w:lang w:val="es-ES"/>
        </w:rPr>
        <w:footnoteReference w:id="2"/>
      </w:r>
    </w:p>
    <w:p w14:paraId="530988CF" w14:textId="2FD2567A" w:rsidR="004F49F3" w:rsidRDefault="004F49F3" w:rsidP="00E7052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334C41AA" w14:textId="52C6F282" w:rsidR="004F49F3" w:rsidRPr="00235BEF" w:rsidRDefault="00EF08B8" w:rsidP="00E70521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35BEF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Idiomas y accesibilidad: </w:t>
      </w:r>
    </w:p>
    <w:p w14:paraId="35524D01" w14:textId="3160E8CB" w:rsidR="00EF08B8" w:rsidRDefault="00EF08B8" w:rsidP="00E7052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6DCF8DE2" w14:textId="60C6539B" w:rsidR="00EF08B8" w:rsidRPr="00FC1BD7" w:rsidRDefault="00EF08B8" w:rsidP="00EF08B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Esta INDH recibe con satisfacción lo establecido en el punto 22 de la </w:t>
      </w:r>
      <w:r w:rsidRPr="00EF08B8">
        <w:rPr>
          <w:rFonts w:ascii="Arial" w:eastAsia="Calibri" w:hAnsi="Arial" w:cs="Arial"/>
          <w:sz w:val="24"/>
          <w:szCs w:val="24"/>
          <w:lang w:val="es-ES"/>
        </w:rPr>
        <w:t>Res. A/RES/68/268 en la que se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decide, </w:t>
      </w:r>
      <w:r w:rsidRPr="00EF08B8">
        <w:rPr>
          <w:rFonts w:ascii="Arial" w:eastAsia="Calibri" w:hAnsi="Arial" w:cs="Arial"/>
          <w:i/>
          <w:iCs/>
          <w:sz w:val="24"/>
          <w:szCs w:val="24"/>
          <w:lang w:val="es-ES"/>
        </w:rPr>
        <w:t>en principio, con objeto de mejorar la accesibilidad y la</w:t>
      </w:r>
      <w:r w:rsidRPr="00EF08B8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F08B8">
        <w:rPr>
          <w:rFonts w:ascii="Arial" w:eastAsia="Calibri" w:hAnsi="Arial" w:cs="Arial"/>
          <w:i/>
          <w:iCs/>
          <w:sz w:val="24"/>
          <w:szCs w:val="24"/>
          <w:lang w:val="es-ES"/>
        </w:rPr>
        <w:t>visibilidad de los órganos creados en virtud de tratados de derechos humanos y de</w:t>
      </w:r>
      <w:r w:rsidRPr="00EF08B8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F08B8">
        <w:rPr>
          <w:rFonts w:ascii="Arial" w:eastAsia="Calibri" w:hAnsi="Arial" w:cs="Arial"/>
          <w:i/>
          <w:iCs/>
          <w:sz w:val="24"/>
          <w:szCs w:val="24"/>
          <w:lang w:val="es-ES"/>
        </w:rPr>
        <w:t>conformidad con el informe del Comité de Información sobre su 35° período de</w:t>
      </w:r>
      <w:r w:rsidRPr="00EF08B8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F08B8">
        <w:rPr>
          <w:rFonts w:ascii="Arial" w:eastAsia="Calibri" w:hAnsi="Arial" w:cs="Arial"/>
          <w:i/>
          <w:iCs/>
          <w:sz w:val="24"/>
          <w:szCs w:val="24"/>
          <w:lang w:val="es-ES"/>
        </w:rPr>
        <w:t>sesiones, transmitir en cuanto sea viable por Internet las reuniones públicas de los</w:t>
      </w:r>
      <w:r w:rsidRPr="00EF08B8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Pr="00EF08B8">
        <w:rPr>
          <w:rFonts w:ascii="Arial" w:eastAsia="Calibri" w:hAnsi="Arial" w:cs="Arial"/>
          <w:i/>
          <w:iCs/>
          <w:sz w:val="24"/>
          <w:szCs w:val="24"/>
          <w:lang w:val="es-ES"/>
        </w:rPr>
        <w:t>órganos creados en virtud de tratados</w:t>
      </w:r>
      <w:r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7B3809BD" w14:textId="4FE30F15" w:rsidR="001D640A" w:rsidRDefault="00B13C3A" w:rsidP="006E378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Respecto a</w:t>
      </w:r>
      <w:r w:rsidR="006E378C">
        <w:rPr>
          <w:rFonts w:ascii="Arial" w:eastAsia="Calibri" w:hAnsi="Arial" w:cs="Arial"/>
          <w:sz w:val="24"/>
          <w:szCs w:val="24"/>
          <w:lang w:val="es-ES"/>
        </w:rPr>
        <w:t xml:space="preserve"> la decisión del punto </w:t>
      </w:r>
      <w:r w:rsidR="006E378C" w:rsidRPr="006E378C">
        <w:rPr>
          <w:rFonts w:ascii="Arial" w:eastAsia="Calibri" w:hAnsi="Arial" w:cs="Arial"/>
          <w:sz w:val="24"/>
          <w:szCs w:val="24"/>
          <w:lang w:val="es-ES"/>
        </w:rPr>
        <w:t>30</w:t>
      </w:r>
      <w:r w:rsidR="006E378C">
        <w:rPr>
          <w:rFonts w:ascii="Arial" w:eastAsia="Calibri" w:hAnsi="Arial" w:cs="Arial"/>
          <w:sz w:val="24"/>
          <w:szCs w:val="24"/>
          <w:lang w:val="es-ES"/>
        </w:rPr>
        <w:t xml:space="preserve"> sobre </w:t>
      </w:r>
      <w:r w:rsidR="006E378C" w:rsidRPr="006E378C">
        <w:rPr>
          <w:rFonts w:ascii="Arial" w:eastAsia="Calibri" w:hAnsi="Arial" w:cs="Arial"/>
          <w:i/>
          <w:iCs/>
          <w:sz w:val="24"/>
          <w:szCs w:val="24"/>
          <w:lang w:val="es-ES"/>
        </w:rPr>
        <w:t>asignar un máximo de tres idiomas oficiales de trabajo para la</w:t>
      </w:r>
      <w:r w:rsidR="006E378C" w:rsidRPr="006E378C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="006E378C" w:rsidRPr="006E378C">
        <w:rPr>
          <w:rFonts w:ascii="Arial" w:eastAsia="Calibri" w:hAnsi="Arial" w:cs="Arial"/>
          <w:i/>
          <w:iCs/>
          <w:sz w:val="24"/>
          <w:szCs w:val="24"/>
          <w:lang w:val="es-ES"/>
        </w:rPr>
        <w:t>labor de los órganos creados en virtud de tratados de derechos humanos aunque, a</w:t>
      </w:r>
      <w:r w:rsidR="006E378C" w:rsidRPr="006E378C">
        <w:rPr>
          <w:rFonts w:ascii="Arial" w:eastAsia="Calibri" w:hAnsi="Arial" w:cs="Arial"/>
          <w:i/>
          <w:iCs/>
          <w:sz w:val="24"/>
          <w:szCs w:val="24"/>
          <w:lang w:val="es-ES"/>
        </w:rPr>
        <w:t xml:space="preserve"> </w:t>
      </w:r>
      <w:r w:rsidR="006E378C" w:rsidRPr="006E378C">
        <w:rPr>
          <w:rFonts w:ascii="Arial" w:eastAsia="Calibri" w:hAnsi="Arial" w:cs="Arial"/>
          <w:i/>
          <w:iCs/>
          <w:sz w:val="24"/>
          <w:szCs w:val="24"/>
          <w:lang w:val="es-ES"/>
        </w:rPr>
        <w:t>título excepcional, cuando sea necesario, podrá agregarse un cuarto idioma oficial</w:t>
      </w:r>
      <w:r w:rsidR="006E378C">
        <w:rPr>
          <w:rFonts w:ascii="Arial" w:eastAsia="Calibri" w:hAnsi="Arial" w:cs="Arial"/>
          <w:sz w:val="24"/>
          <w:szCs w:val="24"/>
          <w:lang w:val="es-ES"/>
        </w:rPr>
        <w:t>…</w:t>
      </w:r>
      <w:r w:rsidR="00BC4E4F">
        <w:rPr>
          <w:rFonts w:ascii="Arial" w:eastAsia="Calibri" w:hAnsi="Arial" w:cs="Arial"/>
          <w:sz w:val="24"/>
          <w:szCs w:val="24"/>
          <w:lang w:val="es-ES"/>
        </w:rPr>
        <w:t>;</w:t>
      </w:r>
      <w:r w:rsidR="006E378C">
        <w:rPr>
          <w:rFonts w:ascii="Arial" w:eastAsia="Calibri" w:hAnsi="Arial" w:cs="Arial"/>
          <w:sz w:val="24"/>
          <w:szCs w:val="24"/>
          <w:lang w:val="es-ES"/>
        </w:rPr>
        <w:t xml:space="preserve"> si esta decisión implica la reducción a tres idiomas oficiales la publicación de documentos clave como los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BC4E4F">
        <w:rPr>
          <w:rFonts w:ascii="Arial" w:eastAsia="Calibri" w:hAnsi="Arial" w:cs="Arial"/>
          <w:sz w:val="24"/>
          <w:szCs w:val="24"/>
          <w:lang w:val="es-ES"/>
        </w:rPr>
        <w:t xml:space="preserve">informes estatales, lista de cuestiones, </w:t>
      </w:r>
      <w:proofErr w:type="spellStart"/>
      <w:r w:rsidR="00BC4E4F">
        <w:rPr>
          <w:rFonts w:ascii="Arial" w:eastAsia="Calibri" w:hAnsi="Arial" w:cs="Arial"/>
          <w:sz w:val="24"/>
          <w:szCs w:val="24"/>
          <w:lang w:val="es-ES"/>
        </w:rPr>
        <w:t>LoIRP</w:t>
      </w:r>
      <w:proofErr w:type="spellEnd"/>
      <w:r w:rsidR="00BC4E4F">
        <w:rPr>
          <w:rFonts w:ascii="Arial" w:eastAsia="Calibri" w:hAnsi="Arial" w:cs="Arial"/>
          <w:sz w:val="24"/>
          <w:szCs w:val="24"/>
          <w:lang w:val="es-ES"/>
        </w:rPr>
        <w:t>, observaciones generales, finales, etc., entre esos tres idioma</w:t>
      </w:r>
      <w:r w:rsidR="00024EAD">
        <w:rPr>
          <w:rFonts w:ascii="Arial" w:eastAsia="Calibri" w:hAnsi="Arial" w:cs="Arial"/>
          <w:sz w:val="24"/>
          <w:szCs w:val="24"/>
          <w:lang w:val="es-ES"/>
        </w:rPr>
        <w:t>s</w:t>
      </w:r>
      <w:r w:rsidR="00BC4E4F">
        <w:rPr>
          <w:rFonts w:ascii="Arial" w:eastAsia="Calibri" w:hAnsi="Arial" w:cs="Arial"/>
          <w:sz w:val="24"/>
          <w:szCs w:val="24"/>
          <w:lang w:val="es-ES"/>
        </w:rPr>
        <w:t xml:space="preserve"> debería estar incluido el idioma del Estado Parte. </w:t>
      </w:r>
      <w:r w:rsidR="00235BEF">
        <w:rPr>
          <w:rFonts w:ascii="Arial" w:eastAsia="Calibri" w:hAnsi="Arial" w:cs="Arial"/>
          <w:sz w:val="24"/>
          <w:szCs w:val="24"/>
          <w:lang w:val="es-ES"/>
        </w:rPr>
        <w:t>De lo contrario, resultaría una medida regresiva</w:t>
      </w:r>
      <w:r w:rsidR="00E15C91"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54C6875F" w14:textId="5F44332F" w:rsidR="000B2E06" w:rsidRDefault="000B2E06" w:rsidP="006E378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566C6C96" w14:textId="7BCCC61B" w:rsidR="000B2E06" w:rsidRPr="00332D4C" w:rsidRDefault="000B2E06" w:rsidP="006E378C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32D4C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Recursos: </w:t>
      </w:r>
    </w:p>
    <w:p w14:paraId="79D8FFA1" w14:textId="14D3AD37" w:rsidR="000B2E06" w:rsidRDefault="000B2E06" w:rsidP="006E378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17A8D5D9" w14:textId="1387C1BF" w:rsidR="000B2E06" w:rsidRDefault="00332D4C" w:rsidP="006E378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El fortalecimiento</w:t>
      </w:r>
      <w:r w:rsidRPr="00332D4C">
        <w:rPr>
          <w:rFonts w:ascii="Arial" w:eastAsia="Calibri" w:hAnsi="Arial" w:cs="Arial"/>
          <w:sz w:val="24"/>
          <w:szCs w:val="24"/>
          <w:lang w:val="es-ES"/>
        </w:rPr>
        <w:t xml:space="preserve"> y mejora del funcionamiento eficaz del sistema de órganos creados en virtud de tratados de derechos humanos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, sólo es posible si se cuenta con </w:t>
      </w:r>
      <w:r w:rsidR="000B2E06" w:rsidRPr="000B2E06">
        <w:rPr>
          <w:rFonts w:ascii="Arial" w:eastAsia="Calibri" w:hAnsi="Arial" w:cs="Arial"/>
          <w:sz w:val="24"/>
          <w:szCs w:val="24"/>
          <w:lang w:val="es-ES"/>
        </w:rPr>
        <w:t>suficientes recursos financieros</w:t>
      </w:r>
      <w:r>
        <w:rPr>
          <w:rFonts w:ascii="Arial" w:eastAsia="Calibri" w:hAnsi="Arial" w:cs="Arial"/>
          <w:sz w:val="24"/>
          <w:szCs w:val="24"/>
          <w:lang w:val="es-ES"/>
        </w:rPr>
        <w:t>,</w:t>
      </w:r>
      <w:r w:rsidR="000B2E06" w:rsidRPr="000B2E0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0B2E06">
        <w:rPr>
          <w:rFonts w:ascii="Arial" w:eastAsia="Calibri" w:hAnsi="Arial" w:cs="Arial"/>
          <w:sz w:val="24"/>
          <w:szCs w:val="24"/>
          <w:lang w:val="es-ES"/>
        </w:rPr>
        <w:t xml:space="preserve">humanos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y tecnológicos. </w:t>
      </w:r>
      <w:r w:rsidR="00BF55FA">
        <w:rPr>
          <w:rFonts w:ascii="Arial" w:eastAsia="Calibri" w:hAnsi="Arial" w:cs="Arial"/>
          <w:sz w:val="24"/>
          <w:szCs w:val="24"/>
          <w:lang w:val="es-ES"/>
        </w:rPr>
        <w:t xml:space="preserve">Resulta indispensable que el sistema de órganos creados en virtud de los tratados de derechos humanos incremente su poder de financiamiento para la optimización de su labor. </w:t>
      </w:r>
    </w:p>
    <w:p w14:paraId="7B436076" w14:textId="62D881F5" w:rsidR="002852FF" w:rsidRDefault="002852FF" w:rsidP="006E378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26FE6DD8" w14:textId="22DEEED5" w:rsidR="002852FF" w:rsidRPr="00BF55FA" w:rsidRDefault="002852FF" w:rsidP="006E378C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F55FA">
        <w:rPr>
          <w:rFonts w:ascii="Arial" w:eastAsia="Calibri" w:hAnsi="Arial" w:cs="Arial"/>
          <w:b/>
          <w:bCs/>
          <w:sz w:val="24"/>
          <w:szCs w:val="24"/>
          <w:lang w:val="es-ES"/>
        </w:rPr>
        <w:lastRenderedPageBreak/>
        <w:t>Tecnologías de la información y la comunicación:</w:t>
      </w:r>
    </w:p>
    <w:p w14:paraId="5D7D202B" w14:textId="2447F3B4" w:rsidR="002852FF" w:rsidRDefault="002852FF" w:rsidP="006E378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4899763D" w14:textId="77777777" w:rsidR="00912733" w:rsidRDefault="00912733" w:rsidP="006E37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FB9EA4" w14:textId="2229BEFD" w:rsidR="009D5884" w:rsidRDefault="00912733" w:rsidP="006E37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COVID-19 ha puesto de relieve la necesidad de contar con mejores recursos tecnológicos para el pleno desarrollo de la labor de los TB, incluyendo la tarea de los Estados y las otras partes interesadas. </w:t>
      </w:r>
      <w:r w:rsidR="009D5884">
        <w:rPr>
          <w:rFonts w:ascii="Arial" w:hAnsi="Arial" w:cs="Arial"/>
          <w:sz w:val="24"/>
          <w:szCs w:val="24"/>
        </w:rPr>
        <w:t xml:space="preserve">Estas últimas pueden sumar provecho en la implementación de herramientas digitales dado que los costos de traslados a Ginebra para participar de las reuniones suelen impedirles esa participación. </w:t>
      </w:r>
    </w:p>
    <w:p w14:paraId="4E50C602" w14:textId="77777777" w:rsidR="00D336FB" w:rsidRDefault="00BF55FA" w:rsidP="006E37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mejoramiento en las tecnologías impulsado por la pandemia debe aprovecharse para un mayor acercamiento entre el sistema</w:t>
      </w:r>
      <w:r w:rsidR="00D336FB">
        <w:rPr>
          <w:rFonts w:ascii="Arial" w:hAnsi="Arial" w:cs="Arial"/>
          <w:sz w:val="24"/>
          <w:szCs w:val="24"/>
        </w:rPr>
        <w:t xml:space="preserve"> de TB y</w:t>
      </w:r>
      <w:r>
        <w:rPr>
          <w:rFonts w:ascii="Arial" w:hAnsi="Arial" w:cs="Arial"/>
          <w:sz w:val="24"/>
          <w:szCs w:val="24"/>
        </w:rPr>
        <w:t xml:space="preserve"> las INDH</w:t>
      </w:r>
      <w:r w:rsidR="00D336FB">
        <w:rPr>
          <w:rFonts w:ascii="Arial" w:hAnsi="Arial" w:cs="Arial"/>
          <w:sz w:val="24"/>
          <w:szCs w:val="24"/>
        </w:rPr>
        <w:t>, las ONG,</w:t>
      </w:r>
      <w:r>
        <w:rPr>
          <w:rFonts w:ascii="Arial" w:hAnsi="Arial" w:cs="Arial"/>
          <w:sz w:val="24"/>
          <w:szCs w:val="24"/>
        </w:rPr>
        <w:t xml:space="preserve"> la sociedad civil</w:t>
      </w:r>
      <w:r w:rsidR="00D336FB">
        <w:rPr>
          <w:rFonts w:ascii="Arial" w:hAnsi="Arial" w:cs="Arial"/>
          <w:sz w:val="24"/>
          <w:szCs w:val="24"/>
        </w:rPr>
        <w:t xml:space="preserve"> y otras partes interesadas.</w:t>
      </w:r>
    </w:p>
    <w:p w14:paraId="3690AD0D" w14:textId="2005D1E6" w:rsidR="00BF55FA" w:rsidRDefault="00BF55FA" w:rsidP="006E37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B7B8611" w14:textId="611B9A4E" w:rsidR="00912733" w:rsidRDefault="00912733" w:rsidP="006E37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2733">
        <w:rPr>
          <w:rFonts w:ascii="Arial" w:hAnsi="Arial" w:cs="Arial"/>
          <w:sz w:val="24"/>
          <w:szCs w:val="24"/>
        </w:rPr>
        <w:t xml:space="preserve"> </w:t>
      </w:r>
    </w:p>
    <w:p w14:paraId="19EF07A4" w14:textId="77777777" w:rsidR="000B2E06" w:rsidRDefault="000B2E06" w:rsidP="006E378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46A63E29" w14:textId="77777777" w:rsidR="003A18CC" w:rsidRDefault="003A18CC" w:rsidP="003A18C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sectPr w:rsidR="003A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551A" w14:textId="77777777" w:rsidR="0025326C" w:rsidRDefault="0025326C" w:rsidP="00EC2ABA">
      <w:pPr>
        <w:spacing w:after="0" w:line="240" w:lineRule="auto"/>
      </w:pPr>
      <w:r>
        <w:separator/>
      </w:r>
    </w:p>
  </w:endnote>
  <w:endnote w:type="continuationSeparator" w:id="0">
    <w:p w14:paraId="39300464" w14:textId="77777777" w:rsidR="0025326C" w:rsidRDefault="0025326C" w:rsidP="00EC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E75C" w14:textId="77777777" w:rsidR="0025326C" w:rsidRDefault="0025326C" w:rsidP="00EC2ABA">
      <w:pPr>
        <w:spacing w:after="0" w:line="240" w:lineRule="auto"/>
      </w:pPr>
      <w:r>
        <w:separator/>
      </w:r>
    </w:p>
  </w:footnote>
  <w:footnote w:type="continuationSeparator" w:id="0">
    <w:p w14:paraId="3DCB5D27" w14:textId="77777777" w:rsidR="0025326C" w:rsidRDefault="0025326C" w:rsidP="00EC2ABA">
      <w:pPr>
        <w:spacing w:after="0" w:line="240" w:lineRule="auto"/>
      </w:pPr>
      <w:r>
        <w:continuationSeparator/>
      </w:r>
    </w:p>
  </w:footnote>
  <w:footnote w:id="1">
    <w:p w14:paraId="68667EA7" w14:textId="6B49E60A" w:rsidR="00EC2ABA" w:rsidRDefault="00EC2AB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C2ABA">
        <w:t>A/73/309</w:t>
      </w:r>
      <w:r>
        <w:t>.</w:t>
      </w:r>
    </w:p>
  </w:footnote>
  <w:footnote w:id="2">
    <w:p w14:paraId="48449272" w14:textId="12643E04" w:rsidR="008B0F29" w:rsidRDefault="008B0F2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B0F29">
        <w:t>A/66/860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C"/>
    <w:rsid w:val="00024EAD"/>
    <w:rsid w:val="00050AA3"/>
    <w:rsid w:val="000B2E06"/>
    <w:rsid w:val="00120654"/>
    <w:rsid w:val="00172DF2"/>
    <w:rsid w:val="001D640A"/>
    <w:rsid w:val="00203029"/>
    <w:rsid w:val="00235BEF"/>
    <w:rsid w:val="002376A9"/>
    <w:rsid w:val="0025326C"/>
    <w:rsid w:val="00257336"/>
    <w:rsid w:val="002852FF"/>
    <w:rsid w:val="002E68B1"/>
    <w:rsid w:val="00332D4C"/>
    <w:rsid w:val="0038388C"/>
    <w:rsid w:val="003A18CC"/>
    <w:rsid w:val="003C7517"/>
    <w:rsid w:val="00440C12"/>
    <w:rsid w:val="004E4846"/>
    <w:rsid w:val="004F49F3"/>
    <w:rsid w:val="00547A9E"/>
    <w:rsid w:val="00603476"/>
    <w:rsid w:val="00681280"/>
    <w:rsid w:val="006D2F0B"/>
    <w:rsid w:val="006E378C"/>
    <w:rsid w:val="00754218"/>
    <w:rsid w:val="00857086"/>
    <w:rsid w:val="008B0F29"/>
    <w:rsid w:val="0090464C"/>
    <w:rsid w:val="00912733"/>
    <w:rsid w:val="009754C4"/>
    <w:rsid w:val="009D5884"/>
    <w:rsid w:val="00A246E3"/>
    <w:rsid w:val="00AD63B0"/>
    <w:rsid w:val="00AE13B5"/>
    <w:rsid w:val="00B13C3A"/>
    <w:rsid w:val="00BC4E4F"/>
    <w:rsid w:val="00BF55FA"/>
    <w:rsid w:val="00C27C31"/>
    <w:rsid w:val="00D336FB"/>
    <w:rsid w:val="00D43941"/>
    <w:rsid w:val="00D71E19"/>
    <w:rsid w:val="00D90B8A"/>
    <w:rsid w:val="00DD35A4"/>
    <w:rsid w:val="00E15C91"/>
    <w:rsid w:val="00E70521"/>
    <w:rsid w:val="00EA7A0A"/>
    <w:rsid w:val="00EC2ABA"/>
    <w:rsid w:val="00EF08B8"/>
    <w:rsid w:val="00EF7719"/>
    <w:rsid w:val="00F37173"/>
    <w:rsid w:val="00F51F1F"/>
    <w:rsid w:val="00F61D5A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23B6"/>
  <w15:docId w15:val="{B3961737-ACDF-44FE-8660-922B7C84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C2A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2A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2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6529B9-5EC9-473C-90A3-BC2C35DEA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3C311-8454-4BFE-B368-2B5039307998}"/>
</file>

<file path=customXml/itemProps3.xml><?xml version="1.0" encoding="utf-8"?>
<ds:datastoreItem xmlns:ds="http://schemas.openxmlformats.org/officeDocument/2006/customXml" ds:itemID="{1565A1DF-50B7-4DF0-B43B-9C3808584364}"/>
</file>

<file path=customXml/itemProps4.xml><?xml version="1.0" encoding="utf-8"?>
<ds:datastoreItem xmlns:ds="http://schemas.openxmlformats.org/officeDocument/2006/customXml" ds:itemID="{37C9EE54-4B60-4F06-9C48-C83CE70DC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1282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GARCIA GONZALEZ</dc:creator>
  <cp:keywords/>
  <dc:description/>
  <cp:lastModifiedBy>CAROLINA GARCIA GONZALEZ</cp:lastModifiedBy>
  <cp:revision>3</cp:revision>
  <dcterms:created xsi:type="dcterms:W3CDTF">2022-02-08T02:27:00Z</dcterms:created>
  <dcterms:modified xsi:type="dcterms:W3CDTF">2022-02-08T04:01:00Z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