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07D" w:rsidRPr="009C5E54" w:rsidRDefault="00FD109D" w:rsidP="0017107D">
      <w:pPr>
        <w:jc w:val="right"/>
        <w:rPr>
          <w:rFonts w:ascii="Georgia" w:hAnsi="Georgia"/>
          <w:lang w:val="en-US"/>
        </w:rPr>
      </w:pPr>
      <w:r w:rsidRPr="009C5E54">
        <w:rPr>
          <w:rFonts w:ascii="Georgia" w:hAnsi="Georgia"/>
          <w:lang w:val="en-US"/>
        </w:rPr>
        <w:t>January 31</w:t>
      </w:r>
      <w:r w:rsidRPr="009C5E54">
        <w:rPr>
          <w:rFonts w:ascii="Georgia" w:hAnsi="Georgia"/>
          <w:vertAlign w:val="superscript"/>
          <w:lang w:val="en-US"/>
        </w:rPr>
        <w:t>st</w:t>
      </w:r>
      <w:r w:rsidRPr="009C5E54">
        <w:rPr>
          <w:rFonts w:ascii="Georgia" w:hAnsi="Georgia"/>
          <w:lang w:val="en-US"/>
        </w:rPr>
        <w:t xml:space="preserve"> </w:t>
      </w:r>
      <w:r w:rsidR="0017107D" w:rsidRPr="009C5E54">
        <w:rPr>
          <w:rFonts w:ascii="Georgia" w:hAnsi="Georgia"/>
          <w:lang w:val="en-US"/>
        </w:rPr>
        <w:t>2022</w:t>
      </w:r>
    </w:p>
    <w:p w:rsidR="0017107D" w:rsidRPr="009C5E54" w:rsidRDefault="0017107D" w:rsidP="007D2EDE">
      <w:pPr>
        <w:jc w:val="both"/>
        <w:rPr>
          <w:rFonts w:ascii="Georgia" w:hAnsi="Georgia"/>
          <w:lang w:val="en-US"/>
        </w:rPr>
      </w:pPr>
    </w:p>
    <w:p w:rsidR="001B5648" w:rsidRPr="009C5E54" w:rsidRDefault="008F201D" w:rsidP="00FB3580">
      <w:pPr>
        <w:jc w:val="center"/>
        <w:rPr>
          <w:rFonts w:ascii="Georgia" w:hAnsi="Georgia"/>
          <w:b/>
          <w:lang w:val="en-US"/>
        </w:rPr>
      </w:pPr>
      <w:r w:rsidRPr="009C5E54">
        <w:rPr>
          <w:rFonts w:ascii="Georgia" w:hAnsi="Georgia"/>
          <w:b/>
          <w:lang w:val="en-US"/>
        </w:rPr>
        <w:t>Re</w:t>
      </w:r>
      <w:r w:rsidR="0017107D" w:rsidRPr="009C5E54">
        <w:rPr>
          <w:rFonts w:ascii="Georgia" w:hAnsi="Georgia"/>
          <w:b/>
          <w:lang w:val="en-US"/>
        </w:rPr>
        <w:t>ply to the</w:t>
      </w:r>
      <w:r w:rsidRPr="009C5E54">
        <w:rPr>
          <w:rFonts w:ascii="Georgia" w:hAnsi="Georgia"/>
          <w:b/>
          <w:lang w:val="en-US"/>
        </w:rPr>
        <w:t xml:space="preserve"> </w:t>
      </w:r>
      <w:r w:rsidR="0017107D" w:rsidRPr="009C5E54">
        <w:rPr>
          <w:rFonts w:ascii="Georgia" w:hAnsi="Georgia"/>
          <w:b/>
          <w:lang w:val="en-US"/>
        </w:rPr>
        <w:t>q</w:t>
      </w:r>
      <w:r w:rsidRPr="009C5E54">
        <w:rPr>
          <w:rFonts w:ascii="Georgia" w:hAnsi="Georgia"/>
          <w:b/>
          <w:lang w:val="en-US"/>
        </w:rPr>
        <w:t>uestionnaire in relation to General Assembly resolution 68/268</w:t>
      </w:r>
      <w:r w:rsidR="00FB3C9C" w:rsidRPr="009C5E54">
        <w:rPr>
          <w:rFonts w:ascii="Georgia" w:hAnsi="Georgia"/>
          <w:b/>
          <w:lang w:val="en-US"/>
        </w:rPr>
        <w:t xml:space="preserve"> </w:t>
      </w:r>
      <w:r w:rsidR="00FB3580" w:rsidRPr="009C5E54">
        <w:rPr>
          <w:rFonts w:ascii="Georgia" w:hAnsi="Georgia"/>
          <w:b/>
          <w:lang w:val="en-US"/>
        </w:rPr>
        <w:br/>
      </w:r>
      <w:r w:rsidR="00FB3C9C" w:rsidRPr="009C5E54">
        <w:rPr>
          <w:rFonts w:ascii="Georgia" w:hAnsi="Georgia"/>
          <w:b/>
          <w:lang w:val="en-US"/>
        </w:rPr>
        <w:t>on the Treaty Body Strengthening Process</w:t>
      </w:r>
    </w:p>
    <w:p w:rsidR="00FB3580" w:rsidRPr="009C5E54" w:rsidRDefault="00FB3580" w:rsidP="00FB3580">
      <w:pPr>
        <w:jc w:val="center"/>
        <w:rPr>
          <w:rFonts w:ascii="Georgia" w:hAnsi="Georgia"/>
          <w:b/>
          <w:sz w:val="26"/>
          <w:szCs w:val="26"/>
          <w:lang w:val="en-US"/>
        </w:rPr>
      </w:pPr>
      <w:r w:rsidRPr="009C5E54">
        <w:rPr>
          <w:rFonts w:ascii="Georgia" w:hAnsi="Georgia"/>
          <w:b/>
          <w:sz w:val="26"/>
          <w:szCs w:val="26"/>
          <w:lang w:val="en-US"/>
        </w:rPr>
        <w:t>Czech Republic</w:t>
      </w:r>
    </w:p>
    <w:p w:rsidR="00A46FE1" w:rsidRPr="009C5E54" w:rsidRDefault="00A46FE1" w:rsidP="00FB3C9C">
      <w:pPr>
        <w:jc w:val="both"/>
        <w:rPr>
          <w:rFonts w:ascii="Georgia" w:hAnsi="Georgia" w:cs="Calibri"/>
          <w:lang w:val="en-GB"/>
        </w:rPr>
      </w:pPr>
    </w:p>
    <w:p w:rsidR="00FB3C9C" w:rsidRPr="009C5E54" w:rsidRDefault="00FB3C9C" w:rsidP="00FB3C9C">
      <w:pPr>
        <w:jc w:val="both"/>
        <w:rPr>
          <w:rFonts w:ascii="Georgia" w:hAnsi="Georgia" w:cs="Calibri"/>
          <w:lang w:val="en-GB"/>
        </w:rPr>
      </w:pPr>
      <w:r w:rsidRPr="009C5E54">
        <w:rPr>
          <w:rFonts w:ascii="Georgia" w:hAnsi="Georgia" w:cs="Calibri"/>
          <w:lang w:val="en-GB"/>
        </w:rPr>
        <w:t>The Czech Republic welcomes the Treaty Body Strength</w:t>
      </w:r>
      <w:r w:rsidR="009C5E54">
        <w:rPr>
          <w:rFonts w:ascii="Georgia" w:hAnsi="Georgia" w:cs="Calibri"/>
          <w:lang w:val="en-GB"/>
        </w:rPr>
        <w:t>ening Process and sees it as an </w:t>
      </w:r>
      <w:r w:rsidRPr="009C5E54">
        <w:rPr>
          <w:rFonts w:ascii="Georgia" w:hAnsi="Georgia" w:cs="Calibri"/>
          <w:lang w:val="en-GB"/>
        </w:rPr>
        <w:t>important mechanism to enhance the work of the UN huma</w:t>
      </w:r>
      <w:r w:rsidR="009C5E54">
        <w:rPr>
          <w:rFonts w:ascii="Georgia" w:hAnsi="Georgia" w:cs="Calibri"/>
          <w:lang w:val="en-GB"/>
        </w:rPr>
        <w:t>n rights protection system as a </w:t>
      </w:r>
      <w:r w:rsidRPr="009C5E54">
        <w:rPr>
          <w:rFonts w:ascii="Georgia" w:hAnsi="Georgia" w:cs="Calibri"/>
          <w:lang w:val="en-GB"/>
        </w:rPr>
        <w:t>whole and the protection of human rights on the ground. The Czech Republic cooperates</w:t>
      </w:r>
      <w:r w:rsidR="00D95F34" w:rsidRPr="009C5E54">
        <w:rPr>
          <w:rFonts w:ascii="Georgia" w:hAnsi="Georgia" w:cs="Calibri"/>
          <w:lang w:val="en-GB"/>
        </w:rPr>
        <w:t xml:space="preserve"> with the Treaty Bodies to </w:t>
      </w:r>
      <w:r w:rsidRPr="009C5E54">
        <w:rPr>
          <w:rFonts w:ascii="Georgia" w:hAnsi="Georgia" w:cs="Calibri"/>
          <w:lang w:val="en-GB"/>
        </w:rPr>
        <w:t xml:space="preserve">the best extent </w:t>
      </w:r>
      <w:r w:rsidR="00807602" w:rsidRPr="009C5E54">
        <w:rPr>
          <w:rFonts w:ascii="Georgia" w:hAnsi="Georgia" w:cs="Calibri"/>
          <w:lang w:val="en-GB"/>
        </w:rPr>
        <w:t>possible;</w:t>
      </w:r>
      <w:r w:rsidRPr="009C5E54">
        <w:rPr>
          <w:rFonts w:ascii="Georgia" w:hAnsi="Georgia" w:cs="Calibri"/>
          <w:lang w:val="en-GB"/>
        </w:rPr>
        <w:t xml:space="preserve"> to fulfil its reporting and cooperation engagements and to support the work of the Treaty Bodies as well as the Human Rights Council</w:t>
      </w:r>
      <w:r w:rsidR="00807602" w:rsidRPr="009C5E54">
        <w:rPr>
          <w:rFonts w:ascii="Georgia" w:hAnsi="Georgia" w:cs="Calibri"/>
          <w:lang w:val="en-GB"/>
        </w:rPr>
        <w:t>,</w:t>
      </w:r>
      <w:r w:rsidRPr="009C5E54">
        <w:rPr>
          <w:rFonts w:ascii="Georgia" w:hAnsi="Georgia" w:cs="Calibri"/>
          <w:lang w:val="en-GB"/>
        </w:rPr>
        <w:t xml:space="preserve"> its mechanisms and the High Commissioner for Human Rights and their Office.</w:t>
      </w:r>
    </w:p>
    <w:p w:rsidR="00FB3C9C" w:rsidRPr="009C5E54" w:rsidRDefault="00FB3C9C" w:rsidP="00FB3C9C">
      <w:pPr>
        <w:jc w:val="both"/>
        <w:rPr>
          <w:rFonts w:ascii="Georgia" w:hAnsi="Georgia" w:cs="Calibri"/>
          <w:lang w:val="en-GB"/>
        </w:rPr>
      </w:pPr>
      <w:r w:rsidRPr="009C5E54">
        <w:rPr>
          <w:rFonts w:ascii="Georgia" w:hAnsi="Georgia" w:cs="Calibri"/>
          <w:lang w:val="en-GB"/>
        </w:rPr>
        <w:t>The Czech Republic supports all the initiatives taken so far by the Treaty Bodies, their</w:t>
      </w:r>
      <w:r w:rsidR="00D95F34" w:rsidRPr="009C5E54">
        <w:rPr>
          <w:rFonts w:ascii="Georgia" w:hAnsi="Georgia" w:cs="Calibri"/>
          <w:lang w:val="en-GB"/>
        </w:rPr>
        <w:t xml:space="preserve"> Chairs and </w:t>
      </w:r>
      <w:r w:rsidRPr="009C5E54">
        <w:rPr>
          <w:rFonts w:ascii="Georgia" w:hAnsi="Georgia" w:cs="Calibri"/>
          <w:lang w:val="en-GB"/>
        </w:rPr>
        <w:t>members, the High Commissioner and their Office and th</w:t>
      </w:r>
      <w:r w:rsidR="009C5E54">
        <w:rPr>
          <w:rFonts w:ascii="Georgia" w:hAnsi="Georgia" w:cs="Calibri"/>
          <w:lang w:val="en-GB"/>
        </w:rPr>
        <w:t>e State Parties themselves. All </w:t>
      </w:r>
      <w:r w:rsidRPr="009C5E54">
        <w:rPr>
          <w:rFonts w:ascii="Georgia" w:hAnsi="Georgia" w:cs="Calibri"/>
          <w:lang w:val="en-GB"/>
        </w:rPr>
        <w:t>the documents issued by those actors during the process became the foundations for fruitful discussions and useful changes and improvements. The main outcomes are in our view the Treaty body Chairpersons Position Paper on the future of the treaty body system from 2019 and the Report of the co-facilitators on the process of the consideration of the state of the UN human rights treaty body system. Both documents sum up the recent development and provide inputs for future work.</w:t>
      </w:r>
    </w:p>
    <w:p w:rsidR="00FB3C9C" w:rsidRPr="009C5E54" w:rsidRDefault="00FB3C9C" w:rsidP="00FB3C9C">
      <w:pPr>
        <w:jc w:val="both"/>
        <w:rPr>
          <w:rFonts w:ascii="Georgia" w:hAnsi="Georgia" w:cs="Calibri"/>
          <w:lang w:val="en-GB"/>
        </w:rPr>
      </w:pPr>
      <w:r w:rsidRPr="009C5E54">
        <w:rPr>
          <w:rFonts w:ascii="Georgia" w:hAnsi="Georgia" w:cs="Calibri"/>
          <w:lang w:val="en-GB"/>
        </w:rPr>
        <w:t xml:space="preserve">The Position Paper by the Treaty Body Chairs is an excellent starting point as it </w:t>
      </w:r>
      <w:proofErr w:type="gramStart"/>
      <w:r w:rsidRPr="009C5E54">
        <w:rPr>
          <w:rFonts w:ascii="Georgia" w:hAnsi="Georgia" w:cs="Calibri"/>
          <w:lang w:val="en-GB"/>
        </w:rPr>
        <w:t>is based</w:t>
      </w:r>
      <w:proofErr w:type="gramEnd"/>
      <w:r w:rsidRPr="009C5E54">
        <w:rPr>
          <w:rFonts w:ascii="Georgia" w:hAnsi="Georgia" w:cs="Calibri"/>
          <w:lang w:val="en-GB"/>
        </w:rPr>
        <w:t xml:space="preserve"> on the experience of the Treaty Bodies themselves and, with the respect to their independence, sets</w:t>
      </w:r>
      <w:r w:rsidR="009C5E54">
        <w:rPr>
          <w:rFonts w:ascii="Georgia" w:hAnsi="Georgia" w:cs="Calibri"/>
          <w:lang w:val="en-GB"/>
        </w:rPr>
        <w:t> </w:t>
      </w:r>
      <w:r w:rsidR="00367745" w:rsidRPr="009C5E54">
        <w:rPr>
          <w:rFonts w:ascii="Georgia" w:hAnsi="Georgia" w:cs="Calibri"/>
          <w:lang w:val="en-GB"/>
        </w:rPr>
        <w:t>a</w:t>
      </w:r>
      <w:r w:rsidR="009C5E54">
        <w:rPr>
          <w:rFonts w:ascii="Georgia" w:hAnsi="Georgia" w:cs="Calibri"/>
          <w:lang w:val="en-GB"/>
        </w:rPr>
        <w:t> </w:t>
      </w:r>
      <w:r w:rsidRPr="009C5E54">
        <w:rPr>
          <w:rFonts w:ascii="Georgia" w:hAnsi="Georgia" w:cs="Calibri"/>
          <w:lang w:val="en-GB"/>
        </w:rPr>
        <w:t xml:space="preserve">level-playing field for their future work. The Czech Republic welcomes and supports all the contained initiatives with a special focus on the coordination, alignment and standard setting activities. </w:t>
      </w:r>
      <w:r w:rsidR="00125462" w:rsidRPr="009C5E54">
        <w:rPr>
          <w:rFonts w:ascii="Georgia" w:hAnsi="Georgia" w:cs="Calibri"/>
          <w:lang w:val="en-GB"/>
        </w:rPr>
        <w:t xml:space="preserve">Their full implementation by the Treaty Bodies is vital. </w:t>
      </w:r>
      <w:r w:rsidRPr="009C5E54">
        <w:rPr>
          <w:rFonts w:ascii="Georgia" w:hAnsi="Georgia" w:cs="Calibri"/>
          <w:lang w:val="en-GB"/>
        </w:rPr>
        <w:t>Of particular importance for us:</w:t>
      </w:r>
    </w:p>
    <w:p w:rsidR="00FB3C9C" w:rsidRPr="009C5E54" w:rsidRDefault="00FB3C9C" w:rsidP="00FB3C9C">
      <w:pPr>
        <w:pStyle w:val="Odstavecseseznamem"/>
        <w:numPr>
          <w:ilvl w:val="0"/>
          <w:numId w:val="1"/>
        </w:numPr>
        <w:ind w:left="714" w:hanging="357"/>
        <w:contextualSpacing w:val="0"/>
        <w:jc w:val="both"/>
        <w:rPr>
          <w:rFonts w:ascii="Georgia" w:hAnsi="Georgia" w:cs="Calibri"/>
          <w:lang w:val="en-GB"/>
        </w:rPr>
      </w:pPr>
      <w:r w:rsidRPr="009C5E54">
        <w:rPr>
          <w:rFonts w:ascii="Georgia" w:hAnsi="Georgia" w:cs="Calibri"/>
          <w:lang w:val="en-GB"/>
        </w:rPr>
        <w:t xml:space="preserve">The standard use of the </w:t>
      </w:r>
      <w:r w:rsidRPr="009C5E54">
        <w:rPr>
          <w:rFonts w:ascii="Georgia" w:hAnsi="Georgia" w:cs="Calibri"/>
          <w:b/>
          <w:lang w:val="en-GB"/>
        </w:rPr>
        <w:t>simplified reporting procedure</w:t>
      </w:r>
      <w:r w:rsidR="00881D5E" w:rsidRPr="009C5E54">
        <w:rPr>
          <w:rFonts w:ascii="Georgia" w:hAnsi="Georgia" w:cs="Calibri"/>
          <w:lang w:val="en-GB"/>
        </w:rPr>
        <w:t>;</w:t>
      </w:r>
    </w:p>
    <w:p w:rsidR="005B350D" w:rsidRPr="009C5E54" w:rsidRDefault="0082266F" w:rsidP="00FB3C9C">
      <w:pPr>
        <w:pStyle w:val="Odstavecseseznamem"/>
        <w:numPr>
          <w:ilvl w:val="0"/>
          <w:numId w:val="1"/>
        </w:numPr>
        <w:ind w:left="714" w:hanging="357"/>
        <w:contextualSpacing w:val="0"/>
        <w:jc w:val="both"/>
        <w:rPr>
          <w:rFonts w:ascii="Georgia" w:hAnsi="Georgia" w:cs="Calibri"/>
          <w:lang w:val="en-GB"/>
        </w:rPr>
      </w:pPr>
      <w:r w:rsidRPr="009C5E54">
        <w:rPr>
          <w:rFonts w:ascii="Georgia" w:hAnsi="Georgia"/>
          <w:lang w:val="en-US"/>
        </w:rPr>
        <w:t xml:space="preserve">The regular </w:t>
      </w:r>
      <w:r w:rsidR="005B350D" w:rsidRPr="009C5E54">
        <w:rPr>
          <w:rFonts w:ascii="Georgia" w:hAnsi="Georgia"/>
          <w:b/>
          <w:lang w:val="en-US"/>
        </w:rPr>
        <w:t>consultations with Member States</w:t>
      </w:r>
      <w:r w:rsidR="005B350D" w:rsidRPr="009C5E54">
        <w:rPr>
          <w:rFonts w:ascii="Georgia" w:hAnsi="Georgia"/>
          <w:lang w:val="en-US"/>
        </w:rPr>
        <w:t xml:space="preserve"> </w:t>
      </w:r>
      <w:r w:rsidRPr="009C5E54">
        <w:rPr>
          <w:rFonts w:ascii="Georgia" w:hAnsi="Georgia"/>
          <w:lang w:val="en-US"/>
        </w:rPr>
        <w:t xml:space="preserve">during the reporting procedure </w:t>
      </w:r>
      <w:r w:rsidR="009C5E54">
        <w:rPr>
          <w:rFonts w:ascii="Georgia" w:hAnsi="Georgia"/>
          <w:lang w:val="en-US"/>
        </w:rPr>
        <w:t>to </w:t>
      </w:r>
      <w:r w:rsidR="005B350D" w:rsidRPr="009C5E54">
        <w:rPr>
          <w:rFonts w:ascii="Georgia" w:hAnsi="Georgia"/>
          <w:lang w:val="en-US"/>
        </w:rPr>
        <w:t>monitor the implementation of the respective treaties, and to enhance coordination, planning and to share best</w:t>
      </w:r>
      <w:r w:rsidR="00881D5E" w:rsidRPr="009C5E54">
        <w:rPr>
          <w:rFonts w:ascii="Georgia" w:hAnsi="Georgia"/>
          <w:lang w:val="en-US"/>
        </w:rPr>
        <w:t xml:space="preserve"> practices across treaty bodies;</w:t>
      </w:r>
    </w:p>
    <w:p w:rsidR="00FB3C9C" w:rsidRPr="009C5E54" w:rsidRDefault="008B16E8" w:rsidP="00FB3C9C">
      <w:pPr>
        <w:pStyle w:val="Odstavecseseznamem"/>
        <w:numPr>
          <w:ilvl w:val="0"/>
          <w:numId w:val="1"/>
        </w:numPr>
        <w:ind w:left="714" w:hanging="357"/>
        <w:contextualSpacing w:val="0"/>
        <w:jc w:val="both"/>
        <w:rPr>
          <w:rFonts w:ascii="Georgia" w:hAnsi="Georgia" w:cs="Calibri"/>
          <w:lang w:val="en-GB"/>
        </w:rPr>
      </w:pPr>
      <w:r w:rsidRPr="009C5E54">
        <w:rPr>
          <w:rFonts w:ascii="Georgia" w:hAnsi="Georgia" w:cs="Calibri"/>
          <w:lang w:val="en-GB"/>
        </w:rPr>
        <w:t>The steps to an</w:t>
      </w:r>
      <w:r w:rsidR="00FB3C9C" w:rsidRPr="009C5E54">
        <w:rPr>
          <w:rFonts w:ascii="Georgia" w:hAnsi="Georgia" w:cs="Calibri"/>
          <w:lang w:val="en-GB"/>
        </w:rPr>
        <w:t xml:space="preserve"> </w:t>
      </w:r>
      <w:r w:rsidR="00FB3C9C" w:rsidRPr="009C5E54">
        <w:rPr>
          <w:rFonts w:ascii="Georgia" w:hAnsi="Georgia" w:cs="Calibri"/>
          <w:b/>
          <w:lang w:val="en-GB"/>
        </w:rPr>
        <w:t>aligned and foreseeable reporting cycle</w:t>
      </w:r>
      <w:r w:rsidR="00FB3C9C" w:rsidRPr="009C5E54">
        <w:rPr>
          <w:rFonts w:ascii="Georgia" w:hAnsi="Georgia" w:cs="Calibri"/>
          <w:lang w:val="en-GB"/>
        </w:rPr>
        <w:t xml:space="preserve"> of 8</w:t>
      </w:r>
      <w:r w:rsidR="00D95F34" w:rsidRPr="009C5E54">
        <w:rPr>
          <w:rFonts w:ascii="Georgia" w:hAnsi="Georgia" w:cs="Calibri"/>
          <w:lang w:val="en-GB"/>
        </w:rPr>
        <w:t xml:space="preserve"> years for both covenants and 4 </w:t>
      </w:r>
      <w:r w:rsidR="00FB3C9C" w:rsidRPr="009C5E54">
        <w:rPr>
          <w:rFonts w:ascii="Georgia" w:hAnsi="Georgia" w:cs="Calibri"/>
          <w:lang w:val="en-GB"/>
        </w:rPr>
        <w:t>years for other conventions. If any convention require</w:t>
      </w:r>
      <w:r w:rsidR="00D95F34" w:rsidRPr="009C5E54">
        <w:rPr>
          <w:rFonts w:ascii="Georgia" w:hAnsi="Georgia" w:cs="Calibri"/>
          <w:lang w:val="en-GB"/>
        </w:rPr>
        <w:t>s a shorter reporting cycle, we </w:t>
      </w:r>
      <w:r w:rsidR="00FB3C9C" w:rsidRPr="009C5E54">
        <w:rPr>
          <w:rFonts w:ascii="Georgia" w:hAnsi="Georgia" w:cs="Calibri"/>
          <w:lang w:val="en-GB"/>
        </w:rPr>
        <w:t>recommend to use combined repo</w:t>
      </w:r>
      <w:r w:rsidR="009C5E54">
        <w:rPr>
          <w:rFonts w:ascii="Georgia" w:hAnsi="Georgia" w:cs="Calibri"/>
          <w:lang w:val="en-GB"/>
        </w:rPr>
        <w:t>rts (as it is done by CERD, for </w:t>
      </w:r>
      <w:r w:rsidR="00FB3C9C" w:rsidRPr="009C5E54">
        <w:rPr>
          <w:rFonts w:ascii="Georgia" w:hAnsi="Georgia" w:cs="Calibri"/>
          <w:lang w:val="en-GB"/>
        </w:rPr>
        <w:t>example)</w:t>
      </w:r>
      <w:r w:rsidR="00881D5E" w:rsidRPr="009C5E54">
        <w:rPr>
          <w:rFonts w:ascii="Georgia" w:hAnsi="Georgia" w:cs="Calibri"/>
          <w:lang w:val="en-GB"/>
        </w:rPr>
        <w:t>;</w:t>
      </w:r>
    </w:p>
    <w:p w:rsidR="00FB3C9C" w:rsidRPr="009C5E54" w:rsidRDefault="00FB3C9C" w:rsidP="00FB3C9C">
      <w:pPr>
        <w:pStyle w:val="Odstavecseseznamem"/>
        <w:numPr>
          <w:ilvl w:val="0"/>
          <w:numId w:val="1"/>
        </w:numPr>
        <w:ind w:left="714" w:hanging="357"/>
        <w:contextualSpacing w:val="0"/>
        <w:jc w:val="both"/>
        <w:rPr>
          <w:rFonts w:ascii="Georgia" w:hAnsi="Georgia" w:cs="Calibri"/>
          <w:lang w:val="en-GB"/>
        </w:rPr>
      </w:pPr>
      <w:r w:rsidRPr="009C5E54">
        <w:rPr>
          <w:rFonts w:ascii="Georgia" w:hAnsi="Georgia" w:cs="Calibri"/>
          <w:lang w:val="en-GB"/>
        </w:rPr>
        <w:t xml:space="preserve">The </w:t>
      </w:r>
      <w:r w:rsidRPr="009C5E54">
        <w:rPr>
          <w:rFonts w:ascii="Georgia" w:hAnsi="Georgia" w:cs="Calibri"/>
          <w:b/>
          <w:lang w:val="en-GB"/>
        </w:rPr>
        <w:t>coordinated timing of reviews</w:t>
      </w:r>
      <w:r w:rsidRPr="009C5E54">
        <w:rPr>
          <w:rFonts w:ascii="Georgia" w:hAnsi="Georgia" w:cs="Calibri"/>
          <w:lang w:val="en-GB"/>
        </w:rPr>
        <w:t xml:space="preserve"> in accordance with the reporting cycle to </w:t>
      </w:r>
      <w:r w:rsidR="00125462" w:rsidRPr="009C5E54">
        <w:rPr>
          <w:rFonts w:ascii="Georgia" w:hAnsi="Georgia" w:cs="Calibri"/>
          <w:lang w:val="en-GB"/>
        </w:rPr>
        <w:t xml:space="preserve">also </w:t>
      </w:r>
      <w:r w:rsidRPr="009C5E54">
        <w:rPr>
          <w:rFonts w:ascii="Georgia" w:hAnsi="Georgia" w:cs="Calibri"/>
          <w:lang w:val="en-GB"/>
        </w:rPr>
        <w:t xml:space="preserve">avoid overlap or overburdening in review </w:t>
      </w:r>
      <w:r w:rsidR="00D80B03" w:rsidRPr="009C5E54">
        <w:rPr>
          <w:rFonts w:ascii="Georgia" w:hAnsi="Georgia" w:cs="Calibri"/>
          <w:lang w:val="en-GB"/>
        </w:rPr>
        <w:t>participation</w:t>
      </w:r>
      <w:r w:rsidR="003378D5" w:rsidRPr="009C5E54">
        <w:rPr>
          <w:rFonts w:ascii="Georgia" w:hAnsi="Georgia" w:cs="Calibri"/>
          <w:lang w:val="en-GB"/>
        </w:rPr>
        <w:t xml:space="preserve"> </w:t>
      </w:r>
      <w:r w:rsidRPr="009C5E54">
        <w:rPr>
          <w:rFonts w:ascii="Georgia" w:hAnsi="Georgia" w:cs="Calibri"/>
          <w:lang w:val="en-GB"/>
        </w:rPr>
        <w:t>(e.g. 2 reviews in the same session time)</w:t>
      </w:r>
      <w:r w:rsidR="00881D5E" w:rsidRPr="009C5E54">
        <w:rPr>
          <w:rFonts w:ascii="Georgia" w:hAnsi="Georgia" w:cs="Calibri"/>
          <w:lang w:val="en-GB"/>
        </w:rPr>
        <w:t>;</w:t>
      </w:r>
    </w:p>
    <w:p w:rsidR="00FB3C9C" w:rsidRPr="009C5E54" w:rsidRDefault="00FB3C9C" w:rsidP="00FB3C9C">
      <w:pPr>
        <w:pStyle w:val="Odstavecseseznamem"/>
        <w:numPr>
          <w:ilvl w:val="0"/>
          <w:numId w:val="1"/>
        </w:numPr>
        <w:ind w:left="714" w:hanging="357"/>
        <w:contextualSpacing w:val="0"/>
        <w:jc w:val="both"/>
        <w:rPr>
          <w:rFonts w:ascii="Georgia" w:hAnsi="Georgia" w:cs="Calibri"/>
          <w:lang w:val="en-GB"/>
        </w:rPr>
      </w:pPr>
      <w:r w:rsidRPr="009C5E54">
        <w:rPr>
          <w:rFonts w:ascii="Georgia" w:hAnsi="Georgia" w:cs="Calibri"/>
          <w:lang w:val="en-GB"/>
        </w:rPr>
        <w:t xml:space="preserve">The </w:t>
      </w:r>
      <w:r w:rsidRPr="009C5E54">
        <w:rPr>
          <w:rFonts w:ascii="Georgia" w:hAnsi="Georgia" w:cs="Calibri"/>
          <w:b/>
          <w:lang w:val="en-GB"/>
        </w:rPr>
        <w:t>unified format of dialogues</w:t>
      </w:r>
      <w:r w:rsidRPr="009C5E54">
        <w:rPr>
          <w:rFonts w:ascii="Georgia" w:hAnsi="Georgia" w:cs="Calibri"/>
          <w:lang w:val="en-GB"/>
        </w:rPr>
        <w:t xml:space="preserve"> of 6 hours in a </w:t>
      </w:r>
      <w:proofErr w:type="gramStart"/>
      <w:r w:rsidRPr="009C5E54">
        <w:rPr>
          <w:rFonts w:ascii="Georgia" w:hAnsi="Georgia" w:cs="Calibri"/>
          <w:lang w:val="en-GB"/>
        </w:rPr>
        <w:t>24 hour</w:t>
      </w:r>
      <w:proofErr w:type="gramEnd"/>
      <w:r w:rsidRPr="009C5E54">
        <w:rPr>
          <w:rFonts w:ascii="Georgia" w:hAnsi="Georgia" w:cs="Calibri"/>
          <w:lang w:val="en-GB"/>
        </w:rPr>
        <w:t xml:space="preserve"> period. We prefer the option of </w:t>
      </w:r>
      <w:proofErr w:type="gramStart"/>
      <w:r w:rsidRPr="009C5E54">
        <w:rPr>
          <w:rFonts w:ascii="Georgia" w:hAnsi="Georgia" w:cs="Calibri"/>
          <w:lang w:val="en-GB"/>
        </w:rPr>
        <w:t xml:space="preserve">a </w:t>
      </w:r>
      <w:r w:rsidR="00D95F34" w:rsidRPr="009C5E54">
        <w:rPr>
          <w:rFonts w:ascii="Georgia" w:hAnsi="Georgia" w:cs="Calibri"/>
          <w:lang w:val="en-GB"/>
        </w:rPr>
        <w:t> </w:t>
      </w:r>
      <w:r w:rsidRPr="009C5E54">
        <w:rPr>
          <w:rFonts w:ascii="Georgia" w:hAnsi="Georgia" w:cs="Calibri"/>
          <w:lang w:val="en-GB"/>
        </w:rPr>
        <w:t>2</w:t>
      </w:r>
      <w:proofErr w:type="gramEnd"/>
      <w:r w:rsidR="00367745" w:rsidRPr="009C5E54">
        <w:rPr>
          <w:rFonts w:ascii="Georgia" w:hAnsi="Georgia" w:cs="Calibri"/>
          <w:lang w:val="en-GB"/>
        </w:rPr>
        <w:t>-</w:t>
      </w:r>
      <w:r w:rsidRPr="009C5E54">
        <w:rPr>
          <w:rFonts w:ascii="Georgia" w:hAnsi="Georgia" w:cs="Calibri"/>
          <w:lang w:val="en-GB"/>
        </w:rPr>
        <w:t xml:space="preserve">day dialogue (afternoon/morning) as it </w:t>
      </w:r>
      <w:r w:rsidR="003378D5" w:rsidRPr="009C5E54">
        <w:rPr>
          <w:rFonts w:ascii="Georgia" w:hAnsi="Georgia" w:cs="Calibri"/>
          <w:lang w:val="en-GB"/>
        </w:rPr>
        <w:t>provides</w:t>
      </w:r>
      <w:r w:rsidRPr="009C5E54">
        <w:rPr>
          <w:rFonts w:ascii="Georgia" w:hAnsi="Georgia" w:cs="Calibri"/>
          <w:lang w:val="en-GB"/>
        </w:rPr>
        <w:t xml:space="preserve"> more time for the preparation between sessions. </w:t>
      </w:r>
      <w:r w:rsidR="00D80B03" w:rsidRPr="009C5E54">
        <w:rPr>
          <w:rFonts w:ascii="Georgia" w:hAnsi="Georgia" w:cs="Calibri"/>
          <w:lang w:val="en-GB"/>
        </w:rPr>
        <w:t>T</w:t>
      </w:r>
      <w:r w:rsidRPr="009C5E54">
        <w:rPr>
          <w:rFonts w:ascii="Georgia" w:hAnsi="Georgia" w:cs="Calibri"/>
          <w:lang w:val="en-GB"/>
        </w:rPr>
        <w:t xml:space="preserve">he dialogue </w:t>
      </w:r>
      <w:r w:rsidR="00D80B03" w:rsidRPr="009C5E54">
        <w:rPr>
          <w:rFonts w:ascii="Georgia" w:hAnsi="Georgia" w:cs="Calibri"/>
          <w:lang w:val="en-GB"/>
        </w:rPr>
        <w:t xml:space="preserve">between the Treaty Body and the State party </w:t>
      </w:r>
      <w:r w:rsidRPr="009C5E54">
        <w:rPr>
          <w:rFonts w:ascii="Georgia" w:hAnsi="Georgia" w:cs="Calibri"/>
          <w:lang w:val="en-GB"/>
        </w:rPr>
        <w:t>shall keep its exper</w:t>
      </w:r>
      <w:r w:rsidR="003378D5" w:rsidRPr="009C5E54">
        <w:rPr>
          <w:rFonts w:ascii="Georgia" w:hAnsi="Georgia" w:cs="Calibri"/>
          <w:lang w:val="en-GB"/>
        </w:rPr>
        <w:t>t nature and sufficient quality;</w:t>
      </w:r>
      <w:r w:rsidRPr="009C5E54">
        <w:rPr>
          <w:rFonts w:ascii="Georgia" w:hAnsi="Georgia" w:cs="Calibri"/>
          <w:lang w:val="en-GB"/>
        </w:rPr>
        <w:t xml:space="preserve"> a certain level of predictability is both useful and preferable. The list of issues as well as the report in combination with alternative reports by NHRIs/CSOs could form the basis of </w:t>
      </w:r>
      <w:r w:rsidR="009C5E54">
        <w:rPr>
          <w:rFonts w:ascii="Georgia" w:hAnsi="Georgia" w:cs="Calibri"/>
          <w:lang w:val="en-GB"/>
        </w:rPr>
        <w:t xml:space="preserve">the dialogue. The issues </w:t>
      </w:r>
      <w:proofErr w:type="gramStart"/>
      <w:r w:rsidR="009C5E54">
        <w:rPr>
          <w:rFonts w:ascii="Georgia" w:hAnsi="Georgia" w:cs="Calibri"/>
          <w:lang w:val="en-GB"/>
        </w:rPr>
        <w:t>may be </w:t>
      </w:r>
      <w:r w:rsidRPr="009C5E54">
        <w:rPr>
          <w:rFonts w:ascii="Georgia" w:hAnsi="Georgia" w:cs="Calibri"/>
          <w:lang w:val="en-GB"/>
        </w:rPr>
        <w:t>clustered</w:t>
      </w:r>
      <w:proofErr w:type="gramEnd"/>
      <w:r w:rsidRPr="009C5E54">
        <w:rPr>
          <w:rFonts w:ascii="Georgia" w:hAnsi="Georgia" w:cs="Calibri"/>
          <w:lang w:val="en-GB"/>
        </w:rPr>
        <w:t xml:space="preserve"> in 3-4 parts, each containing a set of questions and answers with possibility </w:t>
      </w:r>
      <w:r w:rsidRPr="009C5E54">
        <w:rPr>
          <w:rFonts w:ascii="Georgia" w:hAnsi="Georgia" w:cs="Calibri"/>
          <w:lang w:val="en-GB"/>
        </w:rPr>
        <w:lastRenderedPageBreak/>
        <w:t xml:space="preserve">for follow-up. The time may be structured accordingly to set a transparent and fair </w:t>
      </w:r>
      <w:r w:rsidR="00B472FF" w:rsidRPr="009C5E54">
        <w:rPr>
          <w:rFonts w:ascii="Georgia" w:hAnsi="Georgia" w:cs="Calibri"/>
          <w:lang w:val="en-GB"/>
        </w:rPr>
        <w:t>arrangement</w:t>
      </w:r>
      <w:r w:rsidRPr="009C5E54">
        <w:rPr>
          <w:rFonts w:ascii="Georgia" w:hAnsi="Georgia" w:cs="Calibri"/>
          <w:lang w:val="en-GB"/>
        </w:rPr>
        <w:t xml:space="preserve"> allowing for </w:t>
      </w:r>
      <w:r w:rsidR="00B472FF" w:rsidRPr="009C5E54">
        <w:rPr>
          <w:rFonts w:ascii="Georgia" w:hAnsi="Georgia" w:cs="Calibri"/>
          <w:lang w:val="en-GB"/>
        </w:rPr>
        <w:t>sufficient</w:t>
      </w:r>
      <w:r w:rsidRPr="009C5E54">
        <w:rPr>
          <w:rFonts w:ascii="Georgia" w:hAnsi="Georgia" w:cs="Calibri"/>
          <w:lang w:val="en-GB"/>
        </w:rPr>
        <w:t xml:space="preserve"> speaking </w:t>
      </w:r>
      <w:r w:rsidR="00881D5E" w:rsidRPr="009C5E54">
        <w:rPr>
          <w:rFonts w:ascii="Georgia" w:hAnsi="Georgia" w:cs="Calibri"/>
          <w:lang w:val="en-GB"/>
        </w:rPr>
        <w:t xml:space="preserve">time for </w:t>
      </w:r>
      <w:r w:rsidR="007A363A" w:rsidRPr="009C5E54">
        <w:rPr>
          <w:rFonts w:ascii="Georgia" w:hAnsi="Georgia" w:cs="Calibri"/>
          <w:lang w:val="en-GB"/>
        </w:rPr>
        <w:t>all parts</w:t>
      </w:r>
      <w:r w:rsidR="00881D5E" w:rsidRPr="009C5E54">
        <w:rPr>
          <w:rFonts w:ascii="Georgia" w:hAnsi="Georgia" w:cs="Calibri"/>
          <w:lang w:val="en-GB"/>
        </w:rPr>
        <w:t>;</w:t>
      </w:r>
    </w:p>
    <w:p w:rsidR="00FB3C9C" w:rsidRPr="009C5E54" w:rsidRDefault="00FB3C9C" w:rsidP="00FB3C9C">
      <w:pPr>
        <w:pStyle w:val="Odstavecseseznamem"/>
        <w:numPr>
          <w:ilvl w:val="0"/>
          <w:numId w:val="1"/>
        </w:numPr>
        <w:ind w:left="714" w:hanging="357"/>
        <w:contextualSpacing w:val="0"/>
        <w:jc w:val="both"/>
        <w:rPr>
          <w:rFonts w:ascii="Georgia" w:hAnsi="Georgia" w:cs="Calibri"/>
          <w:lang w:val="en-GB"/>
        </w:rPr>
      </w:pPr>
      <w:r w:rsidRPr="009C5E54">
        <w:rPr>
          <w:rFonts w:ascii="Georgia" w:hAnsi="Georgia" w:cs="Calibri"/>
          <w:lang w:val="en-GB"/>
        </w:rPr>
        <w:t xml:space="preserve">The </w:t>
      </w:r>
      <w:r w:rsidRPr="009C5E54">
        <w:rPr>
          <w:rFonts w:ascii="Georgia" w:hAnsi="Georgia" w:cs="Calibri"/>
          <w:b/>
          <w:lang w:val="en-GB"/>
        </w:rPr>
        <w:t>aligned format of list of issues, concluding observation and follow up procedures</w:t>
      </w:r>
      <w:r w:rsidR="00D95F34" w:rsidRPr="009C5E54">
        <w:rPr>
          <w:rFonts w:ascii="Georgia" w:hAnsi="Georgia" w:cs="Calibri"/>
          <w:lang w:val="en-GB"/>
        </w:rPr>
        <w:t>. All </w:t>
      </w:r>
      <w:r w:rsidRPr="009C5E54">
        <w:rPr>
          <w:rFonts w:ascii="Georgia" w:hAnsi="Georgia" w:cs="Calibri"/>
          <w:lang w:val="en-GB"/>
        </w:rPr>
        <w:t xml:space="preserve">documents should preferably </w:t>
      </w:r>
      <w:r w:rsidR="00B472FF" w:rsidRPr="009C5E54">
        <w:rPr>
          <w:rFonts w:ascii="Georgia" w:hAnsi="Georgia" w:cs="Calibri"/>
          <w:lang w:val="en-GB"/>
        </w:rPr>
        <w:t xml:space="preserve">contain </w:t>
      </w:r>
      <w:r w:rsidR="009C5E54">
        <w:rPr>
          <w:rFonts w:ascii="Georgia" w:hAnsi="Georgia" w:cs="Calibri"/>
          <w:lang w:val="en-GB"/>
        </w:rPr>
        <w:t>concrete questions and </w:t>
      </w:r>
      <w:r w:rsidRPr="009C5E54">
        <w:rPr>
          <w:rFonts w:ascii="Georgia" w:hAnsi="Georgia" w:cs="Calibri"/>
          <w:lang w:val="en-GB"/>
        </w:rPr>
        <w:t>recommendations with SMART targets. We welcome the goals to set a concrete number of questions/concrete limit of words for concluding observations aiming at the most relevant problems and recommending effective and realistic solutions. We also very much welcome the cr</w:t>
      </w:r>
      <w:r w:rsidR="00B472FF" w:rsidRPr="009C5E54">
        <w:rPr>
          <w:rFonts w:ascii="Georgia" w:hAnsi="Georgia" w:cs="Calibri"/>
          <w:lang w:val="en-GB"/>
        </w:rPr>
        <w:t>oss-referencing and coordinating</w:t>
      </w:r>
      <w:r w:rsidRPr="009C5E54">
        <w:rPr>
          <w:rFonts w:ascii="Georgia" w:hAnsi="Georgia" w:cs="Calibri"/>
          <w:lang w:val="en-GB"/>
        </w:rPr>
        <w:t xml:space="preserve"> </w:t>
      </w:r>
      <w:r w:rsidR="00B472FF" w:rsidRPr="009C5E54">
        <w:rPr>
          <w:rFonts w:ascii="Georgia" w:hAnsi="Georgia" w:cs="Calibri"/>
          <w:lang w:val="en-GB"/>
        </w:rPr>
        <w:t xml:space="preserve">of </w:t>
      </w:r>
      <w:r w:rsidRPr="009C5E54">
        <w:rPr>
          <w:rFonts w:ascii="Georgia" w:hAnsi="Georgia" w:cs="Calibri"/>
          <w:lang w:val="en-GB"/>
        </w:rPr>
        <w:t>recommendations among the Treaty Bodies which may elimin</w:t>
      </w:r>
      <w:r w:rsidR="009C5E54">
        <w:rPr>
          <w:rFonts w:ascii="Georgia" w:hAnsi="Georgia" w:cs="Calibri"/>
          <w:lang w:val="en-GB"/>
        </w:rPr>
        <w:t>ate overlaps or duplications in </w:t>
      </w:r>
      <w:r w:rsidRPr="009C5E54">
        <w:rPr>
          <w:rFonts w:ascii="Georgia" w:hAnsi="Georgia" w:cs="Calibri"/>
          <w:lang w:val="en-GB"/>
        </w:rPr>
        <w:t>recommendations so t</w:t>
      </w:r>
      <w:r w:rsidR="00D95F34" w:rsidRPr="009C5E54">
        <w:rPr>
          <w:rFonts w:ascii="Georgia" w:hAnsi="Georgia" w:cs="Calibri"/>
          <w:lang w:val="en-GB"/>
        </w:rPr>
        <w:t>he State Party is not forced to </w:t>
      </w:r>
      <w:r w:rsidRPr="009C5E54">
        <w:rPr>
          <w:rFonts w:ascii="Georgia" w:hAnsi="Georgia" w:cs="Calibri"/>
          <w:lang w:val="en-GB"/>
        </w:rPr>
        <w:t>repeat same issues to various committees. We also welcome the limits of follow-up procedures to one cycle which lessens the b</w:t>
      </w:r>
      <w:r w:rsidR="00881D5E" w:rsidRPr="009C5E54">
        <w:rPr>
          <w:rFonts w:ascii="Georgia" w:hAnsi="Georgia" w:cs="Calibri"/>
          <w:lang w:val="en-GB"/>
        </w:rPr>
        <w:t>urden o</w:t>
      </w:r>
      <w:r w:rsidR="00367745" w:rsidRPr="009C5E54">
        <w:rPr>
          <w:rFonts w:ascii="Georgia" w:hAnsi="Georgia" w:cs="Calibri"/>
          <w:lang w:val="en-GB"/>
        </w:rPr>
        <w:t>n</w:t>
      </w:r>
      <w:r w:rsidR="00881D5E" w:rsidRPr="009C5E54">
        <w:rPr>
          <w:rFonts w:ascii="Georgia" w:hAnsi="Georgia" w:cs="Calibri"/>
          <w:lang w:val="en-GB"/>
        </w:rPr>
        <w:t xml:space="preserve"> the State parties;</w:t>
      </w:r>
    </w:p>
    <w:p w:rsidR="0009775C" w:rsidRPr="009C5E54" w:rsidRDefault="00FB3C9C" w:rsidP="00FB3C9C">
      <w:pPr>
        <w:jc w:val="both"/>
        <w:rPr>
          <w:rFonts w:ascii="Georgia" w:hAnsi="Georgia" w:cs="Calibri"/>
          <w:lang w:val="en-GB"/>
        </w:rPr>
      </w:pPr>
      <w:r w:rsidRPr="009C5E54">
        <w:rPr>
          <w:rFonts w:ascii="Georgia" w:hAnsi="Georgia" w:cs="Calibri"/>
          <w:lang w:val="en-GB"/>
        </w:rPr>
        <w:t xml:space="preserve">The Czech Republic </w:t>
      </w:r>
      <w:r w:rsidR="00B472FF" w:rsidRPr="009C5E54">
        <w:rPr>
          <w:rFonts w:ascii="Georgia" w:hAnsi="Georgia" w:cs="Calibri"/>
          <w:lang w:val="en-GB"/>
        </w:rPr>
        <w:t xml:space="preserve">also </w:t>
      </w:r>
      <w:r w:rsidRPr="009C5E54">
        <w:rPr>
          <w:rFonts w:ascii="Georgia" w:hAnsi="Georgia" w:cs="Calibri"/>
          <w:lang w:val="en-GB"/>
        </w:rPr>
        <w:t>welcomes other su</w:t>
      </w:r>
      <w:r w:rsidR="00EE33EA" w:rsidRPr="009C5E54">
        <w:rPr>
          <w:rFonts w:ascii="Georgia" w:hAnsi="Georgia" w:cs="Calibri"/>
          <w:lang w:val="en-GB"/>
        </w:rPr>
        <w:t>ggestions and proposals aimed at enhancing</w:t>
      </w:r>
      <w:r w:rsidRPr="009C5E54">
        <w:rPr>
          <w:rFonts w:ascii="Georgia" w:hAnsi="Georgia" w:cs="Calibri"/>
          <w:lang w:val="en-GB"/>
        </w:rPr>
        <w:t xml:space="preserve"> the capacity and effectivity of </w:t>
      </w:r>
      <w:r w:rsidR="00B472FF" w:rsidRPr="009C5E54">
        <w:rPr>
          <w:rFonts w:ascii="Georgia" w:hAnsi="Georgia" w:cs="Calibri"/>
          <w:lang w:val="en-GB"/>
        </w:rPr>
        <w:t>T</w:t>
      </w:r>
      <w:r w:rsidRPr="009C5E54">
        <w:rPr>
          <w:rFonts w:ascii="Georgia" w:hAnsi="Georgia" w:cs="Calibri"/>
          <w:lang w:val="en-GB"/>
        </w:rPr>
        <w:t xml:space="preserve">reaty </w:t>
      </w:r>
      <w:r w:rsidR="00B472FF" w:rsidRPr="009C5E54">
        <w:rPr>
          <w:rFonts w:ascii="Georgia" w:hAnsi="Georgia" w:cs="Calibri"/>
          <w:lang w:val="en-GB"/>
        </w:rPr>
        <w:t>B</w:t>
      </w:r>
      <w:r w:rsidRPr="009C5E54">
        <w:rPr>
          <w:rFonts w:ascii="Georgia" w:hAnsi="Georgia" w:cs="Calibri"/>
          <w:lang w:val="en-GB"/>
        </w:rPr>
        <w:t xml:space="preserve">odies like </w:t>
      </w:r>
      <w:r w:rsidRPr="009C5E54">
        <w:rPr>
          <w:rFonts w:ascii="Georgia" w:hAnsi="Georgia" w:cs="Calibri"/>
          <w:b/>
          <w:lang w:val="en-GB"/>
        </w:rPr>
        <w:t>working in substructures</w:t>
      </w:r>
      <w:r w:rsidRPr="009C5E54">
        <w:rPr>
          <w:rFonts w:ascii="Georgia" w:hAnsi="Georgia" w:cs="Calibri"/>
          <w:lang w:val="en-GB"/>
        </w:rPr>
        <w:t xml:space="preserve"> (chambers, working groups, task forces etc.), regional reviews or others. It </w:t>
      </w:r>
      <w:r w:rsidR="00B472FF" w:rsidRPr="009C5E54">
        <w:rPr>
          <w:rFonts w:ascii="Georgia" w:hAnsi="Georgia" w:cs="Calibri"/>
          <w:lang w:val="en-GB"/>
        </w:rPr>
        <w:t>further</w:t>
      </w:r>
      <w:r w:rsidRPr="009C5E54">
        <w:rPr>
          <w:rFonts w:ascii="Georgia" w:hAnsi="Georgia" w:cs="Calibri"/>
          <w:lang w:val="en-GB"/>
        </w:rPr>
        <w:t xml:space="preserve"> welcomes the use </w:t>
      </w:r>
      <w:r w:rsidR="00FB3580" w:rsidRPr="009C5E54">
        <w:rPr>
          <w:rFonts w:ascii="Georgia" w:hAnsi="Georgia" w:cs="Calibri"/>
          <w:lang w:val="en-GB"/>
        </w:rPr>
        <w:t>of hybrid method for holding meetings and discussions. The use of</w:t>
      </w:r>
      <w:r w:rsidRPr="009C5E54">
        <w:rPr>
          <w:rFonts w:ascii="Georgia" w:hAnsi="Georgia" w:cs="Calibri"/>
          <w:lang w:val="en-GB"/>
        </w:rPr>
        <w:t xml:space="preserve"> </w:t>
      </w:r>
      <w:r w:rsidRPr="009C5E54">
        <w:rPr>
          <w:rFonts w:ascii="Georgia" w:hAnsi="Georgia" w:cs="Calibri"/>
          <w:b/>
          <w:lang w:val="en-GB"/>
        </w:rPr>
        <w:t>modern communication technologies</w:t>
      </w:r>
      <w:r w:rsidRPr="009C5E54">
        <w:rPr>
          <w:rFonts w:ascii="Georgia" w:hAnsi="Georgia" w:cs="Calibri"/>
          <w:lang w:val="en-GB"/>
        </w:rPr>
        <w:t xml:space="preserve"> c</w:t>
      </w:r>
      <w:r w:rsidR="00FB3580" w:rsidRPr="009C5E54">
        <w:rPr>
          <w:rFonts w:ascii="Georgia" w:hAnsi="Georgia" w:cs="Calibri"/>
          <w:lang w:val="en-GB"/>
        </w:rPr>
        <w:t>an</w:t>
      </w:r>
      <w:r w:rsidRPr="009C5E54">
        <w:rPr>
          <w:rFonts w:ascii="Georgia" w:hAnsi="Georgia" w:cs="Calibri"/>
          <w:lang w:val="en-GB"/>
        </w:rPr>
        <w:t xml:space="preserve"> </w:t>
      </w:r>
      <w:r w:rsidR="00D95F34" w:rsidRPr="009C5E54">
        <w:rPr>
          <w:rFonts w:ascii="Georgia" w:hAnsi="Georgia" w:cs="Calibri"/>
          <w:lang w:val="en-GB"/>
        </w:rPr>
        <w:t>facilitate the participation of </w:t>
      </w:r>
      <w:r w:rsidRPr="009C5E54">
        <w:rPr>
          <w:rFonts w:ascii="Georgia" w:hAnsi="Georgia" w:cs="Calibri"/>
          <w:lang w:val="en-GB"/>
        </w:rPr>
        <w:t xml:space="preserve">states in the reviews and dialogues, though </w:t>
      </w:r>
      <w:r w:rsidR="00FB3580" w:rsidRPr="009C5E54">
        <w:rPr>
          <w:rFonts w:ascii="Georgia" w:hAnsi="Georgia" w:cs="Calibri"/>
          <w:lang w:val="en-GB"/>
        </w:rPr>
        <w:t xml:space="preserve">the Czech Republic </w:t>
      </w:r>
      <w:r w:rsidRPr="009C5E54">
        <w:rPr>
          <w:rFonts w:ascii="Georgia" w:hAnsi="Georgia" w:cs="Calibri"/>
          <w:lang w:val="en-GB"/>
        </w:rPr>
        <w:t>agrees that the core work should re</w:t>
      </w:r>
      <w:r w:rsidR="009C5E54">
        <w:rPr>
          <w:rFonts w:ascii="Georgia" w:hAnsi="Georgia" w:cs="Calibri"/>
          <w:lang w:val="en-GB"/>
        </w:rPr>
        <w:t>main personal communication and </w:t>
      </w:r>
      <w:r w:rsidRPr="009C5E54">
        <w:rPr>
          <w:rFonts w:ascii="Georgia" w:hAnsi="Georgia" w:cs="Calibri"/>
          <w:lang w:val="en-GB"/>
        </w:rPr>
        <w:t xml:space="preserve">contact, as soon as the pandemic situation allows. </w:t>
      </w:r>
    </w:p>
    <w:p w:rsidR="00A42826" w:rsidRPr="009C5E54" w:rsidRDefault="00F47926" w:rsidP="00FB3C9C">
      <w:pPr>
        <w:jc w:val="both"/>
        <w:rPr>
          <w:rFonts w:ascii="Georgia" w:hAnsi="Georgia" w:cs="Calibri"/>
          <w:lang w:val="en-GB"/>
        </w:rPr>
      </w:pPr>
      <w:r w:rsidRPr="009C5E54">
        <w:rPr>
          <w:rFonts w:ascii="Georgia" w:hAnsi="Georgia"/>
          <w:lang w:val="en-US"/>
        </w:rPr>
        <w:t xml:space="preserve">We wish to recall </w:t>
      </w:r>
      <w:r w:rsidR="00FB3580" w:rsidRPr="009C5E54">
        <w:rPr>
          <w:rFonts w:ascii="Georgia" w:hAnsi="Georgia"/>
          <w:lang w:val="en-US"/>
        </w:rPr>
        <w:t xml:space="preserve">the </w:t>
      </w:r>
      <w:r w:rsidRPr="009C5E54">
        <w:rPr>
          <w:rFonts w:ascii="Georgia" w:hAnsi="Georgia"/>
          <w:lang w:val="en-US"/>
        </w:rPr>
        <w:t xml:space="preserve">recommendation to provide appropriate </w:t>
      </w:r>
      <w:r w:rsidRPr="009C5E54">
        <w:rPr>
          <w:rFonts w:ascii="Georgia" w:hAnsi="Georgia"/>
          <w:b/>
          <w:lang w:val="en-US"/>
        </w:rPr>
        <w:t>financial and technical support</w:t>
      </w:r>
      <w:r w:rsidR="00D95F34" w:rsidRPr="009C5E54">
        <w:rPr>
          <w:rFonts w:ascii="Georgia" w:hAnsi="Georgia"/>
          <w:lang w:val="en-US"/>
        </w:rPr>
        <w:t xml:space="preserve"> so as </w:t>
      </w:r>
      <w:r w:rsidRPr="009C5E54">
        <w:rPr>
          <w:rFonts w:ascii="Georgia" w:hAnsi="Georgia"/>
          <w:lang w:val="en-US"/>
        </w:rPr>
        <w:t xml:space="preserve">the participation at remote meetings is accessible to highly qualified experts. </w:t>
      </w:r>
      <w:r w:rsidR="00FB3C9C" w:rsidRPr="009C5E54">
        <w:rPr>
          <w:rFonts w:ascii="Georgia" w:hAnsi="Georgia" w:cs="Calibri"/>
          <w:lang w:val="en-GB"/>
        </w:rPr>
        <w:t xml:space="preserve">Remote participation could also enhance the engagement with other stakeholders like CSOs with limited capacities and resources to meet with </w:t>
      </w:r>
      <w:r w:rsidR="00807602" w:rsidRPr="009C5E54">
        <w:rPr>
          <w:rFonts w:ascii="Georgia" w:hAnsi="Georgia" w:cs="Calibri"/>
          <w:lang w:val="en-GB"/>
        </w:rPr>
        <w:t>Treaty Bodies</w:t>
      </w:r>
      <w:r w:rsidR="00FB3C9C" w:rsidRPr="009C5E54">
        <w:rPr>
          <w:rFonts w:ascii="Georgia" w:hAnsi="Georgia" w:cs="Calibri"/>
          <w:lang w:val="en-GB"/>
        </w:rPr>
        <w:t xml:space="preserve"> in Geneva. </w:t>
      </w:r>
      <w:r w:rsidR="00D95F34" w:rsidRPr="009C5E54">
        <w:rPr>
          <w:rFonts w:ascii="Georgia" w:hAnsi="Georgia" w:cs="Calibri"/>
          <w:lang w:val="en-GB"/>
        </w:rPr>
        <w:t>A new OHCHR instrument “Digital </w:t>
      </w:r>
      <w:r w:rsidR="00125462" w:rsidRPr="009C5E54">
        <w:rPr>
          <w:rFonts w:ascii="Georgia" w:hAnsi="Georgia" w:cs="Calibri"/>
          <w:lang w:val="en-GB"/>
        </w:rPr>
        <w:t xml:space="preserve">Uplift” for digitalization of treaty bodies’ work would also deserve </w:t>
      </w:r>
      <w:r w:rsidR="009C5E54">
        <w:rPr>
          <w:rFonts w:ascii="Georgia" w:hAnsi="Georgia" w:cs="Calibri"/>
          <w:lang w:val="en-GB"/>
        </w:rPr>
        <w:t>a </w:t>
      </w:r>
      <w:r w:rsidR="00125462" w:rsidRPr="009C5E54">
        <w:rPr>
          <w:rFonts w:ascii="Georgia" w:hAnsi="Georgia" w:cs="Calibri"/>
          <w:lang w:val="en-GB"/>
        </w:rPr>
        <w:t xml:space="preserve">financial support. </w:t>
      </w:r>
    </w:p>
    <w:p w:rsidR="00560A7D" w:rsidRPr="009C5E54" w:rsidRDefault="00560A7D" w:rsidP="00560A7D">
      <w:pPr>
        <w:jc w:val="both"/>
        <w:rPr>
          <w:rFonts w:ascii="Georgia" w:hAnsi="Georgia"/>
          <w:lang w:val="en-US"/>
        </w:rPr>
      </w:pPr>
      <w:r w:rsidRPr="009C5E54">
        <w:rPr>
          <w:rFonts w:ascii="Georgia" w:hAnsi="Georgia"/>
          <w:lang w:val="en-US"/>
        </w:rPr>
        <w:t xml:space="preserve">As regards the </w:t>
      </w:r>
      <w:r w:rsidRPr="009C5E54">
        <w:rPr>
          <w:rFonts w:ascii="Georgia" w:hAnsi="Georgia"/>
          <w:b/>
          <w:lang w:val="en-US"/>
        </w:rPr>
        <w:t>individual communications instrument</w:t>
      </w:r>
      <w:r w:rsidRPr="009C5E54">
        <w:rPr>
          <w:rFonts w:ascii="Georgia" w:hAnsi="Georgia"/>
          <w:lang w:val="en-US"/>
        </w:rPr>
        <w:t xml:space="preserve"> </w:t>
      </w:r>
      <w:r w:rsidR="0055098B" w:rsidRPr="009C5E54">
        <w:rPr>
          <w:rFonts w:ascii="Georgia" w:hAnsi="Georgia"/>
          <w:lang w:val="en-US"/>
        </w:rPr>
        <w:t>the Czech R</w:t>
      </w:r>
      <w:r w:rsidRPr="009C5E54">
        <w:rPr>
          <w:rFonts w:ascii="Georgia" w:hAnsi="Georgia"/>
          <w:lang w:val="en-US"/>
        </w:rPr>
        <w:t xml:space="preserve">epublic </w:t>
      </w:r>
      <w:r w:rsidR="009C5E54">
        <w:rPr>
          <w:rFonts w:ascii="Georgia" w:hAnsi="Georgia"/>
          <w:lang w:val="en-US"/>
        </w:rPr>
        <w:t>wishes to </w:t>
      </w:r>
      <w:r w:rsidRPr="009C5E54">
        <w:rPr>
          <w:rFonts w:ascii="Georgia" w:hAnsi="Georgia"/>
          <w:lang w:val="en-US"/>
        </w:rPr>
        <w:t>recommend</w:t>
      </w:r>
      <w:r w:rsidR="00D95F34" w:rsidRPr="009C5E54">
        <w:rPr>
          <w:rFonts w:ascii="Georgia" w:hAnsi="Georgia"/>
          <w:lang w:val="en-US"/>
        </w:rPr>
        <w:t xml:space="preserve"> that </w:t>
      </w:r>
      <w:r w:rsidRPr="009C5E54">
        <w:rPr>
          <w:rFonts w:ascii="Georgia" w:hAnsi="Georgia"/>
          <w:lang w:val="en-US"/>
        </w:rPr>
        <w:t>HRTBs formally close examined cases after a State party provides</w:t>
      </w:r>
      <w:r w:rsidR="009C5E54">
        <w:rPr>
          <w:rFonts w:ascii="Georgia" w:hAnsi="Georgia"/>
          <w:lang w:val="en-US"/>
        </w:rPr>
        <w:t xml:space="preserve"> a </w:t>
      </w:r>
      <w:r w:rsidRPr="009C5E54">
        <w:rPr>
          <w:rFonts w:ascii="Georgia" w:hAnsi="Georgia"/>
          <w:lang w:val="en-US"/>
        </w:rPr>
        <w:t>comprehensive explanation</w:t>
      </w:r>
      <w:r w:rsidR="0055098B" w:rsidRPr="009C5E54">
        <w:rPr>
          <w:rFonts w:ascii="Georgia" w:hAnsi="Georgia"/>
          <w:lang w:val="en-US"/>
        </w:rPr>
        <w:t>,</w:t>
      </w:r>
      <w:r w:rsidRPr="009C5E54">
        <w:rPr>
          <w:rFonts w:ascii="Georgia" w:hAnsi="Georgia"/>
          <w:lang w:val="en-US"/>
        </w:rPr>
        <w:t xml:space="preserve"> followed by the phase of administrative control of</w:t>
      </w:r>
      <w:r w:rsidR="0055098B" w:rsidRPr="009C5E54">
        <w:rPr>
          <w:rFonts w:ascii="Georgia" w:hAnsi="Georgia"/>
          <w:lang w:val="en-US"/>
        </w:rPr>
        <w:t xml:space="preserve"> the fulfillment of commitments</w:t>
      </w:r>
      <w:r w:rsidRPr="009C5E54">
        <w:rPr>
          <w:rFonts w:ascii="Georgia" w:hAnsi="Georgia"/>
          <w:lang w:val="en-US"/>
        </w:rPr>
        <w:t xml:space="preserve">. Regular consultations between the Chairs and the State parties when examining individual communications would </w:t>
      </w:r>
      <w:r w:rsidR="0055098B" w:rsidRPr="009C5E54">
        <w:rPr>
          <w:rFonts w:ascii="Georgia" w:hAnsi="Georgia"/>
          <w:lang w:val="en-US"/>
        </w:rPr>
        <w:t>contribute to enhancing</w:t>
      </w:r>
      <w:r w:rsidRPr="009C5E54">
        <w:rPr>
          <w:rFonts w:ascii="Georgia" w:hAnsi="Georgia"/>
          <w:lang w:val="en-US"/>
        </w:rPr>
        <w:t xml:space="preserve"> mutual trust and</w:t>
      </w:r>
      <w:r w:rsidR="009C5E54">
        <w:rPr>
          <w:rFonts w:ascii="Georgia" w:hAnsi="Georgia"/>
          <w:lang w:val="en-US"/>
        </w:rPr>
        <w:t> </w:t>
      </w:r>
      <w:bookmarkStart w:id="0" w:name="_GoBack"/>
      <w:bookmarkEnd w:id="0"/>
      <w:r w:rsidR="0009775C" w:rsidRPr="009C5E54">
        <w:rPr>
          <w:rFonts w:ascii="Georgia" w:hAnsi="Georgia"/>
          <w:lang w:val="en-US"/>
        </w:rPr>
        <w:t>ensuring righteous</w:t>
      </w:r>
      <w:r w:rsidRPr="009C5E54">
        <w:rPr>
          <w:rFonts w:ascii="Georgia" w:hAnsi="Georgia"/>
          <w:lang w:val="en-US"/>
        </w:rPr>
        <w:t xml:space="preserve"> and rational conclusions.</w:t>
      </w:r>
    </w:p>
    <w:p w:rsidR="00FB3C9C" w:rsidRPr="009C5E54" w:rsidRDefault="00FB3C9C" w:rsidP="00FB3C9C">
      <w:pPr>
        <w:jc w:val="both"/>
        <w:rPr>
          <w:rFonts w:ascii="Georgia" w:hAnsi="Georgia" w:cs="Calibri"/>
          <w:lang w:val="en-GB"/>
        </w:rPr>
      </w:pPr>
      <w:r w:rsidRPr="009C5E54">
        <w:rPr>
          <w:rFonts w:ascii="Georgia" w:hAnsi="Georgia" w:cs="Calibri"/>
          <w:lang w:val="en-GB"/>
        </w:rPr>
        <w:t xml:space="preserve">The idea of </w:t>
      </w:r>
      <w:r w:rsidRPr="009C5E54">
        <w:rPr>
          <w:rFonts w:ascii="Georgia" w:hAnsi="Georgia" w:cs="Calibri"/>
          <w:b/>
          <w:lang w:val="en-GB"/>
        </w:rPr>
        <w:t>replacing the reports with in-situ visits of Treaty Body members in State Parties</w:t>
      </w:r>
      <w:r w:rsidR="00D95F34" w:rsidRPr="009C5E54">
        <w:rPr>
          <w:rFonts w:ascii="Georgia" w:hAnsi="Georgia" w:cs="Calibri"/>
          <w:lang w:val="en-GB"/>
        </w:rPr>
        <w:t xml:space="preserve"> may be </w:t>
      </w:r>
      <w:r w:rsidRPr="009C5E54">
        <w:rPr>
          <w:rFonts w:ascii="Georgia" w:hAnsi="Georgia" w:cs="Calibri"/>
          <w:lang w:val="en-GB"/>
        </w:rPr>
        <w:t xml:space="preserve">an interesting innovation. However, more details </w:t>
      </w:r>
      <w:proofErr w:type="gramStart"/>
      <w:r w:rsidRPr="009C5E54">
        <w:rPr>
          <w:rFonts w:ascii="Georgia" w:hAnsi="Georgia" w:cs="Calibri"/>
          <w:lang w:val="en-GB"/>
        </w:rPr>
        <w:t>should be discussed</w:t>
      </w:r>
      <w:proofErr w:type="gramEnd"/>
      <w:r w:rsidRPr="009C5E54">
        <w:rPr>
          <w:rFonts w:ascii="Georgia" w:hAnsi="Georgia" w:cs="Calibri"/>
          <w:lang w:val="en-GB"/>
        </w:rPr>
        <w:t>, including possible benefits as well as the organisational and financial implications.</w:t>
      </w:r>
    </w:p>
    <w:p w:rsidR="00FB3C9C" w:rsidRPr="009C5E54" w:rsidRDefault="00A42826" w:rsidP="00FB3C9C">
      <w:pPr>
        <w:jc w:val="both"/>
        <w:rPr>
          <w:rFonts w:ascii="Georgia" w:hAnsi="Georgia" w:cs="Calibri"/>
          <w:lang w:val="en-GB"/>
        </w:rPr>
      </w:pPr>
      <w:r w:rsidRPr="009C5E54">
        <w:rPr>
          <w:rFonts w:ascii="Georgia" w:hAnsi="Georgia" w:cs="Calibri"/>
          <w:lang w:val="en-GB"/>
        </w:rPr>
        <w:t>In conclusion</w:t>
      </w:r>
      <w:r w:rsidR="00FB3C9C" w:rsidRPr="009C5E54">
        <w:rPr>
          <w:rFonts w:ascii="Georgia" w:hAnsi="Georgia" w:cs="Calibri"/>
          <w:lang w:val="en-GB"/>
        </w:rPr>
        <w:t xml:space="preserve">, the Czech Republic would like to express its support for the Treaty Body Strengthening Process and its </w:t>
      </w:r>
      <w:r w:rsidR="00D122AA" w:rsidRPr="009C5E54">
        <w:rPr>
          <w:rFonts w:ascii="Georgia" w:hAnsi="Georgia" w:cs="Calibri"/>
          <w:lang w:val="en-GB"/>
        </w:rPr>
        <w:t>readiness</w:t>
      </w:r>
      <w:r w:rsidR="00FB3C9C" w:rsidRPr="009C5E54">
        <w:rPr>
          <w:rFonts w:ascii="Georgia" w:hAnsi="Georgia" w:cs="Calibri"/>
          <w:lang w:val="en-GB"/>
        </w:rPr>
        <w:t xml:space="preserve"> of future engagement and participation. </w:t>
      </w:r>
    </w:p>
    <w:p w:rsidR="00FB3580" w:rsidRPr="009C5E54" w:rsidRDefault="00FB3580" w:rsidP="00FB3C9C">
      <w:pPr>
        <w:jc w:val="both"/>
        <w:rPr>
          <w:rFonts w:ascii="Georgia" w:hAnsi="Georgia" w:cs="Calibri"/>
          <w:lang w:val="en-GB"/>
        </w:rPr>
      </w:pPr>
    </w:p>
    <w:sectPr w:rsidR="00FB3580" w:rsidRPr="009C5E5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63A" w:rsidRDefault="007A363A" w:rsidP="007A363A">
      <w:pPr>
        <w:spacing w:after="0" w:line="240" w:lineRule="auto"/>
      </w:pPr>
      <w:r>
        <w:separator/>
      </w:r>
    </w:p>
  </w:endnote>
  <w:endnote w:type="continuationSeparator" w:id="0">
    <w:p w:rsidR="007A363A" w:rsidRDefault="007A363A" w:rsidP="007A3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63A" w:rsidRDefault="007A363A" w:rsidP="007A363A">
      <w:pPr>
        <w:spacing w:after="0" w:line="240" w:lineRule="auto"/>
      </w:pPr>
      <w:r>
        <w:separator/>
      </w:r>
    </w:p>
  </w:footnote>
  <w:footnote w:type="continuationSeparator" w:id="0">
    <w:p w:rsidR="007A363A" w:rsidRDefault="007A363A" w:rsidP="007A3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19E" w:rsidRPr="009C5E54" w:rsidRDefault="0037619E">
    <w:pPr>
      <w:pStyle w:val="Zhlav"/>
      <w:rPr>
        <w:rFonts w:ascii="Georgia" w:hAnsi="Georgia" w:cs="Times New Roman"/>
        <w:i/>
      </w:rPr>
    </w:pPr>
    <w:proofErr w:type="spellStart"/>
    <w:r w:rsidRPr="009C5E54">
      <w:rPr>
        <w:rFonts w:ascii="Georgia" w:hAnsi="Georgia" w:cs="Times New Roman"/>
        <w:i/>
      </w:rPr>
      <w:t>Annex</w:t>
    </w:r>
    <w:proofErr w:type="spellEnd"/>
    <w:r w:rsidRPr="009C5E54">
      <w:rPr>
        <w:rFonts w:ascii="Georgia" w:hAnsi="Georgia" w:cs="Times New Roman"/>
        <w:i/>
      </w:rPr>
      <w:t xml:space="preserve"> to </w:t>
    </w:r>
    <w:proofErr w:type="spellStart"/>
    <w:r w:rsidRPr="009C5E54">
      <w:rPr>
        <w:rFonts w:ascii="Georgia" w:hAnsi="Georgia" w:cs="Times New Roman"/>
        <w:i/>
      </w:rPr>
      <w:t>Note</w:t>
    </w:r>
    <w:proofErr w:type="spellEnd"/>
    <w:r w:rsidRPr="009C5E54">
      <w:rPr>
        <w:rFonts w:ascii="Georgia" w:hAnsi="Georgia" w:cs="Times New Roman"/>
        <w:i/>
      </w:rPr>
      <w:t xml:space="preserve"> </w:t>
    </w:r>
    <w:proofErr w:type="spellStart"/>
    <w:r w:rsidRPr="009C5E54">
      <w:rPr>
        <w:rFonts w:ascii="Georgia" w:hAnsi="Georgia" w:cs="Times New Roman"/>
        <w:i/>
      </w:rPr>
      <w:t>Verbale</w:t>
    </w:r>
    <w:proofErr w:type="spellEnd"/>
    <w:r w:rsidRPr="009C5E54">
      <w:rPr>
        <w:rFonts w:ascii="Georgia" w:hAnsi="Georgia" w:cs="Times New Roman"/>
        <w:i/>
      </w:rPr>
      <w:t xml:space="preserve"> No. 1068-1/2022-ZENE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576EF8"/>
    <w:multiLevelType w:val="hybridMultilevel"/>
    <w:tmpl w:val="1AE62E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700"/>
    <w:rsid w:val="000844CC"/>
    <w:rsid w:val="000874B5"/>
    <w:rsid w:val="0009775C"/>
    <w:rsid w:val="000C1ADA"/>
    <w:rsid w:val="00125462"/>
    <w:rsid w:val="00154595"/>
    <w:rsid w:val="0017107D"/>
    <w:rsid w:val="001B5648"/>
    <w:rsid w:val="002C08E0"/>
    <w:rsid w:val="002E4C61"/>
    <w:rsid w:val="00302C69"/>
    <w:rsid w:val="003378D5"/>
    <w:rsid w:val="00367745"/>
    <w:rsid w:val="00375653"/>
    <w:rsid w:val="0037619E"/>
    <w:rsid w:val="003F34A0"/>
    <w:rsid w:val="00496589"/>
    <w:rsid w:val="00525C0C"/>
    <w:rsid w:val="00542FA5"/>
    <w:rsid w:val="0055098B"/>
    <w:rsid w:val="00560A7D"/>
    <w:rsid w:val="005B350D"/>
    <w:rsid w:val="005C44DF"/>
    <w:rsid w:val="00602BB3"/>
    <w:rsid w:val="00681C18"/>
    <w:rsid w:val="006D4B8D"/>
    <w:rsid w:val="00716667"/>
    <w:rsid w:val="007A363A"/>
    <w:rsid w:val="007D2EDE"/>
    <w:rsid w:val="007E23B1"/>
    <w:rsid w:val="00807602"/>
    <w:rsid w:val="00814151"/>
    <w:rsid w:val="0082266F"/>
    <w:rsid w:val="00881D5E"/>
    <w:rsid w:val="008964F2"/>
    <w:rsid w:val="008B16E8"/>
    <w:rsid w:val="008F201D"/>
    <w:rsid w:val="009C5E54"/>
    <w:rsid w:val="00A42826"/>
    <w:rsid w:val="00A46FE1"/>
    <w:rsid w:val="00B472FF"/>
    <w:rsid w:val="00B92700"/>
    <w:rsid w:val="00D122AA"/>
    <w:rsid w:val="00D80B03"/>
    <w:rsid w:val="00D95F34"/>
    <w:rsid w:val="00DA21C8"/>
    <w:rsid w:val="00E6483B"/>
    <w:rsid w:val="00EE33EA"/>
    <w:rsid w:val="00F40715"/>
    <w:rsid w:val="00F47926"/>
    <w:rsid w:val="00F874A5"/>
    <w:rsid w:val="00FB3580"/>
    <w:rsid w:val="00FB3C9C"/>
    <w:rsid w:val="00FD10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26443"/>
  <w15:docId w15:val="{DA5C89DB-8FFF-4AC0-A361-87E2D108F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B3C9C"/>
    <w:pPr>
      <w:ind w:left="720"/>
      <w:contextualSpacing/>
    </w:pPr>
  </w:style>
  <w:style w:type="character" w:styleId="Odkaznakoment">
    <w:name w:val="annotation reference"/>
    <w:basedOn w:val="Standardnpsmoodstavce"/>
    <w:uiPriority w:val="99"/>
    <w:semiHidden/>
    <w:unhideWhenUsed/>
    <w:rsid w:val="00367745"/>
    <w:rPr>
      <w:sz w:val="16"/>
      <w:szCs w:val="16"/>
    </w:rPr>
  </w:style>
  <w:style w:type="paragraph" w:styleId="Textkomente">
    <w:name w:val="annotation text"/>
    <w:basedOn w:val="Normln"/>
    <w:link w:val="TextkomenteChar"/>
    <w:uiPriority w:val="99"/>
    <w:semiHidden/>
    <w:unhideWhenUsed/>
    <w:rsid w:val="00367745"/>
    <w:pPr>
      <w:spacing w:line="240" w:lineRule="auto"/>
    </w:pPr>
    <w:rPr>
      <w:sz w:val="20"/>
      <w:szCs w:val="20"/>
    </w:rPr>
  </w:style>
  <w:style w:type="character" w:customStyle="1" w:styleId="TextkomenteChar">
    <w:name w:val="Text komentáře Char"/>
    <w:basedOn w:val="Standardnpsmoodstavce"/>
    <w:link w:val="Textkomente"/>
    <w:uiPriority w:val="99"/>
    <w:semiHidden/>
    <w:rsid w:val="00367745"/>
    <w:rPr>
      <w:sz w:val="20"/>
      <w:szCs w:val="20"/>
    </w:rPr>
  </w:style>
  <w:style w:type="paragraph" w:styleId="Pedmtkomente">
    <w:name w:val="annotation subject"/>
    <w:basedOn w:val="Textkomente"/>
    <w:next w:val="Textkomente"/>
    <w:link w:val="PedmtkomenteChar"/>
    <w:uiPriority w:val="99"/>
    <w:semiHidden/>
    <w:unhideWhenUsed/>
    <w:rsid w:val="00367745"/>
    <w:rPr>
      <w:b/>
      <w:bCs/>
    </w:rPr>
  </w:style>
  <w:style w:type="character" w:customStyle="1" w:styleId="PedmtkomenteChar">
    <w:name w:val="Předmět komentáře Char"/>
    <w:basedOn w:val="TextkomenteChar"/>
    <w:link w:val="Pedmtkomente"/>
    <w:uiPriority w:val="99"/>
    <w:semiHidden/>
    <w:rsid w:val="00367745"/>
    <w:rPr>
      <w:b/>
      <w:bCs/>
      <w:sz w:val="20"/>
      <w:szCs w:val="20"/>
    </w:rPr>
  </w:style>
  <w:style w:type="paragraph" w:styleId="Textbubliny">
    <w:name w:val="Balloon Text"/>
    <w:basedOn w:val="Normln"/>
    <w:link w:val="TextbublinyChar"/>
    <w:uiPriority w:val="99"/>
    <w:semiHidden/>
    <w:unhideWhenUsed/>
    <w:rsid w:val="0036774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67745"/>
    <w:rPr>
      <w:rFonts w:ascii="Tahoma" w:hAnsi="Tahoma" w:cs="Tahoma"/>
      <w:sz w:val="16"/>
      <w:szCs w:val="16"/>
    </w:rPr>
  </w:style>
  <w:style w:type="paragraph" w:styleId="Textvysvtlivek">
    <w:name w:val="endnote text"/>
    <w:basedOn w:val="Normln"/>
    <w:link w:val="TextvysvtlivekChar"/>
    <w:uiPriority w:val="99"/>
    <w:semiHidden/>
    <w:unhideWhenUsed/>
    <w:rsid w:val="007A363A"/>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7A363A"/>
    <w:rPr>
      <w:sz w:val="20"/>
      <w:szCs w:val="20"/>
    </w:rPr>
  </w:style>
  <w:style w:type="character" w:styleId="Odkaznavysvtlivky">
    <w:name w:val="endnote reference"/>
    <w:basedOn w:val="Standardnpsmoodstavce"/>
    <w:uiPriority w:val="99"/>
    <w:semiHidden/>
    <w:unhideWhenUsed/>
    <w:rsid w:val="007A363A"/>
    <w:rPr>
      <w:vertAlign w:val="superscript"/>
    </w:rPr>
  </w:style>
  <w:style w:type="paragraph" w:styleId="Zhlav">
    <w:name w:val="header"/>
    <w:basedOn w:val="Normln"/>
    <w:link w:val="ZhlavChar"/>
    <w:uiPriority w:val="99"/>
    <w:unhideWhenUsed/>
    <w:rsid w:val="003761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619E"/>
  </w:style>
  <w:style w:type="paragraph" w:styleId="Zpat">
    <w:name w:val="footer"/>
    <w:basedOn w:val="Normln"/>
    <w:link w:val="ZpatChar"/>
    <w:uiPriority w:val="99"/>
    <w:unhideWhenUsed/>
    <w:rsid w:val="0037619E"/>
    <w:pPr>
      <w:tabs>
        <w:tab w:val="center" w:pos="4536"/>
        <w:tab w:val="right" w:pos="9072"/>
      </w:tabs>
      <w:spacing w:after="0" w:line="240" w:lineRule="auto"/>
    </w:pPr>
  </w:style>
  <w:style w:type="character" w:customStyle="1" w:styleId="ZpatChar">
    <w:name w:val="Zápatí Char"/>
    <w:basedOn w:val="Standardnpsmoodstavce"/>
    <w:link w:val="Zpat"/>
    <w:uiPriority w:val="99"/>
    <w:rsid w:val="00376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B2B327-1153-42C2-8263-E2E5CCDA8FD3}">
  <ds:schemaRefs>
    <ds:schemaRef ds:uri="http://schemas.openxmlformats.org/officeDocument/2006/bibliography"/>
  </ds:schemaRefs>
</ds:datastoreItem>
</file>

<file path=customXml/itemProps2.xml><?xml version="1.0" encoding="utf-8"?>
<ds:datastoreItem xmlns:ds="http://schemas.openxmlformats.org/officeDocument/2006/customXml" ds:itemID="{C6B5F526-F9C0-4655-9244-0CAE83B1F114}"/>
</file>

<file path=customXml/itemProps3.xml><?xml version="1.0" encoding="utf-8"?>
<ds:datastoreItem xmlns:ds="http://schemas.openxmlformats.org/officeDocument/2006/customXml" ds:itemID="{F594196C-7154-4B28-956F-969890C0774C}"/>
</file>

<file path=customXml/itemProps4.xml><?xml version="1.0" encoding="utf-8"?>
<ds:datastoreItem xmlns:ds="http://schemas.openxmlformats.org/officeDocument/2006/customXml" ds:itemID="{096993B2-A519-491E-A079-D2251CD17CB5}"/>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5104</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BRODSKÁ Hana</dc:creator>
  <cp:keywords/>
  <dc:description/>
  <cp:lastModifiedBy>Ludvík EGER</cp:lastModifiedBy>
  <cp:revision>5</cp:revision>
  <dcterms:created xsi:type="dcterms:W3CDTF">2022-02-02T13:03:00Z</dcterms:created>
  <dcterms:modified xsi:type="dcterms:W3CDTF">2022-02-02T13:19:00Z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