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F2E9" w14:textId="77777777" w:rsidR="0060723B" w:rsidRPr="007E1EEE" w:rsidRDefault="0060723B" w:rsidP="00A12001">
      <w:pPr>
        <w:jc w:val="center"/>
        <w:rPr>
          <w:b/>
          <w:lang w:val="en-GB"/>
        </w:rPr>
      </w:pPr>
      <w:r w:rsidRPr="007E1EEE">
        <w:rPr>
          <w:b/>
          <w:lang w:val="en-GB"/>
        </w:rPr>
        <w:t xml:space="preserve">Response by the Republic of Lithuania </w:t>
      </w:r>
    </w:p>
    <w:p w14:paraId="1ECAD295" w14:textId="1462990F" w:rsidR="0060723B" w:rsidRPr="007E1EEE" w:rsidRDefault="0060723B" w:rsidP="00A12001">
      <w:pPr>
        <w:jc w:val="center"/>
        <w:rPr>
          <w:b/>
          <w:lang w:val="en-GB"/>
        </w:rPr>
      </w:pPr>
      <w:proofErr w:type="gramStart"/>
      <w:r w:rsidRPr="007E1EEE">
        <w:rPr>
          <w:b/>
          <w:lang w:val="en-GB"/>
        </w:rPr>
        <w:t>to</w:t>
      </w:r>
      <w:proofErr w:type="gramEnd"/>
      <w:r w:rsidRPr="007E1EEE">
        <w:rPr>
          <w:b/>
          <w:lang w:val="en-GB"/>
        </w:rPr>
        <w:t xml:space="preserve"> the questionnaire in relation to the General Assembly resolution 68/268 </w:t>
      </w:r>
      <w:r w:rsidRPr="007E1EEE">
        <w:rPr>
          <w:b/>
          <w:lang w:val="en-GB"/>
        </w:rPr>
        <w:br/>
        <w:t>on the Treaty Body Strengthening Process</w:t>
      </w:r>
    </w:p>
    <w:p w14:paraId="376BA5EF" w14:textId="77777777" w:rsidR="00326A5E" w:rsidRPr="007E1EEE" w:rsidRDefault="00326A5E" w:rsidP="00A12001">
      <w:pPr>
        <w:jc w:val="center"/>
        <w:rPr>
          <w:b/>
          <w:lang w:val="en-GB"/>
        </w:rPr>
      </w:pPr>
    </w:p>
    <w:p w14:paraId="6F75EF93" w14:textId="174EF96C" w:rsidR="00E46007" w:rsidRPr="007E1EEE" w:rsidRDefault="00326A5E" w:rsidP="00A12001">
      <w:pPr>
        <w:tabs>
          <w:tab w:val="left" w:pos="5370"/>
        </w:tabs>
        <w:jc w:val="center"/>
        <w:rPr>
          <w:b/>
          <w:lang w:val="en-GB"/>
        </w:rPr>
      </w:pPr>
      <w:r w:rsidRPr="007E1EEE">
        <w:rPr>
          <w:b/>
          <w:lang w:val="en-GB"/>
        </w:rPr>
        <w:t>February 2022</w:t>
      </w:r>
    </w:p>
    <w:p w14:paraId="16120D57" w14:textId="77777777" w:rsidR="00E46007" w:rsidRPr="007E1EEE" w:rsidRDefault="00E46007" w:rsidP="00A12001">
      <w:pPr>
        <w:tabs>
          <w:tab w:val="left" w:pos="5370"/>
        </w:tabs>
        <w:rPr>
          <w:b/>
          <w:lang w:val="en-GB"/>
        </w:rPr>
      </w:pPr>
    </w:p>
    <w:p w14:paraId="46200B30" w14:textId="65593789" w:rsidR="007F1173" w:rsidRPr="007E1EEE" w:rsidRDefault="00EB335A" w:rsidP="00A12001">
      <w:pPr>
        <w:tabs>
          <w:tab w:val="left" w:pos="5370"/>
        </w:tabs>
        <w:jc w:val="both"/>
        <w:rPr>
          <w:bCs/>
          <w:lang w:val="en-GB"/>
        </w:rPr>
      </w:pPr>
      <w:r w:rsidRPr="007E1EEE">
        <w:rPr>
          <w:bCs/>
          <w:lang w:val="en-GB"/>
        </w:rPr>
        <w:t>International protection of human rights</w:t>
      </w:r>
      <w:r w:rsidR="00E02158" w:rsidRPr="007E1EEE">
        <w:rPr>
          <w:bCs/>
          <w:lang w:val="en-GB"/>
        </w:rPr>
        <w:t xml:space="preserve"> is a</w:t>
      </w:r>
      <w:r w:rsidR="002B4FDC" w:rsidRPr="007E1EEE">
        <w:rPr>
          <w:bCs/>
          <w:lang w:val="en-GB"/>
        </w:rPr>
        <w:t>t the</w:t>
      </w:r>
      <w:r w:rsidR="00E02158" w:rsidRPr="007E1EEE">
        <w:rPr>
          <w:bCs/>
          <w:lang w:val="en-GB"/>
        </w:rPr>
        <w:t xml:space="preserve"> pivot of the United Nations human rights treaty body system. </w:t>
      </w:r>
      <w:r w:rsidR="00504AED" w:rsidRPr="007E1EEE">
        <w:rPr>
          <w:bCs/>
          <w:lang w:val="en-GB"/>
        </w:rPr>
        <w:t>Therefore</w:t>
      </w:r>
      <w:r w:rsidR="005B2561">
        <w:rPr>
          <w:bCs/>
          <w:lang w:val="en-GB"/>
        </w:rPr>
        <w:t>,</w:t>
      </w:r>
      <w:r w:rsidR="00504AED" w:rsidRPr="007E1EEE">
        <w:rPr>
          <w:bCs/>
          <w:lang w:val="en-GB"/>
        </w:rPr>
        <w:t xml:space="preserve"> </w:t>
      </w:r>
      <w:r w:rsidR="00B02D43" w:rsidRPr="007E1EEE">
        <w:rPr>
          <w:bCs/>
          <w:lang w:val="en-GB"/>
        </w:rPr>
        <w:t xml:space="preserve">Lithuania strongly supports efforts to strengthen treaty body system and to enhance its efficiency, effectiveness and predictability. </w:t>
      </w:r>
      <w:r w:rsidR="00504AED" w:rsidRPr="007E1EEE">
        <w:rPr>
          <w:bCs/>
          <w:lang w:val="en-GB"/>
        </w:rPr>
        <w:t xml:space="preserve">Lithuania </w:t>
      </w:r>
      <w:r w:rsidR="00504AED" w:rsidRPr="00504AED">
        <w:rPr>
          <w:rFonts w:eastAsia="Calibri"/>
          <w:lang w:val="en-GB"/>
        </w:rPr>
        <w:t xml:space="preserve">cooperates with the </w:t>
      </w:r>
      <w:r w:rsidR="00504AED" w:rsidRPr="007E1EEE">
        <w:rPr>
          <w:bCs/>
          <w:lang w:val="en-GB"/>
        </w:rPr>
        <w:t>United Nations human rights treaty body system</w:t>
      </w:r>
      <w:r w:rsidR="00504AED" w:rsidRPr="007E1EEE">
        <w:rPr>
          <w:rFonts w:eastAsia="Calibri"/>
          <w:lang w:val="en-GB"/>
        </w:rPr>
        <w:t xml:space="preserve"> </w:t>
      </w:r>
      <w:r w:rsidR="00504AED" w:rsidRPr="00504AED">
        <w:rPr>
          <w:rFonts w:eastAsia="Calibri"/>
          <w:lang w:val="en-GB"/>
        </w:rPr>
        <w:t xml:space="preserve">to the best extent possible </w:t>
      </w:r>
      <w:r w:rsidR="00A53D65" w:rsidRPr="007E1EEE">
        <w:rPr>
          <w:rFonts w:eastAsia="Calibri"/>
          <w:lang w:val="en-GB"/>
        </w:rPr>
        <w:t>fulfilling</w:t>
      </w:r>
      <w:r w:rsidR="00504AED" w:rsidRPr="00504AED">
        <w:rPr>
          <w:rFonts w:eastAsia="Calibri"/>
          <w:lang w:val="en-GB"/>
        </w:rPr>
        <w:t xml:space="preserve"> its </w:t>
      </w:r>
      <w:r w:rsidR="00504AED" w:rsidRPr="007E1EEE">
        <w:rPr>
          <w:rFonts w:eastAsia="Calibri"/>
          <w:lang w:val="en-GB"/>
        </w:rPr>
        <w:t xml:space="preserve">obligations, </w:t>
      </w:r>
      <w:r w:rsidR="00504AED" w:rsidRPr="00504AED">
        <w:rPr>
          <w:rFonts w:eastAsia="Calibri"/>
          <w:lang w:val="en-GB"/>
        </w:rPr>
        <w:t>cooperatin</w:t>
      </w:r>
      <w:r w:rsidR="00504AED" w:rsidRPr="007E1EEE">
        <w:rPr>
          <w:rFonts w:eastAsia="Calibri"/>
          <w:lang w:val="en-GB"/>
        </w:rPr>
        <w:t xml:space="preserve">g </w:t>
      </w:r>
      <w:r w:rsidR="005B2561">
        <w:rPr>
          <w:rFonts w:eastAsia="Calibri"/>
          <w:lang w:val="en-GB"/>
        </w:rPr>
        <w:t xml:space="preserve">with </w:t>
      </w:r>
      <w:r w:rsidR="00504AED" w:rsidRPr="007E1EEE">
        <w:rPr>
          <w:rFonts w:eastAsia="Calibri"/>
          <w:lang w:val="en-GB"/>
        </w:rPr>
        <w:t xml:space="preserve">and </w:t>
      </w:r>
      <w:r w:rsidR="00504AED" w:rsidRPr="00504AED">
        <w:rPr>
          <w:rFonts w:eastAsia="Calibri"/>
          <w:lang w:val="en-GB"/>
        </w:rPr>
        <w:t>support</w:t>
      </w:r>
      <w:r w:rsidR="00504AED" w:rsidRPr="007E1EEE">
        <w:rPr>
          <w:rFonts w:eastAsia="Calibri"/>
          <w:lang w:val="en-GB"/>
        </w:rPr>
        <w:t>ing</w:t>
      </w:r>
      <w:r w:rsidR="00504AED" w:rsidRPr="00504AED">
        <w:rPr>
          <w:rFonts w:eastAsia="Calibri"/>
          <w:lang w:val="en-GB"/>
        </w:rPr>
        <w:t xml:space="preserve"> the </w:t>
      </w:r>
      <w:r w:rsidR="00A53D65" w:rsidRPr="007E1EEE">
        <w:rPr>
          <w:rFonts w:eastAsia="Calibri"/>
          <w:lang w:val="en-GB"/>
        </w:rPr>
        <w:t xml:space="preserve">UN Human rights system. </w:t>
      </w:r>
      <w:r w:rsidR="007F1173" w:rsidRPr="006A43DE">
        <w:rPr>
          <w:bCs/>
          <w:lang w:val="en-GB"/>
        </w:rPr>
        <w:t>Lithuania is a state party to almost all of the United Nations core human rights instruments and their optional protocols.</w:t>
      </w:r>
    </w:p>
    <w:p w14:paraId="59CFDA5E" w14:textId="77777777" w:rsidR="007F1173" w:rsidRPr="007E1EEE" w:rsidRDefault="007F1173" w:rsidP="00A12001">
      <w:pPr>
        <w:tabs>
          <w:tab w:val="left" w:pos="5370"/>
        </w:tabs>
        <w:jc w:val="both"/>
        <w:rPr>
          <w:bCs/>
          <w:lang w:val="en-GB"/>
        </w:rPr>
      </w:pPr>
    </w:p>
    <w:p w14:paraId="0FBB8297" w14:textId="730387D8" w:rsidR="00446888" w:rsidRPr="007E1EEE" w:rsidRDefault="00E5132F" w:rsidP="00A12001">
      <w:pPr>
        <w:jc w:val="both"/>
        <w:rPr>
          <w:bCs/>
          <w:lang w:val="en-GB"/>
        </w:rPr>
      </w:pPr>
      <w:r w:rsidRPr="007E1EEE">
        <w:rPr>
          <w:bCs/>
          <w:lang w:val="en-GB"/>
        </w:rPr>
        <w:t>A</w:t>
      </w:r>
      <w:r w:rsidR="00FA75FA" w:rsidRPr="007E1EEE">
        <w:rPr>
          <w:lang w:val="en-GB"/>
        </w:rPr>
        <w:t>n increase in the number of treaties</w:t>
      </w:r>
      <w:r w:rsidRPr="007E1EEE">
        <w:rPr>
          <w:lang w:val="en-GB"/>
        </w:rPr>
        <w:t xml:space="preserve"> and ratifications by </w:t>
      </w:r>
      <w:r w:rsidR="002B4FDC" w:rsidRPr="007E1EEE">
        <w:rPr>
          <w:lang w:val="en-GB"/>
        </w:rPr>
        <w:t>S</w:t>
      </w:r>
      <w:r w:rsidRPr="007E1EEE">
        <w:rPr>
          <w:lang w:val="en-GB"/>
        </w:rPr>
        <w:t>tates</w:t>
      </w:r>
      <w:r w:rsidR="00FA75FA" w:rsidRPr="007E1EEE">
        <w:rPr>
          <w:lang w:val="en-GB"/>
        </w:rPr>
        <w:t>,</w:t>
      </w:r>
      <w:r w:rsidR="002B4FDC" w:rsidRPr="007E1EEE">
        <w:rPr>
          <w:lang w:val="en-GB"/>
        </w:rPr>
        <w:t xml:space="preserve"> as well as</w:t>
      </w:r>
      <w:r w:rsidR="00FA75FA" w:rsidRPr="007E1EEE">
        <w:rPr>
          <w:lang w:val="en-GB"/>
        </w:rPr>
        <w:t xml:space="preserve"> the entry into force of new optional protocols for individual complaints procedures</w:t>
      </w:r>
      <w:r w:rsidRPr="007E1EEE">
        <w:rPr>
          <w:lang w:val="en-GB"/>
        </w:rPr>
        <w:t xml:space="preserve"> and the</w:t>
      </w:r>
      <w:r w:rsidR="00FA75FA" w:rsidRPr="007E1EEE">
        <w:rPr>
          <w:lang w:val="en-GB"/>
        </w:rPr>
        <w:t xml:space="preserve"> increase in the number of individual </w:t>
      </w:r>
      <w:r w:rsidR="00637479" w:rsidRPr="007E1EEE">
        <w:rPr>
          <w:lang w:val="en-GB"/>
        </w:rPr>
        <w:t>complaints</w:t>
      </w:r>
      <w:r w:rsidRPr="007E1EEE">
        <w:rPr>
          <w:lang w:val="en-GB"/>
        </w:rPr>
        <w:t xml:space="preserve"> raise </w:t>
      </w:r>
      <w:r w:rsidR="00446888" w:rsidRPr="007E1EEE">
        <w:rPr>
          <w:lang w:val="en-GB"/>
        </w:rPr>
        <w:t xml:space="preserve">a </w:t>
      </w:r>
      <w:r w:rsidR="00B02D43" w:rsidRPr="007E1EEE">
        <w:rPr>
          <w:lang w:val="en-GB"/>
        </w:rPr>
        <w:t>demand</w:t>
      </w:r>
      <w:r w:rsidRPr="007E1EEE">
        <w:rPr>
          <w:lang w:val="en-GB"/>
        </w:rPr>
        <w:t xml:space="preserve"> to review </w:t>
      </w:r>
      <w:r w:rsidR="005B2561" w:rsidRPr="005B2561">
        <w:rPr>
          <w:i/>
          <w:lang w:val="en-GB"/>
        </w:rPr>
        <w:t>States reporting and dialogue</w:t>
      </w:r>
      <w:r w:rsidR="005B2561">
        <w:rPr>
          <w:b/>
          <w:lang w:val="en-GB"/>
        </w:rPr>
        <w:t xml:space="preserve"> </w:t>
      </w:r>
      <w:r w:rsidR="005B2561" w:rsidRPr="005B2561">
        <w:rPr>
          <w:i/>
          <w:lang w:val="en-GB"/>
        </w:rPr>
        <w:t>with UN treaty bodies</w:t>
      </w:r>
      <w:r w:rsidR="005B2561" w:rsidRPr="00E6697B">
        <w:rPr>
          <w:i/>
          <w:lang w:val="en-GB"/>
        </w:rPr>
        <w:t xml:space="preserve">, </w:t>
      </w:r>
      <w:r w:rsidRPr="00E6697B">
        <w:rPr>
          <w:i/>
          <w:lang w:val="en-GB"/>
        </w:rPr>
        <w:t>the individual</w:t>
      </w:r>
      <w:r w:rsidRPr="007E1EEE">
        <w:rPr>
          <w:i/>
          <w:lang w:val="en-GB"/>
        </w:rPr>
        <w:t xml:space="preserve"> communications and complaints procedures</w:t>
      </w:r>
      <w:r w:rsidR="00446888" w:rsidRPr="007E1EEE">
        <w:rPr>
          <w:i/>
          <w:lang w:val="en-GB"/>
        </w:rPr>
        <w:t xml:space="preserve"> </w:t>
      </w:r>
      <w:r w:rsidR="00494AE6" w:rsidRPr="007E1EEE">
        <w:rPr>
          <w:i/>
          <w:lang w:val="en-GB"/>
        </w:rPr>
        <w:t>and working methods</w:t>
      </w:r>
      <w:r w:rsidRPr="007E1EEE">
        <w:rPr>
          <w:lang w:val="en-GB"/>
        </w:rPr>
        <w:t xml:space="preserve">. </w:t>
      </w:r>
    </w:p>
    <w:p w14:paraId="05566209" w14:textId="77777777" w:rsidR="007F1173" w:rsidRPr="007E1EEE" w:rsidRDefault="007F1173" w:rsidP="00A12001">
      <w:pPr>
        <w:tabs>
          <w:tab w:val="left" w:pos="5370"/>
        </w:tabs>
        <w:jc w:val="both"/>
        <w:rPr>
          <w:bCs/>
          <w:lang w:val="en-GB"/>
        </w:rPr>
      </w:pPr>
    </w:p>
    <w:p w14:paraId="3C37B6F0" w14:textId="739B3728" w:rsidR="005B2561" w:rsidRPr="005B2561" w:rsidRDefault="004A122B" w:rsidP="00A12001">
      <w:pPr>
        <w:rPr>
          <w:b/>
          <w:lang w:val="en-GB"/>
        </w:rPr>
      </w:pPr>
      <w:r w:rsidRPr="007E1EEE">
        <w:rPr>
          <w:b/>
          <w:lang w:val="en-GB"/>
        </w:rPr>
        <w:t>States reporting and dialogue</w:t>
      </w:r>
      <w:r w:rsidR="007E1EEE">
        <w:rPr>
          <w:b/>
          <w:lang w:val="en-GB"/>
        </w:rPr>
        <w:t xml:space="preserve"> </w:t>
      </w:r>
      <w:r w:rsidR="005B2561" w:rsidRPr="005B2561">
        <w:rPr>
          <w:b/>
          <w:lang w:val="en-GB"/>
        </w:rPr>
        <w:t>with UN treaty bodies</w:t>
      </w:r>
    </w:p>
    <w:p w14:paraId="534A5F2E" w14:textId="1F7F7857" w:rsidR="008437DF" w:rsidRPr="007E1EEE" w:rsidRDefault="008437DF" w:rsidP="00A12001">
      <w:pPr>
        <w:rPr>
          <w:b/>
          <w:lang w:val="en-GB"/>
        </w:rPr>
      </w:pPr>
    </w:p>
    <w:p w14:paraId="6B8670D8" w14:textId="77777777" w:rsidR="00B61366" w:rsidRPr="007E1EEE" w:rsidRDefault="004A122B" w:rsidP="00A12001">
      <w:pPr>
        <w:jc w:val="both"/>
        <w:rPr>
          <w:shd w:val="clear" w:color="auto" w:fill="FFFFFF"/>
          <w:lang w:val="en-GB"/>
        </w:rPr>
      </w:pPr>
      <w:r w:rsidRPr="007E1EEE">
        <w:rPr>
          <w:shd w:val="clear" w:color="auto" w:fill="FFFFFF"/>
          <w:lang w:val="en-GB"/>
        </w:rPr>
        <w:t xml:space="preserve">Lithuania </w:t>
      </w:r>
      <w:r w:rsidR="006A43DE" w:rsidRPr="007E1EEE">
        <w:rPr>
          <w:shd w:val="clear" w:color="auto" w:fill="FFFFFF"/>
          <w:lang w:val="en-GB"/>
        </w:rPr>
        <w:t>highlights</w:t>
      </w:r>
      <w:r w:rsidRPr="007E1EEE">
        <w:rPr>
          <w:shd w:val="clear" w:color="auto" w:fill="FFFFFF"/>
          <w:lang w:val="en-GB"/>
        </w:rPr>
        <w:t xml:space="preserve"> the importance of having a solid treaty body system in coordination with other human rights mechanism, such as the Special Procedures, Human Rights Council, Universal Periodic Review and regional systems. </w:t>
      </w:r>
      <w:r w:rsidR="00B61366" w:rsidRPr="007E1EEE">
        <w:rPr>
          <w:shd w:val="clear" w:color="auto" w:fill="FFFFFF"/>
          <w:lang w:val="en-GB"/>
        </w:rPr>
        <w:t>The development of synergies and complementarities with other international human rights bodies could be also improved.</w:t>
      </w:r>
    </w:p>
    <w:p w14:paraId="3A6A3B1A" w14:textId="77777777" w:rsidR="006A43DE" w:rsidRPr="007E1EEE" w:rsidRDefault="006A43DE" w:rsidP="00A12001">
      <w:pPr>
        <w:jc w:val="both"/>
        <w:rPr>
          <w:shd w:val="clear" w:color="auto" w:fill="FFFFFF"/>
          <w:lang w:val="en-GB"/>
        </w:rPr>
      </w:pPr>
    </w:p>
    <w:p w14:paraId="634E6473" w14:textId="63916B22" w:rsidR="00BC5F13" w:rsidRPr="007E1EEE" w:rsidRDefault="004A122B" w:rsidP="00A12001">
      <w:pPr>
        <w:jc w:val="both"/>
        <w:rPr>
          <w:shd w:val="clear" w:color="auto" w:fill="FFFFFF"/>
          <w:lang w:val="en-GB"/>
        </w:rPr>
      </w:pPr>
      <w:r w:rsidRPr="007E1EEE">
        <w:rPr>
          <w:shd w:val="clear" w:color="auto" w:fill="FFFFFF"/>
          <w:lang w:val="en-GB"/>
        </w:rPr>
        <w:t xml:space="preserve">The major challenges that the </w:t>
      </w:r>
      <w:r w:rsidR="00043CF5">
        <w:rPr>
          <w:shd w:val="clear" w:color="auto" w:fill="FFFFFF"/>
          <w:lang w:val="en-GB"/>
        </w:rPr>
        <w:t xml:space="preserve">UN </w:t>
      </w:r>
      <w:r w:rsidRPr="007E1EEE">
        <w:rPr>
          <w:shd w:val="clear" w:color="auto" w:fill="FFFFFF"/>
          <w:lang w:val="en-GB"/>
        </w:rPr>
        <w:t xml:space="preserve">system confronts is non-compliance of States in reporting </w:t>
      </w:r>
      <w:r w:rsidR="00BC5F13" w:rsidRPr="007E1EEE">
        <w:rPr>
          <w:shd w:val="clear" w:color="auto" w:fill="FFFFFF"/>
          <w:lang w:val="en-GB"/>
        </w:rPr>
        <w:t xml:space="preserve">(late or non-reporting) </w:t>
      </w:r>
      <w:r w:rsidRPr="007E1EEE">
        <w:rPr>
          <w:shd w:val="clear" w:color="auto" w:fill="FFFFFF"/>
          <w:lang w:val="en-GB"/>
        </w:rPr>
        <w:t>and implementing recommendations</w:t>
      </w:r>
      <w:r w:rsidR="00312C66" w:rsidRPr="00312C66">
        <w:rPr>
          <w:shd w:val="clear" w:color="auto" w:fill="FFFFFF"/>
          <w:lang w:val="en-GB"/>
        </w:rPr>
        <w:t xml:space="preserve"> </w:t>
      </w:r>
      <w:r w:rsidR="00312C66" w:rsidRPr="007E1EEE">
        <w:rPr>
          <w:shd w:val="clear" w:color="auto" w:fill="FFFFFF"/>
          <w:lang w:val="en-GB"/>
        </w:rPr>
        <w:t>obligations</w:t>
      </w:r>
      <w:r w:rsidRPr="007E1EEE">
        <w:rPr>
          <w:shd w:val="clear" w:color="auto" w:fill="FFFFFF"/>
          <w:lang w:val="en-GB"/>
        </w:rPr>
        <w:t xml:space="preserve">.  </w:t>
      </w:r>
      <w:r w:rsidR="0087441A" w:rsidRPr="009D4FB6">
        <w:rPr>
          <w:shd w:val="clear" w:color="auto" w:fill="FFFFFF"/>
          <w:lang w:val="en-GB"/>
        </w:rPr>
        <w:t>Aligning the reporting frameworks and standards with the stakeholders</w:t>
      </w:r>
      <w:r w:rsidR="0087441A">
        <w:rPr>
          <w:shd w:val="clear" w:color="auto" w:fill="FFFFFF"/>
          <w:lang w:val="en-GB"/>
        </w:rPr>
        <w:t>’</w:t>
      </w:r>
      <w:r w:rsidR="0087441A" w:rsidRPr="009D4FB6">
        <w:rPr>
          <w:shd w:val="clear" w:color="auto" w:fill="FFFFFF"/>
          <w:lang w:val="en-GB"/>
        </w:rPr>
        <w:t xml:space="preserve"> </w:t>
      </w:r>
      <w:r w:rsidR="0087441A">
        <w:rPr>
          <w:shd w:val="clear" w:color="auto" w:fill="FFFFFF"/>
          <w:lang w:val="en-GB"/>
        </w:rPr>
        <w:t xml:space="preserve">ability to both </w:t>
      </w:r>
      <w:r w:rsidR="0087441A" w:rsidRPr="00074A76">
        <w:rPr>
          <w:shd w:val="clear" w:color="auto" w:fill="FFFFFF"/>
          <w:lang w:val="en-GB"/>
        </w:rPr>
        <w:t xml:space="preserve">data gathering and analysing </w:t>
      </w:r>
      <w:r w:rsidR="0087441A" w:rsidRPr="009D4FB6">
        <w:rPr>
          <w:shd w:val="clear" w:color="auto" w:fill="FFFFFF"/>
          <w:lang w:val="en-GB"/>
        </w:rPr>
        <w:t xml:space="preserve">is a crucial part of the process. </w:t>
      </w:r>
      <w:r w:rsidR="00BC5F13" w:rsidRPr="007E1EEE">
        <w:rPr>
          <w:shd w:val="clear" w:color="auto" w:fill="FFFFFF"/>
          <w:lang w:val="en-GB"/>
        </w:rPr>
        <w:t>All stakeholders – States, treaty bodies, OHCHR, national human rights institutions</w:t>
      </w:r>
      <w:r w:rsidR="00312C66">
        <w:rPr>
          <w:shd w:val="clear" w:color="auto" w:fill="FFFFFF"/>
          <w:lang w:val="en-GB"/>
        </w:rPr>
        <w:t>,</w:t>
      </w:r>
      <w:r w:rsidR="00BC5F13" w:rsidRPr="007E1EEE">
        <w:rPr>
          <w:shd w:val="clear" w:color="auto" w:fill="FFFFFF"/>
          <w:lang w:val="en-GB"/>
        </w:rPr>
        <w:t xml:space="preserve"> civil society </w:t>
      </w:r>
      <w:bookmarkStart w:id="0" w:name="__DdeLink__88_191123897"/>
      <w:r w:rsidR="00BC5F13" w:rsidRPr="007E1EEE">
        <w:rPr>
          <w:shd w:val="clear" w:color="auto" w:fill="FFFFFF"/>
          <w:lang w:val="en-GB"/>
        </w:rPr>
        <w:t>–</w:t>
      </w:r>
      <w:bookmarkEnd w:id="0"/>
      <w:r w:rsidR="00BC5F13" w:rsidRPr="007E1EEE">
        <w:rPr>
          <w:shd w:val="clear" w:color="auto" w:fill="FFFFFF"/>
          <w:lang w:val="en-GB"/>
        </w:rPr>
        <w:t xml:space="preserve"> should give due consideration to their respective role and responsibility in this process.</w:t>
      </w:r>
      <w:r w:rsidR="00111342" w:rsidRPr="007E1EEE">
        <w:rPr>
          <w:shd w:val="clear" w:color="auto" w:fill="FFFFFF"/>
          <w:lang w:val="en-GB"/>
        </w:rPr>
        <w:t xml:space="preserve"> </w:t>
      </w:r>
    </w:p>
    <w:p w14:paraId="0710F230" w14:textId="77777777" w:rsidR="006A43DE" w:rsidRPr="007E1EEE" w:rsidRDefault="006A43DE" w:rsidP="00A12001">
      <w:pPr>
        <w:tabs>
          <w:tab w:val="left" w:pos="142"/>
        </w:tabs>
        <w:contextualSpacing/>
        <w:jc w:val="both"/>
        <w:rPr>
          <w:shd w:val="clear" w:color="auto" w:fill="FFFFFF"/>
          <w:lang w:val="en-GB"/>
        </w:rPr>
      </w:pPr>
    </w:p>
    <w:p w14:paraId="0F32A1F9" w14:textId="1D8340F4" w:rsidR="006A43DE" w:rsidRPr="006A43DE" w:rsidRDefault="006A43DE" w:rsidP="00A12001">
      <w:pPr>
        <w:tabs>
          <w:tab w:val="left" w:pos="142"/>
        </w:tabs>
        <w:contextualSpacing/>
        <w:jc w:val="both"/>
        <w:rPr>
          <w:shd w:val="clear" w:color="auto" w:fill="FFFFFF"/>
          <w:lang w:val="en-GB"/>
        </w:rPr>
      </w:pPr>
      <w:r w:rsidRPr="006A43DE">
        <w:rPr>
          <w:shd w:val="clear" w:color="auto" w:fill="FFFFFF"/>
          <w:lang w:val="en-GB"/>
        </w:rPr>
        <w:t xml:space="preserve">Lithuania undertakes decisive steps to further improvement of the human rights situation in the country with particular attention given to progress on the implementation of the recommendations addressed to Lithuania during the Universal Periodic Review and other United Nations human rights protection mechanisms. </w:t>
      </w:r>
      <w:r w:rsidR="00D74331" w:rsidRPr="007E1EEE">
        <w:rPr>
          <w:shd w:val="clear" w:color="auto" w:fill="FFFFFF"/>
          <w:lang w:val="en-GB"/>
        </w:rPr>
        <w:t>Therefore,</w:t>
      </w:r>
      <w:r w:rsidRPr="007E1EEE">
        <w:rPr>
          <w:shd w:val="clear" w:color="auto" w:fill="FFFFFF"/>
          <w:lang w:val="en-GB"/>
        </w:rPr>
        <w:t xml:space="preserve"> we encourage all countries to comply </w:t>
      </w:r>
      <w:r w:rsidR="00D74331" w:rsidRPr="007E1EEE">
        <w:rPr>
          <w:shd w:val="clear" w:color="auto" w:fill="FFFFFF"/>
          <w:lang w:val="en-GB"/>
        </w:rPr>
        <w:t xml:space="preserve">with </w:t>
      </w:r>
      <w:r w:rsidRPr="007E1EEE">
        <w:rPr>
          <w:shd w:val="clear" w:color="auto" w:fill="FFFFFF"/>
          <w:lang w:val="en-GB"/>
        </w:rPr>
        <w:t>their international obligations and to implement recommendations</w:t>
      </w:r>
      <w:r w:rsidR="00D74331" w:rsidRPr="007E1EEE">
        <w:rPr>
          <w:shd w:val="clear" w:color="auto" w:fill="FFFFFF"/>
          <w:lang w:val="en-GB"/>
        </w:rPr>
        <w:t xml:space="preserve"> of </w:t>
      </w:r>
      <w:r w:rsidR="00D74331" w:rsidRPr="006A43DE">
        <w:rPr>
          <w:shd w:val="clear" w:color="auto" w:fill="FFFFFF"/>
          <w:lang w:val="en-GB"/>
        </w:rPr>
        <w:t xml:space="preserve">United Nations human rights </w:t>
      </w:r>
      <w:r w:rsidR="00A85FFE">
        <w:rPr>
          <w:shd w:val="clear" w:color="auto" w:fill="FFFFFF"/>
          <w:lang w:val="en-GB"/>
        </w:rPr>
        <w:t>treaty</w:t>
      </w:r>
      <w:r w:rsidR="00D74331" w:rsidRPr="006A43DE">
        <w:rPr>
          <w:shd w:val="clear" w:color="auto" w:fill="FFFFFF"/>
          <w:lang w:val="en-GB"/>
        </w:rPr>
        <w:t xml:space="preserve"> </w:t>
      </w:r>
      <w:r w:rsidR="00D74331" w:rsidRPr="007E1EEE">
        <w:rPr>
          <w:shd w:val="clear" w:color="auto" w:fill="FFFFFF"/>
          <w:lang w:val="en-GB"/>
        </w:rPr>
        <w:t>bodies</w:t>
      </w:r>
      <w:r w:rsidRPr="007E1EEE">
        <w:rPr>
          <w:shd w:val="clear" w:color="auto" w:fill="FFFFFF"/>
          <w:lang w:val="en-GB"/>
        </w:rPr>
        <w:t>.</w:t>
      </w:r>
    </w:p>
    <w:p w14:paraId="0A6C3483" w14:textId="77777777" w:rsidR="00430AA3" w:rsidRPr="007E1EEE" w:rsidRDefault="00430AA3" w:rsidP="00A12001">
      <w:pPr>
        <w:jc w:val="both"/>
        <w:rPr>
          <w:shd w:val="clear" w:color="auto" w:fill="FFFFFF"/>
          <w:lang w:val="en-GB"/>
        </w:rPr>
      </w:pPr>
    </w:p>
    <w:p w14:paraId="6329BA95" w14:textId="41D29281" w:rsidR="00AF1EED" w:rsidRDefault="006A43DE" w:rsidP="00A12001">
      <w:pPr>
        <w:jc w:val="both"/>
        <w:rPr>
          <w:shd w:val="clear" w:color="auto" w:fill="FFFFFF"/>
          <w:lang w:val="en-GB"/>
        </w:rPr>
      </w:pPr>
      <w:r w:rsidRPr="007E1EEE">
        <w:rPr>
          <w:shd w:val="clear" w:color="auto" w:fill="FFFFFF"/>
          <w:lang w:val="en-GB"/>
        </w:rPr>
        <w:t>Lithuania</w:t>
      </w:r>
      <w:r w:rsidR="00BC5F13" w:rsidRPr="00BC5F13">
        <w:rPr>
          <w:shd w:val="clear" w:color="auto" w:fill="FFFFFF"/>
          <w:lang w:val="en-GB"/>
        </w:rPr>
        <w:t xml:space="preserve"> welcome</w:t>
      </w:r>
      <w:r w:rsidR="00406908">
        <w:rPr>
          <w:shd w:val="clear" w:color="auto" w:fill="FFFFFF"/>
          <w:lang w:val="en-GB"/>
        </w:rPr>
        <w:t>s</w:t>
      </w:r>
      <w:bookmarkStart w:id="1" w:name="_GoBack"/>
      <w:bookmarkEnd w:id="1"/>
      <w:r w:rsidR="00BC5F13" w:rsidRPr="00BC5F13">
        <w:rPr>
          <w:shd w:val="clear" w:color="auto" w:fill="FFFFFF"/>
          <w:lang w:val="en-GB"/>
        </w:rPr>
        <w:t xml:space="preserve"> the fact that some achievements have already been made by the treaty bodies implement</w:t>
      </w:r>
      <w:r w:rsidRPr="007E1EEE">
        <w:rPr>
          <w:shd w:val="clear" w:color="auto" w:fill="FFFFFF"/>
          <w:lang w:val="en-GB"/>
        </w:rPr>
        <w:t>ing</w:t>
      </w:r>
      <w:r w:rsidR="00BC5F13" w:rsidRPr="00BC5F13">
        <w:rPr>
          <w:shd w:val="clear" w:color="auto" w:fill="FFFFFF"/>
          <w:lang w:val="en-GB"/>
        </w:rPr>
        <w:t xml:space="preserve"> GA resolution 68/268, including the alignment of their working methods </w:t>
      </w:r>
      <w:r w:rsidR="00D74331" w:rsidRPr="007E1EEE">
        <w:rPr>
          <w:shd w:val="clear" w:color="auto" w:fill="FFFFFF"/>
          <w:lang w:val="en-GB"/>
        </w:rPr>
        <w:t xml:space="preserve">and </w:t>
      </w:r>
      <w:r w:rsidR="00BC5F13" w:rsidRPr="007E1EEE">
        <w:rPr>
          <w:shd w:val="clear" w:color="auto" w:fill="FFFFFF"/>
          <w:lang w:val="en-GB"/>
        </w:rPr>
        <w:t xml:space="preserve">simplifying reporting procedure </w:t>
      </w:r>
      <w:r w:rsidR="007F1173" w:rsidRPr="007E1EEE">
        <w:rPr>
          <w:shd w:val="clear" w:color="auto" w:fill="FFFFFF"/>
          <w:lang w:val="en-GB"/>
        </w:rPr>
        <w:t xml:space="preserve">as </w:t>
      </w:r>
      <w:r w:rsidR="00BC5F13" w:rsidRPr="007E1EEE">
        <w:rPr>
          <w:shd w:val="clear" w:color="auto" w:fill="FFFFFF"/>
          <w:lang w:val="en-GB"/>
        </w:rPr>
        <w:t xml:space="preserve">reports are </w:t>
      </w:r>
      <w:r w:rsidR="00A85FFE">
        <w:rPr>
          <w:shd w:val="clear" w:color="auto" w:fill="FFFFFF"/>
          <w:lang w:val="en-GB"/>
        </w:rPr>
        <w:t>limited/</w:t>
      </w:r>
      <w:r w:rsidR="00BC5F13" w:rsidRPr="007E1EEE">
        <w:rPr>
          <w:shd w:val="clear" w:color="auto" w:fill="FFFFFF"/>
          <w:lang w:val="en-GB"/>
        </w:rPr>
        <w:t>shorter, more concentrated on follow up of the recommendations</w:t>
      </w:r>
      <w:r w:rsidR="007F1173" w:rsidRPr="007E1EEE">
        <w:rPr>
          <w:shd w:val="clear" w:color="auto" w:fill="FFFFFF"/>
          <w:lang w:val="en-GB"/>
        </w:rPr>
        <w:t>.</w:t>
      </w:r>
      <w:r w:rsidR="00BC5F13" w:rsidRPr="007E1EEE">
        <w:rPr>
          <w:shd w:val="clear" w:color="auto" w:fill="FFFFFF"/>
          <w:lang w:val="en-GB"/>
        </w:rPr>
        <w:t xml:space="preserve"> </w:t>
      </w:r>
      <w:r w:rsidR="007F1173" w:rsidRPr="007E1EEE">
        <w:rPr>
          <w:shd w:val="clear" w:color="auto" w:fill="FFFFFF"/>
          <w:lang w:val="en-GB"/>
        </w:rPr>
        <w:t>Nevertheless</w:t>
      </w:r>
      <w:r w:rsidR="00020B3A" w:rsidRPr="007E1EEE">
        <w:rPr>
          <w:shd w:val="clear" w:color="auto" w:fill="FFFFFF"/>
          <w:lang w:val="en-GB"/>
        </w:rPr>
        <w:t>,</w:t>
      </w:r>
      <w:r w:rsidR="00BC5F13" w:rsidRPr="007E1EEE">
        <w:rPr>
          <w:shd w:val="clear" w:color="auto" w:fill="FFFFFF"/>
          <w:lang w:val="en-GB"/>
        </w:rPr>
        <w:t xml:space="preserve"> we believe more could be done </w:t>
      </w:r>
      <w:r w:rsidRPr="00BC5F13">
        <w:rPr>
          <w:shd w:val="clear" w:color="auto" w:fill="FFFFFF"/>
          <w:lang w:val="en-GB"/>
        </w:rPr>
        <w:t>for further harmonization</w:t>
      </w:r>
      <w:r w:rsidRPr="007E1EEE">
        <w:rPr>
          <w:shd w:val="clear" w:color="auto" w:fill="FFFFFF"/>
          <w:lang w:val="en-GB"/>
        </w:rPr>
        <w:t xml:space="preserve"> </w:t>
      </w:r>
      <w:r w:rsidR="004D28CC" w:rsidRPr="00BC5F13">
        <w:rPr>
          <w:shd w:val="clear" w:color="auto" w:fill="FFFFFF"/>
          <w:lang w:val="en-GB"/>
        </w:rPr>
        <w:t>regarding</w:t>
      </w:r>
      <w:r w:rsidR="004D28CC" w:rsidRPr="007E1EEE">
        <w:rPr>
          <w:shd w:val="clear" w:color="auto" w:fill="FFFFFF"/>
          <w:lang w:val="en-GB"/>
        </w:rPr>
        <w:t xml:space="preserve"> </w:t>
      </w:r>
      <w:r w:rsidRPr="007E1EEE">
        <w:rPr>
          <w:shd w:val="clear" w:color="auto" w:fill="FFFFFF"/>
          <w:lang w:val="en-GB"/>
        </w:rPr>
        <w:t xml:space="preserve">the simplified reporting procedure </w:t>
      </w:r>
      <w:r w:rsidR="004D28CC" w:rsidRPr="007E1EEE">
        <w:rPr>
          <w:shd w:val="clear" w:color="auto" w:fill="FFFFFF"/>
          <w:lang w:val="en-GB"/>
        </w:rPr>
        <w:t xml:space="preserve">and </w:t>
      </w:r>
      <w:r w:rsidR="004D28CC" w:rsidRPr="00BC5F13">
        <w:rPr>
          <w:shd w:val="clear" w:color="auto" w:fill="FFFFFF"/>
          <w:lang w:val="en-GB"/>
        </w:rPr>
        <w:t xml:space="preserve">follow-up </w:t>
      </w:r>
      <w:r w:rsidR="004D28CC" w:rsidRPr="007E1EEE">
        <w:rPr>
          <w:shd w:val="clear" w:color="auto" w:fill="FFFFFF"/>
          <w:lang w:val="en-GB"/>
        </w:rPr>
        <w:t xml:space="preserve">procedures as they </w:t>
      </w:r>
      <w:r w:rsidRPr="007E1EEE">
        <w:rPr>
          <w:shd w:val="clear" w:color="auto" w:fill="FFFFFF"/>
          <w:lang w:val="en-GB"/>
        </w:rPr>
        <w:t>var</w:t>
      </w:r>
      <w:r w:rsidR="004D28CC" w:rsidRPr="007E1EEE">
        <w:rPr>
          <w:shd w:val="clear" w:color="auto" w:fill="FFFFFF"/>
          <w:lang w:val="en-GB"/>
        </w:rPr>
        <w:t>y</w:t>
      </w:r>
      <w:r w:rsidRPr="007E1EEE">
        <w:rPr>
          <w:shd w:val="clear" w:color="auto" w:fill="FFFFFF"/>
          <w:lang w:val="en-GB"/>
        </w:rPr>
        <w:t xml:space="preserve"> in the different treaty bodies</w:t>
      </w:r>
      <w:r w:rsidR="00D2421B" w:rsidRPr="007E1EEE">
        <w:rPr>
          <w:shd w:val="clear" w:color="auto" w:fill="FFFFFF"/>
          <w:lang w:val="en-GB"/>
        </w:rPr>
        <w:t xml:space="preserve"> and </w:t>
      </w:r>
      <w:r w:rsidR="00D2421B" w:rsidRPr="007E1EEE">
        <w:rPr>
          <w:rFonts w:eastAsia="Calibri"/>
          <w:lang w:val="en-GB"/>
        </w:rPr>
        <w:t>eliminating overlaps or duplications</w:t>
      </w:r>
      <w:r w:rsidRPr="007E1EEE">
        <w:rPr>
          <w:shd w:val="clear" w:color="auto" w:fill="FFFFFF"/>
          <w:lang w:val="en-GB"/>
        </w:rPr>
        <w:t>.</w:t>
      </w:r>
      <w:r w:rsidR="00430AA3" w:rsidRPr="007E1EEE">
        <w:rPr>
          <w:shd w:val="clear" w:color="auto" w:fill="FFFFFF"/>
          <w:lang w:val="en-GB"/>
        </w:rPr>
        <w:t xml:space="preserve"> </w:t>
      </w:r>
      <w:r w:rsidR="00EB39C5" w:rsidRPr="007E1EEE">
        <w:rPr>
          <w:shd w:val="clear" w:color="auto" w:fill="FFFFFF"/>
          <w:lang w:val="en-GB"/>
        </w:rPr>
        <w:t xml:space="preserve"> </w:t>
      </w:r>
    </w:p>
    <w:p w14:paraId="23B8D0DB" w14:textId="77777777" w:rsidR="00AF1EED" w:rsidRDefault="00AF1EED" w:rsidP="00A12001">
      <w:pPr>
        <w:jc w:val="both"/>
        <w:rPr>
          <w:shd w:val="clear" w:color="auto" w:fill="FFFFFF"/>
          <w:lang w:val="en-GB"/>
        </w:rPr>
      </w:pPr>
    </w:p>
    <w:p w14:paraId="79D2A358" w14:textId="04468965" w:rsidR="0087441A" w:rsidRDefault="0087441A" w:rsidP="0087441A">
      <w:pPr>
        <w:jc w:val="both"/>
      </w:pPr>
      <w:r>
        <w:rPr>
          <w:shd w:val="clear" w:color="auto" w:fill="FFFFFF"/>
        </w:rPr>
        <w:t xml:space="preserve">Lithuania supports </w:t>
      </w:r>
      <w:r w:rsidRPr="00074A76">
        <w:rPr>
          <w:shd w:val="clear" w:color="auto" w:fill="FFFFFF"/>
        </w:rPr>
        <w:t>data driven decision making</w:t>
      </w:r>
      <w:r>
        <w:rPr>
          <w:shd w:val="clear" w:color="auto" w:fill="FFFFFF"/>
        </w:rPr>
        <w:t xml:space="preserve"> which strengthens </w:t>
      </w:r>
      <w:r w:rsidRPr="00074A76">
        <w:t xml:space="preserve">greater collaboration and </w:t>
      </w:r>
      <w:r>
        <w:t xml:space="preserve">information </w:t>
      </w:r>
      <w:r w:rsidRPr="00074A76">
        <w:t xml:space="preserve">sharing across all </w:t>
      </w:r>
      <w:r>
        <w:t>stakeholders</w:t>
      </w:r>
      <w:r w:rsidRPr="00074A76">
        <w:t>.</w:t>
      </w:r>
      <w:r>
        <w:t xml:space="preserve"> </w:t>
      </w:r>
      <w:r w:rsidRPr="00935F17">
        <w:t>Using traditional reporting methods to access information often creates an additional burden</w:t>
      </w:r>
      <w:r>
        <w:t>. We believe that i</w:t>
      </w:r>
      <w:r w:rsidRPr="00074A76">
        <w:t xml:space="preserve">ncreasing access to open </w:t>
      </w:r>
      <w:r w:rsidRPr="00074A76">
        <w:lastRenderedPageBreak/>
        <w:t>government data offers new reporting opportunities including real-time data, therefore initiatives to unlock and use such data should be further supported.</w:t>
      </w:r>
    </w:p>
    <w:p w14:paraId="243AAB84" w14:textId="77777777" w:rsidR="0087441A" w:rsidRDefault="0087441A" w:rsidP="0087441A">
      <w:pPr>
        <w:jc w:val="both"/>
      </w:pPr>
    </w:p>
    <w:p w14:paraId="72AA2B13" w14:textId="3461BA73" w:rsidR="007E1EEE" w:rsidRPr="00AF1EED" w:rsidRDefault="007E1EEE" w:rsidP="00A12001">
      <w:pPr>
        <w:jc w:val="both"/>
        <w:rPr>
          <w:rFonts w:eastAsia="Calibri"/>
          <w:lang w:val="en-GB"/>
        </w:rPr>
      </w:pPr>
      <w:r w:rsidRPr="007E1EEE">
        <w:t xml:space="preserve">The </w:t>
      </w:r>
      <w:r w:rsidRPr="007E1EEE">
        <w:rPr>
          <w:rFonts w:eastAsia="Calibri"/>
          <w:lang w:val="en-GB"/>
        </w:rPr>
        <w:t xml:space="preserve">unified format of dialogues between the UN treaty bodies and the State party could be very helpful, providing more time for the preparation of the </w:t>
      </w:r>
      <w:r w:rsidR="008677C1">
        <w:rPr>
          <w:rFonts w:eastAsia="Calibri"/>
          <w:lang w:val="en-GB"/>
        </w:rPr>
        <w:t xml:space="preserve">State </w:t>
      </w:r>
      <w:r w:rsidRPr="007E1EEE">
        <w:rPr>
          <w:rFonts w:eastAsia="Calibri"/>
          <w:lang w:val="en-GB"/>
        </w:rPr>
        <w:t xml:space="preserve">answers. </w:t>
      </w:r>
      <w:r w:rsidR="00AF1EED" w:rsidRPr="00AF1EED">
        <w:rPr>
          <w:rFonts w:eastAsia="Calibri"/>
          <w:lang w:val="en-GB"/>
        </w:rPr>
        <w:t>The use of modern communication technologies can facilitate the participation of states in the reviews and dialogues</w:t>
      </w:r>
      <w:r w:rsidR="00AF1EED">
        <w:rPr>
          <w:rFonts w:eastAsia="Calibri"/>
          <w:lang w:val="en-GB"/>
        </w:rPr>
        <w:t xml:space="preserve"> and</w:t>
      </w:r>
      <w:r w:rsidR="00AF1EED" w:rsidRPr="00AF1EED">
        <w:rPr>
          <w:rFonts w:eastAsia="Calibri"/>
          <w:lang w:val="en-GB"/>
        </w:rPr>
        <w:t xml:space="preserve"> </w:t>
      </w:r>
      <w:r w:rsidR="00312C66">
        <w:rPr>
          <w:rFonts w:eastAsia="Calibri"/>
          <w:lang w:val="en-GB"/>
        </w:rPr>
        <w:t xml:space="preserve">it </w:t>
      </w:r>
      <w:r w:rsidR="00AF1EED" w:rsidRPr="00AF1EED">
        <w:rPr>
          <w:rFonts w:eastAsia="Calibri"/>
          <w:lang w:val="en-GB"/>
        </w:rPr>
        <w:t xml:space="preserve">also </w:t>
      </w:r>
      <w:r w:rsidR="008677C1">
        <w:rPr>
          <w:rFonts w:eastAsia="Calibri"/>
          <w:lang w:val="en-GB"/>
        </w:rPr>
        <w:t xml:space="preserve">can </w:t>
      </w:r>
      <w:r w:rsidR="00AF1EED" w:rsidRPr="00AF1EED">
        <w:rPr>
          <w:rFonts w:eastAsia="Calibri"/>
          <w:lang w:val="en-GB"/>
        </w:rPr>
        <w:t xml:space="preserve">enhance the engagement with other stakeholders like </w:t>
      </w:r>
      <w:r w:rsidR="00AF1EED">
        <w:rPr>
          <w:rFonts w:eastAsia="Calibri"/>
          <w:lang w:val="en-GB"/>
        </w:rPr>
        <w:t>NGO</w:t>
      </w:r>
      <w:r w:rsidR="00AF1EED" w:rsidRPr="00AF1EED">
        <w:rPr>
          <w:rFonts w:eastAsia="Calibri"/>
          <w:lang w:val="en-GB"/>
        </w:rPr>
        <w:t xml:space="preserve">s with limited capacities and resources to meet with </w:t>
      </w:r>
      <w:r w:rsidR="008677C1">
        <w:rPr>
          <w:rFonts w:eastAsia="Calibri"/>
          <w:lang w:val="en-GB"/>
        </w:rPr>
        <w:t>t</w:t>
      </w:r>
      <w:r w:rsidR="00AF1EED" w:rsidRPr="00AF1EED">
        <w:rPr>
          <w:rFonts w:eastAsia="Calibri"/>
          <w:lang w:val="en-GB"/>
        </w:rPr>
        <w:t xml:space="preserve">reaty </w:t>
      </w:r>
      <w:r w:rsidR="008677C1">
        <w:rPr>
          <w:rFonts w:eastAsia="Calibri"/>
          <w:lang w:val="en-GB"/>
        </w:rPr>
        <w:t>b</w:t>
      </w:r>
      <w:r w:rsidR="00AF1EED" w:rsidRPr="00AF1EED">
        <w:rPr>
          <w:rFonts w:eastAsia="Calibri"/>
          <w:lang w:val="en-GB"/>
        </w:rPr>
        <w:t>odies in Geneva.</w:t>
      </w:r>
    </w:p>
    <w:p w14:paraId="527CF41A" w14:textId="77777777" w:rsidR="00AF1EED" w:rsidRDefault="00AF1EED" w:rsidP="00A12001">
      <w:pPr>
        <w:jc w:val="both"/>
        <w:rPr>
          <w:shd w:val="clear" w:color="auto" w:fill="FFFFFF"/>
          <w:lang w:val="en-GB"/>
        </w:rPr>
      </w:pPr>
    </w:p>
    <w:p w14:paraId="39F5039B" w14:textId="112ABED8" w:rsidR="00020B3A" w:rsidRPr="007E1EEE" w:rsidRDefault="007F1173" w:rsidP="00A12001">
      <w:pPr>
        <w:jc w:val="both"/>
      </w:pPr>
      <w:r w:rsidRPr="007E1EEE">
        <w:rPr>
          <w:shd w:val="clear" w:color="auto" w:fill="FFFFFF"/>
          <w:lang w:val="en-GB"/>
        </w:rPr>
        <w:t xml:space="preserve">The information on </w:t>
      </w:r>
      <w:r w:rsidR="005D7D00">
        <w:rPr>
          <w:shd w:val="clear" w:color="auto" w:fill="FFFFFF"/>
          <w:lang w:val="en-GB"/>
        </w:rPr>
        <w:t xml:space="preserve">UN </w:t>
      </w:r>
      <w:r w:rsidRPr="007E1EEE">
        <w:rPr>
          <w:shd w:val="clear" w:color="auto" w:fill="FFFFFF"/>
          <w:lang w:val="en-GB"/>
        </w:rPr>
        <w:t xml:space="preserve">internet </w:t>
      </w:r>
      <w:r w:rsidR="005D7D00">
        <w:rPr>
          <w:shd w:val="clear" w:color="auto" w:fill="FFFFFF"/>
          <w:lang w:val="en-GB"/>
        </w:rPr>
        <w:t xml:space="preserve">page </w:t>
      </w:r>
      <w:r w:rsidRPr="007E1EEE">
        <w:rPr>
          <w:shd w:val="clear" w:color="auto" w:fill="FFFFFF"/>
          <w:lang w:val="en-GB"/>
        </w:rPr>
        <w:t>about UN treaty body system could be more simplified</w:t>
      </w:r>
      <w:r w:rsidR="00020B3A" w:rsidRPr="007E1EEE">
        <w:rPr>
          <w:shd w:val="clear" w:color="auto" w:fill="FFFFFF"/>
          <w:lang w:val="en-GB"/>
        </w:rPr>
        <w:t>.</w:t>
      </w:r>
      <w:r w:rsidRPr="007E1EEE">
        <w:rPr>
          <w:shd w:val="clear" w:color="auto" w:fill="FFFFFF"/>
          <w:lang w:val="en-GB"/>
        </w:rPr>
        <w:t xml:space="preserve"> </w:t>
      </w:r>
      <w:r w:rsidR="00020B3A" w:rsidRPr="007E1EEE">
        <w:rPr>
          <w:shd w:val="clear" w:color="auto" w:fill="FFFFFF"/>
          <w:lang w:val="en-GB"/>
        </w:rPr>
        <w:t xml:space="preserve"> The</w:t>
      </w:r>
      <w:r w:rsidRPr="007E1EEE">
        <w:rPr>
          <w:shd w:val="clear" w:color="auto" w:fill="FFFFFF"/>
          <w:lang w:val="en-GB"/>
        </w:rPr>
        <w:t xml:space="preserve"> </w:t>
      </w:r>
      <w:r w:rsidR="00EB39C5" w:rsidRPr="007E1EEE">
        <w:rPr>
          <w:shd w:val="clear" w:color="auto" w:fill="FFFFFF"/>
          <w:lang w:val="en-GB"/>
        </w:rPr>
        <w:t>user-friendly</w:t>
      </w:r>
      <w:r w:rsidRPr="007E1EEE">
        <w:rPr>
          <w:shd w:val="clear" w:color="auto" w:fill="FFFFFF"/>
          <w:lang w:val="en-GB"/>
        </w:rPr>
        <w:t xml:space="preserve"> </w:t>
      </w:r>
      <w:r w:rsidR="00430AA3" w:rsidRPr="007E1EEE">
        <w:rPr>
          <w:shd w:val="clear" w:color="auto" w:fill="FFFFFF"/>
          <w:lang w:val="en-GB"/>
        </w:rPr>
        <w:t xml:space="preserve">calendar </w:t>
      </w:r>
      <w:r w:rsidR="00020B3A" w:rsidRPr="007E1EEE">
        <w:t xml:space="preserve">with </w:t>
      </w:r>
      <w:r w:rsidR="00020B3A" w:rsidRPr="007E1EEE">
        <w:rPr>
          <w:shd w:val="clear" w:color="auto" w:fill="FFFFFF"/>
          <w:lang w:val="en-GB"/>
        </w:rPr>
        <w:t xml:space="preserve">foreseeable reporting cycle may </w:t>
      </w:r>
      <w:r w:rsidRPr="007E1EEE">
        <w:rPr>
          <w:shd w:val="clear" w:color="auto" w:fill="FFFFFF"/>
          <w:lang w:val="en-GB"/>
        </w:rPr>
        <w:t>facilit</w:t>
      </w:r>
      <w:r w:rsidR="00020B3A" w:rsidRPr="007E1EEE">
        <w:rPr>
          <w:shd w:val="clear" w:color="auto" w:fill="FFFFFF"/>
          <w:lang w:val="en-GB"/>
        </w:rPr>
        <w:t>ate</w:t>
      </w:r>
      <w:r w:rsidRPr="007E1EEE">
        <w:rPr>
          <w:shd w:val="clear" w:color="auto" w:fill="FFFFFF"/>
          <w:lang w:val="en-GB"/>
        </w:rPr>
        <w:t xml:space="preserve"> </w:t>
      </w:r>
      <w:r w:rsidR="00020B3A" w:rsidRPr="007E1EEE">
        <w:rPr>
          <w:shd w:val="clear" w:color="auto" w:fill="FFFFFF"/>
          <w:lang w:val="en-GB"/>
        </w:rPr>
        <w:t xml:space="preserve">the </w:t>
      </w:r>
      <w:r w:rsidR="00430AA3" w:rsidRPr="007E1EEE">
        <w:rPr>
          <w:shd w:val="clear" w:color="auto" w:fill="FFFFFF"/>
          <w:lang w:val="en-GB"/>
        </w:rPr>
        <w:t>States reporting obligations</w:t>
      </w:r>
      <w:r w:rsidR="00020B3A" w:rsidRPr="007E1EEE">
        <w:rPr>
          <w:shd w:val="clear" w:color="auto" w:fill="FFFFFF"/>
          <w:lang w:val="en-GB"/>
        </w:rPr>
        <w:t>.</w:t>
      </w:r>
      <w:r w:rsidR="00020B3A" w:rsidRPr="007E1EEE">
        <w:t xml:space="preserve"> </w:t>
      </w:r>
    </w:p>
    <w:p w14:paraId="3640742D" w14:textId="77777777" w:rsidR="007F1173" w:rsidRPr="007E1EEE" w:rsidRDefault="007F1173" w:rsidP="00A12001">
      <w:pPr>
        <w:jc w:val="both"/>
        <w:rPr>
          <w:shd w:val="clear" w:color="auto" w:fill="FFFFFF"/>
          <w:lang w:val="en-GB"/>
        </w:rPr>
      </w:pPr>
    </w:p>
    <w:p w14:paraId="44BADD54" w14:textId="77777777" w:rsidR="007F1173" w:rsidRPr="007E1EEE" w:rsidRDefault="007F1173" w:rsidP="00A12001">
      <w:pPr>
        <w:tabs>
          <w:tab w:val="left" w:pos="5370"/>
        </w:tabs>
        <w:jc w:val="both"/>
        <w:rPr>
          <w:b/>
          <w:lang w:val="en-GB"/>
        </w:rPr>
      </w:pPr>
      <w:r w:rsidRPr="007E1EEE">
        <w:rPr>
          <w:b/>
          <w:lang w:val="en-GB"/>
        </w:rPr>
        <w:t>Individual communications and complaints procedures</w:t>
      </w:r>
    </w:p>
    <w:p w14:paraId="4FC9B60F" w14:textId="77777777" w:rsidR="007F1173" w:rsidRPr="007E1EEE" w:rsidRDefault="007F1173" w:rsidP="00A12001">
      <w:pPr>
        <w:tabs>
          <w:tab w:val="left" w:pos="5370"/>
        </w:tabs>
        <w:jc w:val="both"/>
        <w:rPr>
          <w:b/>
          <w:bCs/>
          <w:lang w:val="en-GB"/>
        </w:rPr>
      </w:pPr>
    </w:p>
    <w:p w14:paraId="085A2F6D" w14:textId="77777777" w:rsidR="007F1173" w:rsidRPr="007E1EEE" w:rsidRDefault="007F1173" w:rsidP="00A12001">
      <w:pPr>
        <w:tabs>
          <w:tab w:val="left" w:pos="5370"/>
        </w:tabs>
        <w:jc w:val="both"/>
        <w:rPr>
          <w:lang w:val="en-GB"/>
        </w:rPr>
      </w:pPr>
      <w:r w:rsidRPr="007E1EEE">
        <w:rPr>
          <w:lang w:val="en-GB"/>
        </w:rPr>
        <w:t xml:space="preserve">Lithuania calls for an evident need to substantially improve </w:t>
      </w:r>
      <w:r w:rsidRPr="007E1EEE">
        <w:rPr>
          <w:bCs/>
          <w:lang w:val="en-GB"/>
        </w:rPr>
        <w:t>the assessment of admissibility of individual communications and complaints</w:t>
      </w:r>
      <w:r w:rsidRPr="007E1EEE">
        <w:rPr>
          <w:lang w:val="en-GB"/>
        </w:rPr>
        <w:t xml:space="preserve"> to ensure that communications, as well as various forms of additional comments by the authors, that clearly do not meet the admissibility criteria would not be communicated to the State party for its observations. In this regard, strict application of admissibility criteria should be enhanced and more transparent mechanism of their assessment should be introduced. It would be useful to consider the possibility to follow the best practices of other international adjudication bodies of e.g. setting up of a new ”Filtering Section”, similar to one efficiently filtering out of the very large number of inadmissible cases brought before the European Court of Human Rights each year. </w:t>
      </w:r>
    </w:p>
    <w:p w14:paraId="06DA1123" w14:textId="77777777" w:rsidR="007F1173" w:rsidRPr="007E1EEE" w:rsidRDefault="007F1173" w:rsidP="00A12001">
      <w:pPr>
        <w:tabs>
          <w:tab w:val="left" w:pos="5370"/>
        </w:tabs>
        <w:jc w:val="both"/>
        <w:rPr>
          <w:lang w:val="en-GB"/>
        </w:rPr>
      </w:pPr>
    </w:p>
    <w:p w14:paraId="76D02974" w14:textId="66125B49" w:rsidR="007F1173" w:rsidRPr="007E1EEE" w:rsidRDefault="007F1173" w:rsidP="00A12001">
      <w:pPr>
        <w:tabs>
          <w:tab w:val="left" w:pos="5370"/>
        </w:tabs>
        <w:jc w:val="both"/>
        <w:rPr>
          <w:lang w:val="en-GB"/>
        </w:rPr>
      </w:pPr>
      <w:r w:rsidRPr="007E1EEE">
        <w:rPr>
          <w:shd w:val="clear" w:color="auto" w:fill="FFFFFF"/>
          <w:lang w:val="en-GB"/>
        </w:rPr>
        <w:t xml:space="preserve">In our opinion, due to the substance and legal implications of the </w:t>
      </w:r>
      <w:r w:rsidRPr="007E1EEE">
        <w:rPr>
          <w:lang w:val="en-GB"/>
        </w:rPr>
        <w:t xml:space="preserve">individual communications and complaints procedures, the relevant issue of the </w:t>
      </w:r>
      <w:r w:rsidRPr="007E1EEE">
        <w:rPr>
          <w:shd w:val="clear" w:color="auto" w:fill="FFFFFF"/>
          <w:lang w:val="en-GB"/>
        </w:rPr>
        <w:t>abuse of process</w:t>
      </w:r>
      <w:r w:rsidRPr="007E1EEE">
        <w:rPr>
          <w:lang w:val="en-GB"/>
        </w:rPr>
        <w:t xml:space="preserve"> should also be addressed</w:t>
      </w:r>
      <w:r w:rsidRPr="007E1EEE">
        <w:rPr>
          <w:shd w:val="clear" w:color="auto" w:fill="FFFFFF"/>
          <w:lang w:val="en-GB"/>
        </w:rPr>
        <w:t xml:space="preserve">, by expressly envisaging respective provisions and introducing effective countermeasures commonly recognized in judicial procedures of the EU Member States, such as restrictions on representation, fines for abuse of process, etc. In this respect, the quality of representation of the authors is an issue worth noting and thus it should be focused on improving it. It could be </w:t>
      </w:r>
      <w:r w:rsidR="00E74C82" w:rsidRPr="007E1EEE">
        <w:rPr>
          <w:shd w:val="clear" w:color="auto" w:fill="FFFFFF"/>
          <w:lang w:val="en-GB"/>
        </w:rPr>
        <w:t>addressed</w:t>
      </w:r>
      <w:r w:rsidRPr="007E1EEE">
        <w:rPr>
          <w:shd w:val="clear" w:color="auto" w:fill="FFFFFF"/>
          <w:lang w:val="en-GB"/>
        </w:rPr>
        <w:t xml:space="preserve"> by adapting relevant rules followed by other international adjudication bodies. For example, the provision enshrined in the Rule 36</w:t>
      </w:r>
      <w:r w:rsidRPr="007E1EEE">
        <w:rPr>
          <w:shd w:val="clear" w:color="auto" w:fill="FFFFFF"/>
          <w:vertAlign w:val="superscript"/>
          <w:lang w:val="en-GB"/>
        </w:rPr>
        <w:t>1</w:t>
      </w:r>
      <w:r w:rsidRPr="007E1EEE">
        <w:rPr>
          <w:shd w:val="clear" w:color="auto" w:fill="FFFFFF"/>
          <w:lang w:val="en-GB"/>
        </w:rPr>
        <w:t xml:space="preserve"> para 4(b) of the Rules of the </w:t>
      </w:r>
      <w:r w:rsidRPr="007E1EEE">
        <w:rPr>
          <w:lang w:val="en-GB"/>
        </w:rPr>
        <w:t>European Court of Human Rights</w:t>
      </w:r>
      <w:r w:rsidRPr="007E1EEE">
        <w:rPr>
          <w:shd w:val="clear" w:color="auto" w:fill="FFFFFF"/>
          <w:lang w:val="en-GB"/>
        </w:rPr>
        <w:t xml:space="preserve"> enabling to give direction to the author to seek alternative representation where the circumstances or the conduct of the advocate or other person appointed for the representation so require</w:t>
      </w:r>
      <w:r w:rsidRPr="007E1EEE">
        <w:rPr>
          <w:rStyle w:val="FootnoteReference"/>
          <w:shd w:val="clear" w:color="auto" w:fill="FFFFFF"/>
          <w:lang w:val="en-GB"/>
        </w:rPr>
        <w:footnoteReference w:id="1"/>
      </w:r>
      <w:r w:rsidRPr="007E1EEE">
        <w:rPr>
          <w:shd w:val="clear" w:color="auto" w:fill="FFFFFF"/>
          <w:lang w:val="en-GB"/>
        </w:rPr>
        <w:t>.</w:t>
      </w:r>
    </w:p>
    <w:p w14:paraId="2AD33AC2" w14:textId="77777777" w:rsidR="007F1173" w:rsidRDefault="007F1173" w:rsidP="00A12001">
      <w:pPr>
        <w:rPr>
          <w:rFonts w:ascii="Arial" w:eastAsia="Calibri" w:hAnsi="Arial" w:cs="Arial"/>
          <w:b/>
          <w:bCs/>
          <w:i/>
          <w:sz w:val="22"/>
          <w:szCs w:val="22"/>
          <w:lang w:val="en-GB"/>
        </w:rPr>
      </w:pPr>
    </w:p>
    <w:p w14:paraId="24FB4452" w14:textId="099AFC4B" w:rsidR="00475A27" w:rsidRPr="00475A27" w:rsidRDefault="00E74C82" w:rsidP="00475A27">
      <w:pPr>
        <w:spacing w:after="160" w:line="259" w:lineRule="auto"/>
        <w:jc w:val="both"/>
        <w:rPr>
          <w:shd w:val="clear" w:color="auto" w:fill="FFFFFF"/>
          <w:lang w:val="en-GB"/>
        </w:rPr>
      </w:pPr>
      <w:r>
        <w:rPr>
          <w:shd w:val="clear" w:color="auto" w:fill="FFFFFF"/>
          <w:lang w:val="en-GB"/>
        </w:rPr>
        <w:t>In conclusion</w:t>
      </w:r>
      <w:r w:rsidR="00F922B0">
        <w:rPr>
          <w:shd w:val="clear" w:color="auto" w:fill="FFFFFF"/>
          <w:lang w:val="en-GB"/>
        </w:rPr>
        <w:t xml:space="preserve">, </w:t>
      </w:r>
      <w:r w:rsidR="00475A27" w:rsidRPr="00475A27">
        <w:rPr>
          <w:shd w:val="clear" w:color="auto" w:fill="FFFFFF"/>
          <w:lang w:val="en-GB"/>
        </w:rPr>
        <w:t xml:space="preserve">Lithuania </w:t>
      </w:r>
      <w:r w:rsidRPr="00E74C82">
        <w:rPr>
          <w:rFonts w:eastAsia="Times New Roman"/>
          <w:lang w:val="en-GB"/>
        </w:rPr>
        <w:t xml:space="preserve">avails itself of this opportunity to </w:t>
      </w:r>
      <w:r w:rsidR="00475A27" w:rsidRPr="00475A27">
        <w:rPr>
          <w:shd w:val="clear" w:color="auto" w:fill="FFFFFF"/>
          <w:lang w:val="en-GB"/>
        </w:rPr>
        <w:t>express</w:t>
      </w:r>
      <w:r w:rsidR="00475A27">
        <w:rPr>
          <w:shd w:val="clear" w:color="auto" w:fill="FFFFFF"/>
          <w:lang w:val="en-GB"/>
        </w:rPr>
        <w:t>es</w:t>
      </w:r>
      <w:r w:rsidR="00475A27" w:rsidRPr="00475A27">
        <w:rPr>
          <w:shd w:val="clear" w:color="auto" w:fill="FFFFFF"/>
          <w:lang w:val="en-GB"/>
        </w:rPr>
        <w:t xml:space="preserve"> its support for the </w:t>
      </w:r>
      <w:r w:rsidR="00475A27">
        <w:rPr>
          <w:shd w:val="clear" w:color="auto" w:fill="FFFFFF"/>
          <w:lang w:val="en-GB"/>
        </w:rPr>
        <w:t>t</w:t>
      </w:r>
      <w:r w:rsidR="00475A27" w:rsidRPr="00475A27">
        <w:rPr>
          <w:shd w:val="clear" w:color="auto" w:fill="FFFFFF"/>
          <w:lang w:val="en-GB"/>
        </w:rPr>
        <w:t xml:space="preserve">reaty </w:t>
      </w:r>
      <w:r w:rsidR="00475A27">
        <w:rPr>
          <w:shd w:val="clear" w:color="auto" w:fill="FFFFFF"/>
          <w:lang w:val="en-GB"/>
        </w:rPr>
        <w:t>b</w:t>
      </w:r>
      <w:r w:rsidR="00475A27" w:rsidRPr="00475A27">
        <w:rPr>
          <w:shd w:val="clear" w:color="auto" w:fill="FFFFFF"/>
          <w:lang w:val="en-GB"/>
        </w:rPr>
        <w:t xml:space="preserve">ody </w:t>
      </w:r>
      <w:r w:rsidR="00475A27">
        <w:rPr>
          <w:shd w:val="clear" w:color="auto" w:fill="FFFFFF"/>
          <w:lang w:val="en-GB"/>
        </w:rPr>
        <w:t>s</w:t>
      </w:r>
      <w:r w:rsidR="00475A27" w:rsidRPr="00475A27">
        <w:rPr>
          <w:shd w:val="clear" w:color="auto" w:fill="FFFFFF"/>
          <w:lang w:val="en-GB"/>
        </w:rPr>
        <w:t xml:space="preserve">trengthening </w:t>
      </w:r>
      <w:r w:rsidR="00475A27">
        <w:rPr>
          <w:shd w:val="clear" w:color="auto" w:fill="FFFFFF"/>
          <w:lang w:val="en-GB"/>
        </w:rPr>
        <w:t>p</w:t>
      </w:r>
      <w:r w:rsidR="00475A27" w:rsidRPr="00475A27">
        <w:rPr>
          <w:shd w:val="clear" w:color="auto" w:fill="FFFFFF"/>
          <w:lang w:val="en-GB"/>
        </w:rPr>
        <w:t xml:space="preserve">rocess and </w:t>
      </w:r>
      <w:r w:rsidR="00E53454">
        <w:rPr>
          <w:shd w:val="clear" w:color="auto" w:fill="FFFFFF"/>
          <w:lang w:val="en-GB"/>
        </w:rPr>
        <w:t xml:space="preserve">its </w:t>
      </w:r>
      <w:r w:rsidR="00E53454" w:rsidRPr="00475A27">
        <w:rPr>
          <w:shd w:val="clear" w:color="auto" w:fill="FFFFFF"/>
          <w:lang w:val="en-GB"/>
        </w:rPr>
        <w:t xml:space="preserve">engagement </w:t>
      </w:r>
      <w:r w:rsidR="00E53454">
        <w:rPr>
          <w:shd w:val="clear" w:color="auto" w:fill="FFFFFF"/>
          <w:lang w:val="en-GB"/>
        </w:rPr>
        <w:t>in</w:t>
      </w:r>
      <w:r>
        <w:rPr>
          <w:shd w:val="clear" w:color="auto" w:fill="FFFFFF"/>
          <w:lang w:val="en-GB"/>
        </w:rPr>
        <w:t xml:space="preserve"> this</w:t>
      </w:r>
      <w:r w:rsidR="00E53454">
        <w:rPr>
          <w:shd w:val="clear" w:color="auto" w:fill="FFFFFF"/>
          <w:lang w:val="en-GB"/>
        </w:rPr>
        <w:t xml:space="preserve"> </w:t>
      </w:r>
      <w:r>
        <w:rPr>
          <w:shd w:val="clear" w:color="auto" w:fill="FFFFFF"/>
          <w:lang w:val="en-GB"/>
        </w:rPr>
        <w:t>p</w:t>
      </w:r>
      <w:r w:rsidRPr="00475A27">
        <w:rPr>
          <w:shd w:val="clear" w:color="auto" w:fill="FFFFFF"/>
          <w:lang w:val="en-GB"/>
        </w:rPr>
        <w:t>rocess</w:t>
      </w:r>
      <w:r w:rsidR="00475A27" w:rsidRPr="00475A27">
        <w:rPr>
          <w:shd w:val="clear" w:color="auto" w:fill="FFFFFF"/>
          <w:lang w:val="en-GB"/>
        </w:rPr>
        <w:t xml:space="preserve">. </w:t>
      </w:r>
    </w:p>
    <w:p w14:paraId="76CBD6FF" w14:textId="3A9705FC" w:rsidR="004A122B" w:rsidRPr="006A43DE" w:rsidRDefault="004A122B" w:rsidP="00A12001">
      <w:pPr>
        <w:rPr>
          <w:shd w:val="clear" w:color="auto" w:fill="FFFFFF"/>
          <w:lang w:val="en-GB"/>
        </w:rPr>
      </w:pPr>
    </w:p>
    <w:sectPr w:rsidR="004A122B" w:rsidRPr="006A43DE">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A561" w16cex:dateUtc="2022-02-08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8C8C3" w16cid:durableId="25ACA5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A8EA9" w14:textId="77777777" w:rsidR="00E34415" w:rsidRDefault="00E34415" w:rsidP="00341684">
      <w:r>
        <w:separator/>
      </w:r>
    </w:p>
  </w:endnote>
  <w:endnote w:type="continuationSeparator" w:id="0">
    <w:p w14:paraId="611D6030" w14:textId="77777777" w:rsidR="00E34415" w:rsidRDefault="00E34415" w:rsidP="0034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24D31" w14:textId="77777777" w:rsidR="00E34415" w:rsidRDefault="00E34415" w:rsidP="00341684">
      <w:r>
        <w:separator/>
      </w:r>
    </w:p>
  </w:footnote>
  <w:footnote w:type="continuationSeparator" w:id="0">
    <w:p w14:paraId="11A965D9" w14:textId="77777777" w:rsidR="00E34415" w:rsidRDefault="00E34415" w:rsidP="00341684">
      <w:r>
        <w:continuationSeparator/>
      </w:r>
    </w:p>
  </w:footnote>
  <w:footnote w:id="1">
    <w:p w14:paraId="0481E272" w14:textId="77777777" w:rsidR="007F1173" w:rsidRPr="00341684" w:rsidRDefault="007F1173" w:rsidP="007F1173">
      <w:pPr>
        <w:pStyle w:val="FootnoteText"/>
        <w:rPr>
          <w:lang w:val="lt-LT"/>
        </w:rPr>
      </w:pPr>
      <w:r>
        <w:rPr>
          <w:rStyle w:val="FootnoteReference"/>
        </w:rPr>
        <w:footnoteRef/>
      </w:r>
      <w:r>
        <w:t xml:space="preserve"> </w:t>
      </w:r>
      <w:hyperlink r:id="rId1" w:history="1">
        <w:r>
          <w:rPr>
            <w:rStyle w:val="Hyperlink"/>
          </w:rPr>
          <w:t>Rules of Court - 1 February 2022 (coe.int)</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D5"/>
    <w:rsid w:val="00005EC9"/>
    <w:rsid w:val="00020B3A"/>
    <w:rsid w:val="00021909"/>
    <w:rsid w:val="000312AA"/>
    <w:rsid w:val="00031AB3"/>
    <w:rsid w:val="00043CF5"/>
    <w:rsid w:val="00047195"/>
    <w:rsid w:val="00066BC6"/>
    <w:rsid w:val="000763DE"/>
    <w:rsid w:val="00085163"/>
    <w:rsid w:val="00094BCE"/>
    <w:rsid w:val="000B36E0"/>
    <w:rsid w:val="00111342"/>
    <w:rsid w:val="00124C17"/>
    <w:rsid w:val="00142882"/>
    <w:rsid w:val="0019343C"/>
    <w:rsid w:val="00204E03"/>
    <w:rsid w:val="00215D3D"/>
    <w:rsid w:val="00223467"/>
    <w:rsid w:val="00234C61"/>
    <w:rsid w:val="002601AC"/>
    <w:rsid w:val="0028273C"/>
    <w:rsid w:val="002916CD"/>
    <w:rsid w:val="002B4FDC"/>
    <w:rsid w:val="002D4899"/>
    <w:rsid w:val="00312C66"/>
    <w:rsid w:val="00326A5E"/>
    <w:rsid w:val="00341684"/>
    <w:rsid w:val="00346DAB"/>
    <w:rsid w:val="00373E0B"/>
    <w:rsid w:val="003A46DA"/>
    <w:rsid w:val="00406908"/>
    <w:rsid w:val="004257D4"/>
    <w:rsid w:val="00430AA3"/>
    <w:rsid w:val="00446888"/>
    <w:rsid w:val="00462149"/>
    <w:rsid w:val="00475A27"/>
    <w:rsid w:val="00494AE6"/>
    <w:rsid w:val="004A122B"/>
    <w:rsid w:val="004C0C32"/>
    <w:rsid w:val="004C5CF4"/>
    <w:rsid w:val="004D28CC"/>
    <w:rsid w:val="00504AED"/>
    <w:rsid w:val="005358D4"/>
    <w:rsid w:val="005562D7"/>
    <w:rsid w:val="00561B38"/>
    <w:rsid w:val="005956DA"/>
    <w:rsid w:val="005B2561"/>
    <w:rsid w:val="005D3EE7"/>
    <w:rsid w:val="005D7D00"/>
    <w:rsid w:val="005F0DA0"/>
    <w:rsid w:val="0060723B"/>
    <w:rsid w:val="00637479"/>
    <w:rsid w:val="006702D4"/>
    <w:rsid w:val="006A43DE"/>
    <w:rsid w:val="006B4AD7"/>
    <w:rsid w:val="00716C2C"/>
    <w:rsid w:val="007216DD"/>
    <w:rsid w:val="007652F6"/>
    <w:rsid w:val="00766C5B"/>
    <w:rsid w:val="007829A0"/>
    <w:rsid w:val="0078770E"/>
    <w:rsid w:val="007E1EEE"/>
    <w:rsid w:val="007F1173"/>
    <w:rsid w:val="00824745"/>
    <w:rsid w:val="00837FD4"/>
    <w:rsid w:val="008437DF"/>
    <w:rsid w:val="00857D97"/>
    <w:rsid w:val="008677C1"/>
    <w:rsid w:val="0087441A"/>
    <w:rsid w:val="008B28ED"/>
    <w:rsid w:val="008D31E8"/>
    <w:rsid w:val="008D7702"/>
    <w:rsid w:val="008E54A2"/>
    <w:rsid w:val="00933D92"/>
    <w:rsid w:val="009657B1"/>
    <w:rsid w:val="009D7154"/>
    <w:rsid w:val="00A12001"/>
    <w:rsid w:val="00A23B12"/>
    <w:rsid w:val="00A24FF6"/>
    <w:rsid w:val="00A368FC"/>
    <w:rsid w:val="00A5281C"/>
    <w:rsid w:val="00A53D65"/>
    <w:rsid w:val="00A83CC4"/>
    <w:rsid w:val="00A85FFE"/>
    <w:rsid w:val="00A91507"/>
    <w:rsid w:val="00AB516D"/>
    <w:rsid w:val="00AF1EED"/>
    <w:rsid w:val="00B02D43"/>
    <w:rsid w:val="00B50F60"/>
    <w:rsid w:val="00B60353"/>
    <w:rsid w:val="00B61366"/>
    <w:rsid w:val="00BB7237"/>
    <w:rsid w:val="00BC5F13"/>
    <w:rsid w:val="00C07C00"/>
    <w:rsid w:val="00C23ECD"/>
    <w:rsid w:val="00CA00C4"/>
    <w:rsid w:val="00CA0307"/>
    <w:rsid w:val="00D2421B"/>
    <w:rsid w:val="00D74331"/>
    <w:rsid w:val="00E02158"/>
    <w:rsid w:val="00E34415"/>
    <w:rsid w:val="00E46007"/>
    <w:rsid w:val="00E5132F"/>
    <w:rsid w:val="00E53454"/>
    <w:rsid w:val="00E57FA6"/>
    <w:rsid w:val="00E6352B"/>
    <w:rsid w:val="00E6697B"/>
    <w:rsid w:val="00E74C82"/>
    <w:rsid w:val="00EB335A"/>
    <w:rsid w:val="00EB39C5"/>
    <w:rsid w:val="00EC7E4D"/>
    <w:rsid w:val="00F103D5"/>
    <w:rsid w:val="00F52395"/>
    <w:rsid w:val="00F922B0"/>
    <w:rsid w:val="00FA75FA"/>
    <w:rsid w:val="00FC43AF"/>
    <w:rsid w:val="00FC4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69FF"/>
  <w15:chartTrackingRefBased/>
  <w15:docId w15:val="{01084C35-0EF6-413E-9E6F-8CF37FBF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A5E"/>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1909"/>
    <w:rPr>
      <w:sz w:val="16"/>
      <w:szCs w:val="16"/>
    </w:rPr>
  </w:style>
  <w:style w:type="paragraph" w:styleId="CommentText">
    <w:name w:val="annotation text"/>
    <w:basedOn w:val="Normal"/>
    <w:link w:val="CommentTextChar"/>
    <w:uiPriority w:val="99"/>
    <w:semiHidden/>
    <w:unhideWhenUsed/>
    <w:rsid w:val="00021909"/>
    <w:rPr>
      <w:sz w:val="20"/>
      <w:szCs w:val="20"/>
    </w:rPr>
  </w:style>
  <w:style w:type="character" w:customStyle="1" w:styleId="CommentTextChar">
    <w:name w:val="Comment Text Char"/>
    <w:basedOn w:val="DefaultParagraphFont"/>
    <w:link w:val="CommentText"/>
    <w:uiPriority w:val="99"/>
    <w:semiHidden/>
    <w:rsid w:val="00021909"/>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1909"/>
    <w:rPr>
      <w:b/>
      <w:bCs/>
    </w:rPr>
  </w:style>
  <w:style w:type="character" w:customStyle="1" w:styleId="CommentSubjectChar">
    <w:name w:val="Comment Subject Char"/>
    <w:basedOn w:val="CommentTextChar"/>
    <w:link w:val="CommentSubject"/>
    <w:uiPriority w:val="99"/>
    <w:semiHidden/>
    <w:rsid w:val="00021909"/>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42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882"/>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341684"/>
    <w:rPr>
      <w:sz w:val="20"/>
      <w:szCs w:val="20"/>
    </w:rPr>
  </w:style>
  <w:style w:type="character" w:customStyle="1" w:styleId="FootnoteTextChar">
    <w:name w:val="Footnote Text Char"/>
    <w:basedOn w:val="DefaultParagraphFont"/>
    <w:link w:val="FootnoteText"/>
    <w:uiPriority w:val="99"/>
    <w:semiHidden/>
    <w:rsid w:val="00341684"/>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341684"/>
    <w:rPr>
      <w:vertAlign w:val="superscript"/>
    </w:rPr>
  </w:style>
  <w:style w:type="character" w:styleId="Hyperlink">
    <w:name w:val="Hyperlink"/>
    <w:basedOn w:val="DefaultParagraphFont"/>
    <w:uiPriority w:val="99"/>
    <w:semiHidden/>
    <w:unhideWhenUsed/>
    <w:rsid w:val="00341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hr.coe.int/documents/rules_court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AFEE9E-B988-420F-A937-CECD8A47A8E0}">
  <ds:schemaRefs>
    <ds:schemaRef ds:uri="http://schemas.openxmlformats.org/officeDocument/2006/bibliography"/>
  </ds:schemaRefs>
</ds:datastoreItem>
</file>

<file path=customXml/itemProps2.xml><?xml version="1.0" encoding="utf-8"?>
<ds:datastoreItem xmlns:ds="http://schemas.openxmlformats.org/officeDocument/2006/customXml" ds:itemID="{0DB56AD7-C16F-44B3-A909-A18F23ADCBBF}"/>
</file>

<file path=customXml/itemProps3.xml><?xml version="1.0" encoding="utf-8"?>
<ds:datastoreItem xmlns:ds="http://schemas.openxmlformats.org/officeDocument/2006/customXml" ds:itemID="{99E6A2B6-2E73-41BF-8FE7-4CCFA7D5F4BA}"/>
</file>

<file path=customXml/itemProps4.xml><?xml version="1.0" encoding="utf-8"?>
<ds:datastoreItem xmlns:ds="http://schemas.openxmlformats.org/officeDocument/2006/customXml" ds:itemID="{BC1F291C-76FC-4FC8-810A-BC6F4357AB76}"/>
</file>

<file path=docProps/app.xml><?xml version="1.0" encoding="utf-8"?>
<Properties xmlns="http://schemas.openxmlformats.org/officeDocument/2006/extended-properties" xmlns:vt="http://schemas.openxmlformats.org/officeDocument/2006/docPropsVTypes">
  <Template>Normal</Template>
  <TotalTime>2</TotalTime>
  <Pages>2</Pages>
  <Words>3887</Words>
  <Characters>2216</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Svetikaite</dc:creator>
  <cp:keywords/>
  <dc:description/>
  <cp:lastModifiedBy>Rūta RUDINSKAITĖ-LARSEN</cp:lastModifiedBy>
  <cp:revision>2</cp:revision>
  <dcterms:created xsi:type="dcterms:W3CDTF">2022-02-18T12:39:00Z</dcterms:created>
  <dcterms:modified xsi:type="dcterms:W3CDTF">2022-02-18T12:39:00Z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