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94B" w14:textId="77777777" w:rsidR="00F50CE1" w:rsidRDefault="00F50CE1" w:rsidP="00F50CE1">
      <w:pPr>
        <w:suppressAutoHyphens/>
        <w:autoSpaceDE w:val="0"/>
        <w:autoSpaceDN w:val="0"/>
        <w:spacing w:after="60"/>
        <w:jc w:val="right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59BE04C7" w14:textId="77777777" w:rsidR="00F50CE1" w:rsidRDefault="00F50CE1" w:rsidP="00F50CE1">
      <w:pPr>
        <w:suppressAutoHyphens/>
        <w:autoSpaceDE w:val="0"/>
        <w:autoSpaceDN w:val="0"/>
        <w:spacing w:after="60"/>
        <w:jc w:val="right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69CA1ABC" w14:textId="77777777" w:rsidR="00F50CE1" w:rsidRDefault="00F50CE1" w:rsidP="00F50CE1">
      <w:pPr>
        <w:suppressAutoHyphens/>
        <w:autoSpaceDE w:val="0"/>
        <w:autoSpaceDN w:val="0"/>
        <w:spacing w:after="60"/>
        <w:jc w:val="right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09709357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  <w:r w:rsidRPr="007B341B"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73CD1F32" wp14:editId="1F32BEAC">
            <wp:extent cx="552450" cy="639264"/>
            <wp:effectExtent l="0" t="0" r="0" b="889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8" cy="65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11971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76C9DDA9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3949A5E4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596DDB4B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6682A050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3C4D159F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Cs/>
          <w:kern w:val="3"/>
          <w:lang w:val="en-US" w:eastAsia="sl-SI"/>
        </w:rPr>
      </w:pPr>
    </w:p>
    <w:p w14:paraId="74435890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/>
          <w:kern w:val="3"/>
          <w:sz w:val="28"/>
          <w:szCs w:val="28"/>
          <w:lang w:val="en-US" w:eastAsia="sl-SI"/>
        </w:rPr>
      </w:pPr>
    </w:p>
    <w:p w14:paraId="56A98A6A" w14:textId="77777777" w:rsidR="00F50CE1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Arial" w:hAnsi="Arial" w:cs="Arial"/>
          <w:b/>
          <w:kern w:val="3"/>
          <w:sz w:val="28"/>
          <w:szCs w:val="28"/>
          <w:lang w:val="en-US" w:eastAsia="sl-SI"/>
        </w:rPr>
      </w:pPr>
    </w:p>
    <w:p w14:paraId="412FF952" w14:textId="77777777" w:rsidR="00F50CE1" w:rsidRPr="001C0AF2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/>
          <w:kern w:val="3"/>
          <w:sz w:val="28"/>
          <w:szCs w:val="28"/>
          <w:lang w:val="en-US" w:eastAsia="sl-SI"/>
        </w:rPr>
      </w:pPr>
      <w:bookmarkStart w:id="0" w:name="_GoBack"/>
      <w:r w:rsidRPr="001C0AF2">
        <w:rPr>
          <w:rFonts w:ascii="Republika" w:hAnsi="Republika" w:cs="Arial"/>
          <w:b/>
          <w:kern w:val="3"/>
          <w:sz w:val="28"/>
          <w:szCs w:val="28"/>
          <w:lang w:val="en-US" w:eastAsia="sl-SI"/>
        </w:rPr>
        <w:t xml:space="preserve">Contribution of the Republic of Slovenia </w:t>
      </w:r>
    </w:p>
    <w:p w14:paraId="687C9F72" w14:textId="5B8250E6" w:rsidR="00F50CE1" w:rsidRPr="001A0A8E" w:rsidRDefault="00F50CE1" w:rsidP="00F50CE1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/>
          <w:kern w:val="3"/>
          <w:sz w:val="28"/>
          <w:szCs w:val="28"/>
          <w:lang w:eastAsia="sl-SI"/>
        </w:rPr>
      </w:pPr>
      <w:r w:rsidRPr="001C0AF2">
        <w:rPr>
          <w:rFonts w:ascii="Republika" w:hAnsi="Republika" w:cs="Arial"/>
          <w:b/>
          <w:kern w:val="3"/>
          <w:sz w:val="28"/>
          <w:szCs w:val="28"/>
          <w:lang w:val="en-US" w:eastAsia="sl-SI"/>
        </w:rPr>
        <w:t xml:space="preserve">to the Questionnaire </w:t>
      </w:r>
      <w:r w:rsidR="001A0A8E" w:rsidRPr="001A0A8E">
        <w:rPr>
          <w:rFonts w:ascii="Republika" w:hAnsi="Republika" w:cs="Arial"/>
          <w:b/>
          <w:kern w:val="3"/>
          <w:sz w:val="28"/>
          <w:szCs w:val="28"/>
          <w:lang w:val="en-US" w:eastAsia="sl-SI"/>
        </w:rPr>
        <w:t>in relation to General Assembly resolution 68/268</w:t>
      </w:r>
    </w:p>
    <w:bookmarkEnd w:id="0"/>
    <w:p w14:paraId="0FFDBE65" w14:textId="77777777" w:rsidR="00F50CE1" w:rsidRPr="001C0AF2" w:rsidRDefault="00F50CE1" w:rsidP="00F50CE1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8"/>
          <w:szCs w:val="28"/>
          <w:lang w:val="en-US" w:eastAsia="sl-SI"/>
        </w:rPr>
      </w:pPr>
    </w:p>
    <w:p w14:paraId="67423FB7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7393468A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74060E0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754D99E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7D2D495A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4D64026C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10BDC579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5B4D7D6F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46D1FA4B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007BE977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CB8220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EFDDE9A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5C51958B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40E2E4A7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5B6AB31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765135B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6BA4650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1CC45E4A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3461FEE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E7C7202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772E6FE5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4B8794BC" w14:textId="77777777" w:rsidR="00F50CE1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/>
          <w:kern w:val="3"/>
          <w:sz w:val="28"/>
          <w:szCs w:val="28"/>
          <w:lang w:val="en-US" w:eastAsia="sl-SI"/>
        </w:rPr>
      </w:pPr>
    </w:p>
    <w:p w14:paraId="2B61C38B" w14:textId="2EEE1F69" w:rsidR="00F50CE1" w:rsidRPr="00831335" w:rsidRDefault="001A0A8E" w:rsidP="00F50CE1">
      <w:pPr>
        <w:suppressAutoHyphens/>
        <w:autoSpaceDN w:val="0"/>
        <w:jc w:val="center"/>
        <w:textAlignment w:val="baseline"/>
        <w:rPr>
          <w:rFonts w:ascii="Arial" w:hAnsi="Arial" w:cs="Arial"/>
          <w:bCs/>
          <w:iCs/>
          <w:kern w:val="3"/>
          <w:lang w:val="en-US" w:eastAsia="sl-SI"/>
        </w:rPr>
      </w:pPr>
      <w:r>
        <w:rPr>
          <w:rFonts w:ascii="Arial" w:hAnsi="Arial" w:cs="Arial"/>
          <w:bCs/>
          <w:iCs/>
          <w:kern w:val="3"/>
          <w:lang w:val="en-US" w:eastAsia="sl-SI"/>
        </w:rPr>
        <w:t>28 January 2022</w:t>
      </w:r>
    </w:p>
    <w:p w14:paraId="60977DC4" w14:textId="77777777" w:rsidR="00F50CE1" w:rsidRPr="00B03FC2" w:rsidRDefault="00F50CE1" w:rsidP="00F50CE1">
      <w:pPr>
        <w:suppressAutoHyphens/>
        <w:autoSpaceDN w:val="0"/>
        <w:jc w:val="center"/>
        <w:textAlignment w:val="baseline"/>
        <w:rPr>
          <w:rFonts w:ascii="Arial" w:hAnsi="Arial" w:cs="Arial"/>
          <w:iCs/>
          <w:kern w:val="3"/>
          <w:sz w:val="28"/>
          <w:szCs w:val="28"/>
          <w:lang w:val="en-US" w:eastAsia="zh-CN"/>
        </w:rPr>
      </w:pPr>
    </w:p>
    <w:p w14:paraId="2EC0B2FA" w14:textId="31666AB0" w:rsidR="00F50CE1" w:rsidRDefault="00F50CE1" w:rsidP="00F50CE1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117A154" w14:textId="77777777" w:rsidR="008D7763" w:rsidRPr="007B341B" w:rsidRDefault="008D7763" w:rsidP="00F50CE1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CE1" w14:paraId="5C546E3A" w14:textId="77777777" w:rsidTr="008769FA">
        <w:tc>
          <w:tcPr>
            <w:tcW w:w="9062" w:type="dxa"/>
          </w:tcPr>
          <w:p w14:paraId="319EF471" w14:textId="77777777" w:rsidR="00F50CE1" w:rsidRPr="00B03FC2" w:rsidRDefault="00F50CE1" w:rsidP="008769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3A1461CD" w14:textId="4294E09E" w:rsidR="00F50CE1" w:rsidRPr="001C0AF2" w:rsidRDefault="001A0A8E" w:rsidP="008769FA">
            <w:pPr>
              <w:jc w:val="center"/>
              <w:rPr>
                <w:rFonts w:ascii="Republika" w:hAnsi="Republika" w:cs="Arial"/>
                <w:b/>
                <w:bCs/>
                <w:color w:val="000000" w:themeColor="text1"/>
                <w:kern w:val="3"/>
                <w:lang w:eastAsia="sl-SI"/>
              </w:rPr>
            </w:pPr>
            <w:r w:rsidRPr="001A0A8E">
              <w:rPr>
                <w:rFonts w:ascii="Republika" w:hAnsi="Republika" w:cs="Arial"/>
                <w:b/>
                <w:bCs/>
                <w:color w:val="000000" w:themeColor="text1"/>
                <w:kern w:val="3"/>
                <w:lang w:val="en-US" w:eastAsia="sl-SI"/>
              </w:rPr>
              <w:t>Questionnaire in relation to General Assembly resolution 68/268</w:t>
            </w:r>
          </w:p>
          <w:p w14:paraId="3AF8CBA4" w14:textId="77777777" w:rsidR="00F50CE1" w:rsidRDefault="00F50CE1" w:rsidP="008769FA">
            <w:pPr>
              <w:jc w:val="center"/>
              <w:rPr>
                <w:rFonts w:ascii="Republika" w:hAnsi="Republika" w:cs="Arial"/>
                <w:b/>
                <w:color w:val="000000" w:themeColor="text1"/>
                <w:kern w:val="3"/>
                <w:lang w:val="en-US" w:eastAsia="sl-SI"/>
              </w:rPr>
            </w:pPr>
            <w:r w:rsidRPr="001C0AF2">
              <w:rPr>
                <w:rFonts w:ascii="Republika" w:hAnsi="Republika" w:cs="Arial"/>
                <w:b/>
                <w:color w:val="000000" w:themeColor="text1"/>
                <w:kern w:val="3"/>
                <w:lang w:val="en-US" w:eastAsia="sl-SI"/>
              </w:rPr>
              <w:t xml:space="preserve"> </w:t>
            </w:r>
          </w:p>
          <w:p w14:paraId="75A92811" w14:textId="77777777" w:rsidR="00F50CE1" w:rsidRPr="00831335" w:rsidRDefault="00F50CE1" w:rsidP="008769F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Republika" w:hAnsi="Republika" w:cs="Arial"/>
                <w:b/>
                <w:color w:val="529DBA"/>
                <w:kern w:val="3"/>
                <w:sz w:val="28"/>
                <w:szCs w:val="28"/>
                <w:lang w:val="en-US" w:eastAsia="sl-SI"/>
              </w:rPr>
            </w:pPr>
            <w:r w:rsidRPr="00831335">
              <w:rPr>
                <w:rFonts w:ascii="Republika" w:hAnsi="Republika" w:cs="Arial"/>
                <w:b/>
                <w:color w:val="529DBA"/>
                <w:kern w:val="3"/>
                <w:sz w:val="28"/>
                <w:szCs w:val="28"/>
                <w:lang w:val="en-US" w:eastAsia="sl-SI"/>
              </w:rPr>
              <w:t>Contribution of the Republic of Slovenia</w:t>
            </w:r>
          </w:p>
          <w:p w14:paraId="75731E0A" w14:textId="77777777" w:rsidR="00F50CE1" w:rsidRPr="00B03FC2" w:rsidRDefault="00F50CE1" w:rsidP="008769F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2E158602" w14:textId="77777777" w:rsidR="00F50CE1" w:rsidRDefault="00F50CE1" w:rsidP="00F50CE1">
      <w:pPr>
        <w:pStyle w:val="podpisi"/>
        <w:tabs>
          <w:tab w:val="clear" w:pos="3402"/>
          <w:tab w:val="left" w:pos="200"/>
        </w:tabs>
        <w:rPr>
          <w:rFonts w:hint="eastAsia"/>
          <w:b/>
          <w:bCs/>
          <w:lang w:val="sl-SI"/>
        </w:rPr>
      </w:pPr>
    </w:p>
    <w:p w14:paraId="0AC2B387" w14:textId="48EDAB7A" w:rsidR="00F50CE1" w:rsidRDefault="001A0A8E" w:rsidP="00C0185F">
      <w:pPr>
        <w:pStyle w:val="podpisi"/>
        <w:numPr>
          <w:ilvl w:val="0"/>
          <w:numId w:val="1"/>
        </w:numPr>
        <w:tabs>
          <w:tab w:val="clear" w:pos="3402"/>
          <w:tab w:val="left" w:pos="200"/>
        </w:tabs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Introduction</w:t>
      </w:r>
    </w:p>
    <w:p w14:paraId="777CDE65" w14:textId="77777777" w:rsidR="00C0185F" w:rsidRDefault="00C0185F" w:rsidP="00C0185F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6B08D562" w14:textId="63DB84A7" w:rsidR="00C0185F" w:rsidRDefault="00C0185F" w:rsidP="00C0185F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As a strong supporter of the human rights treaty body system, Slovenia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 welcomes th</w:t>
      </w:r>
      <w:r>
        <w:rPr>
          <w:rFonts w:ascii="Arial" w:hAnsi="Arial" w:cs="Arial"/>
          <w:sz w:val="22"/>
          <w:szCs w:val="22"/>
          <w:lang w:val="sl-SI"/>
        </w:rPr>
        <w:t>is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query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 on the state of the human rights treaty body system and thanks the </w:t>
      </w:r>
      <w:r>
        <w:rPr>
          <w:rFonts w:ascii="Arial" w:hAnsi="Arial" w:cs="Arial"/>
          <w:sz w:val="22"/>
          <w:szCs w:val="22"/>
          <w:lang w:val="sl-SI"/>
        </w:rPr>
        <w:t xml:space="preserve">Office of the </w:t>
      </w:r>
      <w:r w:rsidRPr="001A0A8E">
        <w:rPr>
          <w:rFonts w:ascii="Arial" w:hAnsi="Arial" w:cs="Arial"/>
          <w:sz w:val="22"/>
          <w:szCs w:val="22"/>
          <w:lang w:val="sl-SI"/>
        </w:rPr>
        <w:t>High Commissioner for Human Rights for organizing and processing this round of consultat</w:t>
      </w:r>
      <w:r>
        <w:rPr>
          <w:rFonts w:ascii="Arial" w:hAnsi="Arial" w:cs="Arial"/>
          <w:sz w:val="22"/>
          <w:szCs w:val="22"/>
          <w:lang w:val="sl-SI"/>
        </w:rPr>
        <w:t>ions</w:t>
      </w:r>
      <w:r w:rsidRPr="001A0A8E">
        <w:rPr>
          <w:rFonts w:ascii="Arial" w:hAnsi="Arial" w:cs="Arial"/>
          <w:sz w:val="22"/>
          <w:szCs w:val="22"/>
          <w:lang w:val="sl-SI"/>
        </w:rPr>
        <w:t>.</w:t>
      </w:r>
    </w:p>
    <w:p w14:paraId="4CEF1227" w14:textId="77777777" w:rsidR="00C0185F" w:rsidRDefault="00C0185F" w:rsidP="00C0185F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0A984CA5" w14:textId="77777777" w:rsidR="00C0185F" w:rsidRDefault="00C0185F" w:rsidP="00C0185F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At the same time Slovenia takes note of the reports of the Secretary General, which in its essence stress that lack of reporting compliance, a backlog in state reviews and review of communications, as well as insufficient alignment / harmonization of working methods impede well functioning of the system. The entire situation was made more dire in the wake of the ongoing pandemic. </w:t>
      </w:r>
    </w:p>
    <w:p w14:paraId="0FC10DB1" w14:textId="77777777" w:rsidR="00C0185F" w:rsidRDefault="00C0185F" w:rsidP="00C0185F">
      <w:pPr>
        <w:pStyle w:val="podpisi"/>
        <w:tabs>
          <w:tab w:val="left" w:pos="200"/>
        </w:tabs>
        <w:ind w:left="720"/>
        <w:jc w:val="both"/>
        <w:rPr>
          <w:rFonts w:ascii="Arial" w:hAnsi="Arial" w:cs="Arial"/>
          <w:sz w:val="22"/>
          <w:szCs w:val="22"/>
          <w:lang w:val="sl-SI"/>
        </w:rPr>
      </w:pPr>
    </w:p>
    <w:p w14:paraId="7C36F82B" w14:textId="77777777" w:rsidR="00C0185F" w:rsidRDefault="00C0185F" w:rsidP="00C0185F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Slovenia also recognizes the actions needed to achieve the progress in this regard, including the measures recognized in </w:t>
      </w:r>
      <w:r w:rsidRPr="00E05D27">
        <w:rPr>
          <w:rFonts w:ascii="Arial" w:hAnsi="Arial" w:cs="Arial"/>
          <w:sz w:val="22"/>
          <w:szCs w:val="22"/>
          <w:lang w:val="sl-SI"/>
        </w:rPr>
        <w:t>A/RES/68/268, in the report of the Chairs of the human rights treaty bodies (A/74/256, in particular annex III) and in the report of the co-facilitators on the state of the treaty body system (A/75/601).</w:t>
      </w:r>
    </w:p>
    <w:p w14:paraId="60D83312" w14:textId="77777777" w:rsidR="00C0185F" w:rsidRDefault="00C0185F" w:rsidP="00C0185F">
      <w:pPr>
        <w:pStyle w:val="podpisi"/>
        <w:tabs>
          <w:tab w:val="clear" w:pos="3402"/>
          <w:tab w:val="left" w:pos="200"/>
        </w:tabs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23ED1CCA" w14:textId="241053D0" w:rsidR="00C0185F" w:rsidRDefault="00C0185F" w:rsidP="00C0185F">
      <w:pPr>
        <w:pStyle w:val="podpisi"/>
        <w:numPr>
          <w:ilvl w:val="0"/>
          <w:numId w:val="1"/>
        </w:numPr>
        <w:tabs>
          <w:tab w:val="clear" w:pos="3402"/>
          <w:tab w:val="left" w:pos="200"/>
        </w:tabs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Crossregional initiative</w:t>
      </w:r>
    </w:p>
    <w:p w14:paraId="216C109B" w14:textId="77777777" w:rsidR="00272F79" w:rsidRDefault="00272F79" w:rsidP="00272F79">
      <w:pPr>
        <w:pStyle w:val="podpisi"/>
        <w:tabs>
          <w:tab w:val="clear" w:pos="3402"/>
          <w:tab w:val="left" w:pos="200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EAE41ED" w14:textId="6479E3B7" w:rsidR="00272F79" w:rsidRDefault="00272F79" w:rsidP="00272F79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Our country joined a cross-regional initiative of 47 countries which, in a form of a letter, encouraged Treaty Body Chairs to adopt important measures that would help ensure more effective functioning of the treaty bodies and assure their </w:t>
      </w:r>
      <w:r w:rsidRPr="001A0A8E">
        <w:rPr>
          <w:rFonts w:ascii="Arial" w:hAnsi="Arial" w:cs="Arial"/>
          <w:sz w:val="22"/>
          <w:szCs w:val="22"/>
          <w:lang w:val="sl-SI"/>
        </w:rPr>
        <w:t>compliance with § 1, 5, 6, 7, 9, 15 and 34 of A/RES/68/268</w:t>
      </w:r>
      <w:r>
        <w:rPr>
          <w:rFonts w:ascii="Arial" w:hAnsi="Arial" w:cs="Arial"/>
          <w:sz w:val="22"/>
          <w:szCs w:val="22"/>
          <w:lang w:val="sl-SI"/>
        </w:rPr>
        <w:t xml:space="preserve">. </w:t>
      </w:r>
      <w:r w:rsidR="006C62CB">
        <w:rPr>
          <w:rFonts w:ascii="Arial" w:hAnsi="Arial" w:cs="Arial"/>
          <w:sz w:val="22"/>
          <w:szCs w:val="22"/>
          <w:lang w:val="sl-SI"/>
        </w:rPr>
        <w:t>These measures include:</w:t>
      </w:r>
    </w:p>
    <w:p w14:paraId="7E2429D7" w14:textId="77777777" w:rsidR="00272F79" w:rsidRPr="001A0A8E" w:rsidRDefault="00272F79" w:rsidP="00272F79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3994C350" w14:textId="6E9A2723" w:rsidR="00272F79" w:rsidRDefault="00272F79" w:rsidP="00272F79">
      <w:pPr>
        <w:pStyle w:val="podpisi"/>
        <w:numPr>
          <w:ilvl w:val="0"/>
          <w:numId w:val="3"/>
        </w:numPr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272F79">
        <w:rPr>
          <w:rFonts w:ascii="Arial" w:hAnsi="Arial" w:cs="Arial"/>
          <w:sz w:val="22"/>
          <w:szCs w:val="22"/>
          <w:lang w:val="sl-SI"/>
        </w:rPr>
        <w:t>Introduce a predictable calendar of review cycles that is coherent, that maximizes synergies,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ensures complementarity among treaty bodies and avoids unnecessary repetition. Such 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calendar also needs to take into account, inter alia, the increasing reporting burdens and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resource constraints of States parties, in particular Small Island Developing States and Least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Developed Countries, and factor in other reporting obligations such as the Universal Periodic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Review. When producing this schedule, we strongly recommend the treaty body Chairs to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replace every second review with a focused review so as to enhance reporting compliance.</w:t>
      </w:r>
    </w:p>
    <w:p w14:paraId="223A2A53" w14:textId="2D7DE5F2" w:rsidR="00272F79" w:rsidRPr="00272F79" w:rsidRDefault="00272F79" w:rsidP="00272F79">
      <w:pPr>
        <w:pStyle w:val="podpisi"/>
        <w:numPr>
          <w:ilvl w:val="0"/>
          <w:numId w:val="3"/>
        </w:numPr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272F79">
        <w:rPr>
          <w:rFonts w:ascii="Arial" w:hAnsi="Arial" w:cs="Arial"/>
          <w:sz w:val="22"/>
          <w:szCs w:val="22"/>
          <w:lang w:val="sl-SI"/>
        </w:rPr>
        <w:t>Move to a model of rationalized, harmonized, streamlined and modern working methods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and rules of procedure. Ensure a uniform simplified reporting procedure is the default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procedure for all periodic reports and to limit the number of questions in the list of issues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prior to the reporting on the basis of a standard methodology. Frequent meetings amongst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Chairs and consultation with Member States to monitor implementation, as well as further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initiatives to enhance coordination and planning and to share best practices across treaty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bodies, would be desirable.</w:t>
      </w:r>
    </w:p>
    <w:p w14:paraId="3CC6AE06" w14:textId="3CB12E37" w:rsidR="006F561A" w:rsidRPr="003F043F" w:rsidRDefault="00272F79" w:rsidP="003F043F">
      <w:pPr>
        <w:pStyle w:val="podpisi"/>
        <w:numPr>
          <w:ilvl w:val="0"/>
          <w:numId w:val="3"/>
        </w:numPr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272F79">
        <w:rPr>
          <w:rFonts w:ascii="Arial" w:hAnsi="Arial" w:cs="Arial"/>
          <w:sz w:val="22"/>
          <w:szCs w:val="22"/>
          <w:lang w:val="sl-SI"/>
        </w:rPr>
        <w:t>Keep pace with the new technological developments to increase the efficiency, transparency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and accessibility of the treaty body system. Online and hybrid work models are tools for enhanced engagement with all actors involved and should form part of a balanced approach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272F79">
        <w:rPr>
          <w:rFonts w:ascii="Arial" w:hAnsi="Arial" w:cs="Arial"/>
          <w:sz w:val="22"/>
          <w:szCs w:val="22"/>
          <w:lang w:val="sl-SI"/>
        </w:rPr>
        <w:t>that encompasses both online working methods and traditional physical meetings.</w:t>
      </w:r>
    </w:p>
    <w:p w14:paraId="08888B52" w14:textId="77777777" w:rsidR="00272F79" w:rsidRPr="00272F79" w:rsidRDefault="00272F79" w:rsidP="00272F79">
      <w:pPr>
        <w:pStyle w:val="podpisi"/>
        <w:tabs>
          <w:tab w:val="left" w:pos="200"/>
        </w:tabs>
        <w:ind w:left="720"/>
        <w:jc w:val="both"/>
        <w:rPr>
          <w:rFonts w:ascii="Arial" w:hAnsi="Arial" w:cs="Arial"/>
          <w:sz w:val="22"/>
          <w:szCs w:val="22"/>
          <w:lang w:val="sl-SI"/>
        </w:rPr>
      </w:pPr>
    </w:p>
    <w:p w14:paraId="0C1EF7AE" w14:textId="735FA928" w:rsidR="00272F79" w:rsidRDefault="00272F79" w:rsidP="00C0185F">
      <w:pPr>
        <w:pStyle w:val="podpisi"/>
        <w:numPr>
          <w:ilvl w:val="0"/>
          <w:numId w:val="1"/>
        </w:numPr>
        <w:tabs>
          <w:tab w:val="clear" w:pos="3402"/>
          <w:tab w:val="left" w:pos="200"/>
        </w:tabs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Additional approaches to be considered regarding</w:t>
      </w:r>
      <w:r w:rsidR="008F098D">
        <w:rPr>
          <w:rFonts w:ascii="Arial" w:hAnsi="Arial" w:cs="Arial"/>
          <w:b/>
          <w:bCs/>
          <w:sz w:val="22"/>
          <w:szCs w:val="22"/>
          <w:lang w:val="sl-SI"/>
        </w:rPr>
        <w:t xml:space="preserve"> the</w:t>
      </w:r>
      <w:r>
        <w:rPr>
          <w:rFonts w:ascii="Arial" w:hAnsi="Arial" w:cs="Arial"/>
          <w:b/>
          <w:bCs/>
          <w:sz w:val="22"/>
          <w:szCs w:val="22"/>
          <w:lang w:val="sl-SI"/>
        </w:rPr>
        <w:t xml:space="preserve"> way forward </w:t>
      </w:r>
    </w:p>
    <w:p w14:paraId="5D04BF9C" w14:textId="77777777" w:rsidR="00C0185F" w:rsidRPr="001A0A8E" w:rsidRDefault="00C0185F" w:rsidP="00C0185F">
      <w:pPr>
        <w:pStyle w:val="podpisi"/>
        <w:tabs>
          <w:tab w:val="clear" w:pos="3402"/>
          <w:tab w:val="left" w:pos="200"/>
        </w:tabs>
        <w:ind w:left="720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2E4C0CC" w14:textId="14B0B367" w:rsidR="00605131" w:rsidRDefault="00605131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u w:val="single"/>
          <w:lang w:val="sl-SI"/>
        </w:rPr>
        <w:t>Launch of the new predictable calendar</w:t>
      </w:r>
      <w:r w:rsidR="00A249AA">
        <w:rPr>
          <w:rFonts w:ascii="Arial" w:hAnsi="Arial" w:cs="Arial"/>
          <w:sz w:val="22"/>
          <w:szCs w:val="22"/>
          <w:lang w:val="sl-SI"/>
        </w:rPr>
        <w:t xml:space="preserve"> (</w:t>
      </w:r>
      <w:r w:rsidR="00A249AA" w:rsidRPr="001A0A8E">
        <w:rPr>
          <w:rFonts w:ascii="Arial" w:hAnsi="Arial" w:cs="Arial"/>
          <w:sz w:val="22"/>
          <w:szCs w:val="22"/>
          <w:lang w:val="sl-SI"/>
        </w:rPr>
        <w:t>R§33 of A/RES/68/268</w:t>
      </w:r>
      <w:r w:rsidR="006F561A">
        <w:rPr>
          <w:rFonts w:ascii="Arial" w:hAnsi="Arial" w:cs="Arial"/>
          <w:sz w:val="22"/>
          <w:szCs w:val="22"/>
          <w:lang w:val="sl-SI"/>
        </w:rPr>
        <w:t>) - T</w:t>
      </w:r>
      <w:r w:rsidR="006F561A" w:rsidRPr="001A0A8E">
        <w:rPr>
          <w:rFonts w:ascii="Arial" w:hAnsi="Arial" w:cs="Arial"/>
          <w:sz w:val="22"/>
          <w:szCs w:val="22"/>
          <w:lang w:val="sl-SI"/>
        </w:rPr>
        <w:t xml:space="preserve">reaty </w:t>
      </w:r>
      <w:r w:rsidR="006F561A">
        <w:rPr>
          <w:rFonts w:ascii="Arial" w:hAnsi="Arial" w:cs="Arial"/>
          <w:sz w:val="22"/>
          <w:szCs w:val="22"/>
          <w:lang w:val="sl-SI"/>
        </w:rPr>
        <w:t>B</w:t>
      </w:r>
      <w:r w:rsidR="006F561A" w:rsidRPr="001A0A8E">
        <w:rPr>
          <w:rFonts w:ascii="Arial" w:hAnsi="Arial" w:cs="Arial"/>
          <w:sz w:val="22"/>
          <w:szCs w:val="22"/>
          <w:lang w:val="sl-SI"/>
        </w:rPr>
        <w:t xml:space="preserve">ody </w:t>
      </w:r>
      <w:r w:rsidR="006F561A">
        <w:rPr>
          <w:rFonts w:ascii="Arial" w:hAnsi="Arial" w:cs="Arial"/>
          <w:sz w:val="22"/>
          <w:szCs w:val="22"/>
          <w:lang w:val="sl-SI"/>
        </w:rPr>
        <w:t>S</w:t>
      </w:r>
      <w:r w:rsidR="006F561A" w:rsidRPr="001A0A8E">
        <w:rPr>
          <w:rFonts w:ascii="Arial" w:hAnsi="Arial" w:cs="Arial"/>
          <w:sz w:val="22"/>
          <w:szCs w:val="22"/>
          <w:lang w:val="sl-SI"/>
        </w:rPr>
        <w:t>ystem</w:t>
      </w:r>
      <w:r w:rsidR="006F561A">
        <w:rPr>
          <w:rFonts w:ascii="Arial" w:hAnsi="Arial" w:cs="Arial"/>
          <w:sz w:val="22"/>
          <w:szCs w:val="22"/>
          <w:lang w:val="sl-SI"/>
        </w:rPr>
        <w:t xml:space="preserve"> could consider a measure that would</w:t>
      </w:r>
      <w:r w:rsidR="00F37DEB">
        <w:rPr>
          <w:rFonts w:ascii="Arial" w:hAnsi="Arial" w:cs="Arial"/>
          <w:sz w:val="22"/>
          <w:szCs w:val="22"/>
          <w:lang w:val="sl-SI"/>
        </w:rPr>
        <w:t>,</w:t>
      </w:r>
      <w:r w:rsidR="006F561A">
        <w:rPr>
          <w:rFonts w:ascii="Arial" w:hAnsi="Arial" w:cs="Arial"/>
          <w:sz w:val="22"/>
          <w:szCs w:val="22"/>
          <w:lang w:val="sl-SI"/>
        </w:rPr>
        <w:t xml:space="preserve"> without setting precedent</w:t>
      </w:r>
      <w:r w:rsidR="00F37DEB">
        <w:rPr>
          <w:rFonts w:ascii="Arial" w:hAnsi="Arial" w:cs="Arial"/>
          <w:sz w:val="22"/>
          <w:szCs w:val="22"/>
          <w:lang w:val="sl-SI"/>
        </w:rPr>
        <w:t xml:space="preserve"> for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37DEB">
        <w:rPr>
          <w:rFonts w:ascii="Arial" w:hAnsi="Arial" w:cs="Arial"/>
          <w:sz w:val="22"/>
          <w:szCs w:val="22"/>
          <w:lang w:val="sl-SI"/>
        </w:rPr>
        <w:t>the future,</w:t>
      </w:r>
      <w:r w:rsidR="006F561A">
        <w:rPr>
          <w:rFonts w:ascii="Arial" w:hAnsi="Arial" w:cs="Arial"/>
          <w:sz w:val="22"/>
          <w:szCs w:val="22"/>
          <w:lang w:val="sl-SI"/>
        </w:rPr>
        <w:t xml:space="preserve"> enable it »a fresh start« or break with the past. </w:t>
      </w:r>
      <w:r>
        <w:rPr>
          <w:rFonts w:ascii="Arial" w:hAnsi="Arial" w:cs="Arial"/>
          <w:sz w:val="22"/>
          <w:szCs w:val="22"/>
          <w:lang w:val="sl-SI"/>
        </w:rPr>
        <w:t>A</w:t>
      </w:r>
      <w:r w:rsidR="0048789F" w:rsidRPr="0048789F">
        <w:rPr>
          <w:rFonts w:ascii="Arial" w:hAnsi="Arial" w:cs="Arial"/>
          <w:sz w:val="22"/>
          <w:szCs w:val="22"/>
          <w:lang w:val="sl-SI"/>
        </w:rPr>
        <w:t xml:space="preserve"> new predictable calendar of reviews</w:t>
      </w:r>
      <w:r w:rsidR="0048789F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could be launched in a </w:t>
      </w:r>
      <w:r>
        <w:rPr>
          <w:rFonts w:ascii="Arial" w:hAnsi="Arial" w:cs="Arial"/>
          <w:sz w:val="22"/>
          <w:szCs w:val="22"/>
          <w:lang w:val="sl-SI"/>
        </w:rPr>
        <w:lastRenderedPageBreak/>
        <w:t>way that would schedule those countries that are ready to be reviewed first. If more than a year passed since they submitted their reports, they could be asked to update them.</w:t>
      </w:r>
    </w:p>
    <w:p w14:paraId="2FE6F35F" w14:textId="77777777" w:rsidR="00C0185F" w:rsidRPr="001A0A8E" w:rsidRDefault="00C0185F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35324169" w14:textId="3BD800D9" w:rsidR="001A0A8E" w:rsidRDefault="000C5C11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0C5C11">
        <w:rPr>
          <w:rFonts w:ascii="Arial" w:hAnsi="Arial" w:cs="Arial"/>
          <w:sz w:val="22"/>
          <w:szCs w:val="22"/>
          <w:u w:val="single"/>
          <w:lang w:val="sl-SI"/>
        </w:rPr>
        <w:t>M</w:t>
      </w:r>
      <w:r w:rsidR="001A0A8E" w:rsidRPr="000C5C11">
        <w:rPr>
          <w:rFonts w:ascii="Arial" w:hAnsi="Arial" w:cs="Arial"/>
          <w:sz w:val="22"/>
          <w:szCs w:val="22"/>
          <w:u w:val="single"/>
          <w:lang w:val="sl-SI"/>
        </w:rPr>
        <w:t>odern working methods</w:t>
      </w:r>
      <w:r>
        <w:rPr>
          <w:rFonts w:ascii="Arial" w:hAnsi="Arial" w:cs="Arial"/>
          <w:sz w:val="22"/>
          <w:szCs w:val="22"/>
          <w:lang w:val="sl-SI"/>
        </w:rPr>
        <w:t xml:space="preserve"> (</w:t>
      </w:r>
      <w:r w:rsidRPr="001A0A8E">
        <w:rPr>
          <w:rFonts w:ascii="Arial" w:hAnsi="Arial" w:cs="Arial"/>
          <w:sz w:val="22"/>
          <w:szCs w:val="22"/>
          <w:lang w:val="sl-SI"/>
        </w:rPr>
        <w:t>§22</w:t>
      </w:r>
      <w:r>
        <w:rPr>
          <w:rFonts w:ascii="Arial" w:hAnsi="Arial" w:cs="Arial"/>
          <w:sz w:val="22"/>
          <w:szCs w:val="22"/>
          <w:lang w:val="sl-SI"/>
        </w:rPr>
        <w:t xml:space="preserve"> and other paragraphs refering to them) - While the </w:t>
      </w:r>
      <w:r w:rsidR="001A0A8E" w:rsidRPr="001A0A8E">
        <w:rPr>
          <w:rFonts w:ascii="Arial" w:hAnsi="Arial" w:cs="Arial"/>
          <w:sz w:val="22"/>
          <w:szCs w:val="22"/>
          <w:lang w:val="sl-SI"/>
        </w:rPr>
        <w:t>presence of all treaty body members in one physical location, when the treaty body is in session, should remain standard practise</w:t>
      </w:r>
      <w:r>
        <w:rPr>
          <w:rFonts w:ascii="Arial" w:hAnsi="Arial" w:cs="Arial"/>
          <w:sz w:val="22"/>
          <w:szCs w:val="22"/>
          <w:lang w:val="sl-SI"/>
        </w:rPr>
        <w:t xml:space="preserve">, we believe </w:t>
      </w:r>
      <w:r w:rsidR="001A0A8E" w:rsidRPr="001A0A8E">
        <w:rPr>
          <w:rFonts w:ascii="Arial" w:hAnsi="Arial" w:cs="Arial"/>
          <w:sz w:val="22"/>
          <w:szCs w:val="22"/>
          <w:lang w:val="sl-SI"/>
        </w:rPr>
        <w:t>civil society</w:t>
      </w:r>
      <w:r>
        <w:rPr>
          <w:rFonts w:ascii="Arial" w:hAnsi="Arial" w:cs="Arial"/>
          <w:sz w:val="22"/>
          <w:szCs w:val="22"/>
          <w:lang w:val="sl-SI"/>
        </w:rPr>
        <w:t xml:space="preserve"> members</w:t>
      </w:r>
      <w:r w:rsidR="001A0A8E" w:rsidRPr="001A0A8E">
        <w:rPr>
          <w:rFonts w:ascii="Arial" w:hAnsi="Arial" w:cs="Arial"/>
          <w:sz w:val="22"/>
          <w:szCs w:val="22"/>
          <w:lang w:val="sl-SI"/>
        </w:rPr>
        <w:t xml:space="preserve"> that prefer to participate virtually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1A0A8E" w:rsidRPr="001A0A8E">
        <w:rPr>
          <w:rFonts w:ascii="Arial" w:hAnsi="Arial" w:cs="Arial"/>
          <w:sz w:val="22"/>
          <w:szCs w:val="22"/>
          <w:lang w:val="sl-SI"/>
        </w:rPr>
        <w:t xml:space="preserve"> should be allowed to do so </w:t>
      </w:r>
      <w:r>
        <w:rPr>
          <w:rFonts w:ascii="Arial" w:hAnsi="Arial" w:cs="Arial"/>
          <w:sz w:val="22"/>
          <w:szCs w:val="22"/>
          <w:lang w:val="sl-SI"/>
        </w:rPr>
        <w:t xml:space="preserve">also </w:t>
      </w:r>
      <w:r w:rsidR="001A0A8E" w:rsidRPr="001A0A8E">
        <w:rPr>
          <w:rFonts w:ascii="Arial" w:hAnsi="Arial" w:cs="Arial"/>
          <w:sz w:val="22"/>
          <w:szCs w:val="22"/>
          <w:lang w:val="sl-SI"/>
        </w:rPr>
        <w:t xml:space="preserve">in the future. </w:t>
      </w:r>
    </w:p>
    <w:p w14:paraId="619B3244" w14:textId="77777777" w:rsidR="00C0185F" w:rsidRPr="001A0A8E" w:rsidRDefault="00C0185F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6404384D" w14:textId="4372E95C" w:rsidR="001A0A8E" w:rsidRDefault="001A0A8E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0C5C11">
        <w:rPr>
          <w:rFonts w:ascii="Arial" w:hAnsi="Arial" w:cs="Arial"/>
          <w:sz w:val="22"/>
          <w:szCs w:val="22"/>
          <w:u w:val="single"/>
          <w:lang w:val="sl-SI"/>
        </w:rPr>
        <w:t>Daily Substance Allowance</w:t>
      </w:r>
      <w:r w:rsidR="00387ED5">
        <w:rPr>
          <w:rFonts w:ascii="Arial" w:hAnsi="Arial" w:cs="Arial"/>
          <w:sz w:val="22"/>
          <w:szCs w:val="22"/>
          <w:u w:val="single"/>
          <w:lang w:val="sl-SI"/>
        </w:rPr>
        <w:t xml:space="preserve"> (DSA)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 </w:t>
      </w:r>
      <w:r w:rsidR="00387ED5">
        <w:rPr>
          <w:rFonts w:ascii="Arial" w:hAnsi="Arial" w:cs="Arial"/>
          <w:sz w:val="22"/>
          <w:szCs w:val="22"/>
          <w:lang w:val="sl-SI"/>
        </w:rPr>
        <w:t>-</w:t>
      </w:r>
      <w:r w:rsidR="000C5C11">
        <w:rPr>
          <w:rFonts w:ascii="Arial" w:hAnsi="Arial" w:cs="Arial"/>
          <w:sz w:val="22"/>
          <w:szCs w:val="22"/>
          <w:lang w:val="sl-SI"/>
        </w:rPr>
        <w:t xml:space="preserve"> </w:t>
      </w:r>
      <w:r w:rsidR="00387ED5">
        <w:rPr>
          <w:rFonts w:ascii="Arial" w:hAnsi="Arial" w:cs="Arial"/>
          <w:sz w:val="22"/>
          <w:szCs w:val="22"/>
          <w:lang w:val="sl-SI"/>
        </w:rPr>
        <w:t xml:space="preserve">DSA </w:t>
      </w:r>
      <w:r w:rsidRPr="001A0A8E">
        <w:rPr>
          <w:rFonts w:ascii="Arial" w:hAnsi="Arial" w:cs="Arial"/>
          <w:sz w:val="22"/>
          <w:szCs w:val="22"/>
          <w:lang w:val="sl-SI"/>
        </w:rPr>
        <w:t>prove</w:t>
      </w:r>
      <w:r w:rsidR="00C423C0">
        <w:rPr>
          <w:rFonts w:ascii="Arial" w:hAnsi="Arial" w:cs="Arial"/>
          <w:sz w:val="22"/>
          <w:szCs w:val="22"/>
          <w:lang w:val="sl-SI"/>
        </w:rPr>
        <w:t>d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 to be insufficient </w:t>
      </w:r>
      <w:r w:rsidR="00387ED5">
        <w:rPr>
          <w:rFonts w:ascii="Arial" w:hAnsi="Arial" w:cs="Arial"/>
          <w:sz w:val="22"/>
          <w:szCs w:val="22"/>
          <w:lang w:val="sl-SI"/>
        </w:rPr>
        <w:t xml:space="preserve">as treaty bodies 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adapted to virtual modes of working. </w:t>
      </w:r>
      <w:r w:rsidR="00387ED5">
        <w:rPr>
          <w:rFonts w:ascii="Arial" w:hAnsi="Arial" w:cs="Arial"/>
          <w:sz w:val="22"/>
          <w:szCs w:val="22"/>
          <w:lang w:val="sl-SI"/>
        </w:rPr>
        <w:t>Slovenia believes that t</w:t>
      </w:r>
      <w:r w:rsidRPr="001A0A8E">
        <w:rPr>
          <w:rFonts w:ascii="Arial" w:hAnsi="Arial" w:cs="Arial"/>
          <w:sz w:val="22"/>
          <w:szCs w:val="22"/>
          <w:lang w:val="sl-SI"/>
        </w:rPr>
        <w:t>he UN Secretariat, together with the member states, should revise the current system and come up with a new or complimentary system of allowances that would allow for those experts who – in the future – prefer,</w:t>
      </w:r>
      <w:r w:rsidR="00387ED5">
        <w:rPr>
          <w:rFonts w:ascii="Arial" w:hAnsi="Arial" w:cs="Arial"/>
          <w:sz w:val="22"/>
          <w:szCs w:val="22"/>
          <w:lang w:val="sl-SI"/>
        </w:rPr>
        <w:t xml:space="preserve"> </w:t>
      </w:r>
      <w:r w:rsidRPr="001A0A8E">
        <w:rPr>
          <w:rFonts w:ascii="Arial" w:hAnsi="Arial" w:cs="Arial"/>
          <w:sz w:val="22"/>
          <w:szCs w:val="22"/>
          <w:lang w:val="sl-SI"/>
        </w:rPr>
        <w:t xml:space="preserve">or are obliged by circumstances, to participate virtually to the proceedings of their respective treaty body. </w:t>
      </w:r>
    </w:p>
    <w:p w14:paraId="5B5B6292" w14:textId="5BE16E81" w:rsidR="003F043F" w:rsidRDefault="003F043F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7259212E" w14:textId="605AC524" w:rsidR="003F043F" w:rsidRDefault="003F043F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1549D16B" w14:textId="4AA607DE" w:rsidR="003F043F" w:rsidRDefault="003F043F" w:rsidP="003F043F">
      <w:pPr>
        <w:pStyle w:val="podpisi"/>
        <w:tabs>
          <w:tab w:val="left" w:pos="200"/>
        </w:tabs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-------- END --------</w:t>
      </w:r>
    </w:p>
    <w:p w14:paraId="64A9342E" w14:textId="77777777" w:rsidR="00C0185F" w:rsidRPr="001A0A8E" w:rsidRDefault="00C0185F" w:rsidP="001A0A8E">
      <w:pPr>
        <w:pStyle w:val="podpisi"/>
        <w:tabs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7B39F980" w14:textId="77777777" w:rsidR="00F50CE1" w:rsidRPr="001A0A8E" w:rsidRDefault="00F50CE1" w:rsidP="00F50CE1">
      <w:pPr>
        <w:pStyle w:val="podpisi"/>
        <w:tabs>
          <w:tab w:val="clear" w:pos="3402"/>
          <w:tab w:val="left" w:pos="200"/>
        </w:tabs>
        <w:jc w:val="both"/>
        <w:rPr>
          <w:rFonts w:ascii="Arial" w:hAnsi="Arial" w:cs="Arial"/>
          <w:sz w:val="22"/>
          <w:szCs w:val="22"/>
          <w:lang w:val="sl-SI"/>
        </w:rPr>
      </w:pPr>
    </w:p>
    <w:p w14:paraId="2224C08C" w14:textId="77777777" w:rsidR="00F50CE1" w:rsidRDefault="00F50CE1" w:rsidP="00F50CE1">
      <w:pPr>
        <w:pStyle w:val="podpisi"/>
        <w:tabs>
          <w:tab w:val="clear" w:pos="3402"/>
          <w:tab w:val="left" w:pos="20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3D7342BB" w14:textId="77777777" w:rsidR="0042797C" w:rsidRDefault="0042797C"/>
    <w:sectPr w:rsidR="0042797C" w:rsidSect="00B03FC2">
      <w:pgSz w:w="11906" w:h="16838"/>
      <w:pgMar w:top="8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9CA"/>
    <w:multiLevelType w:val="multilevel"/>
    <w:tmpl w:val="E7287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494435"/>
    <w:multiLevelType w:val="hybridMultilevel"/>
    <w:tmpl w:val="F93E4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5FEE"/>
    <w:multiLevelType w:val="hybridMultilevel"/>
    <w:tmpl w:val="9FA86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E1"/>
    <w:rsid w:val="000C5C11"/>
    <w:rsid w:val="001A0A8E"/>
    <w:rsid w:val="00272F79"/>
    <w:rsid w:val="00387ED5"/>
    <w:rsid w:val="003F043F"/>
    <w:rsid w:val="00421E52"/>
    <w:rsid w:val="0042797C"/>
    <w:rsid w:val="0048789F"/>
    <w:rsid w:val="00570F16"/>
    <w:rsid w:val="00605131"/>
    <w:rsid w:val="006C62CB"/>
    <w:rsid w:val="006F561A"/>
    <w:rsid w:val="007B5358"/>
    <w:rsid w:val="008D7763"/>
    <w:rsid w:val="008F098D"/>
    <w:rsid w:val="009E5204"/>
    <w:rsid w:val="009F7B2B"/>
    <w:rsid w:val="00A249AA"/>
    <w:rsid w:val="00C0185F"/>
    <w:rsid w:val="00C423C0"/>
    <w:rsid w:val="00C46DE2"/>
    <w:rsid w:val="00C56439"/>
    <w:rsid w:val="00D428D0"/>
    <w:rsid w:val="00E05D27"/>
    <w:rsid w:val="00E84AE5"/>
    <w:rsid w:val="00F37DEB"/>
    <w:rsid w:val="00F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C6B5"/>
  <w15:chartTrackingRefBased/>
  <w15:docId w15:val="{D11780C8-E7E9-B64C-B4A7-8F166897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E1"/>
    <w:rPr>
      <w:rFonts w:ascii="Times New Roman" w:eastAsia="Times New Roman" w:hAnsi="Times New Roman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CE1"/>
    <w:rPr>
      <w:sz w:val="22"/>
      <w:szCs w:val="22"/>
      <w:lang w:val="sl-SI"/>
    </w:rPr>
  </w:style>
  <w:style w:type="table" w:styleId="TableGrid">
    <w:name w:val="Table Grid"/>
    <w:basedOn w:val="TableNormal"/>
    <w:uiPriority w:val="39"/>
    <w:rsid w:val="00F50CE1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0CE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sl-SI" w:eastAsia="zh-CN" w:bidi="hi-IN"/>
    </w:rPr>
  </w:style>
  <w:style w:type="paragraph" w:customStyle="1" w:styleId="podpisi">
    <w:name w:val="podpisi"/>
    <w:basedOn w:val="Standard"/>
    <w:rsid w:val="00F50CE1"/>
    <w:pPr>
      <w:tabs>
        <w:tab w:val="left" w:pos="3402"/>
      </w:tabs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F50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CE1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CE1"/>
    <w:rPr>
      <w:rFonts w:ascii="Times New Roman" w:eastAsia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8B60D6-81F1-40B8-99F3-BD9C514CAF00}"/>
</file>

<file path=customXml/itemProps2.xml><?xml version="1.0" encoding="utf-8"?>
<ds:datastoreItem xmlns:ds="http://schemas.openxmlformats.org/officeDocument/2006/customXml" ds:itemID="{7E8C453D-8915-4C6C-9125-96B80B0A6118}"/>
</file>

<file path=customXml/itemProps3.xml><?xml version="1.0" encoding="utf-8"?>
<ds:datastoreItem xmlns:ds="http://schemas.openxmlformats.org/officeDocument/2006/customXml" ds:itemID="{07E746F0-5600-4D76-810C-2C2BA72D2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Ponikvar</dc:creator>
  <cp:keywords/>
  <dc:description/>
  <cp:lastModifiedBy>Katarina Salaj</cp:lastModifiedBy>
  <cp:revision>2</cp:revision>
  <dcterms:created xsi:type="dcterms:W3CDTF">2022-01-31T18:22:00Z</dcterms:created>
  <dcterms:modified xsi:type="dcterms:W3CDTF">2022-01-31T18:22:00Z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