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FE73" w14:textId="77777777" w:rsidR="00961F5E" w:rsidRPr="00CD149D" w:rsidRDefault="00E41513" w:rsidP="00CD149D">
      <w:pPr>
        <w:jc w:val="both"/>
        <w:rPr>
          <w:rFonts w:ascii="Bookman Old Style" w:hAnsi="Bookman Old Style"/>
          <w:b/>
        </w:rPr>
      </w:pPr>
      <w:r w:rsidRPr="00CD149D">
        <w:rPr>
          <w:rFonts w:ascii="Bookman Old Style" w:hAnsi="Bookman Old Style"/>
          <w:b/>
        </w:rPr>
        <w:t xml:space="preserve">With reference to the questionnaire in relation to General Assembly resolution 68/268 on “strengthening and enhancing the effective functioning of the human rights treaty body system”, adopted on 9 April 2014, the following response is provided by the Republic of Suriname. </w:t>
      </w:r>
    </w:p>
    <w:p w14:paraId="3C4073D2" w14:textId="77777777" w:rsidR="00E41513" w:rsidRPr="00CD149D" w:rsidRDefault="00714D9C" w:rsidP="00CD149D">
      <w:pPr>
        <w:jc w:val="both"/>
        <w:rPr>
          <w:rFonts w:ascii="Bookman Old Style" w:hAnsi="Bookman Old Style"/>
          <w:b/>
        </w:rPr>
      </w:pPr>
      <w:r w:rsidRPr="00CD149D">
        <w:rPr>
          <w:rFonts w:ascii="Bookman Old Style" w:hAnsi="Bookman Old Style"/>
          <w:b/>
        </w:rPr>
        <w:t>Commitments and acknowledgements</w:t>
      </w:r>
    </w:p>
    <w:p w14:paraId="0FA8044D" w14:textId="77777777" w:rsidR="0057406E" w:rsidRPr="00CD149D" w:rsidRDefault="0057406E" w:rsidP="00CD149D">
      <w:pPr>
        <w:numPr>
          <w:ilvl w:val="0"/>
          <w:numId w:val="2"/>
        </w:numPr>
        <w:jc w:val="both"/>
        <w:rPr>
          <w:rFonts w:ascii="Bookman Old Style" w:hAnsi="Bookman Old Style"/>
        </w:rPr>
      </w:pPr>
      <w:r w:rsidRPr="00CD149D">
        <w:rPr>
          <w:rFonts w:ascii="Bookman Old Style" w:hAnsi="Bookman Old Style"/>
        </w:rPr>
        <w:t>The Government of the Republic of Suriname is committed to upholding the highest standards in the promotion and protection of all human rights and fundamental freedoms in Suriname.</w:t>
      </w:r>
    </w:p>
    <w:p w14:paraId="3BB9BC9D" w14:textId="77777777" w:rsidR="0057406E" w:rsidRPr="00CD149D" w:rsidRDefault="0057406E" w:rsidP="00CD149D">
      <w:pPr>
        <w:numPr>
          <w:ilvl w:val="0"/>
          <w:numId w:val="2"/>
        </w:numPr>
        <w:jc w:val="both"/>
        <w:rPr>
          <w:rFonts w:ascii="Bookman Old Style" w:hAnsi="Bookman Old Style"/>
        </w:rPr>
      </w:pPr>
      <w:r w:rsidRPr="00CD149D">
        <w:rPr>
          <w:rFonts w:ascii="Bookman Old Style" w:hAnsi="Bookman Old Style"/>
        </w:rPr>
        <w:t>Suriname recognizes the valuable contribution of the United Nations</w:t>
      </w:r>
      <w:r w:rsidR="002600D0" w:rsidRPr="00CD149D">
        <w:rPr>
          <w:rFonts w:ascii="Bookman Old Style" w:hAnsi="Bookman Old Style"/>
        </w:rPr>
        <w:t xml:space="preserve"> (UN)</w:t>
      </w:r>
      <w:r w:rsidRPr="00CD149D">
        <w:rPr>
          <w:rFonts w:ascii="Bookman Old Style" w:hAnsi="Bookman Old Style"/>
        </w:rPr>
        <w:t xml:space="preserve"> Human Rights system, including the treaty body system in the observance and the protection of human rights.</w:t>
      </w:r>
    </w:p>
    <w:p w14:paraId="5F85A72E" w14:textId="77777777" w:rsidR="0057406E" w:rsidRPr="00CD149D" w:rsidRDefault="0057406E" w:rsidP="00CD149D">
      <w:pPr>
        <w:numPr>
          <w:ilvl w:val="0"/>
          <w:numId w:val="2"/>
        </w:numPr>
        <w:jc w:val="both"/>
        <w:rPr>
          <w:rFonts w:ascii="Bookman Old Style" w:hAnsi="Bookman Old Style"/>
        </w:rPr>
      </w:pPr>
      <w:r w:rsidRPr="00CD149D">
        <w:rPr>
          <w:rFonts w:ascii="Bookman Old Style" w:hAnsi="Bookman Old Style"/>
        </w:rPr>
        <w:t xml:space="preserve">In this context the reporting obligations originating in the various human rights instruments are considered an opportunity to assess national achievements in the promotion and protection of human rights, as well as to address remaining challenges. </w:t>
      </w:r>
    </w:p>
    <w:p w14:paraId="256B68E1" w14:textId="77777777" w:rsidR="0057406E" w:rsidRPr="00CD149D" w:rsidRDefault="0057406E" w:rsidP="00CD149D">
      <w:pPr>
        <w:numPr>
          <w:ilvl w:val="0"/>
          <w:numId w:val="2"/>
        </w:numPr>
        <w:jc w:val="both"/>
        <w:rPr>
          <w:rFonts w:ascii="Bookman Old Style" w:hAnsi="Bookman Old Style"/>
        </w:rPr>
      </w:pPr>
      <w:r w:rsidRPr="00CD149D">
        <w:rPr>
          <w:rFonts w:ascii="Bookman Old Style" w:hAnsi="Bookman Old Style"/>
        </w:rPr>
        <w:t>S</w:t>
      </w:r>
      <w:r w:rsidR="002600D0" w:rsidRPr="00CD149D">
        <w:rPr>
          <w:rFonts w:ascii="Bookman Old Style" w:hAnsi="Bookman Old Style"/>
        </w:rPr>
        <w:t>ince the adoption of General Assembly resolution 68/268 S</w:t>
      </w:r>
      <w:r w:rsidRPr="00CD149D">
        <w:rPr>
          <w:rFonts w:ascii="Bookman Old Style" w:hAnsi="Bookman Old Style"/>
        </w:rPr>
        <w:t>uriname continued its cooperation with the human rights mechanisms of the United Nations through several capacity building activities, aiming at improved implementation and reporting under several Conventions, amongst others covering civil, political, economic, social and cultural rights and rights of children, women and persons with disabilities.</w:t>
      </w:r>
    </w:p>
    <w:p w14:paraId="24A3390F" w14:textId="77777777" w:rsidR="002600D0" w:rsidRPr="00CD149D" w:rsidRDefault="002600D0" w:rsidP="00CD149D">
      <w:pPr>
        <w:numPr>
          <w:ilvl w:val="0"/>
          <w:numId w:val="2"/>
        </w:numPr>
        <w:jc w:val="both"/>
        <w:rPr>
          <w:rFonts w:ascii="Bookman Old Style" w:hAnsi="Bookman Old Style"/>
          <w:color w:val="FF0000"/>
        </w:rPr>
      </w:pPr>
      <w:r w:rsidRPr="00CD149D">
        <w:rPr>
          <w:rFonts w:ascii="Bookman Old Style" w:hAnsi="Bookman Old Style"/>
        </w:rPr>
        <w:t>Suriname also acknowledges the important role of the Office of the UN High Commissioner for Human Rights (OHCHR) in promoting and protecting human rights for all, including through assistance provided to governments to fulfill their human rights obligations</w:t>
      </w:r>
      <w:r w:rsidRPr="00CD149D">
        <w:rPr>
          <w:rFonts w:ascii="Bookman Old Style" w:hAnsi="Bookman Old Style"/>
          <w:color w:val="FF0000"/>
        </w:rPr>
        <w:t xml:space="preserve">. </w:t>
      </w:r>
    </w:p>
    <w:p w14:paraId="24D0CC91" w14:textId="77777777" w:rsidR="0057406E" w:rsidRPr="00CD149D" w:rsidRDefault="0057406E" w:rsidP="00CD149D">
      <w:pPr>
        <w:numPr>
          <w:ilvl w:val="0"/>
          <w:numId w:val="2"/>
        </w:numPr>
        <w:jc w:val="both"/>
        <w:rPr>
          <w:rFonts w:ascii="Bookman Old Style" w:hAnsi="Bookman Old Style"/>
        </w:rPr>
      </w:pPr>
      <w:r w:rsidRPr="00CD149D">
        <w:rPr>
          <w:rFonts w:ascii="Bookman Old Style" w:hAnsi="Bookman Old Style"/>
        </w:rPr>
        <w:t xml:space="preserve">In </w:t>
      </w:r>
      <w:r w:rsidR="002600D0" w:rsidRPr="00CD149D">
        <w:rPr>
          <w:rFonts w:ascii="Bookman Old Style" w:hAnsi="Bookman Old Style"/>
        </w:rPr>
        <w:t>this context</w:t>
      </w:r>
      <w:r w:rsidRPr="00CD149D">
        <w:rPr>
          <w:rFonts w:ascii="Bookman Old Style" w:hAnsi="Bookman Old Style"/>
        </w:rPr>
        <w:t xml:space="preserve"> there has been close cooperation with UN agencies and the O</w:t>
      </w:r>
      <w:r w:rsidR="002600D0" w:rsidRPr="00CD149D">
        <w:rPr>
          <w:rFonts w:ascii="Bookman Old Style" w:hAnsi="Bookman Old Style"/>
        </w:rPr>
        <w:t>HCHR</w:t>
      </w:r>
      <w:r w:rsidRPr="00CD149D">
        <w:rPr>
          <w:rFonts w:ascii="Bookman Old Style" w:hAnsi="Bookman Old Style"/>
        </w:rPr>
        <w:t xml:space="preserve"> in preparation of interactive dialogues with</w:t>
      </w:r>
      <w:r w:rsidR="002600D0" w:rsidRPr="00CD149D">
        <w:rPr>
          <w:rFonts w:ascii="Bookman Old Style" w:hAnsi="Bookman Old Style"/>
        </w:rPr>
        <w:t xml:space="preserve"> UN</w:t>
      </w:r>
      <w:r w:rsidRPr="00CD149D">
        <w:rPr>
          <w:rFonts w:ascii="Bookman Old Style" w:hAnsi="Bookman Old Style"/>
        </w:rPr>
        <w:t xml:space="preserve"> human rights mechanisms.</w:t>
      </w:r>
    </w:p>
    <w:p w14:paraId="7944A187" w14:textId="77777777" w:rsidR="0057406E" w:rsidRPr="00CD149D" w:rsidRDefault="002600D0" w:rsidP="00CD149D">
      <w:pPr>
        <w:numPr>
          <w:ilvl w:val="0"/>
          <w:numId w:val="2"/>
        </w:numPr>
        <w:jc w:val="both"/>
        <w:rPr>
          <w:rFonts w:ascii="Bookman Old Style" w:hAnsi="Bookman Old Style"/>
        </w:rPr>
      </w:pPr>
      <w:r w:rsidRPr="00CD149D">
        <w:rPr>
          <w:rFonts w:ascii="Bookman Old Style" w:hAnsi="Bookman Old Style"/>
        </w:rPr>
        <w:t xml:space="preserve">In addition, delegates of Suriname have </w:t>
      </w:r>
      <w:r w:rsidR="00126FBA" w:rsidRPr="00CD149D">
        <w:rPr>
          <w:rFonts w:ascii="Bookman Old Style" w:hAnsi="Bookman Old Style"/>
        </w:rPr>
        <w:t xml:space="preserve">respectively </w:t>
      </w:r>
      <w:r w:rsidRPr="00CD149D">
        <w:rPr>
          <w:rFonts w:ascii="Bookman Old Style" w:hAnsi="Bookman Old Style"/>
        </w:rPr>
        <w:t>participated in</w:t>
      </w:r>
      <w:r w:rsidR="00126FBA" w:rsidRPr="00CD149D">
        <w:rPr>
          <w:rFonts w:ascii="Bookman Old Style" w:hAnsi="Bookman Old Style"/>
        </w:rPr>
        <w:t xml:space="preserve"> the 27</w:t>
      </w:r>
      <w:r w:rsidR="00126FBA" w:rsidRPr="00CD149D">
        <w:rPr>
          <w:rFonts w:ascii="Bookman Old Style" w:hAnsi="Bookman Old Style"/>
          <w:vertAlign w:val="superscript"/>
        </w:rPr>
        <w:t>th</w:t>
      </w:r>
      <w:r w:rsidR="00126FBA" w:rsidRPr="00CD149D">
        <w:rPr>
          <w:rFonts w:ascii="Bookman Old Style" w:hAnsi="Bookman Old Style"/>
        </w:rPr>
        <w:t>, 32</w:t>
      </w:r>
      <w:r w:rsidR="00126FBA" w:rsidRPr="00CD149D">
        <w:rPr>
          <w:rFonts w:ascii="Bookman Old Style" w:hAnsi="Bookman Old Style"/>
          <w:vertAlign w:val="superscript"/>
        </w:rPr>
        <w:t>nd</w:t>
      </w:r>
      <w:r w:rsidR="00126FBA" w:rsidRPr="00CD149D">
        <w:rPr>
          <w:rFonts w:ascii="Bookman Old Style" w:hAnsi="Bookman Old Style"/>
        </w:rPr>
        <w:t>, 42</w:t>
      </w:r>
      <w:r w:rsidR="00126FBA" w:rsidRPr="00CD149D">
        <w:rPr>
          <w:rFonts w:ascii="Bookman Old Style" w:hAnsi="Bookman Old Style"/>
          <w:vertAlign w:val="superscript"/>
        </w:rPr>
        <w:t>nd</w:t>
      </w:r>
      <w:r w:rsidR="00126FBA" w:rsidRPr="00CD149D">
        <w:rPr>
          <w:rFonts w:ascii="Bookman Old Style" w:hAnsi="Bookman Old Style"/>
        </w:rPr>
        <w:t xml:space="preserve"> and 48</w:t>
      </w:r>
      <w:r w:rsidR="00126FBA" w:rsidRPr="00CD149D">
        <w:rPr>
          <w:rFonts w:ascii="Bookman Old Style" w:hAnsi="Bookman Old Style"/>
          <w:vertAlign w:val="superscript"/>
        </w:rPr>
        <w:t>th</w:t>
      </w:r>
      <w:r w:rsidR="00126FBA" w:rsidRPr="00CD149D">
        <w:rPr>
          <w:rFonts w:ascii="Bookman Old Style" w:hAnsi="Bookman Old Style"/>
        </w:rPr>
        <w:t xml:space="preserve"> </w:t>
      </w:r>
      <w:r w:rsidRPr="00CD149D">
        <w:rPr>
          <w:rFonts w:ascii="Bookman Old Style" w:hAnsi="Bookman Old Style"/>
        </w:rPr>
        <w:t xml:space="preserve">regular sessions of the </w:t>
      </w:r>
      <w:r w:rsidR="0057406E" w:rsidRPr="00CD149D">
        <w:rPr>
          <w:rFonts w:ascii="Bookman Old Style" w:hAnsi="Bookman Old Style"/>
        </w:rPr>
        <w:t xml:space="preserve">Human Rights Council through the </w:t>
      </w:r>
      <w:r w:rsidRPr="00CD149D">
        <w:rPr>
          <w:rFonts w:ascii="Bookman Old Style" w:hAnsi="Bookman Old Style"/>
        </w:rPr>
        <w:t>“</w:t>
      </w:r>
      <w:r w:rsidR="0057406E" w:rsidRPr="00CD149D">
        <w:rPr>
          <w:rFonts w:ascii="Bookman Old Style" w:hAnsi="Bookman Old Style"/>
        </w:rPr>
        <w:t>Voluntary Technical Assistance Trust Fund to support the participation of the Least Developed Countries and the Small Island Developing States in the work of the Council</w:t>
      </w:r>
      <w:r w:rsidRPr="00CD149D">
        <w:rPr>
          <w:rFonts w:ascii="Bookman Old Style" w:hAnsi="Bookman Old Style"/>
        </w:rPr>
        <w:t>”</w:t>
      </w:r>
      <w:r w:rsidR="0057406E" w:rsidRPr="00CD149D">
        <w:rPr>
          <w:rFonts w:ascii="Bookman Old Style" w:hAnsi="Bookman Old Style"/>
        </w:rPr>
        <w:t>.</w:t>
      </w:r>
    </w:p>
    <w:p w14:paraId="58F5A37D" w14:textId="77777777" w:rsidR="0057406E" w:rsidRPr="00CD149D" w:rsidRDefault="0057406E" w:rsidP="00CD149D">
      <w:pPr>
        <w:numPr>
          <w:ilvl w:val="0"/>
          <w:numId w:val="2"/>
        </w:numPr>
        <w:jc w:val="both"/>
        <w:rPr>
          <w:rFonts w:ascii="Bookman Old Style" w:hAnsi="Bookman Old Style"/>
        </w:rPr>
      </w:pPr>
      <w:r w:rsidRPr="00CD149D">
        <w:rPr>
          <w:rFonts w:ascii="Bookman Old Style" w:hAnsi="Bookman Old Style"/>
        </w:rPr>
        <w:t>Suriname looks forward to the continued and increased cooperation with the Human Rights Treaty Bodies, the UPR mechanism and other international and regional bodies in its endeavors to ensure that the rights and freedoms of all that are present within the territory of Suriname are observed.</w:t>
      </w:r>
    </w:p>
    <w:p w14:paraId="628DDE88" w14:textId="77777777" w:rsidR="00CD149D" w:rsidRDefault="00714D9C" w:rsidP="00CD149D">
      <w:pPr>
        <w:numPr>
          <w:ilvl w:val="0"/>
          <w:numId w:val="2"/>
        </w:numPr>
        <w:jc w:val="both"/>
        <w:rPr>
          <w:rFonts w:ascii="Bookman Old Style" w:hAnsi="Bookman Old Style"/>
        </w:rPr>
      </w:pPr>
      <w:r w:rsidRPr="00CD149D">
        <w:rPr>
          <w:rFonts w:ascii="Bookman Old Style" w:hAnsi="Bookman Old Style"/>
          <w:b/>
        </w:rPr>
        <w:lastRenderedPageBreak/>
        <w:t>Simplified reporting procedure</w:t>
      </w:r>
      <w:r w:rsidRPr="00CD149D">
        <w:rPr>
          <w:rFonts w:ascii="Bookman Old Style" w:hAnsi="Bookman Old Style"/>
        </w:rPr>
        <w:t xml:space="preserve"> (Operational paragraph (OP)1</w:t>
      </w:r>
      <w:r w:rsidR="00CD149D" w:rsidRPr="00CD149D">
        <w:rPr>
          <w:rFonts w:ascii="Bookman Old Style" w:hAnsi="Bookman Old Style"/>
        </w:rPr>
        <w:t>-</w:t>
      </w:r>
      <w:r w:rsidR="000F6A85" w:rsidRPr="00CD149D">
        <w:rPr>
          <w:rFonts w:ascii="Bookman Old Style" w:hAnsi="Bookman Old Style"/>
        </w:rPr>
        <w:t>2</w:t>
      </w:r>
      <w:r w:rsidR="00A107C2" w:rsidRPr="00CD149D">
        <w:rPr>
          <w:rFonts w:ascii="Bookman Old Style" w:hAnsi="Bookman Old Style"/>
        </w:rPr>
        <w:t xml:space="preserve"> resolution 68/268</w:t>
      </w:r>
      <w:r w:rsidRPr="00CD149D">
        <w:rPr>
          <w:rFonts w:ascii="Bookman Old Style" w:hAnsi="Bookman Old Style"/>
        </w:rPr>
        <w:t>)</w:t>
      </w:r>
      <w:r w:rsidR="00CD149D">
        <w:rPr>
          <w:rFonts w:ascii="Bookman Old Style" w:hAnsi="Bookman Old Style"/>
        </w:rPr>
        <w:t xml:space="preserve">. </w:t>
      </w:r>
    </w:p>
    <w:p w14:paraId="779EE55D" w14:textId="77777777" w:rsidR="00DD751D" w:rsidRPr="00CD149D" w:rsidRDefault="00DD751D" w:rsidP="00CD149D">
      <w:pPr>
        <w:ind w:left="360"/>
        <w:jc w:val="both"/>
        <w:rPr>
          <w:rFonts w:ascii="Bookman Old Style" w:hAnsi="Bookman Old Style"/>
        </w:rPr>
      </w:pPr>
      <w:r w:rsidRPr="00CD149D">
        <w:rPr>
          <w:rFonts w:ascii="Bookman Old Style" w:hAnsi="Bookman Old Style"/>
        </w:rPr>
        <w:t xml:space="preserve">Suriname acknowledges that over the years there have been considerable efforts </w:t>
      </w:r>
      <w:r w:rsidR="00A107C2" w:rsidRPr="00CD149D">
        <w:rPr>
          <w:rFonts w:ascii="Bookman Old Style" w:hAnsi="Bookman Old Style"/>
        </w:rPr>
        <w:t>to simplify</w:t>
      </w:r>
      <w:r w:rsidRPr="00CD149D">
        <w:rPr>
          <w:rFonts w:ascii="Bookman Old Style" w:hAnsi="Bookman Old Style"/>
        </w:rPr>
        <w:t xml:space="preserve"> treaty body reporting. In this regard particular reference is made to the adoption of the List of Issues Prior to Reporting (LOIPRs) as part of the new simplified reporting procedure. </w:t>
      </w:r>
    </w:p>
    <w:p w14:paraId="25D21873" w14:textId="77777777" w:rsidR="00DD751D" w:rsidRPr="00CD149D" w:rsidRDefault="00DD751D" w:rsidP="00CD149D">
      <w:pPr>
        <w:ind w:left="360"/>
        <w:jc w:val="both"/>
        <w:rPr>
          <w:rFonts w:ascii="Bookman Old Style" w:hAnsi="Bookman Old Style"/>
        </w:rPr>
      </w:pPr>
      <w:r w:rsidRPr="00CD149D">
        <w:rPr>
          <w:rFonts w:ascii="Bookman Old Style" w:hAnsi="Bookman Old Style"/>
        </w:rPr>
        <w:t>This procedure can contribute to alleviating some of the particular reporting challenges Small States encounter as a result of ‘Small-State specific’ constraints.</w:t>
      </w:r>
    </w:p>
    <w:p w14:paraId="0800AA67" w14:textId="77777777" w:rsidR="002109CD" w:rsidRPr="00CD149D" w:rsidRDefault="00DD751D" w:rsidP="00CD149D">
      <w:pPr>
        <w:ind w:left="360"/>
        <w:jc w:val="both"/>
        <w:rPr>
          <w:rFonts w:ascii="Bookman Old Style" w:hAnsi="Bookman Old Style"/>
        </w:rPr>
      </w:pPr>
      <w:r w:rsidRPr="00CD149D">
        <w:rPr>
          <w:rFonts w:ascii="Bookman Old Style" w:hAnsi="Bookman Old Style"/>
        </w:rPr>
        <w:t xml:space="preserve">Against this backdrop </w:t>
      </w:r>
      <w:r w:rsidR="00714D9C" w:rsidRPr="00CD149D">
        <w:rPr>
          <w:rFonts w:ascii="Bookman Old Style" w:hAnsi="Bookman Old Style"/>
        </w:rPr>
        <w:t xml:space="preserve">Suriname </w:t>
      </w:r>
      <w:r w:rsidR="002109CD" w:rsidRPr="00CD149D">
        <w:rPr>
          <w:rFonts w:ascii="Bookman Old Style" w:hAnsi="Bookman Old Style"/>
        </w:rPr>
        <w:t xml:space="preserve">requests the consideration of </w:t>
      </w:r>
      <w:r w:rsidR="000F6A85" w:rsidRPr="00CD149D">
        <w:rPr>
          <w:rFonts w:ascii="Bookman Old Style" w:hAnsi="Bookman Old Style"/>
        </w:rPr>
        <w:t>offering/providing</w:t>
      </w:r>
      <w:r w:rsidR="002109CD" w:rsidRPr="00CD149D">
        <w:rPr>
          <w:rFonts w:ascii="Bookman Old Style" w:hAnsi="Bookman Old Style"/>
        </w:rPr>
        <w:t xml:space="preserve"> the </w:t>
      </w:r>
      <w:r w:rsidRPr="00CD149D">
        <w:rPr>
          <w:rFonts w:ascii="Bookman Old Style" w:hAnsi="Bookman Old Style"/>
        </w:rPr>
        <w:t xml:space="preserve">simplified reporting procedure under all the treaty bodies. </w:t>
      </w:r>
    </w:p>
    <w:p w14:paraId="1C95F4DB" w14:textId="77777777" w:rsidR="000F6A85" w:rsidRPr="00CD149D" w:rsidRDefault="000F6A85" w:rsidP="00CD149D">
      <w:pPr>
        <w:pStyle w:val="ListParagraph"/>
        <w:numPr>
          <w:ilvl w:val="0"/>
          <w:numId w:val="3"/>
        </w:numPr>
        <w:jc w:val="both"/>
        <w:rPr>
          <w:rFonts w:ascii="Bookman Old Style" w:hAnsi="Bookman Old Style"/>
          <w:b/>
        </w:rPr>
      </w:pPr>
      <w:r w:rsidRPr="00CD149D">
        <w:rPr>
          <w:rFonts w:ascii="Bookman Old Style" w:hAnsi="Bookman Old Style"/>
          <w:b/>
        </w:rPr>
        <w:t xml:space="preserve">Common Core Document </w:t>
      </w:r>
      <w:r w:rsidRPr="00CD149D">
        <w:rPr>
          <w:rFonts w:ascii="Bookman Old Style" w:hAnsi="Bookman Old Style"/>
        </w:rPr>
        <w:t>(OP3</w:t>
      </w:r>
      <w:r w:rsidR="00A107C2" w:rsidRPr="00CD149D">
        <w:rPr>
          <w:rFonts w:ascii="Bookman Old Style" w:hAnsi="Bookman Old Style"/>
        </w:rPr>
        <w:t xml:space="preserve"> resolution 68/268</w:t>
      </w:r>
      <w:r w:rsidRPr="00CD149D">
        <w:rPr>
          <w:rFonts w:ascii="Bookman Old Style" w:hAnsi="Bookman Old Style"/>
        </w:rPr>
        <w:t>)</w:t>
      </w:r>
    </w:p>
    <w:p w14:paraId="3FDF3B51" w14:textId="77777777" w:rsidR="000F6A85" w:rsidRPr="00CD149D" w:rsidRDefault="000F6A85" w:rsidP="00CD149D">
      <w:pPr>
        <w:jc w:val="both"/>
        <w:rPr>
          <w:rFonts w:ascii="Bookman Old Style" w:hAnsi="Bookman Old Style"/>
        </w:rPr>
      </w:pPr>
      <w:r w:rsidRPr="00CD149D">
        <w:rPr>
          <w:rFonts w:ascii="Bookman Old Style" w:hAnsi="Bookman Old Style"/>
        </w:rPr>
        <w:t>Suriname has submitted its latest Common Core Document in January 2022</w:t>
      </w:r>
    </w:p>
    <w:p w14:paraId="71F37062" w14:textId="77777777" w:rsidR="00A107C2" w:rsidRPr="00CD149D" w:rsidRDefault="00A107C2" w:rsidP="00CD149D">
      <w:pPr>
        <w:pStyle w:val="ListParagraph"/>
        <w:numPr>
          <w:ilvl w:val="0"/>
          <w:numId w:val="1"/>
        </w:numPr>
        <w:jc w:val="both"/>
        <w:rPr>
          <w:rFonts w:ascii="Bookman Old Style" w:hAnsi="Bookman Old Style"/>
          <w:b/>
        </w:rPr>
      </w:pPr>
      <w:r w:rsidRPr="00CD149D">
        <w:rPr>
          <w:rFonts w:ascii="Bookman Old Style" w:hAnsi="Bookman Old Style"/>
          <w:b/>
        </w:rPr>
        <w:t>Capacity building</w:t>
      </w:r>
      <w:r w:rsidR="002F71CD" w:rsidRPr="00CD149D">
        <w:rPr>
          <w:rFonts w:ascii="Bookman Old Style" w:hAnsi="Bookman Old Style"/>
          <w:b/>
        </w:rPr>
        <w:t xml:space="preserve"> and technical assistance</w:t>
      </w:r>
    </w:p>
    <w:p w14:paraId="232B5744" w14:textId="77777777" w:rsidR="000C7922" w:rsidRPr="00CD149D" w:rsidRDefault="00A107C2" w:rsidP="00CD149D">
      <w:pPr>
        <w:pStyle w:val="ListParagraph"/>
        <w:ind w:left="0"/>
        <w:jc w:val="both"/>
        <w:rPr>
          <w:rFonts w:ascii="Bookman Old Style" w:hAnsi="Bookman Old Style"/>
        </w:rPr>
      </w:pPr>
      <w:r w:rsidRPr="00CD149D">
        <w:rPr>
          <w:rFonts w:ascii="Bookman Old Style" w:hAnsi="Bookman Old Style"/>
        </w:rPr>
        <w:t>Suriname underscores</w:t>
      </w:r>
      <w:r w:rsidR="000C7922" w:rsidRPr="00CD149D">
        <w:rPr>
          <w:rFonts w:ascii="Bookman Old Style" w:hAnsi="Bookman Old Style"/>
        </w:rPr>
        <w:t xml:space="preserve"> the relevance and importance of OP</w:t>
      </w:r>
      <w:r w:rsidR="002F71CD" w:rsidRPr="00CD149D">
        <w:rPr>
          <w:rFonts w:ascii="Bookman Old Style" w:hAnsi="Bookman Old Style"/>
        </w:rPr>
        <w:t>s</w:t>
      </w:r>
      <w:r w:rsidR="000C7922" w:rsidRPr="00CD149D">
        <w:rPr>
          <w:rFonts w:ascii="Bookman Old Style" w:hAnsi="Bookman Old Style"/>
        </w:rPr>
        <w:t xml:space="preserve"> 17</w:t>
      </w:r>
      <w:r w:rsidR="002F71CD" w:rsidRPr="00CD149D">
        <w:rPr>
          <w:rFonts w:ascii="Bookman Old Style" w:hAnsi="Bookman Old Style"/>
        </w:rPr>
        <w:t>-20</w:t>
      </w:r>
      <w:r w:rsidR="000C7922" w:rsidRPr="00CD149D">
        <w:rPr>
          <w:rFonts w:ascii="Bookman Old Style" w:hAnsi="Bookman Old Style"/>
        </w:rPr>
        <w:t xml:space="preserve"> of resolution 8/268, as technical cooperation remains important to step up efforts for the promotion and protection of human rights and the achievement of the Sustainable Development Goals, especially amidst the challenges due to the Covid-19 pandemic.</w:t>
      </w:r>
    </w:p>
    <w:p w14:paraId="50BF8253" w14:textId="77777777" w:rsidR="00CD149D" w:rsidRPr="00CD149D" w:rsidRDefault="00CD149D" w:rsidP="00CD149D">
      <w:pPr>
        <w:pStyle w:val="ListParagraph"/>
        <w:ind w:left="0"/>
        <w:jc w:val="both"/>
        <w:rPr>
          <w:rFonts w:ascii="Bookman Old Style" w:hAnsi="Bookman Old Style"/>
        </w:rPr>
      </w:pPr>
    </w:p>
    <w:p w14:paraId="5DF793F3" w14:textId="77777777" w:rsidR="00CD149D" w:rsidRPr="00CD149D" w:rsidRDefault="00CD149D" w:rsidP="00CD149D">
      <w:pPr>
        <w:pStyle w:val="ListParagraph"/>
        <w:ind w:left="0"/>
        <w:jc w:val="both"/>
        <w:rPr>
          <w:rFonts w:ascii="Bookman Old Style" w:hAnsi="Bookman Old Style"/>
        </w:rPr>
      </w:pPr>
      <w:r w:rsidRPr="00CD149D">
        <w:rPr>
          <w:rFonts w:ascii="Bookman Old Style" w:hAnsi="Bookman Old Style"/>
        </w:rPr>
        <w:t>In this context Suriname emphasizes the importance of involving the train the trainer’s aspect in all capacity building initiatives, for both governmental and non-governmental organizations and to engage with relevant local experts in this regard.</w:t>
      </w:r>
    </w:p>
    <w:p w14:paraId="7DF3BD65" w14:textId="77777777" w:rsidR="00127877" w:rsidRPr="00CD149D" w:rsidRDefault="00CD149D" w:rsidP="00CD149D">
      <w:pPr>
        <w:jc w:val="both"/>
        <w:rPr>
          <w:rFonts w:ascii="Bookman Old Style" w:hAnsi="Bookman Old Style"/>
        </w:rPr>
      </w:pPr>
      <w:r w:rsidRPr="00CD149D">
        <w:rPr>
          <w:rFonts w:ascii="Bookman Old Style" w:hAnsi="Bookman Old Style"/>
        </w:rPr>
        <w:t>During its 3</w:t>
      </w:r>
      <w:r w:rsidRPr="00CD149D">
        <w:rPr>
          <w:rFonts w:ascii="Bookman Old Style" w:hAnsi="Bookman Old Style"/>
          <w:vertAlign w:val="superscript"/>
        </w:rPr>
        <w:t xml:space="preserve">rd </w:t>
      </w:r>
      <w:r w:rsidRPr="00CD149D">
        <w:rPr>
          <w:rFonts w:ascii="Bookman Old Style" w:hAnsi="Bookman Old Style"/>
        </w:rPr>
        <w:t xml:space="preserve">Universal Periodic Review (UPR), held in November 2021, </w:t>
      </w:r>
      <w:r w:rsidR="00127877" w:rsidRPr="00CD149D">
        <w:rPr>
          <w:rFonts w:ascii="Bookman Old Style" w:hAnsi="Bookman Old Style"/>
        </w:rPr>
        <w:t xml:space="preserve">Suriname has supported the UPR recommendation </w:t>
      </w:r>
      <w:r w:rsidRPr="00CD149D">
        <w:rPr>
          <w:rFonts w:ascii="Bookman Old Style" w:hAnsi="Bookman Old Style"/>
        </w:rPr>
        <w:t>“</w:t>
      </w:r>
      <w:r w:rsidR="00127877" w:rsidRPr="00CD149D">
        <w:rPr>
          <w:rFonts w:ascii="Bookman Old Style" w:hAnsi="Bookman Old Style"/>
        </w:rPr>
        <w:t>to constructively work with the Office of the High Commissioner for Human Rights to advance in the ratification of the main international human rights instruments to Suriname is not yet a party, as well as to ensure the incorporation into its national legal system of the obligations deriving from ratified human rights treaties</w:t>
      </w:r>
      <w:r w:rsidRPr="00CD149D">
        <w:rPr>
          <w:rFonts w:ascii="Bookman Old Style" w:hAnsi="Bookman Old Style"/>
        </w:rPr>
        <w:t>”.</w:t>
      </w:r>
    </w:p>
    <w:p w14:paraId="0AB5D005" w14:textId="77777777" w:rsidR="002F71CD" w:rsidRPr="00CD149D" w:rsidRDefault="002F71CD" w:rsidP="00CD149D">
      <w:pPr>
        <w:pStyle w:val="ListParagraph"/>
        <w:numPr>
          <w:ilvl w:val="0"/>
          <w:numId w:val="1"/>
        </w:numPr>
        <w:spacing w:after="0" w:line="240" w:lineRule="auto"/>
        <w:ind w:left="0"/>
        <w:jc w:val="both"/>
        <w:rPr>
          <w:rFonts w:ascii="Bookman Old Style" w:eastAsia="Times New Roman" w:hAnsi="Bookman Old Style" w:cs="Times New Roman"/>
        </w:rPr>
      </w:pPr>
      <w:r w:rsidRPr="00CD149D">
        <w:rPr>
          <w:rFonts w:ascii="Bookman Old Style" w:eastAsia="Times New Roman" w:hAnsi="Bookman Old Style" w:cs="Times New Roman"/>
        </w:rPr>
        <w:t>In relation to OP 19, Suriname proposes the following:</w:t>
      </w:r>
    </w:p>
    <w:p w14:paraId="7BF9FAE6" w14:textId="77777777" w:rsidR="00CD149D" w:rsidRPr="00CD149D" w:rsidRDefault="00E41513" w:rsidP="00CD149D">
      <w:pPr>
        <w:pStyle w:val="ListParagraph"/>
        <w:spacing w:after="0" w:line="240" w:lineRule="auto"/>
        <w:ind w:left="0"/>
        <w:jc w:val="both"/>
        <w:rPr>
          <w:rFonts w:ascii="Bookman Old Style" w:eastAsia="Times New Roman" w:hAnsi="Bookman Old Style" w:cs="Times New Roman"/>
          <w:i/>
        </w:rPr>
      </w:pPr>
      <w:r w:rsidRPr="00CD149D">
        <w:rPr>
          <w:rFonts w:ascii="Bookman Old Style" w:eastAsia="Times New Roman" w:hAnsi="Bookman Old Style" w:cs="Times New Roman"/>
          <w:i/>
        </w:rPr>
        <w:t>"</w:t>
      </w:r>
      <w:r w:rsidR="002F71CD" w:rsidRPr="00CD149D">
        <w:rPr>
          <w:rFonts w:ascii="Bookman Old Style" w:eastAsia="Times New Roman" w:hAnsi="Bookman Old Style" w:cs="Times New Roman"/>
          <w:i/>
        </w:rPr>
        <w:t>To encourage</w:t>
      </w:r>
      <w:r w:rsidRPr="00CD149D">
        <w:rPr>
          <w:rFonts w:ascii="Bookman Old Style" w:eastAsia="Times New Roman" w:hAnsi="Bookman Old Style" w:cs="Times New Roman"/>
          <w:i/>
        </w:rPr>
        <w:t xml:space="preserve"> the human rights treaty bodies to appoint, at the request of state parties, an expert for the follow up to the concluding observations including the recommendations. The expert will</w:t>
      </w:r>
      <w:r w:rsidR="002F71CD" w:rsidRPr="00CD149D">
        <w:rPr>
          <w:rFonts w:ascii="Bookman Old Style" w:eastAsia="Times New Roman" w:hAnsi="Bookman Old Style" w:cs="Times New Roman"/>
          <w:i/>
        </w:rPr>
        <w:t>, amongst others,</w:t>
      </w:r>
      <w:r w:rsidRPr="00CD149D">
        <w:rPr>
          <w:rFonts w:ascii="Bookman Old Style" w:eastAsia="Times New Roman" w:hAnsi="Bookman Old Style" w:cs="Times New Roman"/>
          <w:i/>
        </w:rPr>
        <w:t xml:space="preserve"> provide through a consultation process</w:t>
      </w:r>
      <w:r w:rsidR="002F71CD" w:rsidRPr="00CD149D">
        <w:rPr>
          <w:rFonts w:ascii="Bookman Old Style" w:eastAsia="Times New Roman" w:hAnsi="Bookman Old Style" w:cs="Times New Roman"/>
          <w:i/>
        </w:rPr>
        <w:t>,</w:t>
      </w:r>
      <w:r w:rsidRPr="00CD149D">
        <w:rPr>
          <w:rFonts w:ascii="Bookman Old Style" w:eastAsia="Times New Roman" w:hAnsi="Bookman Old Style" w:cs="Times New Roman"/>
          <w:i/>
        </w:rPr>
        <w:t xml:space="preserve"> </w:t>
      </w:r>
      <w:r w:rsidR="002F71CD" w:rsidRPr="00CD149D">
        <w:rPr>
          <w:rFonts w:ascii="Bookman Old Style" w:eastAsia="Times New Roman" w:hAnsi="Bookman Old Style" w:cs="Times New Roman"/>
          <w:i/>
        </w:rPr>
        <w:t xml:space="preserve">guidance and </w:t>
      </w:r>
      <w:r w:rsidRPr="00CD149D">
        <w:rPr>
          <w:rFonts w:ascii="Bookman Old Style" w:eastAsia="Times New Roman" w:hAnsi="Bookman Old Style" w:cs="Times New Roman"/>
          <w:i/>
        </w:rPr>
        <w:t>clarification on the wording of specific recommendations as identified by the respective state party"</w:t>
      </w:r>
      <w:r w:rsidR="00127877" w:rsidRPr="00CD149D">
        <w:rPr>
          <w:rFonts w:ascii="Bookman Old Style" w:eastAsia="Times New Roman" w:hAnsi="Bookman Old Style" w:cs="Times New Roman"/>
          <w:i/>
        </w:rPr>
        <w:t>.</w:t>
      </w:r>
    </w:p>
    <w:p w14:paraId="401B3467" w14:textId="77777777" w:rsidR="00CD149D" w:rsidRPr="00CD149D" w:rsidRDefault="00CD149D" w:rsidP="00CD149D">
      <w:pPr>
        <w:pStyle w:val="ListParagraph"/>
        <w:spacing w:after="0" w:line="240" w:lineRule="auto"/>
        <w:ind w:left="0"/>
        <w:jc w:val="both"/>
        <w:rPr>
          <w:rFonts w:ascii="Bookman Old Style" w:eastAsia="Times New Roman" w:hAnsi="Bookman Old Style" w:cs="Times New Roman"/>
          <w:i/>
        </w:rPr>
      </w:pPr>
    </w:p>
    <w:p w14:paraId="6EB62E27" w14:textId="77777777" w:rsidR="00CD149D" w:rsidRPr="00CD149D" w:rsidRDefault="00CD149D" w:rsidP="00CD149D">
      <w:pPr>
        <w:pStyle w:val="ListParagraph"/>
        <w:spacing w:after="0" w:line="240" w:lineRule="auto"/>
        <w:ind w:left="0"/>
        <w:jc w:val="both"/>
        <w:rPr>
          <w:rFonts w:ascii="Bookman Old Style" w:eastAsia="Times New Roman" w:hAnsi="Bookman Old Style" w:cs="Times New Roman"/>
          <w:i/>
        </w:rPr>
      </w:pPr>
      <w:r w:rsidRPr="00CD149D">
        <w:rPr>
          <w:rFonts w:ascii="Bookman Old Style" w:eastAsia="Bookman Old Style" w:hAnsi="Bookman Old Style" w:cs="Bookman Old Style"/>
        </w:rPr>
        <w:t>The Republic of Suriname pledges its full commitment to the promotion and protection of human rights and fundamental freedoms in Suriname and the promotion of democracy, good governance and strengthening of the rule of law, as a fundamental framework for economic prosperity, sustained peace and international cooperation.</w:t>
      </w:r>
    </w:p>
    <w:p w14:paraId="5E158D18" w14:textId="77777777" w:rsidR="00CD149D" w:rsidRPr="00CD149D" w:rsidRDefault="00CD149D" w:rsidP="00CD149D">
      <w:pPr>
        <w:pStyle w:val="ListParagraph"/>
        <w:spacing w:after="0" w:line="240" w:lineRule="auto"/>
        <w:ind w:left="0"/>
        <w:jc w:val="both"/>
        <w:rPr>
          <w:rFonts w:ascii="Bookman Old Style" w:eastAsia="Times New Roman" w:hAnsi="Bookman Old Style" w:cs="Times New Roman"/>
        </w:rPr>
      </w:pPr>
    </w:p>
    <w:sectPr w:rsidR="00CD149D" w:rsidRPr="00CD1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2369"/>
    <w:multiLevelType w:val="hybridMultilevel"/>
    <w:tmpl w:val="E9146AAA"/>
    <w:lvl w:ilvl="0" w:tplc="622479B8">
      <w:start w:val="1"/>
      <w:numFmt w:val="decimal"/>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D5C9D"/>
    <w:multiLevelType w:val="hybridMultilevel"/>
    <w:tmpl w:val="84B45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EE0784"/>
    <w:multiLevelType w:val="hybridMultilevel"/>
    <w:tmpl w:val="62023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7D26A3"/>
    <w:multiLevelType w:val="hybridMultilevel"/>
    <w:tmpl w:val="8B3ACECE"/>
    <w:lvl w:ilvl="0" w:tplc="45C05E86">
      <w:start w:val="1"/>
      <w:numFmt w:val="bullet"/>
      <w:lvlText w:val=""/>
      <w:lvlJc w:val="left"/>
      <w:pPr>
        <w:ind w:left="360" w:hanging="360"/>
      </w:pPr>
      <w:rPr>
        <w:rFonts w:ascii="Symbol" w:hAnsi="Symbol" w:hint="default"/>
        <w:color w:val="auto"/>
      </w:rPr>
    </w:lvl>
    <w:lvl w:ilvl="1" w:tplc="0409000F">
      <w:start w:val="1"/>
      <w:numFmt w:val="decimal"/>
      <w:lvlText w:val="%2."/>
      <w:lvlJc w:val="left"/>
      <w:pPr>
        <w:ind w:left="1080" w:hanging="360"/>
      </w:pPr>
      <w:rPr>
        <w:rFonts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5E"/>
    <w:rsid w:val="000C7922"/>
    <w:rsid w:val="000F6A85"/>
    <w:rsid w:val="00126FBA"/>
    <w:rsid w:val="00127877"/>
    <w:rsid w:val="00182D33"/>
    <w:rsid w:val="002109CD"/>
    <w:rsid w:val="002600D0"/>
    <w:rsid w:val="002F71CD"/>
    <w:rsid w:val="00477F84"/>
    <w:rsid w:val="0057406E"/>
    <w:rsid w:val="006F3894"/>
    <w:rsid w:val="00714D9C"/>
    <w:rsid w:val="008049C7"/>
    <w:rsid w:val="008D0586"/>
    <w:rsid w:val="00961F5E"/>
    <w:rsid w:val="00A107C2"/>
    <w:rsid w:val="00CD149D"/>
    <w:rsid w:val="00DD751D"/>
    <w:rsid w:val="00E4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3010"/>
  <w15:docId w15:val="{01EF95BC-DA1B-4338-87EB-ED5263BB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6437">
      <w:bodyDiv w:val="1"/>
      <w:marLeft w:val="0"/>
      <w:marRight w:val="0"/>
      <w:marTop w:val="0"/>
      <w:marBottom w:val="0"/>
      <w:divBdr>
        <w:top w:val="none" w:sz="0" w:space="0" w:color="auto"/>
        <w:left w:val="none" w:sz="0" w:space="0" w:color="auto"/>
        <w:bottom w:val="none" w:sz="0" w:space="0" w:color="auto"/>
        <w:right w:val="none" w:sz="0" w:space="0" w:color="auto"/>
      </w:divBdr>
      <w:divsChild>
        <w:div w:id="910654898">
          <w:marLeft w:val="0"/>
          <w:marRight w:val="0"/>
          <w:marTop w:val="0"/>
          <w:marBottom w:val="0"/>
          <w:divBdr>
            <w:top w:val="none" w:sz="0" w:space="0" w:color="auto"/>
            <w:left w:val="none" w:sz="0" w:space="0" w:color="auto"/>
            <w:bottom w:val="none" w:sz="0" w:space="0" w:color="auto"/>
            <w:right w:val="none" w:sz="0" w:space="0" w:color="auto"/>
          </w:divBdr>
        </w:div>
        <w:div w:id="1355577490">
          <w:marLeft w:val="0"/>
          <w:marRight w:val="0"/>
          <w:marTop w:val="0"/>
          <w:marBottom w:val="0"/>
          <w:divBdr>
            <w:top w:val="none" w:sz="0" w:space="0" w:color="auto"/>
            <w:left w:val="none" w:sz="0" w:space="0" w:color="auto"/>
            <w:bottom w:val="none" w:sz="0" w:space="0" w:color="auto"/>
            <w:right w:val="none" w:sz="0" w:space="0" w:color="auto"/>
          </w:divBdr>
        </w:div>
        <w:div w:id="315185046">
          <w:marLeft w:val="0"/>
          <w:marRight w:val="0"/>
          <w:marTop w:val="0"/>
          <w:marBottom w:val="0"/>
          <w:divBdr>
            <w:top w:val="none" w:sz="0" w:space="0" w:color="auto"/>
            <w:left w:val="none" w:sz="0" w:space="0" w:color="auto"/>
            <w:bottom w:val="none" w:sz="0" w:space="0" w:color="auto"/>
            <w:right w:val="none" w:sz="0" w:space="0" w:color="auto"/>
          </w:divBdr>
        </w:div>
      </w:divsChild>
    </w:div>
    <w:div w:id="1711110730">
      <w:bodyDiv w:val="1"/>
      <w:marLeft w:val="0"/>
      <w:marRight w:val="0"/>
      <w:marTop w:val="0"/>
      <w:marBottom w:val="0"/>
      <w:divBdr>
        <w:top w:val="none" w:sz="0" w:space="0" w:color="auto"/>
        <w:left w:val="none" w:sz="0" w:space="0" w:color="auto"/>
        <w:bottom w:val="none" w:sz="0" w:space="0" w:color="auto"/>
        <w:right w:val="none" w:sz="0" w:space="0" w:color="auto"/>
      </w:divBdr>
      <w:divsChild>
        <w:div w:id="1860655124">
          <w:marLeft w:val="0"/>
          <w:marRight w:val="0"/>
          <w:marTop w:val="0"/>
          <w:marBottom w:val="0"/>
          <w:divBdr>
            <w:top w:val="none" w:sz="0" w:space="0" w:color="auto"/>
            <w:left w:val="none" w:sz="0" w:space="0" w:color="auto"/>
            <w:bottom w:val="none" w:sz="0" w:space="0" w:color="auto"/>
            <w:right w:val="none" w:sz="0" w:space="0" w:color="auto"/>
          </w:divBdr>
        </w:div>
        <w:div w:id="467162215">
          <w:marLeft w:val="0"/>
          <w:marRight w:val="0"/>
          <w:marTop w:val="0"/>
          <w:marBottom w:val="0"/>
          <w:divBdr>
            <w:top w:val="none" w:sz="0" w:space="0" w:color="auto"/>
            <w:left w:val="none" w:sz="0" w:space="0" w:color="auto"/>
            <w:bottom w:val="none" w:sz="0" w:space="0" w:color="auto"/>
            <w:right w:val="none" w:sz="0" w:space="0" w:color="auto"/>
          </w:divBdr>
        </w:div>
        <w:div w:id="48444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CCFD7F-54EE-4BEA-87CC-E6B51ACF8391}"/>
</file>

<file path=customXml/itemProps2.xml><?xml version="1.0" encoding="utf-8"?>
<ds:datastoreItem xmlns:ds="http://schemas.openxmlformats.org/officeDocument/2006/customXml" ds:itemID="{4465FB65-F734-483B-A3E5-C3063FD46B59}"/>
</file>

<file path=customXml/itemProps3.xml><?xml version="1.0" encoding="utf-8"?>
<ds:datastoreItem xmlns:ds="http://schemas.openxmlformats.org/officeDocument/2006/customXml" ds:itemID="{C086D1CF-9A11-499A-B05A-AF98B8D1BC2A}"/>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Meryll</dc:creator>
  <cp:lastModifiedBy>Secretariat</cp:lastModifiedBy>
  <cp:revision>2</cp:revision>
  <dcterms:created xsi:type="dcterms:W3CDTF">2022-01-31T21:36:00Z</dcterms:created>
  <dcterms:modified xsi:type="dcterms:W3CDTF">2022-01-31T21:36:00Z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