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4358" w14:textId="77777777" w:rsidR="006F62F0" w:rsidRDefault="006F62F0" w:rsidP="00C56D5E">
      <w:pPr>
        <w:jc w:val="center"/>
        <w:rPr>
          <w:b/>
          <w:bCs/>
          <w:sz w:val="22"/>
          <w:szCs w:val="22"/>
          <w:lang w:val="en-US"/>
        </w:rPr>
      </w:pPr>
    </w:p>
    <w:p w14:paraId="2AA7C6D1" w14:textId="72D10D94" w:rsidR="00032142" w:rsidRDefault="304627CE" w:rsidP="005F4CAE">
      <w:pPr>
        <w:rPr>
          <w:b/>
          <w:bCs/>
          <w:sz w:val="22"/>
          <w:szCs w:val="22"/>
          <w:lang w:val="en-US"/>
        </w:rPr>
      </w:pPr>
      <w:r w:rsidRPr="75C2BAE6">
        <w:rPr>
          <w:b/>
          <w:bCs/>
          <w:sz w:val="22"/>
          <w:szCs w:val="22"/>
          <w:lang w:val="en-US"/>
        </w:rPr>
        <w:t>31 January 2022</w:t>
      </w:r>
    </w:p>
    <w:p w14:paraId="5902E77E" w14:textId="77777777" w:rsidR="00C71A59" w:rsidRPr="006949DC" w:rsidRDefault="00C71A59" w:rsidP="005F4CAE">
      <w:pPr>
        <w:rPr>
          <w:b/>
          <w:bCs/>
          <w:sz w:val="22"/>
          <w:szCs w:val="22"/>
          <w:lang w:val="en-US"/>
        </w:rPr>
      </w:pPr>
    </w:p>
    <w:p w14:paraId="0DAAAB68" w14:textId="07BA47B3" w:rsidR="00C56D5E" w:rsidRPr="006160C5" w:rsidRDefault="00782FD8" w:rsidP="00C56D5E">
      <w:pPr>
        <w:jc w:val="center"/>
        <w:rPr>
          <w:b/>
          <w:bCs/>
          <w:color w:val="000000"/>
          <w:sz w:val="22"/>
          <w:szCs w:val="22"/>
        </w:rPr>
      </w:pPr>
      <w:r w:rsidRPr="006949DC">
        <w:rPr>
          <w:b/>
          <w:bCs/>
          <w:sz w:val="22"/>
          <w:szCs w:val="22"/>
          <w:lang w:val="en-US"/>
        </w:rPr>
        <w:t>Response</w:t>
      </w:r>
      <w:r w:rsidR="00C56D5E" w:rsidRPr="006949DC">
        <w:rPr>
          <w:b/>
          <w:bCs/>
          <w:sz w:val="22"/>
          <w:szCs w:val="22"/>
          <w:lang w:val="en-US"/>
        </w:rPr>
        <w:t xml:space="preserve"> to </w:t>
      </w:r>
      <w:r w:rsidR="00D86891" w:rsidRPr="006949DC">
        <w:rPr>
          <w:b/>
          <w:bCs/>
          <w:sz w:val="22"/>
          <w:szCs w:val="22"/>
          <w:lang w:val="en-US"/>
        </w:rPr>
        <w:t xml:space="preserve">the </w:t>
      </w:r>
      <w:r w:rsidR="00C56D5E" w:rsidRPr="006949DC">
        <w:rPr>
          <w:b/>
          <w:bCs/>
          <w:sz w:val="22"/>
          <w:szCs w:val="22"/>
          <w:lang w:val="en-US"/>
        </w:rPr>
        <w:t xml:space="preserve">questionnaire on GA </w:t>
      </w:r>
      <w:r w:rsidR="00C56D5E" w:rsidRPr="006949DC">
        <w:rPr>
          <w:b/>
          <w:bCs/>
          <w:color w:val="000000"/>
          <w:sz w:val="22"/>
          <w:szCs w:val="22"/>
        </w:rPr>
        <w:t xml:space="preserve">resolution </w:t>
      </w:r>
      <w:hyperlink r:id="rId8" w:history="1">
        <w:r w:rsidR="00C56D5E" w:rsidRPr="006949DC">
          <w:rPr>
            <w:rStyle w:val="Hyperlink"/>
            <w:b/>
            <w:bCs/>
            <w:sz w:val="22"/>
            <w:szCs w:val="22"/>
          </w:rPr>
          <w:t>68/268</w:t>
        </w:r>
      </w:hyperlink>
      <w:r w:rsidR="00C56D5E" w:rsidRPr="006949DC">
        <w:rPr>
          <w:b/>
          <w:bCs/>
          <w:color w:val="000000"/>
          <w:sz w:val="22"/>
          <w:szCs w:val="22"/>
        </w:rPr>
        <w:t xml:space="preserve"> on “Strengthening and enhancing the effective functioning of the human rights treaty body system”</w:t>
      </w:r>
    </w:p>
    <w:p w14:paraId="17D5FC08" w14:textId="21961B78" w:rsidR="00C56D5E" w:rsidRPr="006160C5" w:rsidRDefault="00C56D5E">
      <w:pPr>
        <w:rPr>
          <w:color w:val="000000"/>
          <w:sz w:val="22"/>
          <w:szCs w:val="22"/>
        </w:rPr>
      </w:pPr>
    </w:p>
    <w:p w14:paraId="71974909" w14:textId="59A864CC" w:rsidR="003C52D0" w:rsidRPr="004F38BA" w:rsidRDefault="003C52D0">
      <w:pPr>
        <w:rPr>
          <w:b/>
          <w:bCs/>
          <w:color w:val="000000"/>
          <w:sz w:val="22"/>
          <w:szCs w:val="22"/>
        </w:rPr>
      </w:pPr>
      <w:r w:rsidRPr="004F38BA">
        <w:rPr>
          <w:b/>
          <w:bCs/>
          <w:color w:val="000000"/>
          <w:sz w:val="22"/>
          <w:szCs w:val="22"/>
        </w:rPr>
        <w:t xml:space="preserve">The </w:t>
      </w:r>
      <w:proofErr w:type="spellStart"/>
      <w:r w:rsidRPr="004F38BA">
        <w:rPr>
          <w:b/>
          <w:bCs/>
          <w:color w:val="000000"/>
          <w:sz w:val="22"/>
          <w:szCs w:val="22"/>
        </w:rPr>
        <w:t>Center</w:t>
      </w:r>
      <w:proofErr w:type="spellEnd"/>
      <w:r w:rsidRPr="004F38BA">
        <w:rPr>
          <w:b/>
          <w:bCs/>
          <w:color w:val="000000"/>
          <w:sz w:val="22"/>
          <w:szCs w:val="22"/>
        </w:rPr>
        <w:t xml:space="preserve"> for Reproductive Rights (the </w:t>
      </w:r>
      <w:proofErr w:type="spellStart"/>
      <w:r w:rsidRPr="004F38BA">
        <w:rPr>
          <w:b/>
          <w:bCs/>
          <w:color w:val="000000"/>
          <w:sz w:val="22"/>
          <w:szCs w:val="22"/>
        </w:rPr>
        <w:t>Center</w:t>
      </w:r>
      <w:proofErr w:type="spellEnd"/>
      <w:r w:rsidRPr="004F38BA">
        <w:rPr>
          <w:b/>
          <w:bCs/>
          <w:color w:val="000000"/>
          <w:sz w:val="22"/>
          <w:szCs w:val="22"/>
        </w:rPr>
        <w:t xml:space="preserve">)—an international non-profit legal advocacy organization headquartered in New York City, with regional offices in Nairobi, Bogotá, Kathmandu, Geneva, and Washington, D.C.—uses the law to advance reproductive freedom as a fundamental human right that all governments are legally obligated to respect, protect, and </w:t>
      </w:r>
      <w:proofErr w:type="spellStart"/>
      <w:r w:rsidRPr="004F38BA">
        <w:rPr>
          <w:b/>
          <w:bCs/>
          <w:color w:val="000000"/>
          <w:sz w:val="22"/>
          <w:szCs w:val="22"/>
        </w:rPr>
        <w:t>fulfill</w:t>
      </w:r>
      <w:proofErr w:type="spellEnd"/>
      <w:r w:rsidRPr="004F38BA">
        <w:rPr>
          <w:b/>
          <w:bCs/>
          <w:color w:val="000000"/>
          <w:sz w:val="22"/>
          <w:szCs w:val="22"/>
        </w:rPr>
        <w:t xml:space="preserve">. Since its inception 25 years ago, the </w:t>
      </w:r>
      <w:proofErr w:type="spellStart"/>
      <w:r w:rsidRPr="004F38BA">
        <w:rPr>
          <w:b/>
          <w:bCs/>
          <w:color w:val="000000"/>
          <w:sz w:val="22"/>
          <w:szCs w:val="22"/>
        </w:rPr>
        <w:t>Center</w:t>
      </w:r>
      <w:proofErr w:type="spellEnd"/>
      <w:r w:rsidRPr="004F38BA">
        <w:rPr>
          <w:b/>
          <w:bCs/>
          <w:color w:val="000000"/>
          <w:sz w:val="22"/>
          <w:szCs w:val="22"/>
        </w:rPr>
        <w:t xml:space="preserve"> has advocated for the realization of women and girls’ human rights on a broad range of issues, including on the right to access sexual and reproductive health services; preventing and addressing sexual violence; and the eradication of harmful traditional practices. We are pleased to provide this submission in reply to the questionnaire sent by the Secretariat on the implementation of the GA resolution 68/268 on “strengthening and enhancing the effective functioning of the human rights treaty body system</w:t>
      </w:r>
      <w:r w:rsidR="006F62F0" w:rsidRPr="004F38BA">
        <w:rPr>
          <w:b/>
          <w:bCs/>
          <w:color w:val="000000"/>
          <w:sz w:val="22"/>
          <w:szCs w:val="22"/>
        </w:rPr>
        <w:t>”</w:t>
      </w:r>
      <w:r w:rsidRPr="004F38BA">
        <w:rPr>
          <w:b/>
          <w:bCs/>
          <w:color w:val="000000"/>
          <w:sz w:val="22"/>
          <w:szCs w:val="22"/>
        </w:rPr>
        <w:t>.</w:t>
      </w:r>
    </w:p>
    <w:p w14:paraId="75990685" w14:textId="0A9C0478" w:rsidR="003C52D0" w:rsidRPr="004F38BA" w:rsidRDefault="003C52D0">
      <w:pPr>
        <w:rPr>
          <w:color w:val="000000"/>
          <w:sz w:val="22"/>
          <w:szCs w:val="22"/>
        </w:rPr>
      </w:pPr>
    </w:p>
    <w:p w14:paraId="1E6435A7" w14:textId="77A48D84" w:rsidR="003C52D0" w:rsidRPr="004F38BA" w:rsidRDefault="003C52D0">
      <w:pPr>
        <w:rPr>
          <w:color w:val="000000"/>
          <w:sz w:val="22"/>
          <w:szCs w:val="22"/>
        </w:rPr>
      </w:pPr>
      <w:r w:rsidRPr="004F38BA">
        <w:rPr>
          <w:color w:val="000000"/>
          <w:sz w:val="22"/>
          <w:szCs w:val="22"/>
        </w:rPr>
        <w:t xml:space="preserve">We would like to </w:t>
      </w:r>
      <w:r w:rsidR="00F20282">
        <w:rPr>
          <w:color w:val="000000"/>
          <w:sz w:val="22"/>
          <w:szCs w:val="22"/>
        </w:rPr>
        <w:t xml:space="preserve">send </w:t>
      </w:r>
      <w:r w:rsidRPr="004F38BA">
        <w:rPr>
          <w:color w:val="000000"/>
          <w:sz w:val="22"/>
          <w:szCs w:val="22"/>
        </w:rPr>
        <w:t xml:space="preserve">our appreciation </w:t>
      </w:r>
      <w:r w:rsidR="00B32679" w:rsidRPr="004F38BA">
        <w:rPr>
          <w:color w:val="000000"/>
          <w:sz w:val="22"/>
          <w:szCs w:val="22"/>
        </w:rPr>
        <w:t>for</w:t>
      </w:r>
      <w:r w:rsidR="000E3023" w:rsidRPr="004F38BA">
        <w:rPr>
          <w:color w:val="000000"/>
          <w:sz w:val="22"/>
          <w:szCs w:val="22"/>
        </w:rPr>
        <w:t xml:space="preserve"> extending </w:t>
      </w:r>
      <w:r w:rsidR="006F62F0" w:rsidRPr="004F38BA">
        <w:rPr>
          <w:color w:val="000000"/>
          <w:sz w:val="22"/>
          <w:szCs w:val="22"/>
        </w:rPr>
        <w:t>this</w:t>
      </w:r>
      <w:r w:rsidR="000E3023" w:rsidRPr="004F38BA">
        <w:rPr>
          <w:color w:val="000000"/>
          <w:sz w:val="22"/>
          <w:szCs w:val="22"/>
        </w:rPr>
        <w:t xml:space="preserve"> invitation to</w:t>
      </w:r>
      <w:r w:rsidR="00B32679" w:rsidRPr="004F38BA">
        <w:rPr>
          <w:color w:val="000000"/>
          <w:sz w:val="22"/>
          <w:szCs w:val="22"/>
        </w:rPr>
        <w:t xml:space="preserve"> civil society organizations to provide information on the implementation of GA resolution 68/268.</w:t>
      </w:r>
      <w:r w:rsidR="00782FD8" w:rsidRPr="004F38BA">
        <w:rPr>
          <w:color w:val="000000"/>
          <w:sz w:val="22"/>
          <w:szCs w:val="22"/>
        </w:rPr>
        <w:t xml:space="preserve"> The </w:t>
      </w:r>
      <w:proofErr w:type="spellStart"/>
      <w:r w:rsidR="00782FD8" w:rsidRPr="004F38BA">
        <w:rPr>
          <w:color w:val="000000"/>
          <w:sz w:val="22"/>
          <w:szCs w:val="22"/>
        </w:rPr>
        <w:t>Center</w:t>
      </w:r>
      <w:proofErr w:type="spellEnd"/>
      <w:r w:rsidR="00782FD8" w:rsidRPr="004F38BA">
        <w:rPr>
          <w:color w:val="000000"/>
          <w:sz w:val="22"/>
          <w:szCs w:val="22"/>
        </w:rPr>
        <w:t xml:space="preserve"> for Reproductive Rights, in coordination with other civil society organizations </w:t>
      </w:r>
      <w:r w:rsidR="006F62F0" w:rsidRPr="004F38BA">
        <w:rPr>
          <w:color w:val="000000"/>
          <w:sz w:val="22"/>
          <w:szCs w:val="22"/>
        </w:rPr>
        <w:t xml:space="preserve">has </w:t>
      </w:r>
      <w:r w:rsidR="00782FD8" w:rsidRPr="004F38BA">
        <w:rPr>
          <w:color w:val="000000"/>
          <w:sz w:val="22"/>
          <w:szCs w:val="22"/>
        </w:rPr>
        <w:t>provided a joint NGO response to the report of the co-facilitators of the UN General Assembly’s review of the UN human rights treaty body system,</w:t>
      </w:r>
      <w:r w:rsidR="00782FD8" w:rsidRPr="004F38BA">
        <w:rPr>
          <w:rStyle w:val="FootnoteReference"/>
          <w:color w:val="000000"/>
          <w:sz w:val="22"/>
          <w:szCs w:val="22"/>
        </w:rPr>
        <w:footnoteReference w:id="2"/>
      </w:r>
      <w:r w:rsidR="00782FD8" w:rsidRPr="004F38BA">
        <w:rPr>
          <w:color w:val="000000"/>
          <w:sz w:val="22"/>
          <w:szCs w:val="22"/>
        </w:rPr>
        <w:t xml:space="preserve"> in which we highlighted some of the key recommendations that we consider fundamental for the strengthening of the human rights </w:t>
      </w:r>
      <w:r w:rsidR="006F62F0" w:rsidRPr="004F38BA">
        <w:rPr>
          <w:color w:val="000000"/>
          <w:sz w:val="22"/>
          <w:szCs w:val="22"/>
        </w:rPr>
        <w:t>T</w:t>
      </w:r>
      <w:r w:rsidR="009F02CA" w:rsidRPr="004F38BA">
        <w:rPr>
          <w:color w:val="000000"/>
          <w:sz w:val="22"/>
          <w:szCs w:val="22"/>
        </w:rPr>
        <w:t xml:space="preserve">reaty </w:t>
      </w:r>
      <w:r w:rsidR="006F62F0" w:rsidRPr="004F38BA">
        <w:rPr>
          <w:color w:val="000000"/>
          <w:sz w:val="22"/>
          <w:szCs w:val="22"/>
        </w:rPr>
        <w:t>B</w:t>
      </w:r>
      <w:r w:rsidR="009F02CA" w:rsidRPr="004F38BA">
        <w:rPr>
          <w:color w:val="000000"/>
          <w:sz w:val="22"/>
          <w:szCs w:val="22"/>
        </w:rPr>
        <w:t>ody system and included recommendations to States, the Treaty Bodies, the Office of the High Commissioner for Human Rights (OHCHR) and the President of the 75</w:t>
      </w:r>
      <w:r w:rsidR="009F02CA" w:rsidRPr="004F38BA">
        <w:rPr>
          <w:color w:val="000000"/>
          <w:sz w:val="22"/>
          <w:szCs w:val="22"/>
          <w:vertAlign w:val="superscript"/>
        </w:rPr>
        <w:t>th</w:t>
      </w:r>
      <w:r w:rsidR="009F02CA" w:rsidRPr="004F38BA">
        <w:rPr>
          <w:color w:val="000000"/>
          <w:sz w:val="22"/>
          <w:szCs w:val="22"/>
        </w:rPr>
        <w:t xml:space="preserve"> session of the General Assembly on how to move forward with these recommendations.</w:t>
      </w:r>
    </w:p>
    <w:p w14:paraId="3672165C" w14:textId="51D0A169" w:rsidR="005B69B8" w:rsidRPr="004F38BA" w:rsidRDefault="005B69B8">
      <w:pPr>
        <w:rPr>
          <w:color w:val="000000"/>
          <w:sz w:val="22"/>
          <w:szCs w:val="22"/>
        </w:rPr>
      </w:pPr>
    </w:p>
    <w:p w14:paraId="4A08DB22" w14:textId="3863F2C5" w:rsidR="000E3023" w:rsidRPr="004F38BA" w:rsidRDefault="006F62F0" w:rsidP="006F62F0">
      <w:pPr>
        <w:pStyle w:val="NormalWeb"/>
        <w:spacing w:before="0" w:beforeAutospacing="0" w:after="0" w:afterAutospacing="0"/>
        <w:jc w:val="both"/>
        <w:rPr>
          <w:rFonts w:eastAsiaTheme="minorHAnsi"/>
          <w:sz w:val="22"/>
          <w:szCs w:val="22"/>
          <w:lang w:val="en-US" w:eastAsia="en-US"/>
        </w:rPr>
      </w:pPr>
      <w:r w:rsidRPr="004F38BA">
        <w:rPr>
          <w:rFonts w:eastAsiaTheme="minorHAnsi"/>
          <w:sz w:val="22"/>
          <w:szCs w:val="22"/>
          <w:lang w:val="en-GB" w:eastAsia="en-US"/>
        </w:rPr>
        <w:t>Before sharing our comments, we</w:t>
      </w:r>
      <w:r w:rsidR="005B69B8" w:rsidRPr="004F38BA">
        <w:rPr>
          <w:rFonts w:eastAsiaTheme="minorHAnsi"/>
          <w:sz w:val="22"/>
          <w:szCs w:val="22"/>
          <w:lang w:val="en-US" w:eastAsia="en-US"/>
        </w:rPr>
        <w:t xml:space="preserve"> would like to </w:t>
      </w:r>
      <w:r w:rsidR="00526BCF" w:rsidRPr="004F38BA">
        <w:rPr>
          <w:rFonts w:eastAsiaTheme="minorHAnsi"/>
          <w:sz w:val="22"/>
          <w:szCs w:val="22"/>
          <w:lang w:val="en-US" w:eastAsia="en-US"/>
        </w:rPr>
        <w:t>stress</w:t>
      </w:r>
      <w:r w:rsidR="005B69B8" w:rsidRPr="004F38BA">
        <w:rPr>
          <w:rFonts w:eastAsiaTheme="minorHAnsi"/>
          <w:sz w:val="22"/>
          <w:szCs w:val="22"/>
          <w:lang w:val="en-US" w:eastAsia="en-US"/>
        </w:rPr>
        <w:t xml:space="preserve"> that civil society </w:t>
      </w:r>
      <w:proofErr w:type="spellStart"/>
      <w:r w:rsidR="005B69B8" w:rsidRPr="004F38BA">
        <w:rPr>
          <w:rFonts w:eastAsiaTheme="minorHAnsi"/>
          <w:sz w:val="22"/>
          <w:szCs w:val="22"/>
          <w:lang w:val="en-US" w:eastAsia="en-US"/>
        </w:rPr>
        <w:t>organisations</w:t>
      </w:r>
      <w:proofErr w:type="spellEnd"/>
      <w:r w:rsidR="005B69B8" w:rsidRPr="004F38BA">
        <w:rPr>
          <w:rFonts w:eastAsiaTheme="minorHAnsi"/>
          <w:sz w:val="22"/>
          <w:szCs w:val="22"/>
          <w:lang w:val="en-US" w:eastAsia="en-US"/>
        </w:rPr>
        <w:t xml:space="preserve"> have consistently raised concerns that the special emergency measures and ongoing budget constraints coupled with measures adopted to respond to the COVID-19 crisis have heavily restricted civil society participation at human rights mechanisms</w:t>
      </w:r>
      <w:r w:rsidRPr="004F38BA">
        <w:rPr>
          <w:rFonts w:eastAsiaTheme="minorHAnsi"/>
          <w:sz w:val="22"/>
          <w:szCs w:val="22"/>
          <w:lang w:val="en-US" w:eastAsia="en-US"/>
        </w:rPr>
        <w:t>.</w:t>
      </w:r>
    </w:p>
    <w:p w14:paraId="6D654C07" w14:textId="622287ED" w:rsidR="006F62F0" w:rsidRPr="004F38BA" w:rsidRDefault="006F62F0" w:rsidP="006F62F0">
      <w:pPr>
        <w:pStyle w:val="NormalWeb"/>
        <w:spacing w:before="0" w:beforeAutospacing="0" w:after="0" w:afterAutospacing="0"/>
        <w:jc w:val="both"/>
        <w:rPr>
          <w:rFonts w:eastAsiaTheme="minorHAnsi"/>
          <w:sz w:val="22"/>
          <w:szCs w:val="22"/>
          <w:lang w:val="en-US" w:eastAsia="en-US"/>
        </w:rPr>
      </w:pPr>
    </w:p>
    <w:p w14:paraId="61C571C7" w14:textId="6293B5E7" w:rsidR="006F62F0" w:rsidRPr="004F38BA" w:rsidRDefault="006F62F0" w:rsidP="006F62F0">
      <w:pPr>
        <w:pStyle w:val="NormalWeb"/>
        <w:spacing w:before="0" w:beforeAutospacing="0" w:after="0" w:afterAutospacing="0"/>
        <w:jc w:val="both"/>
        <w:rPr>
          <w:rFonts w:eastAsiaTheme="minorHAnsi"/>
          <w:sz w:val="22"/>
          <w:szCs w:val="22"/>
          <w:lang w:val="en-US" w:eastAsia="en-US"/>
        </w:rPr>
      </w:pPr>
      <w:r w:rsidRPr="004F38BA">
        <w:rPr>
          <w:rFonts w:eastAsiaTheme="minorHAnsi"/>
          <w:sz w:val="22"/>
          <w:szCs w:val="22"/>
          <w:lang w:val="en-US" w:eastAsia="en-US"/>
        </w:rPr>
        <w:t>Please find below our comments:</w:t>
      </w:r>
    </w:p>
    <w:p w14:paraId="6BED3BBE" w14:textId="77777777" w:rsidR="000A079E" w:rsidRPr="004F38BA" w:rsidRDefault="000A079E">
      <w:pPr>
        <w:rPr>
          <w:color w:val="000000"/>
          <w:sz w:val="22"/>
          <w:szCs w:val="22"/>
        </w:rPr>
      </w:pPr>
    </w:p>
    <w:p w14:paraId="28B25749" w14:textId="35313E9B" w:rsidR="000E3023" w:rsidRPr="004F38BA" w:rsidRDefault="000E3023">
      <w:pPr>
        <w:rPr>
          <w:b/>
          <w:bCs/>
          <w:color w:val="000000"/>
          <w:sz w:val="22"/>
          <w:szCs w:val="22"/>
        </w:rPr>
      </w:pPr>
      <w:r w:rsidRPr="004F38BA">
        <w:rPr>
          <w:b/>
          <w:bCs/>
          <w:color w:val="000000"/>
          <w:sz w:val="22"/>
          <w:szCs w:val="22"/>
        </w:rPr>
        <w:t>Status of the human rights Treaty Bodies system and the progress achieved by the human rights Treaty Bodies in realizing greater efficiency in their work</w:t>
      </w:r>
    </w:p>
    <w:p w14:paraId="40EA51BB" w14:textId="77777777" w:rsidR="000A079E" w:rsidRPr="004F38BA" w:rsidRDefault="000A079E">
      <w:pPr>
        <w:rPr>
          <w:color w:val="000000"/>
          <w:sz w:val="22"/>
          <w:szCs w:val="22"/>
        </w:rPr>
      </w:pPr>
    </w:p>
    <w:p w14:paraId="489D7E8F" w14:textId="3F0FB757" w:rsidR="000E3023" w:rsidRPr="004F38BA" w:rsidRDefault="009F02CA">
      <w:pPr>
        <w:rPr>
          <w:color w:val="000000"/>
          <w:sz w:val="22"/>
          <w:szCs w:val="22"/>
        </w:rPr>
      </w:pPr>
      <w:r w:rsidRPr="004F38BA">
        <w:rPr>
          <w:color w:val="000000"/>
          <w:sz w:val="22"/>
          <w:szCs w:val="22"/>
        </w:rPr>
        <w:t xml:space="preserve">We welcome the two meetings convened </w:t>
      </w:r>
      <w:r w:rsidR="000A079E" w:rsidRPr="004F38BA">
        <w:rPr>
          <w:color w:val="000000"/>
          <w:sz w:val="22"/>
          <w:szCs w:val="22"/>
        </w:rPr>
        <w:t xml:space="preserve">in 2021 </w:t>
      </w:r>
      <w:r w:rsidRPr="004F38BA">
        <w:rPr>
          <w:color w:val="000000"/>
          <w:sz w:val="22"/>
          <w:szCs w:val="22"/>
        </w:rPr>
        <w:t xml:space="preserve">by </w:t>
      </w:r>
      <w:r w:rsidR="006F62F0" w:rsidRPr="004F38BA">
        <w:rPr>
          <w:color w:val="000000"/>
          <w:sz w:val="22"/>
          <w:szCs w:val="22"/>
        </w:rPr>
        <w:t xml:space="preserve">the </w:t>
      </w:r>
      <w:r w:rsidRPr="004F38BA">
        <w:rPr>
          <w:color w:val="000000"/>
          <w:sz w:val="22"/>
          <w:szCs w:val="22"/>
        </w:rPr>
        <w:t>OHCHR Secretariat</w:t>
      </w:r>
      <w:r w:rsidR="000A079E" w:rsidRPr="004F38BA">
        <w:rPr>
          <w:color w:val="000000"/>
          <w:sz w:val="22"/>
          <w:szCs w:val="22"/>
        </w:rPr>
        <w:t xml:space="preserve"> supporting the Treaty Bodies </w:t>
      </w:r>
      <w:r w:rsidRPr="004F38BA">
        <w:rPr>
          <w:color w:val="000000"/>
          <w:sz w:val="22"/>
          <w:szCs w:val="22"/>
        </w:rPr>
        <w:t>to exchange views with NGOs</w:t>
      </w:r>
      <w:r w:rsidR="000A079E" w:rsidRPr="004F38BA">
        <w:rPr>
          <w:color w:val="000000"/>
          <w:sz w:val="22"/>
          <w:szCs w:val="22"/>
        </w:rPr>
        <w:t>. We also</w:t>
      </w:r>
      <w:r w:rsidRPr="004F38BA">
        <w:rPr>
          <w:color w:val="000000"/>
          <w:sz w:val="22"/>
          <w:szCs w:val="22"/>
        </w:rPr>
        <w:t xml:space="preserve"> welcome the efforts undertaken by </w:t>
      </w:r>
      <w:r w:rsidR="000A079E" w:rsidRPr="004F38BA">
        <w:rPr>
          <w:color w:val="000000"/>
          <w:sz w:val="22"/>
          <w:szCs w:val="22"/>
        </w:rPr>
        <w:t>T</w:t>
      </w:r>
      <w:r w:rsidRPr="004F38BA">
        <w:rPr>
          <w:color w:val="000000"/>
          <w:sz w:val="22"/>
          <w:szCs w:val="22"/>
        </w:rPr>
        <w:t xml:space="preserve">reaty </w:t>
      </w:r>
      <w:r w:rsidR="000A079E" w:rsidRPr="004F38BA">
        <w:rPr>
          <w:color w:val="000000"/>
          <w:sz w:val="22"/>
          <w:szCs w:val="22"/>
        </w:rPr>
        <w:t>B</w:t>
      </w:r>
      <w:r w:rsidRPr="004F38BA">
        <w:rPr>
          <w:color w:val="000000"/>
          <w:sz w:val="22"/>
          <w:szCs w:val="22"/>
        </w:rPr>
        <w:t xml:space="preserve">ody members and their secretariats to switch </w:t>
      </w:r>
      <w:r w:rsidR="00293AC3" w:rsidRPr="004F38BA">
        <w:rPr>
          <w:color w:val="000000"/>
          <w:sz w:val="22"/>
          <w:szCs w:val="22"/>
        </w:rPr>
        <w:t>to online sessions during the COVID-19 pandemic</w:t>
      </w:r>
      <w:r w:rsidR="00BD5604" w:rsidRPr="004F38BA">
        <w:rPr>
          <w:color w:val="000000"/>
          <w:sz w:val="22"/>
          <w:szCs w:val="22"/>
        </w:rPr>
        <w:t>. However,</w:t>
      </w:r>
      <w:r w:rsidR="00293AC3" w:rsidRPr="004F38BA">
        <w:rPr>
          <w:color w:val="000000"/>
          <w:sz w:val="22"/>
          <w:szCs w:val="22"/>
        </w:rPr>
        <w:t xml:space="preserve"> we continue to be seriously concerned </w:t>
      </w:r>
      <w:r w:rsidR="00BD5604" w:rsidRPr="004F38BA">
        <w:rPr>
          <w:color w:val="000000"/>
          <w:sz w:val="22"/>
          <w:szCs w:val="22"/>
        </w:rPr>
        <w:t>by</w:t>
      </w:r>
      <w:r w:rsidR="00293AC3" w:rsidRPr="004F38BA">
        <w:rPr>
          <w:color w:val="000000"/>
          <w:sz w:val="22"/>
          <w:szCs w:val="22"/>
        </w:rPr>
        <w:t xml:space="preserve"> the postponement and scaling down of sessions scheduled for 2021</w:t>
      </w:r>
      <w:r w:rsidR="00571395" w:rsidRPr="004F38BA">
        <w:rPr>
          <w:color w:val="000000"/>
          <w:sz w:val="22"/>
          <w:szCs w:val="22"/>
        </w:rPr>
        <w:t xml:space="preserve"> and early 2022</w:t>
      </w:r>
      <w:r w:rsidR="00293AC3" w:rsidRPr="004F38BA">
        <w:rPr>
          <w:color w:val="000000"/>
          <w:sz w:val="22"/>
          <w:szCs w:val="22"/>
        </w:rPr>
        <w:t>, including the postponement of reviews of States parties’ periodic reports, since the beginning of the pandemic, in March 2020.</w:t>
      </w:r>
    </w:p>
    <w:p w14:paraId="383FA4BF" w14:textId="7CA0158A" w:rsidR="008C2027" w:rsidRPr="004F38BA" w:rsidRDefault="008C2027">
      <w:pPr>
        <w:rPr>
          <w:color w:val="000000"/>
          <w:sz w:val="22"/>
          <w:szCs w:val="22"/>
        </w:rPr>
      </w:pPr>
    </w:p>
    <w:p w14:paraId="133C017A" w14:textId="5617D0F8" w:rsidR="006C3F9E" w:rsidRPr="004F38BA" w:rsidRDefault="008C2027">
      <w:pPr>
        <w:rPr>
          <w:color w:val="000000"/>
          <w:sz w:val="22"/>
          <w:szCs w:val="22"/>
        </w:rPr>
      </w:pPr>
      <w:r w:rsidRPr="004F38BA">
        <w:rPr>
          <w:color w:val="000000"/>
          <w:sz w:val="22"/>
          <w:szCs w:val="22"/>
        </w:rPr>
        <w:t xml:space="preserve">In this regard, while we welcome the resuming of country reviews since September 2021 and </w:t>
      </w:r>
      <w:r w:rsidR="00BD5604" w:rsidRPr="004F38BA">
        <w:rPr>
          <w:color w:val="000000"/>
          <w:sz w:val="22"/>
          <w:szCs w:val="22"/>
        </w:rPr>
        <w:t xml:space="preserve">the fact </w:t>
      </w:r>
      <w:r w:rsidRPr="004F38BA">
        <w:rPr>
          <w:color w:val="000000"/>
          <w:sz w:val="22"/>
          <w:szCs w:val="22"/>
        </w:rPr>
        <w:t>that the Committees have been holding the majority of their sessions in person</w:t>
      </w:r>
      <w:r w:rsidR="00571395" w:rsidRPr="004F38BA">
        <w:rPr>
          <w:color w:val="000000"/>
          <w:sz w:val="22"/>
          <w:szCs w:val="22"/>
        </w:rPr>
        <w:t xml:space="preserve"> since then</w:t>
      </w:r>
      <w:r w:rsidRPr="004F38BA">
        <w:rPr>
          <w:color w:val="000000"/>
          <w:sz w:val="22"/>
          <w:szCs w:val="22"/>
        </w:rPr>
        <w:t>, we continue to be concerned by the backlog of country reviews</w:t>
      </w:r>
      <w:r w:rsidR="003912CA" w:rsidRPr="00A26006">
        <w:rPr>
          <w:color w:val="000000"/>
          <w:sz w:val="22"/>
          <w:szCs w:val="22"/>
        </w:rPr>
        <w:t xml:space="preserve">. We </w:t>
      </w:r>
      <w:r w:rsidR="003912CA" w:rsidRPr="004F38BA">
        <w:rPr>
          <w:color w:val="000000"/>
          <w:sz w:val="22"/>
          <w:szCs w:val="22"/>
        </w:rPr>
        <w:t>are also equally concerned by</w:t>
      </w:r>
      <w:r w:rsidR="006F62F0" w:rsidRPr="004F38BA">
        <w:rPr>
          <w:color w:val="000000"/>
          <w:sz w:val="22"/>
          <w:szCs w:val="22"/>
        </w:rPr>
        <w:t xml:space="preserve"> the </w:t>
      </w:r>
      <w:r w:rsidR="006C64CB" w:rsidRPr="004F38BA">
        <w:rPr>
          <w:color w:val="000000"/>
          <w:sz w:val="22"/>
          <w:szCs w:val="22"/>
        </w:rPr>
        <w:t xml:space="preserve">fact that the States have to express their acceptance </w:t>
      </w:r>
      <w:r w:rsidR="00E8602F" w:rsidRPr="004F38BA">
        <w:rPr>
          <w:color w:val="000000"/>
          <w:sz w:val="22"/>
          <w:szCs w:val="22"/>
        </w:rPr>
        <w:t>before being reviewed</w:t>
      </w:r>
      <w:r w:rsidR="006F62F0" w:rsidRPr="004F38BA">
        <w:rPr>
          <w:color w:val="000000"/>
          <w:sz w:val="22"/>
          <w:szCs w:val="22"/>
        </w:rPr>
        <w:t xml:space="preserve"> and</w:t>
      </w:r>
      <w:r w:rsidR="003912CA" w:rsidRPr="004F38BA">
        <w:rPr>
          <w:color w:val="000000"/>
          <w:sz w:val="22"/>
          <w:szCs w:val="22"/>
        </w:rPr>
        <w:t xml:space="preserve"> that</w:t>
      </w:r>
      <w:r w:rsidR="006F62F0" w:rsidRPr="004F38BA">
        <w:rPr>
          <w:color w:val="000000"/>
          <w:sz w:val="22"/>
          <w:szCs w:val="22"/>
        </w:rPr>
        <w:t xml:space="preserve"> their review is not automatically based on the agenda</w:t>
      </w:r>
      <w:r w:rsidRPr="004F38BA">
        <w:rPr>
          <w:color w:val="000000"/>
          <w:sz w:val="22"/>
          <w:szCs w:val="22"/>
        </w:rPr>
        <w:t xml:space="preserve">, as well as the last minute changes </w:t>
      </w:r>
      <w:r w:rsidR="00571395" w:rsidRPr="004F38BA">
        <w:rPr>
          <w:color w:val="000000"/>
          <w:sz w:val="22"/>
          <w:szCs w:val="22"/>
        </w:rPr>
        <w:t xml:space="preserve">in the agenda </w:t>
      </w:r>
      <w:r w:rsidRPr="004F38BA">
        <w:rPr>
          <w:color w:val="000000"/>
          <w:sz w:val="22"/>
          <w:szCs w:val="22"/>
        </w:rPr>
        <w:t>of the reviews that have been occurrin</w:t>
      </w:r>
      <w:r w:rsidR="003912CA" w:rsidRPr="004F38BA">
        <w:rPr>
          <w:color w:val="000000"/>
          <w:sz w:val="22"/>
          <w:szCs w:val="22"/>
        </w:rPr>
        <w:t xml:space="preserve">g. These elements raise concerns around accountability of States to respect their </w:t>
      </w:r>
      <w:r w:rsidR="003912CA" w:rsidRPr="004F38BA">
        <w:rPr>
          <w:color w:val="000000"/>
          <w:sz w:val="22"/>
          <w:szCs w:val="22"/>
        </w:rPr>
        <w:lastRenderedPageBreak/>
        <w:t>commitments vis-à-vis the Treaty Body system. Last minute changes also hinder civil society organizations’ (CSOs) ability to meaningfully participate in sessions: CSOs</w:t>
      </w:r>
      <w:r w:rsidRPr="004F38BA">
        <w:rPr>
          <w:color w:val="000000"/>
          <w:sz w:val="22"/>
          <w:szCs w:val="22"/>
        </w:rPr>
        <w:t xml:space="preserve"> are doing </w:t>
      </w:r>
    </w:p>
    <w:p w14:paraId="24674D64" w14:textId="6A74CDB7" w:rsidR="008C2027" w:rsidRPr="004F38BA" w:rsidRDefault="008C2027">
      <w:pPr>
        <w:rPr>
          <w:color w:val="000000"/>
          <w:sz w:val="22"/>
          <w:szCs w:val="22"/>
        </w:rPr>
      </w:pPr>
      <w:r w:rsidRPr="004F38BA">
        <w:rPr>
          <w:color w:val="000000"/>
          <w:sz w:val="22"/>
          <w:szCs w:val="22"/>
        </w:rPr>
        <w:t>their best to comply with the deadlines</w:t>
      </w:r>
      <w:r w:rsidR="003912CA" w:rsidRPr="004F38BA">
        <w:rPr>
          <w:color w:val="000000"/>
          <w:sz w:val="22"/>
          <w:szCs w:val="22"/>
        </w:rPr>
        <w:t>,</w:t>
      </w:r>
      <w:r w:rsidRPr="004F38BA">
        <w:rPr>
          <w:color w:val="000000"/>
          <w:sz w:val="22"/>
          <w:szCs w:val="22"/>
        </w:rPr>
        <w:t xml:space="preserve"> to share up</w:t>
      </w:r>
      <w:r w:rsidR="006C3F9E" w:rsidRPr="004F38BA">
        <w:rPr>
          <w:color w:val="000000"/>
          <w:sz w:val="22"/>
          <w:szCs w:val="22"/>
        </w:rPr>
        <w:t>-to-</w:t>
      </w:r>
      <w:r w:rsidRPr="004F38BA">
        <w:rPr>
          <w:color w:val="000000"/>
          <w:sz w:val="22"/>
          <w:szCs w:val="22"/>
        </w:rPr>
        <w:t>date and timely information and are coordinating their work to engage with the Committees prior to the country reviews.</w:t>
      </w:r>
    </w:p>
    <w:p w14:paraId="2B48453B" w14:textId="0E94B9F5" w:rsidR="00BD5604" w:rsidRPr="004F38BA" w:rsidRDefault="00BD5604">
      <w:pPr>
        <w:rPr>
          <w:color w:val="000000"/>
          <w:sz w:val="22"/>
          <w:szCs w:val="22"/>
        </w:rPr>
      </w:pPr>
    </w:p>
    <w:p w14:paraId="74FC9981" w14:textId="2A28754D" w:rsidR="00BD5604" w:rsidRPr="004F38BA" w:rsidRDefault="001C71DF" w:rsidP="001C71DF">
      <w:pPr>
        <w:rPr>
          <w:color w:val="000000"/>
          <w:sz w:val="22"/>
          <w:szCs w:val="22"/>
        </w:rPr>
      </w:pPr>
      <w:r w:rsidRPr="004F38BA">
        <w:rPr>
          <w:color w:val="000000"/>
          <w:sz w:val="22"/>
          <w:szCs w:val="22"/>
        </w:rPr>
        <w:t xml:space="preserve">We remain concerned about how the Committees envisage to address this backlog and the full </w:t>
      </w:r>
      <w:r w:rsidR="003C6C1B">
        <w:rPr>
          <w:color w:val="000000"/>
          <w:sz w:val="22"/>
          <w:szCs w:val="22"/>
        </w:rPr>
        <w:t>participation</w:t>
      </w:r>
      <w:r w:rsidRPr="004F38BA">
        <w:rPr>
          <w:color w:val="000000"/>
          <w:sz w:val="22"/>
          <w:szCs w:val="22"/>
        </w:rPr>
        <w:t xml:space="preserve"> of </w:t>
      </w:r>
      <w:r w:rsidR="006C3F9E" w:rsidRPr="004F38BA">
        <w:rPr>
          <w:color w:val="000000"/>
          <w:sz w:val="22"/>
          <w:szCs w:val="22"/>
        </w:rPr>
        <w:t xml:space="preserve">CSOs </w:t>
      </w:r>
      <w:r w:rsidRPr="004F38BA">
        <w:rPr>
          <w:color w:val="000000"/>
          <w:sz w:val="22"/>
          <w:szCs w:val="22"/>
        </w:rPr>
        <w:t>in the process</w:t>
      </w:r>
      <w:r w:rsidR="007B0DF8" w:rsidRPr="004F38BA">
        <w:rPr>
          <w:color w:val="000000"/>
          <w:sz w:val="22"/>
          <w:szCs w:val="22"/>
        </w:rPr>
        <w:t xml:space="preserve"> (including </w:t>
      </w:r>
      <w:r w:rsidR="006C3F9E" w:rsidRPr="004F38BA">
        <w:rPr>
          <w:color w:val="000000"/>
          <w:sz w:val="22"/>
          <w:szCs w:val="22"/>
        </w:rPr>
        <w:t xml:space="preserve">CSOs </w:t>
      </w:r>
      <w:r w:rsidR="007B0DF8" w:rsidRPr="004F38BA">
        <w:rPr>
          <w:color w:val="000000"/>
          <w:sz w:val="22"/>
          <w:szCs w:val="22"/>
        </w:rPr>
        <w:t>with limited access to internet)</w:t>
      </w:r>
      <w:r w:rsidRPr="004F38BA">
        <w:rPr>
          <w:color w:val="000000"/>
          <w:sz w:val="22"/>
          <w:szCs w:val="22"/>
        </w:rPr>
        <w:t>, including in terms of information and organization</w:t>
      </w:r>
      <w:r w:rsidR="00C71A59">
        <w:rPr>
          <w:color w:val="000000"/>
          <w:sz w:val="22"/>
          <w:szCs w:val="22"/>
        </w:rPr>
        <w:t xml:space="preserve"> prior to country reviews</w:t>
      </w:r>
      <w:r w:rsidRPr="004F38BA">
        <w:rPr>
          <w:color w:val="000000"/>
          <w:sz w:val="22"/>
          <w:szCs w:val="22"/>
        </w:rPr>
        <w:t xml:space="preserve">, </w:t>
      </w:r>
      <w:r w:rsidR="006C3F9E" w:rsidRPr="004F38BA">
        <w:rPr>
          <w:color w:val="000000"/>
          <w:sz w:val="22"/>
          <w:szCs w:val="22"/>
        </w:rPr>
        <w:t xml:space="preserve">so that they can continue to </w:t>
      </w:r>
      <w:r w:rsidRPr="004F38BA">
        <w:rPr>
          <w:color w:val="000000"/>
          <w:sz w:val="22"/>
          <w:szCs w:val="22"/>
        </w:rPr>
        <w:t>provide the Committee with qualitative information in a timely manner</w:t>
      </w:r>
      <w:r w:rsidR="007B0DF8" w:rsidRPr="004F38BA">
        <w:rPr>
          <w:color w:val="000000"/>
          <w:sz w:val="22"/>
          <w:szCs w:val="22"/>
        </w:rPr>
        <w:t>.</w:t>
      </w:r>
    </w:p>
    <w:p w14:paraId="2ED9A8DB" w14:textId="6F2FB126" w:rsidR="00E8602F" w:rsidRPr="004F38BA" w:rsidRDefault="00E8602F" w:rsidP="001C71DF">
      <w:pPr>
        <w:rPr>
          <w:color w:val="000000"/>
          <w:sz w:val="22"/>
          <w:szCs w:val="22"/>
        </w:rPr>
      </w:pPr>
    </w:p>
    <w:p w14:paraId="13ABE59C" w14:textId="6263C668" w:rsidR="00E8602F" w:rsidRPr="004F38BA" w:rsidRDefault="00E8602F" w:rsidP="001C71DF">
      <w:pPr>
        <w:rPr>
          <w:sz w:val="22"/>
          <w:szCs w:val="22"/>
        </w:rPr>
      </w:pPr>
      <w:r w:rsidRPr="004F38BA">
        <w:rPr>
          <w:color w:val="000000"/>
          <w:sz w:val="22"/>
          <w:szCs w:val="22"/>
        </w:rPr>
        <w:t xml:space="preserve">In addition, as </w:t>
      </w:r>
      <w:r w:rsidR="006C3F9E" w:rsidRPr="004F38BA">
        <w:rPr>
          <w:color w:val="000000"/>
          <w:sz w:val="22"/>
          <w:szCs w:val="22"/>
        </w:rPr>
        <w:t>CSOs</w:t>
      </w:r>
      <w:r w:rsidR="00605F8C">
        <w:rPr>
          <w:color w:val="000000"/>
          <w:sz w:val="22"/>
          <w:szCs w:val="22"/>
        </w:rPr>
        <w:t xml:space="preserve"> have</w:t>
      </w:r>
      <w:r w:rsidR="006C3F9E" w:rsidRPr="004F38BA">
        <w:rPr>
          <w:color w:val="000000"/>
          <w:sz w:val="22"/>
          <w:szCs w:val="22"/>
        </w:rPr>
        <w:t xml:space="preserve"> </w:t>
      </w:r>
      <w:r w:rsidRPr="004F38BA">
        <w:rPr>
          <w:color w:val="000000"/>
          <w:sz w:val="22"/>
          <w:szCs w:val="22"/>
        </w:rPr>
        <w:t xml:space="preserve">indicated </w:t>
      </w:r>
      <w:r w:rsidR="00605F8C">
        <w:rPr>
          <w:color w:val="000000"/>
          <w:sz w:val="22"/>
          <w:szCs w:val="22"/>
        </w:rPr>
        <w:t xml:space="preserve">that </w:t>
      </w:r>
      <w:r w:rsidRPr="004F38BA">
        <w:rPr>
          <w:color w:val="000000"/>
          <w:sz w:val="22"/>
          <w:szCs w:val="22"/>
        </w:rPr>
        <w:t>“</w:t>
      </w:r>
      <w:r w:rsidRPr="00261C3B">
        <w:rPr>
          <w:i/>
          <w:iCs/>
          <w:color w:val="000000"/>
          <w:sz w:val="22"/>
          <w:szCs w:val="22"/>
        </w:rPr>
        <w:t>digital technologies should be used as a tool, selectively and where appropriate, to increase the effectiveness, efficiency and flexibility of the Treaty Bodies”</w:t>
      </w:r>
      <w:r w:rsidRPr="004F38BA">
        <w:rPr>
          <w:color w:val="000000"/>
          <w:sz w:val="22"/>
          <w:szCs w:val="22"/>
        </w:rPr>
        <w:t>.</w:t>
      </w:r>
      <w:r w:rsidRPr="004F38BA">
        <w:rPr>
          <w:rStyle w:val="FootnoteReference"/>
          <w:color w:val="000000"/>
          <w:sz w:val="22"/>
          <w:szCs w:val="22"/>
        </w:rPr>
        <w:footnoteReference w:id="3"/>
      </w:r>
      <w:r w:rsidRPr="004F38BA">
        <w:rPr>
          <w:color w:val="000000"/>
          <w:sz w:val="22"/>
          <w:szCs w:val="22"/>
        </w:rPr>
        <w:t xml:space="preserve"> We w</w:t>
      </w:r>
      <w:r w:rsidR="003D00D7" w:rsidRPr="004F38BA">
        <w:rPr>
          <w:color w:val="000000"/>
          <w:sz w:val="22"/>
          <w:szCs w:val="22"/>
        </w:rPr>
        <w:t>ould like to also reiterate that</w:t>
      </w:r>
      <w:r w:rsidR="003D00D7" w:rsidRPr="004F38BA">
        <w:rPr>
          <w:sz w:val="22"/>
          <w:szCs w:val="22"/>
        </w:rPr>
        <w:t xml:space="preserve"> “</w:t>
      </w:r>
      <w:r w:rsidR="003D00D7" w:rsidRPr="00261C3B">
        <w:rPr>
          <w:i/>
          <w:iCs/>
          <w:sz w:val="22"/>
          <w:szCs w:val="22"/>
        </w:rPr>
        <w:t>predictability, transparency and inclusivity, as well as security, privacy, confidentiality and accessibility, including adequate interpretation, are also essential conditions to enable the full participation of civil society</w:t>
      </w:r>
      <w:r w:rsidR="003D00D7" w:rsidRPr="004F38BA">
        <w:rPr>
          <w:sz w:val="22"/>
          <w:szCs w:val="22"/>
        </w:rPr>
        <w:t>”.</w:t>
      </w:r>
      <w:r w:rsidR="0025650B" w:rsidRPr="004F38BA">
        <w:rPr>
          <w:rStyle w:val="FootnoteReference"/>
          <w:color w:val="000000"/>
          <w:sz w:val="22"/>
          <w:szCs w:val="22"/>
        </w:rPr>
        <w:footnoteReference w:id="4"/>
      </w:r>
    </w:p>
    <w:p w14:paraId="6A41CC7D" w14:textId="794ED476" w:rsidR="003F32FB" w:rsidRPr="004F38BA" w:rsidRDefault="003F32FB" w:rsidP="001C71DF">
      <w:pPr>
        <w:rPr>
          <w:sz w:val="22"/>
          <w:szCs w:val="22"/>
        </w:rPr>
      </w:pPr>
    </w:p>
    <w:p w14:paraId="7834CA67" w14:textId="2381C689" w:rsidR="001C0FB2" w:rsidRPr="004F38BA" w:rsidRDefault="003F32FB" w:rsidP="001C71DF">
      <w:pPr>
        <w:rPr>
          <w:sz w:val="22"/>
          <w:szCs w:val="22"/>
        </w:rPr>
      </w:pPr>
      <w:r w:rsidRPr="004F38BA">
        <w:rPr>
          <w:sz w:val="22"/>
          <w:szCs w:val="22"/>
        </w:rPr>
        <w:t xml:space="preserve">Finally, we consider important that </w:t>
      </w:r>
      <w:r w:rsidR="006C3F9E" w:rsidRPr="004F38BA">
        <w:rPr>
          <w:sz w:val="22"/>
          <w:szCs w:val="22"/>
        </w:rPr>
        <w:t xml:space="preserve">CSOs </w:t>
      </w:r>
      <w:r w:rsidRPr="004F38BA">
        <w:rPr>
          <w:sz w:val="22"/>
          <w:szCs w:val="22"/>
        </w:rPr>
        <w:t xml:space="preserve">s have the possibility to formally engage with the members of all </w:t>
      </w:r>
      <w:r w:rsidR="00002D73">
        <w:rPr>
          <w:sz w:val="22"/>
          <w:szCs w:val="22"/>
        </w:rPr>
        <w:t xml:space="preserve">the </w:t>
      </w:r>
      <w:r w:rsidRPr="004F38BA">
        <w:rPr>
          <w:sz w:val="22"/>
          <w:szCs w:val="22"/>
        </w:rPr>
        <w:t xml:space="preserve">Committees at </w:t>
      </w:r>
      <w:r w:rsidR="0012010E">
        <w:rPr>
          <w:sz w:val="22"/>
          <w:szCs w:val="22"/>
        </w:rPr>
        <w:t xml:space="preserve">all the </w:t>
      </w:r>
      <w:r w:rsidRPr="004F38BA">
        <w:rPr>
          <w:sz w:val="22"/>
          <w:szCs w:val="22"/>
        </w:rPr>
        <w:t xml:space="preserve">different stages of </w:t>
      </w:r>
      <w:r w:rsidR="00DF6F62">
        <w:rPr>
          <w:sz w:val="22"/>
          <w:szCs w:val="22"/>
        </w:rPr>
        <w:t>state review processes</w:t>
      </w:r>
      <w:r w:rsidR="00C71A59">
        <w:rPr>
          <w:sz w:val="22"/>
          <w:szCs w:val="22"/>
        </w:rPr>
        <w:t>,</w:t>
      </w:r>
      <w:r w:rsidRPr="004F38BA">
        <w:rPr>
          <w:sz w:val="22"/>
          <w:szCs w:val="22"/>
        </w:rPr>
        <w:t xml:space="preserve"> including</w:t>
      </w:r>
      <w:r w:rsidR="006C3F9E" w:rsidRPr="004F38BA">
        <w:rPr>
          <w:sz w:val="22"/>
          <w:szCs w:val="22"/>
        </w:rPr>
        <w:t xml:space="preserve"> during</w:t>
      </w:r>
      <w:r w:rsidRPr="004F38BA">
        <w:rPr>
          <w:sz w:val="22"/>
          <w:szCs w:val="22"/>
        </w:rPr>
        <w:t xml:space="preserve"> the L</w:t>
      </w:r>
      <w:r w:rsidR="00261C3B">
        <w:rPr>
          <w:sz w:val="22"/>
          <w:szCs w:val="22"/>
        </w:rPr>
        <w:t>ist of Issues</w:t>
      </w:r>
      <w:r w:rsidRPr="004F38BA">
        <w:rPr>
          <w:sz w:val="22"/>
          <w:szCs w:val="22"/>
        </w:rPr>
        <w:t>, L</w:t>
      </w:r>
      <w:r w:rsidR="00261C3B">
        <w:rPr>
          <w:sz w:val="22"/>
          <w:szCs w:val="22"/>
        </w:rPr>
        <w:t>ist of Issues Prior to Reporting</w:t>
      </w:r>
      <w:r w:rsidRPr="004F38BA">
        <w:rPr>
          <w:sz w:val="22"/>
          <w:szCs w:val="22"/>
        </w:rPr>
        <w:t xml:space="preserve"> and the follow-up review, and not only during </w:t>
      </w:r>
      <w:r w:rsidR="0012010E">
        <w:rPr>
          <w:sz w:val="22"/>
          <w:szCs w:val="22"/>
        </w:rPr>
        <w:t>the</w:t>
      </w:r>
      <w:r w:rsidRPr="004F38BA">
        <w:rPr>
          <w:sz w:val="22"/>
          <w:szCs w:val="22"/>
        </w:rPr>
        <w:t xml:space="preserve"> country review</w:t>
      </w:r>
      <w:r w:rsidR="00C71A59">
        <w:rPr>
          <w:sz w:val="22"/>
          <w:szCs w:val="22"/>
        </w:rPr>
        <w:t xml:space="preserve">. </w:t>
      </w:r>
      <w:r w:rsidR="00776FDC">
        <w:rPr>
          <w:sz w:val="22"/>
          <w:szCs w:val="22"/>
        </w:rPr>
        <w:t>W</w:t>
      </w:r>
      <w:r w:rsidR="006D20CE" w:rsidRPr="004F38BA">
        <w:rPr>
          <w:sz w:val="22"/>
          <w:szCs w:val="22"/>
        </w:rPr>
        <w:t xml:space="preserve">e </w:t>
      </w:r>
      <w:r w:rsidR="00776FDC">
        <w:rPr>
          <w:sz w:val="22"/>
          <w:szCs w:val="22"/>
        </w:rPr>
        <w:t xml:space="preserve">also </w:t>
      </w:r>
      <w:r w:rsidR="00746AA2">
        <w:rPr>
          <w:sz w:val="22"/>
          <w:szCs w:val="22"/>
        </w:rPr>
        <w:t xml:space="preserve">support </w:t>
      </w:r>
      <w:r w:rsidR="006D20CE" w:rsidRPr="004F38BA">
        <w:rPr>
          <w:sz w:val="22"/>
          <w:szCs w:val="22"/>
        </w:rPr>
        <w:t>the alignment of working methods and methodologies for engagement with stakeholders and follow-up to recommendations</w:t>
      </w:r>
      <w:r w:rsidR="001C0FB2">
        <w:rPr>
          <w:sz w:val="22"/>
          <w:szCs w:val="22"/>
        </w:rPr>
        <w:t xml:space="preserve">, </w:t>
      </w:r>
      <w:r w:rsidR="00B4700E">
        <w:rPr>
          <w:sz w:val="22"/>
          <w:szCs w:val="22"/>
        </w:rPr>
        <w:t>among the different Committees, and the strengthening of procedural and jurisprudential coherence</w:t>
      </w:r>
      <w:r w:rsidR="008F3AAD">
        <w:rPr>
          <w:sz w:val="22"/>
          <w:szCs w:val="22"/>
        </w:rPr>
        <w:t>, in addition to a mutual reinforcement, building on interdependence and indivisibility of rights.</w:t>
      </w:r>
      <w:r w:rsidR="00F30741">
        <w:rPr>
          <w:rStyle w:val="FootnoteReference"/>
          <w:sz w:val="22"/>
          <w:szCs w:val="22"/>
        </w:rPr>
        <w:footnoteReference w:id="5"/>
      </w:r>
    </w:p>
    <w:p w14:paraId="7F5B9202" w14:textId="76FD6589" w:rsidR="002F2C36" w:rsidRPr="004F38BA" w:rsidRDefault="002F2C36" w:rsidP="001C71DF">
      <w:pPr>
        <w:rPr>
          <w:sz w:val="22"/>
          <w:szCs w:val="22"/>
        </w:rPr>
      </w:pPr>
    </w:p>
    <w:p w14:paraId="21EBD89F" w14:textId="75273FFA" w:rsidR="002F2C36" w:rsidRPr="004F38BA" w:rsidRDefault="002F2C36" w:rsidP="001C71DF">
      <w:pPr>
        <w:rPr>
          <w:sz w:val="22"/>
          <w:szCs w:val="22"/>
        </w:rPr>
      </w:pPr>
      <w:r w:rsidRPr="004F38BA">
        <w:rPr>
          <w:b/>
          <w:bCs/>
          <w:sz w:val="22"/>
          <w:szCs w:val="22"/>
        </w:rPr>
        <w:t>Individual communications</w:t>
      </w:r>
    </w:p>
    <w:p w14:paraId="7DCE59CB" w14:textId="6F72A4A3" w:rsidR="002F2C36" w:rsidRPr="004F38BA" w:rsidRDefault="00193756" w:rsidP="001C71DF">
      <w:pPr>
        <w:rPr>
          <w:sz w:val="22"/>
          <w:szCs w:val="22"/>
        </w:rPr>
      </w:pPr>
      <w:r w:rsidRPr="004F38BA">
        <w:rPr>
          <w:sz w:val="22"/>
          <w:szCs w:val="22"/>
        </w:rPr>
        <w:t>We welcome the prioritization of individual communications that was made by different Committees when the number of country reviews was decreased</w:t>
      </w:r>
      <w:r w:rsidR="00856074" w:rsidRPr="004F38BA">
        <w:rPr>
          <w:sz w:val="22"/>
          <w:szCs w:val="22"/>
        </w:rPr>
        <w:t xml:space="preserve"> during </w:t>
      </w:r>
      <w:r w:rsidR="006C3F9E" w:rsidRPr="004F38BA">
        <w:rPr>
          <w:sz w:val="22"/>
          <w:szCs w:val="22"/>
        </w:rPr>
        <w:t>online</w:t>
      </w:r>
      <w:r w:rsidR="00856074" w:rsidRPr="004F38BA">
        <w:rPr>
          <w:sz w:val="22"/>
          <w:szCs w:val="22"/>
        </w:rPr>
        <w:t xml:space="preserve"> sessions</w:t>
      </w:r>
      <w:r w:rsidR="006C3F9E" w:rsidRPr="004F38BA">
        <w:rPr>
          <w:sz w:val="22"/>
          <w:szCs w:val="22"/>
        </w:rPr>
        <w:t>.</w:t>
      </w:r>
    </w:p>
    <w:p w14:paraId="6A0F1198" w14:textId="5F22DC11" w:rsidR="008C2B71" w:rsidRPr="004F38BA" w:rsidRDefault="008C2B71" w:rsidP="001C71DF">
      <w:pPr>
        <w:rPr>
          <w:sz w:val="22"/>
          <w:szCs w:val="22"/>
        </w:rPr>
      </w:pPr>
    </w:p>
    <w:p w14:paraId="57616EF0" w14:textId="43D78492" w:rsidR="008C2B71" w:rsidRPr="004F38BA" w:rsidRDefault="008C2B71" w:rsidP="001C71DF">
      <w:pPr>
        <w:rPr>
          <w:sz w:val="22"/>
          <w:szCs w:val="22"/>
        </w:rPr>
      </w:pPr>
      <w:r w:rsidRPr="004F38BA">
        <w:rPr>
          <w:sz w:val="22"/>
          <w:szCs w:val="22"/>
        </w:rPr>
        <w:t>We would like to reiterate the importance t</w:t>
      </w:r>
      <w:r w:rsidR="006976AD" w:rsidRPr="004F38BA">
        <w:rPr>
          <w:sz w:val="22"/>
          <w:szCs w:val="22"/>
        </w:rPr>
        <w:t>hat OHCHR continues working on setting up a modern case management system for the communications received, with adequate funding.</w:t>
      </w:r>
    </w:p>
    <w:p w14:paraId="6852D437" w14:textId="0F2EC956" w:rsidR="002E7C8E" w:rsidRPr="004F38BA" w:rsidRDefault="002E7C8E" w:rsidP="002E7C8E">
      <w:pPr>
        <w:rPr>
          <w:sz w:val="22"/>
          <w:szCs w:val="22"/>
        </w:rPr>
      </w:pPr>
    </w:p>
    <w:p w14:paraId="10EE9CD8" w14:textId="32466FFE" w:rsidR="002E7C8E" w:rsidRPr="004F38BA" w:rsidRDefault="002E7C8E" w:rsidP="002E7C8E">
      <w:pPr>
        <w:rPr>
          <w:sz w:val="22"/>
          <w:szCs w:val="22"/>
        </w:rPr>
      </w:pPr>
      <w:r w:rsidRPr="004F38BA">
        <w:rPr>
          <w:sz w:val="22"/>
          <w:szCs w:val="22"/>
        </w:rPr>
        <w:t xml:space="preserve">In relation to third-party </w:t>
      </w:r>
      <w:r w:rsidR="00275F82" w:rsidRPr="004F38BA">
        <w:rPr>
          <w:sz w:val="22"/>
          <w:szCs w:val="22"/>
        </w:rPr>
        <w:t xml:space="preserve">submissions, we consider important that enough information should be provided on the relevant Committee’s website on the cases that are going to be reviewed by the Committee, </w:t>
      </w:r>
      <w:r w:rsidR="004A6D1F">
        <w:rPr>
          <w:sz w:val="22"/>
          <w:szCs w:val="22"/>
        </w:rPr>
        <w:t>so that it would</w:t>
      </w:r>
      <w:r w:rsidR="00275F82" w:rsidRPr="004F38BA">
        <w:rPr>
          <w:sz w:val="22"/>
          <w:szCs w:val="22"/>
        </w:rPr>
        <w:t xml:space="preserve"> make it possible for third party intervenors to file requests to intervene. </w:t>
      </w:r>
      <w:r w:rsidR="00B922DE">
        <w:rPr>
          <w:sz w:val="22"/>
          <w:szCs w:val="22"/>
        </w:rPr>
        <w:t>T</w:t>
      </w:r>
      <w:r w:rsidR="00275F82" w:rsidRPr="004F38BA">
        <w:rPr>
          <w:sz w:val="22"/>
          <w:szCs w:val="22"/>
        </w:rPr>
        <w:t xml:space="preserve">hird party intervenors often play an important role in helping develop standards, so enough detailed information on the case should be made public so as to enable a potential intervenor to assess whether to file a request. It is also important that the rules </w:t>
      </w:r>
      <w:r w:rsidR="00B62977">
        <w:rPr>
          <w:sz w:val="22"/>
          <w:szCs w:val="22"/>
        </w:rPr>
        <w:t xml:space="preserve">on third party interventions by the Committees </w:t>
      </w:r>
      <w:r w:rsidR="00275F82" w:rsidRPr="004F38BA">
        <w:rPr>
          <w:sz w:val="22"/>
          <w:szCs w:val="22"/>
        </w:rPr>
        <w:t xml:space="preserve">clearly state at which stage in the process and for what length of time </w:t>
      </w:r>
      <w:r w:rsidR="006D7964">
        <w:rPr>
          <w:sz w:val="22"/>
          <w:szCs w:val="22"/>
        </w:rPr>
        <w:t xml:space="preserve">the </w:t>
      </w:r>
      <w:r w:rsidR="00275F82" w:rsidRPr="004F38BA">
        <w:rPr>
          <w:sz w:val="22"/>
          <w:szCs w:val="22"/>
        </w:rPr>
        <w:t>Committee will accept requests to submit</w:t>
      </w:r>
      <w:r w:rsidR="00370096">
        <w:rPr>
          <w:sz w:val="22"/>
          <w:szCs w:val="22"/>
        </w:rPr>
        <w:t xml:space="preserve"> third party interventions</w:t>
      </w:r>
      <w:r w:rsidR="00275F82" w:rsidRPr="004F38BA">
        <w:rPr>
          <w:sz w:val="22"/>
          <w:szCs w:val="22"/>
        </w:rPr>
        <w:t>.</w:t>
      </w:r>
    </w:p>
    <w:p w14:paraId="03F54227" w14:textId="77777777" w:rsidR="00985F5F" w:rsidRPr="00B82E55" w:rsidRDefault="00985F5F" w:rsidP="00B82E55">
      <w:pPr>
        <w:rPr>
          <w:sz w:val="22"/>
          <w:szCs w:val="22"/>
          <w:lang w:val="en-US"/>
        </w:rPr>
      </w:pPr>
    </w:p>
    <w:p w14:paraId="6A64DA18" w14:textId="6296938A" w:rsidR="00D549EE" w:rsidRPr="00B82E55" w:rsidRDefault="00985F5F">
      <w:pPr>
        <w:rPr>
          <w:b/>
          <w:bCs/>
          <w:sz w:val="22"/>
          <w:szCs w:val="22"/>
          <w:lang w:val="en-US"/>
        </w:rPr>
      </w:pPr>
      <w:r w:rsidRPr="00B82E55">
        <w:rPr>
          <w:b/>
          <w:bCs/>
          <w:sz w:val="22"/>
          <w:szCs w:val="22"/>
          <w:lang w:val="en-US"/>
        </w:rPr>
        <w:t xml:space="preserve">Increased reporting </w:t>
      </w:r>
    </w:p>
    <w:p w14:paraId="45A7005B" w14:textId="0A5A366C" w:rsidR="00D549EE" w:rsidRPr="00B82E55" w:rsidRDefault="00D549EE">
      <w:pPr>
        <w:rPr>
          <w:sz w:val="22"/>
          <w:szCs w:val="22"/>
          <w:lang w:val="en-US"/>
        </w:rPr>
      </w:pPr>
      <w:r w:rsidRPr="00B82E55">
        <w:rPr>
          <w:sz w:val="22"/>
          <w:szCs w:val="22"/>
          <w:lang w:val="en-US"/>
        </w:rPr>
        <w:t>The increased reporting by State members and the backlog due to the COVID-19 pandemic have affected timely review</w:t>
      </w:r>
      <w:r w:rsidR="00B062B4">
        <w:rPr>
          <w:sz w:val="22"/>
          <w:szCs w:val="22"/>
          <w:lang w:val="en-US"/>
        </w:rPr>
        <w:t>s</w:t>
      </w:r>
      <w:r w:rsidRPr="00B82E55">
        <w:rPr>
          <w:sz w:val="22"/>
          <w:szCs w:val="22"/>
          <w:lang w:val="en-US"/>
        </w:rPr>
        <w:t xml:space="preserve"> of the State reports by the Committees</w:t>
      </w:r>
      <w:r w:rsidR="008756A8">
        <w:rPr>
          <w:sz w:val="22"/>
          <w:szCs w:val="22"/>
          <w:lang w:val="en-US"/>
        </w:rPr>
        <w:t xml:space="preserve">. The </w:t>
      </w:r>
      <w:r w:rsidRPr="00B82E55">
        <w:rPr>
          <w:sz w:val="22"/>
          <w:szCs w:val="22"/>
          <w:lang w:val="en-US"/>
        </w:rPr>
        <w:t>Committees should continue evaluating ways to address this backlog,</w:t>
      </w:r>
      <w:r w:rsidR="00C71A59">
        <w:rPr>
          <w:sz w:val="22"/>
          <w:szCs w:val="22"/>
          <w:lang w:val="en-US"/>
        </w:rPr>
        <w:t xml:space="preserve"> taking into consideration</w:t>
      </w:r>
      <w:r w:rsidRPr="00B82E55">
        <w:rPr>
          <w:sz w:val="22"/>
          <w:szCs w:val="22"/>
          <w:lang w:val="en-US"/>
        </w:rPr>
        <w:t xml:space="preserve"> the resources deficits the Treaty Bodies have been experiencing and the failure of Member States to provide the Treaty Bodies with the resources they require to function</w:t>
      </w:r>
      <w:r w:rsidR="000D51BE" w:rsidRPr="00B82E55">
        <w:rPr>
          <w:sz w:val="22"/>
          <w:szCs w:val="22"/>
          <w:lang w:val="en-US"/>
        </w:rPr>
        <w:t>.</w:t>
      </w:r>
      <w:r w:rsidR="000D51BE" w:rsidRPr="00B82E55">
        <w:rPr>
          <w:rStyle w:val="FootnoteReference"/>
          <w:sz w:val="22"/>
          <w:szCs w:val="22"/>
          <w:lang w:val="en-US"/>
        </w:rPr>
        <w:footnoteReference w:id="6"/>
      </w:r>
    </w:p>
    <w:p w14:paraId="7CD5C695" w14:textId="22955F1C" w:rsidR="00B35767" w:rsidRPr="00B82E55" w:rsidRDefault="00B35767">
      <w:pPr>
        <w:rPr>
          <w:b/>
          <w:bCs/>
          <w:sz w:val="22"/>
          <w:szCs w:val="22"/>
          <w:lang w:val="en-US"/>
        </w:rPr>
      </w:pPr>
    </w:p>
    <w:p w14:paraId="4115CC9C" w14:textId="77777777" w:rsidR="00C71A59" w:rsidRDefault="00C71A59">
      <w:pPr>
        <w:spacing w:after="160" w:line="259" w:lineRule="auto"/>
        <w:rPr>
          <w:b/>
          <w:bCs/>
          <w:sz w:val="22"/>
          <w:szCs w:val="22"/>
          <w:lang w:val="en-US"/>
        </w:rPr>
      </w:pPr>
      <w:r>
        <w:rPr>
          <w:b/>
          <w:bCs/>
          <w:sz w:val="22"/>
          <w:szCs w:val="22"/>
          <w:lang w:val="en-US"/>
        </w:rPr>
        <w:br w:type="page"/>
      </w:r>
    </w:p>
    <w:p w14:paraId="3F3F7E83" w14:textId="77777777" w:rsidR="00C71A59" w:rsidRDefault="00C71A59">
      <w:pPr>
        <w:rPr>
          <w:b/>
          <w:bCs/>
          <w:sz w:val="22"/>
          <w:szCs w:val="22"/>
          <w:lang w:val="en-US"/>
        </w:rPr>
      </w:pPr>
    </w:p>
    <w:p w14:paraId="04401DD1" w14:textId="7C57615F" w:rsidR="000B30A0" w:rsidRPr="003422D1" w:rsidRDefault="000B30A0">
      <w:pPr>
        <w:rPr>
          <w:sz w:val="22"/>
          <w:szCs w:val="22"/>
          <w:lang w:val="en-US"/>
        </w:rPr>
      </w:pPr>
      <w:r w:rsidRPr="00B82E55">
        <w:rPr>
          <w:b/>
          <w:bCs/>
          <w:sz w:val="22"/>
          <w:szCs w:val="22"/>
          <w:lang w:val="en-US"/>
        </w:rPr>
        <w:t>Recommendations</w:t>
      </w:r>
    </w:p>
    <w:p w14:paraId="3A70FCBA" w14:textId="3655EB7E" w:rsidR="00B35767" w:rsidRPr="003422D1" w:rsidRDefault="000B30A0">
      <w:pPr>
        <w:rPr>
          <w:sz w:val="22"/>
          <w:szCs w:val="22"/>
          <w:lang w:val="en-US"/>
        </w:rPr>
      </w:pPr>
      <w:r w:rsidRPr="003422D1">
        <w:rPr>
          <w:sz w:val="22"/>
          <w:szCs w:val="22"/>
          <w:lang w:val="en-US"/>
        </w:rPr>
        <w:t>We would like to reiterate some of the recommendations</w:t>
      </w:r>
      <w:r w:rsidR="003A3386" w:rsidRPr="003422D1">
        <w:rPr>
          <w:sz w:val="22"/>
          <w:szCs w:val="22"/>
          <w:lang w:val="en-US"/>
        </w:rPr>
        <w:t xml:space="preserve"> made in the NGO joint submission previously sent</w:t>
      </w:r>
      <w:r w:rsidRPr="003422D1">
        <w:rPr>
          <w:sz w:val="22"/>
          <w:szCs w:val="22"/>
          <w:lang w:val="en-US"/>
        </w:rPr>
        <w:t>, in particular the following:</w:t>
      </w:r>
      <w:r w:rsidRPr="003422D1">
        <w:rPr>
          <w:rStyle w:val="FootnoteReference"/>
          <w:sz w:val="22"/>
          <w:szCs w:val="22"/>
          <w:lang w:val="en-US"/>
        </w:rPr>
        <w:footnoteReference w:id="7"/>
      </w:r>
    </w:p>
    <w:p w14:paraId="4F5C1162" w14:textId="1A13AB5B" w:rsidR="000B30A0" w:rsidRPr="003422D1" w:rsidRDefault="000B30A0">
      <w:pPr>
        <w:rPr>
          <w:sz w:val="22"/>
          <w:szCs w:val="22"/>
          <w:lang w:val="en-US"/>
        </w:rPr>
      </w:pPr>
    </w:p>
    <w:p w14:paraId="7FA171DC" w14:textId="10C36880" w:rsidR="000B30A0" w:rsidRPr="003422D1" w:rsidRDefault="000B30A0">
      <w:pPr>
        <w:rPr>
          <w:sz w:val="22"/>
          <w:szCs w:val="22"/>
          <w:lang w:val="en-US"/>
        </w:rPr>
      </w:pPr>
      <w:r w:rsidRPr="003422D1">
        <w:rPr>
          <w:sz w:val="22"/>
          <w:szCs w:val="22"/>
          <w:lang w:val="en-US"/>
        </w:rPr>
        <w:t>To Member States:</w:t>
      </w:r>
    </w:p>
    <w:p w14:paraId="06AAF548" w14:textId="6EE097EC" w:rsidR="00D24F78" w:rsidRPr="003422D1" w:rsidRDefault="000B30A0" w:rsidP="003F353B">
      <w:pPr>
        <w:pStyle w:val="ListParagraph"/>
        <w:numPr>
          <w:ilvl w:val="0"/>
          <w:numId w:val="5"/>
        </w:numPr>
        <w:rPr>
          <w:sz w:val="22"/>
          <w:szCs w:val="22"/>
          <w:lang w:val="en-US"/>
        </w:rPr>
      </w:pPr>
      <w:r w:rsidRPr="003422D1">
        <w:rPr>
          <w:sz w:val="22"/>
          <w:szCs w:val="22"/>
          <w:lang w:val="en-US"/>
        </w:rPr>
        <w:t>Provide appropriate resources from the regular budget to ensure that the Treaty Body system is accessible to civil society and other relevant stakeholders, including through webcasting and online meetings, and for the development of necessary information management system</w:t>
      </w:r>
      <w:r w:rsidR="003F353B" w:rsidRPr="003422D1">
        <w:rPr>
          <w:sz w:val="22"/>
          <w:szCs w:val="22"/>
          <w:lang w:val="en-US"/>
        </w:rPr>
        <w:t>.</w:t>
      </w:r>
    </w:p>
    <w:p w14:paraId="560C8049" w14:textId="310F9F5A" w:rsidR="00762846" w:rsidRPr="004F38BA" w:rsidRDefault="003F353B" w:rsidP="00762846">
      <w:pPr>
        <w:pStyle w:val="ListParagraph"/>
        <w:numPr>
          <w:ilvl w:val="0"/>
          <w:numId w:val="5"/>
        </w:numPr>
        <w:rPr>
          <w:sz w:val="22"/>
          <w:szCs w:val="22"/>
          <w:lang w:val="en-US"/>
        </w:rPr>
      </w:pPr>
      <w:r w:rsidRPr="004F38BA">
        <w:rPr>
          <w:sz w:val="22"/>
          <w:szCs w:val="22"/>
          <w:lang w:val="en-US"/>
        </w:rPr>
        <w:t xml:space="preserve">Provide </w:t>
      </w:r>
      <w:r w:rsidRPr="004F38BA">
        <w:rPr>
          <w:sz w:val="22"/>
          <w:szCs w:val="22"/>
        </w:rPr>
        <w:t>funding for an accessibility audit across the treaty bodies, including for their webpages, civil society participation, dialogue with States parties, and physical premises, with a view to proposing arrangements that would make possible and enhance the participation of persons with disabilities, including, for example, through the provision of international sign language interpretation, live captioning, Plain English, Easy-Read format and braille. Such an audit must not be limited to the Committee on the Rights of Persons with Disabilities.</w:t>
      </w:r>
    </w:p>
    <w:p w14:paraId="3F610873" w14:textId="12C29348" w:rsidR="00762846" w:rsidRPr="004F38BA" w:rsidRDefault="00762846" w:rsidP="00762846">
      <w:pPr>
        <w:rPr>
          <w:sz w:val="22"/>
          <w:szCs w:val="22"/>
          <w:lang w:val="en-US"/>
        </w:rPr>
      </w:pPr>
    </w:p>
    <w:p w14:paraId="4D98F412" w14:textId="761EFDBE" w:rsidR="00762846" w:rsidRPr="004F38BA" w:rsidRDefault="00762846" w:rsidP="00762846">
      <w:pPr>
        <w:rPr>
          <w:sz w:val="22"/>
          <w:szCs w:val="22"/>
          <w:lang w:val="en-US"/>
        </w:rPr>
      </w:pPr>
      <w:r w:rsidRPr="004F38BA">
        <w:rPr>
          <w:sz w:val="22"/>
          <w:szCs w:val="22"/>
          <w:lang w:val="en-US"/>
        </w:rPr>
        <w:t>Recommendations to the human rights Treaty Bodies</w:t>
      </w:r>
    </w:p>
    <w:p w14:paraId="68096D10" w14:textId="32BD5EA5" w:rsidR="00762846" w:rsidRPr="004F38BA" w:rsidRDefault="00762846" w:rsidP="00762846">
      <w:pPr>
        <w:pStyle w:val="ListParagraph"/>
        <w:numPr>
          <w:ilvl w:val="0"/>
          <w:numId w:val="5"/>
        </w:numPr>
        <w:rPr>
          <w:sz w:val="22"/>
          <w:szCs w:val="22"/>
          <w:lang w:val="en-US"/>
        </w:rPr>
      </w:pPr>
      <w:r w:rsidRPr="004F38BA">
        <w:rPr>
          <w:sz w:val="22"/>
          <w:szCs w:val="22"/>
        </w:rPr>
        <w:t>Establish additional opportunities to coordinate the work by the Treaty Bodies in order to strengthen procedural and jurisprudence coherence and mutual reinforcement, building on interdependence and indivisibility of rights.</w:t>
      </w:r>
    </w:p>
    <w:p w14:paraId="39D771F7" w14:textId="50F79381" w:rsidR="00762846" w:rsidRPr="004F38BA" w:rsidRDefault="00762846" w:rsidP="00762846">
      <w:pPr>
        <w:pStyle w:val="ListParagraph"/>
        <w:numPr>
          <w:ilvl w:val="0"/>
          <w:numId w:val="5"/>
        </w:numPr>
        <w:rPr>
          <w:sz w:val="22"/>
          <w:szCs w:val="22"/>
          <w:lang w:val="en-US"/>
        </w:rPr>
      </w:pPr>
      <w:r w:rsidRPr="004F38BA">
        <w:rPr>
          <w:sz w:val="22"/>
          <w:szCs w:val="22"/>
        </w:rPr>
        <w:t>Establish fixed review schedules for the regular review of all States parties and ensure due inter-committee coordination when establishing such calendars.</w:t>
      </w:r>
    </w:p>
    <w:p w14:paraId="44E28BF6" w14:textId="0F46D4EE" w:rsidR="00762846" w:rsidRPr="004F38BA" w:rsidRDefault="00762846" w:rsidP="00762846">
      <w:pPr>
        <w:rPr>
          <w:sz w:val="22"/>
          <w:szCs w:val="22"/>
          <w:lang w:val="en-US"/>
        </w:rPr>
      </w:pPr>
    </w:p>
    <w:p w14:paraId="2B6378A4" w14:textId="6919865A" w:rsidR="00762846" w:rsidRPr="004F38BA" w:rsidRDefault="00762846" w:rsidP="00762846">
      <w:pPr>
        <w:rPr>
          <w:sz w:val="22"/>
          <w:szCs w:val="22"/>
          <w:lang w:val="en-US"/>
        </w:rPr>
      </w:pPr>
      <w:r w:rsidRPr="004F38BA">
        <w:rPr>
          <w:sz w:val="22"/>
          <w:szCs w:val="22"/>
          <w:lang w:val="en-US"/>
        </w:rPr>
        <w:t>Recommendations to the United Nations (OHCHR, UNOG and UN Secretariat)</w:t>
      </w:r>
    </w:p>
    <w:p w14:paraId="155F08B9" w14:textId="77777777" w:rsidR="00762846" w:rsidRPr="004F38BA" w:rsidRDefault="00762846" w:rsidP="00762846">
      <w:pPr>
        <w:pStyle w:val="ListParagraph"/>
        <w:numPr>
          <w:ilvl w:val="0"/>
          <w:numId w:val="5"/>
        </w:numPr>
        <w:rPr>
          <w:sz w:val="22"/>
          <w:szCs w:val="22"/>
          <w:lang w:val="en-US"/>
        </w:rPr>
      </w:pPr>
      <w:r w:rsidRPr="004F38BA">
        <w:rPr>
          <w:sz w:val="22"/>
          <w:szCs w:val="22"/>
        </w:rPr>
        <w:t>Take into account civil society experiences of online engagement to date and address shortcomings.</w:t>
      </w:r>
    </w:p>
    <w:p w14:paraId="1A720D8B" w14:textId="77777777" w:rsidR="00CD1852" w:rsidRPr="004F38BA" w:rsidRDefault="00762846" w:rsidP="00762846">
      <w:pPr>
        <w:pStyle w:val="ListParagraph"/>
        <w:numPr>
          <w:ilvl w:val="0"/>
          <w:numId w:val="5"/>
        </w:numPr>
        <w:rPr>
          <w:sz w:val="22"/>
          <w:szCs w:val="22"/>
          <w:lang w:val="en-US"/>
        </w:rPr>
      </w:pPr>
      <w:r w:rsidRPr="004F38BA">
        <w:rPr>
          <w:sz w:val="22"/>
          <w:szCs w:val="22"/>
        </w:rPr>
        <w:t xml:space="preserve">Ensure suitable platforms for online engagement with the </w:t>
      </w:r>
      <w:r w:rsidR="003A3386" w:rsidRPr="004F38BA">
        <w:rPr>
          <w:sz w:val="22"/>
          <w:szCs w:val="22"/>
        </w:rPr>
        <w:t>T</w:t>
      </w:r>
      <w:r w:rsidRPr="004F38BA">
        <w:rPr>
          <w:sz w:val="22"/>
          <w:szCs w:val="22"/>
        </w:rPr>
        <w:t xml:space="preserve">reaty </w:t>
      </w:r>
      <w:r w:rsidR="003A3386" w:rsidRPr="004F38BA">
        <w:rPr>
          <w:sz w:val="22"/>
          <w:szCs w:val="22"/>
        </w:rPr>
        <w:t>B</w:t>
      </w:r>
      <w:r w:rsidRPr="004F38BA">
        <w:rPr>
          <w:sz w:val="22"/>
          <w:szCs w:val="22"/>
        </w:rPr>
        <w:t xml:space="preserve">odies and that online engagement with the </w:t>
      </w:r>
      <w:r w:rsidR="003A3386" w:rsidRPr="004F38BA">
        <w:rPr>
          <w:sz w:val="22"/>
          <w:szCs w:val="22"/>
        </w:rPr>
        <w:t>T</w:t>
      </w:r>
      <w:r w:rsidRPr="004F38BA">
        <w:rPr>
          <w:sz w:val="22"/>
          <w:szCs w:val="22"/>
        </w:rPr>
        <w:t xml:space="preserve">reaty </w:t>
      </w:r>
      <w:r w:rsidR="003A3386" w:rsidRPr="004F38BA">
        <w:rPr>
          <w:sz w:val="22"/>
          <w:szCs w:val="22"/>
        </w:rPr>
        <w:t>B</w:t>
      </w:r>
      <w:r w:rsidRPr="004F38BA">
        <w:rPr>
          <w:sz w:val="22"/>
          <w:szCs w:val="22"/>
        </w:rPr>
        <w:t>odies meet adequate conditions to ensure predictability, transparency and inclusivity, as well as security, privacy, confidentiality and accessibility.</w:t>
      </w:r>
    </w:p>
    <w:p w14:paraId="57A55D98" w14:textId="77777777" w:rsidR="00CD1852" w:rsidRPr="004F38BA" w:rsidRDefault="00762846" w:rsidP="00762846">
      <w:pPr>
        <w:pStyle w:val="ListParagraph"/>
        <w:numPr>
          <w:ilvl w:val="0"/>
          <w:numId w:val="5"/>
        </w:numPr>
        <w:rPr>
          <w:sz w:val="22"/>
          <w:szCs w:val="22"/>
          <w:lang w:val="en-US"/>
        </w:rPr>
      </w:pPr>
      <w:r w:rsidRPr="004F38BA">
        <w:rPr>
          <w:sz w:val="22"/>
          <w:szCs w:val="22"/>
        </w:rPr>
        <w:t>Provide support for inter-committee discussions to strengthen and coordinate the work of the treaty bodies and to strengthen procedural and jurisprudential coherence and mutual reinforcement, building on interdependence and indivisibility of rights.</w:t>
      </w:r>
    </w:p>
    <w:p w14:paraId="07656F4C" w14:textId="77777777" w:rsidR="00CD1852" w:rsidRPr="004F38BA" w:rsidRDefault="00762846" w:rsidP="00762846">
      <w:pPr>
        <w:pStyle w:val="ListParagraph"/>
        <w:numPr>
          <w:ilvl w:val="0"/>
          <w:numId w:val="5"/>
        </w:numPr>
        <w:rPr>
          <w:sz w:val="22"/>
          <w:szCs w:val="22"/>
          <w:lang w:val="en-US"/>
        </w:rPr>
      </w:pPr>
      <w:r w:rsidRPr="004F38BA">
        <w:rPr>
          <w:sz w:val="22"/>
          <w:szCs w:val="22"/>
        </w:rPr>
        <w:t>Prepare without delay, a proposed schedule and estimated costing for predictable review cycles.</w:t>
      </w:r>
    </w:p>
    <w:p w14:paraId="5D580F9A" w14:textId="1FB207CD" w:rsidR="00762846" w:rsidRPr="004F38BA" w:rsidRDefault="00762846" w:rsidP="00762846">
      <w:pPr>
        <w:pStyle w:val="ListParagraph"/>
        <w:numPr>
          <w:ilvl w:val="0"/>
          <w:numId w:val="5"/>
        </w:numPr>
        <w:rPr>
          <w:sz w:val="22"/>
          <w:szCs w:val="22"/>
          <w:lang w:val="en-US"/>
        </w:rPr>
      </w:pPr>
      <w:r w:rsidRPr="004F38BA">
        <w:rPr>
          <w:sz w:val="22"/>
          <w:szCs w:val="22"/>
        </w:rPr>
        <w:t>OHCHR in coordination with host States should make the necessary arrangements to facilitate safe access to revies in regions for civil society representatives without fear of intimidation and reprisals, and should also support meaningful engagement by CSOs that may not be familiar with these processes.</w:t>
      </w:r>
    </w:p>
    <w:p w14:paraId="0BE212AD" w14:textId="039E64F0" w:rsidR="00CD1852" w:rsidRPr="004F38BA" w:rsidRDefault="00CD1852" w:rsidP="00CD1852">
      <w:pPr>
        <w:rPr>
          <w:sz w:val="22"/>
          <w:szCs w:val="22"/>
          <w:lang w:val="en-US"/>
        </w:rPr>
      </w:pPr>
    </w:p>
    <w:p w14:paraId="6E9305EE" w14:textId="77777777" w:rsidR="00CD1852" w:rsidRPr="004F38BA" w:rsidRDefault="00CD1852" w:rsidP="00CD1852">
      <w:pPr>
        <w:rPr>
          <w:sz w:val="22"/>
          <w:szCs w:val="22"/>
          <w:lang w:val="en-US"/>
        </w:rPr>
      </w:pPr>
    </w:p>
    <w:sectPr w:rsidR="00CD1852" w:rsidRPr="004F38B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53EB" w14:textId="77777777" w:rsidR="00874804" w:rsidRDefault="00874804" w:rsidP="00782FD8">
      <w:r>
        <w:separator/>
      </w:r>
    </w:p>
  </w:endnote>
  <w:endnote w:type="continuationSeparator" w:id="0">
    <w:p w14:paraId="05C62216" w14:textId="77777777" w:rsidR="00874804" w:rsidRDefault="00874804" w:rsidP="00782FD8">
      <w:r>
        <w:continuationSeparator/>
      </w:r>
    </w:p>
  </w:endnote>
  <w:endnote w:type="continuationNotice" w:id="1">
    <w:p w14:paraId="7C568F11" w14:textId="77777777" w:rsidR="00874804" w:rsidRDefault="00874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CBE5" w14:textId="77777777" w:rsidR="00874804" w:rsidRDefault="00874804" w:rsidP="00782FD8">
      <w:r>
        <w:separator/>
      </w:r>
    </w:p>
  </w:footnote>
  <w:footnote w:type="continuationSeparator" w:id="0">
    <w:p w14:paraId="6570AB9B" w14:textId="77777777" w:rsidR="00874804" w:rsidRDefault="00874804" w:rsidP="00782FD8">
      <w:r>
        <w:continuationSeparator/>
      </w:r>
    </w:p>
  </w:footnote>
  <w:footnote w:type="continuationNotice" w:id="1">
    <w:p w14:paraId="3DFD0665" w14:textId="77777777" w:rsidR="00874804" w:rsidRDefault="00874804"/>
  </w:footnote>
  <w:footnote w:id="2">
    <w:p w14:paraId="22D479D3" w14:textId="649E4BE6" w:rsidR="00782FD8" w:rsidRPr="00782FD8" w:rsidRDefault="00782FD8">
      <w:pPr>
        <w:pStyle w:val="FootnoteText"/>
        <w:rPr>
          <w:lang w:val="en-US"/>
        </w:rPr>
      </w:pPr>
      <w:r>
        <w:rPr>
          <w:rStyle w:val="FootnoteReference"/>
        </w:rPr>
        <w:footnoteRef/>
      </w:r>
      <w:r>
        <w:t xml:space="preserve"> </w:t>
      </w:r>
      <w:r>
        <w:rPr>
          <w:lang w:val="en-US"/>
        </w:rPr>
        <w:t xml:space="preserve">The response is available at: </w:t>
      </w:r>
      <w:hyperlink r:id="rId1" w:history="1">
        <w:r>
          <w:rPr>
            <w:rStyle w:val="Hyperlink"/>
          </w:rPr>
          <w:t>https://www.amnesty.org/en/wp-content/uploads/2021/05/IOR4033192020ENGLISH.pdf</w:t>
        </w:r>
      </w:hyperlink>
    </w:p>
  </w:footnote>
  <w:footnote w:id="3">
    <w:p w14:paraId="65022391" w14:textId="77FA475D" w:rsidR="00E8602F" w:rsidRPr="00E8602F" w:rsidRDefault="00E8602F">
      <w:pPr>
        <w:pStyle w:val="FootnoteText"/>
        <w:rPr>
          <w:lang w:val="en-US"/>
        </w:rPr>
      </w:pPr>
      <w:r>
        <w:rPr>
          <w:rStyle w:val="FootnoteReference"/>
        </w:rPr>
        <w:footnoteRef/>
      </w:r>
      <w:r>
        <w:t xml:space="preserve"> </w:t>
      </w:r>
      <w:r>
        <w:rPr>
          <w:lang w:val="en-US"/>
        </w:rPr>
        <w:t>Ibid.</w:t>
      </w:r>
    </w:p>
  </w:footnote>
  <w:footnote w:id="4">
    <w:p w14:paraId="257EEB5C" w14:textId="77777777" w:rsidR="0025650B" w:rsidRPr="00E8602F" w:rsidRDefault="0025650B" w:rsidP="0025650B">
      <w:pPr>
        <w:pStyle w:val="FootnoteText"/>
        <w:rPr>
          <w:lang w:val="en-US"/>
        </w:rPr>
      </w:pPr>
      <w:r>
        <w:rPr>
          <w:rStyle w:val="FootnoteReference"/>
        </w:rPr>
        <w:footnoteRef/>
      </w:r>
      <w:r>
        <w:t xml:space="preserve"> </w:t>
      </w:r>
      <w:r>
        <w:rPr>
          <w:lang w:val="en-US"/>
        </w:rPr>
        <w:t>Ibid.</w:t>
      </w:r>
    </w:p>
  </w:footnote>
  <w:footnote w:id="5">
    <w:p w14:paraId="6656FBB9" w14:textId="7762839A" w:rsidR="00F30741" w:rsidRPr="00F30741" w:rsidRDefault="00F30741">
      <w:pPr>
        <w:pStyle w:val="FootnoteText"/>
        <w:rPr>
          <w:lang w:val="en-US"/>
        </w:rPr>
      </w:pPr>
      <w:r>
        <w:rPr>
          <w:rStyle w:val="FootnoteReference"/>
        </w:rPr>
        <w:footnoteRef/>
      </w:r>
      <w:r>
        <w:t xml:space="preserve"> </w:t>
      </w:r>
      <w:r>
        <w:rPr>
          <w:lang w:val="en-US"/>
        </w:rPr>
        <w:t>Ibid.</w:t>
      </w:r>
    </w:p>
  </w:footnote>
  <w:footnote w:id="6">
    <w:p w14:paraId="5781DF52" w14:textId="2734A73D" w:rsidR="000D51BE" w:rsidRPr="000D51BE" w:rsidRDefault="000D51BE">
      <w:pPr>
        <w:pStyle w:val="FootnoteText"/>
        <w:rPr>
          <w:lang w:val="en-US"/>
        </w:rPr>
      </w:pPr>
      <w:r>
        <w:rPr>
          <w:rStyle w:val="FootnoteReference"/>
        </w:rPr>
        <w:footnoteRef/>
      </w:r>
      <w:r>
        <w:t xml:space="preserve"> </w:t>
      </w:r>
      <w:r>
        <w:rPr>
          <w:lang w:val="en-US"/>
        </w:rPr>
        <w:t>Ibid.</w:t>
      </w:r>
    </w:p>
  </w:footnote>
  <w:footnote w:id="7">
    <w:p w14:paraId="136D86B9" w14:textId="56B88FAA" w:rsidR="000B30A0" w:rsidRPr="000B30A0" w:rsidRDefault="000B30A0">
      <w:pPr>
        <w:pStyle w:val="FootnoteText"/>
        <w:rPr>
          <w:lang w:val="en-US"/>
        </w:rPr>
      </w:pPr>
      <w:r>
        <w:rPr>
          <w:rStyle w:val="FootnoteReference"/>
        </w:rPr>
        <w:footnoteRef/>
      </w:r>
      <w:r>
        <w:t xml:space="preserve"> </w:t>
      </w:r>
      <w:r>
        <w:rPr>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1A7D" w14:textId="272C86B8" w:rsidR="007B0DF8" w:rsidRDefault="007B0DF8">
    <w:pPr>
      <w:pStyle w:val="Header"/>
    </w:pPr>
    <w:r w:rsidRPr="00573ACA">
      <w:rPr>
        <w:noProof/>
      </w:rPr>
      <w:drawing>
        <wp:anchor distT="0" distB="0" distL="114300" distR="114300" simplePos="0" relativeHeight="251658240" behindDoc="1" locked="0" layoutInCell="1" allowOverlap="1" wp14:anchorId="7239021B" wp14:editId="78E65183">
          <wp:simplePos x="0" y="0"/>
          <wp:positionH relativeFrom="margin">
            <wp:align>left</wp:align>
          </wp:positionH>
          <wp:positionV relativeFrom="paragraph">
            <wp:posOffset>-146685</wp:posOffset>
          </wp:positionV>
          <wp:extent cx="1183118" cy="603250"/>
          <wp:effectExtent l="0" t="0" r="0" b="635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118" cy="603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684"/>
    <w:multiLevelType w:val="hybridMultilevel"/>
    <w:tmpl w:val="2E5E156E"/>
    <w:lvl w:ilvl="0" w:tplc="3BAA4268">
      <w:start w:val="70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F925EF8"/>
    <w:multiLevelType w:val="hybridMultilevel"/>
    <w:tmpl w:val="7C0EA59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E7E2FDF"/>
    <w:multiLevelType w:val="hybridMultilevel"/>
    <w:tmpl w:val="A28A0684"/>
    <w:lvl w:ilvl="0" w:tplc="3BAA4268">
      <w:start w:val="70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AD57A3"/>
    <w:multiLevelType w:val="hybridMultilevel"/>
    <w:tmpl w:val="19AA0DB2"/>
    <w:lvl w:ilvl="0" w:tplc="3BAA426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B14025A"/>
    <w:multiLevelType w:val="hybridMultilevel"/>
    <w:tmpl w:val="DBB67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5E"/>
    <w:rsid w:val="00002D73"/>
    <w:rsid w:val="00032142"/>
    <w:rsid w:val="000365D6"/>
    <w:rsid w:val="000A079E"/>
    <w:rsid w:val="000B30A0"/>
    <w:rsid w:val="000D51BE"/>
    <w:rsid w:val="000D56E9"/>
    <w:rsid w:val="000E3023"/>
    <w:rsid w:val="0012010E"/>
    <w:rsid w:val="0017094E"/>
    <w:rsid w:val="00193756"/>
    <w:rsid w:val="00193790"/>
    <w:rsid w:val="001B2CCF"/>
    <w:rsid w:val="001C0FB2"/>
    <w:rsid w:val="001C71DF"/>
    <w:rsid w:val="001F4F8A"/>
    <w:rsid w:val="001F5264"/>
    <w:rsid w:val="0025650B"/>
    <w:rsid w:val="00261C3B"/>
    <w:rsid w:val="00275F82"/>
    <w:rsid w:val="00293AC3"/>
    <w:rsid w:val="002B2F87"/>
    <w:rsid w:val="002C16E1"/>
    <w:rsid w:val="002E7C8E"/>
    <w:rsid w:val="002F2C36"/>
    <w:rsid w:val="002F3414"/>
    <w:rsid w:val="003422D1"/>
    <w:rsid w:val="00370096"/>
    <w:rsid w:val="003912CA"/>
    <w:rsid w:val="003A3386"/>
    <w:rsid w:val="003C52D0"/>
    <w:rsid w:val="003C6C1B"/>
    <w:rsid w:val="003D00D7"/>
    <w:rsid w:val="003E0CB0"/>
    <w:rsid w:val="003F32FB"/>
    <w:rsid w:val="003F353B"/>
    <w:rsid w:val="004A6D1F"/>
    <w:rsid w:val="004F38BA"/>
    <w:rsid w:val="00526BCF"/>
    <w:rsid w:val="00571395"/>
    <w:rsid w:val="005B69B8"/>
    <w:rsid w:val="005C4116"/>
    <w:rsid w:val="005F4CAE"/>
    <w:rsid w:val="00605F8C"/>
    <w:rsid w:val="006160C5"/>
    <w:rsid w:val="00667C1F"/>
    <w:rsid w:val="006949DC"/>
    <w:rsid w:val="00695735"/>
    <w:rsid w:val="006976AD"/>
    <w:rsid w:val="006C3F9E"/>
    <w:rsid w:val="006C64CB"/>
    <w:rsid w:val="006D20CE"/>
    <w:rsid w:val="006D7964"/>
    <w:rsid w:val="006F62F0"/>
    <w:rsid w:val="00734D02"/>
    <w:rsid w:val="00746AA2"/>
    <w:rsid w:val="007554C0"/>
    <w:rsid w:val="00762846"/>
    <w:rsid w:val="00776FDC"/>
    <w:rsid w:val="00782FD8"/>
    <w:rsid w:val="007B0DF8"/>
    <w:rsid w:val="007D30F7"/>
    <w:rsid w:val="00844B2E"/>
    <w:rsid w:val="00856074"/>
    <w:rsid w:val="00874804"/>
    <w:rsid w:val="008756A8"/>
    <w:rsid w:val="008B36B8"/>
    <w:rsid w:val="008C2027"/>
    <w:rsid w:val="008C2B71"/>
    <w:rsid w:val="008D0F44"/>
    <w:rsid w:val="008F3AAD"/>
    <w:rsid w:val="00945809"/>
    <w:rsid w:val="00985F5F"/>
    <w:rsid w:val="009B0BBB"/>
    <w:rsid w:val="009F02CA"/>
    <w:rsid w:val="00A04C3A"/>
    <w:rsid w:val="00A63870"/>
    <w:rsid w:val="00B062B4"/>
    <w:rsid w:val="00B32679"/>
    <w:rsid w:val="00B35767"/>
    <w:rsid w:val="00B4700E"/>
    <w:rsid w:val="00B62977"/>
    <w:rsid w:val="00B82E55"/>
    <w:rsid w:val="00B922DE"/>
    <w:rsid w:val="00BA38A3"/>
    <w:rsid w:val="00BC085C"/>
    <w:rsid w:val="00BD5604"/>
    <w:rsid w:val="00C56D5E"/>
    <w:rsid w:val="00C71A59"/>
    <w:rsid w:val="00C81CCF"/>
    <w:rsid w:val="00C91CA4"/>
    <w:rsid w:val="00CD1852"/>
    <w:rsid w:val="00D1017D"/>
    <w:rsid w:val="00D1102F"/>
    <w:rsid w:val="00D24F78"/>
    <w:rsid w:val="00D549EE"/>
    <w:rsid w:val="00D86891"/>
    <w:rsid w:val="00D957B9"/>
    <w:rsid w:val="00DE6B15"/>
    <w:rsid w:val="00DF6F62"/>
    <w:rsid w:val="00E8602F"/>
    <w:rsid w:val="00EB55F2"/>
    <w:rsid w:val="00ED07E0"/>
    <w:rsid w:val="00F20282"/>
    <w:rsid w:val="00F30741"/>
    <w:rsid w:val="00F51CAE"/>
    <w:rsid w:val="304627CE"/>
    <w:rsid w:val="75C2BAE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E1BBC"/>
  <w15:chartTrackingRefBased/>
  <w15:docId w15:val="{77FACBD1-E11A-4372-9359-02CB377A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5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6D5E"/>
    <w:rPr>
      <w:color w:val="0000FF"/>
      <w:u w:val="single"/>
    </w:rPr>
  </w:style>
  <w:style w:type="paragraph" w:styleId="ListParagraph">
    <w:name w:val="List Paragraph"/>
    <w:basedOn w:val="Normal"/>
    <w:uiPriority w:val="34"/>
    <w:qFormat/>
    <w:rsid w:val="00C56D5E"/>
    <w:pPr>
      <w:ind w:left="720"/>
      <w:contextualSpacing/>
    </w:pPr>
  </w:style>
  <w:style w:type="character" w:styleId="CommentReference">
    <w:name w:val="annotation reference"/>
    <w:basedOn w:val="DefaultParagraphFont"/>
    <w:uiPriority w:val="99"/>
    <w:semiHidden/>
    <w:unhideWhenUsed/>
    <w:rsid w:val="00ED07E0"/>
    <w:rPr>
      <w:sz w:val="16"/>
      <w:szCs w:val="16"/>
    </w:rPr>
  </w:style>
  <w:style w:type="paragraph" w:styleId="CommentText">
    <w:name w:val="annotation text"/>
    <w:basedOn w:val="Normal"/>
    <w:link w:val="CommentTextChar"/>
    <w:uiPriority w:val="99"/>
    <w:semiHidden/>
    <w:unhideWhenUsed/>
    <w:rsid w:val="00ED07E0"/>
  </w:style>
  <w:style w:type="character" w:customStyle="1" w:styleId="CommentTextChar">
    <w:name w:val="Comment Text Char"/>
    <w:basedOn w:val="DefaultParagraphFont"/>
    <w:link w:val="CommentText"/>
    <w:uiPriority w:val="99"/>
    <w:semiHidden/>
    <w:rsid w:val="00ED07E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D07E0"/>
    <w:rPr>
      <w:b/>
      <w:bCs/>
    </w:rPr>
  </w:style>
  <w:style w:type="character" w:customStyle="1" w:styleId="CommentSubjectChar">
    <w:name w:val="Comment Subject Char"/>
    <w:basedOn w:val="CommentTextChar"/>
    <w:link w:val="CommentSubject"/>
    <w:uiPriority w:val="99"/>
    <w:semiHidden/>
    <w:rsid w:val="00ED07E0"/>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782FD8"/>
  </w:style>
  <w:style w:type="character" w:customStyle="1" w:styleId="FootnoteTextChar">
    <w:name w:val="Footnote Text Char"/>
    <w:basedOn w:val="DefaultParagraphFont"/>
    <w:link w:val="FootnoteText"/>
    <w:uiPriority w:val="99"/>
    <w:semiHidden/>
    <w:rsid w:val="00782FD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82FD8"/>
    <w:rPr>
      <w:vertAlign w:val="superscript"/>
    </w:rPr>
  </w:style>
  <w:style w:type="paragraph" w:styleId="NormalWeb">
    <w:name w:val="Normal (Web)"/>
    <w:basedOn w:val="Normal"/>
    <w:uiPriority w:val="99"/>
    <w:unhideWhenUsed/>
    <w:rsid w:val="005B69B8"/>
    <w:pPr>
      <w:spacing w:before="100" w:beforeAutospacing="1" w:after="100" w:afterAutospacing="1"/>
    </w:pPr>
    <w:rPr>
      <w:sz w:val="24"/>
      <w:szCs w:val="24"/>
      <w:lang w:val="en-CH" w:eastAsia="en-CH"/>
    </w:rPr>
  </w:style>
  <w:style w:type="paragraph" w:styleId="Header">
    <w:name w:val="header"/>
    <w:basedOn w:val="Normal"/>
    <w:link w:val="HeaderChar"/>
    <w:uiPriority w:val="99"/>
    <w:unhideWhenUsed/>
    <w:rsid w:val="007B0DF8"/>
    <w:pPr>
      <w:tabs>
        <w:tab w:val="center" w:pos="4513"/>
        <w:tab w:val="right" w:pos="9026"/>
      </w:tabs>
    </w:pPr>
  </w:style>
  <w:style w:type="character" w:customStyle="1" w:styleId="HeaderChar">
    <w:name w:val="Header Char"/>
    <w:basedOn w:val="DefaultParagraphFont"/>
    <w:link w:val="Header"/>
    <w:uiPriority w:val="99"/>
    <w:rsid w:val="007B0DF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B0DF8"/>
    <w:pPr>
      <w:tabs>
        <w:tab w:val="center" w:pos="4513"/>
        <w:tab w:val="right" w:pos="9026"/>
      </w:tabs>
    </w:pPr>
  </w:style>
  <w:style w:type="character" w:customStyle="1" w:styleId="FooterChar">
    <w:name w:val="Footer Char"/>
    <w:basedOn w:val="DefaultParagraphFont"/>
    <w:link w:val="Footer"/>
    <w:uiPriority w:val="99"/>
    <w:rsid w:val="007B0DF8"/>
    <w:rPr>
      <w:rFonts w:ascii="Times New Roman" w:eastAsia="Times New Roman" w:hAnsi="Times New Roman" w:cs="Times New Roman"/>
      <w:sz w:val="20"/>
      <w:szCs w:val="20"/>
      <w:lang w:val="en-GB"/>
    </w:rPr>
  </w:style>
  <w:style w:type="paragraph" w:styleId="Revision">
    <w:name w:val="Revision"/>
    <w:hidden/>
    <w:uiPriority w:val="99"/>
    <w:semiHidden/>
    <w:rsid w:val="00734D02"/>
    <w:pPr>
      <w:spacing w:after="0" w:line="240" w:lineRule="auto"/>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BA38A3"/>
    <w:rPr>
      <w:color w:val="954F72" w:themeColor="followedHyperlink"/>
      <w:u w:val="single"/>
    </w:rPr>
  </w:style>
  <w:style w:type="paragraph" w:styleId="EndnoteText">
    <w:name w:val="endnote text"/>
    <w:basedOn w:val="Normal"/>
    <w:link w:val="EndnoteTextChar"/>
    <w:uiPriority w:val="99"/>
    <w:semiHidden/>
    <w:unhideWhenUsed/>
    <w:rsid w:val="00F30741"/>
  </w:style>
  <w:style w:type="character" w:customStyle="1" w:styleId="EndnoteTextChar">
    <w:name w:val="Endnote Text Char"/>
    <w:basedOn w:val="DefaultParagraphFont"/>
    <w:link w:val="EndnoteText"/>
    <w:uiPriority w:val="99"/>
    <w:semiHidden/>
    <w:rsid w:val="00F30741"/>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F30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ga/search/view_doc.asp?symbol=A/RES/68/268"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amnesty.org/en/wp-content/uploads/2021/05/IOR4033192020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735F3C-8A04-4AEE-8C9D-86AF882E2056}">
  <ds:schemaRefs>
    <ds:schemaRef ds:uri="http://schemas.openxmlformats.org/officeDocument/2006/bibliography"/>
  </ds:schemaRefs>
</ds:datastoreItem>
</file>

<file path=customXml/itemProps2.xml><?xml version="1.0" encoding="utf-8"?>
<ds:datastoreItem xmlns:ds="http://schemas.openxmlformats.org/officeDocument/2006/customXml" ds:itemID="{DE8B9E12-AB66-44CC-8742-E02490C46160}"/>
</file>

<file path=customXml/itemProps3.xml><?xml version="1.0" encoding="utf-8"?>
<ds:datastoreItem xmlns:ds="http://schemas.openxmlformats.org/officeDocument/2006/customXml" ds:itemID="{D5E0ABDC-A573-43F9-8A63-9ED3EFCB4D84}"/>
</file>

<file path=customXml/itemProps4.xml><?xml version="1.0" encoding="utf-8"?>
<ds:datastoreItem xmlns:ds="http://schemas.openxmlformats.org/officeDocument/2006/customXml" ds:itemID="{179D022F-59E1-4601-8C83-60B5160E97D4}"/>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Hechenleitner</dc:creator>
  <cp:keywords/>
  <dc:description/>
  <cp:lastModifiedBy>Karin Hechenleitner</cp:lastModifiedBy>
  <cp:revision>2</cp:revision>
  <dcterms:created xsi:type="dcterms:W3CDTF">2022-01-31T16:39:00Z</dcterms:created>
  <dcterms:modified xsi:type="dcterms:W3CDTF">2022-01-31T16:39:00Z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