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bookmarkStart w:id="0" w:name="_GoBack"/>
      <w:bookmarkEnd w:id="0"/>
      <w:r w:rsidRPr="00F97B8B">
        <w:rPr>
          <w:b/>
          <w:sz w:val="28"/>
          <w:szCs w:val="28"/>
          <w:u w:val="single"/>
        </w:rPr>
        <w:t>QUESTIONNAIRE</w:t>
      </w:r>
    </w:p>
    <w:p w14:paraId="77D8E42C" w14:textId="77777777" w:rsidR="009F00AF" w:rsidRPr="00F97B8B" w:rsidRDefault="009F00AF" w:rsidP="009F00AF">
      <w:pPr>
        <w:ind w:left="2160" w:firstLine="720"/>
        <w:rPr>
          <w:b/>
          <w:sz w:val="28"/>
          <w:szCs w:val="28"/>
          <w:u w:val="single"/>
        </w:rPr>
      </w:pP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2F026387" w14:textId="77777777" w:rsidR="009F00AF" w:rsidRDefault="009F00AF" w:rsidP="009F00AF">
      <w:pPr>
        <w:ind w:firstLine="567"/>
        <w:rPr>
          <w:bCs/>
          <w:sz w:val="24"/>
          <w:szCs w:val="24"/>
        </w:rPr>
      </w:pPr>
    </w:p>
    <w:p w14:paraId="09B107EA" w14:textId="77777777" w:rsidR="009F00AF" w:rsidRPr="00C73FDC" w:rsidRDefault="009F00AF" w:rsidP="009F00AF">
      <w:pPr>
        <w:ind w:firstLine="567"/>
        <w:rPr>
          <w:bCs/>
          <w:sz w:val="24"/>
          <w:szCs w:val="24"/>
        </w:rPr>
      </w:pPr>
      <w:r w:rsidRPr="00C73FDC">
        <w:rPr>
          <w:bCs/>
          <w:sz w:val="24"/>
          <w:szCs w:val="24"/>
        </w:rPr>
        <w:t>I have the honour to address you in my capacity as Special Rapporteur on the right of everyone to the enjoyment of the highest attainable standard of physic</w:t>
      </w:r>
      <w:r w:rsidRPr="00C73FDC">
        <w:rPr>
          <w:sz w:val="24"/>
          <w:szCs w:val="24"/>
        </w:rPr>
        <w:t>al and mental health</w:t>
      </w:r>
      <w:r w:rsidRPr="00C73FDC">
        <w:rPr>
          <w:bCs/>
          <w:sz w:val="24"/>
          <w:szCs w:val="24"/>
        </w:rPr>
        <w:t xml:space="preserve">, pursuant to Human Rights Council resolution 42/16.  </w:t>
      </w:r>
    </w:p>
    <w:p w14:paraId="678955A0" w14:textId="77777777" w:rsidR="009F00AF" w:rsidRPr="00C73FDC" w:rsidRDefault="009F00AF" w:rsidP="009F00AF">
      <w:pPr>
        <w:tabs>
          <w:tab w:val="left" w:pos="680"/>
          <w:tab w:val="left" w:pos="709"/>
          <w:tab w:val="left" w:pos="1360"/>
          <w:tab w:val="left" w:pos="1984"/>
          <w:tab w:val="left" w:pos="6349"/>
          <w:tab w:val="left" w:pos="6916"/>
        </w:tabs>
        <w:jc w:val="both"/>
        <w:rPr>
          <w:sz w:val="24"/>
          <w:szCs w:val="24"/>
        </w:rPr>
      </w:pPr>
    </w:p>
    <w:p w14:paraId="1AA6CF1E" w14:textId="77777777" w:rsidR="009F00AF" w:rsidRPr="00C73FDC" w:rsidRDefault="009F00AF" w:rsidP="009F00AF">
      <w:pPr>
        <w:pStyle w:val="BodyA"/>
        <w:spacing w:line="240" w:lineRule="atLeast"/>
        <w:ind w:firstLine="567"/>
        <w:rPr>
          <w:rFonts w:ascii="Times New Roman" w:eastAsia="Times New Roman" w:hAnsi="Times New Roman" w:cs="Times New Roman"/>
        </w:rPr>
      </w:pPr>
      <w:r w:rsidRPr="00C73FDC">
        <w:rPr>
          <w:rFonts w:ascii="Times New Roman" w:hAnsi="Times New Roman" w:cs="Times New Roman"/>
        </w:rPr>
        <w:t xml:space="preserve">I would like to invite you to respond to the questionnaire below. Submissions received will inform my next thematic report on </w:t>
      </w:r>
      <w:r>
        <w:rPr>
          <w:rFonts w:ascii="Times New Roman" w:hAnsi="Times New Roman" w:cs="Times New Roman"/>
        </w:rPr>
        <w:t>“Violence and its impact on the right to health”</w:t>
      </w:r>
      <w:r w:rsidRPr="00FD7550">
        <w:rPr>
          <w:rFonts w:ascii="Times New Roman" w:hAnsi="Times New Roman" w:cs="Times New Roman"/>
        </w:rPr>
        <w:t xml:space="preserve">, which will be presented to </w:t>
      </w:r>
      <w:r>
        <w:rPr>
          <w:rFonts w:ascii="Times New Roman" w:hAnsi="Times New Roman" w:cs="Times New Roman"/>
        </w:rPr>
        <w:t>the Human Rights Council in June 2022</w:t>
      </w:r>
      <w:r w:rsidRPr="00C73FDC">
        <w:rPr>
          <w:rFonts w:ascii="Times New Roman" w:hAnsi="Times New Roman" w:cs="Times New Roman"/>
        </w:rPr>
        <w:t xml:space="preserve">. </w:t>
      </w:r>
    </w:p>
    <w:p w14:paraId="0C646C45" w14:textId="77777777" w:rsidR="009F00AF" w:rsidRPr="00C73FDC" w:rsidRDefault="009F00AF" w:rsidP="009F00AF">
      <w:pPr>
        <w:pStyle w:val="BodyA"/>
        <w:spacing w:line="240" w:lineRule="atLeast"/>
        <w:ind w:firstLine="567"/>
        <w:rPr>
          <w:rFonts w:ascii="Times New Roman" w:eastAsia="Times New Roman" w:hAnsi="Times New Roman" w:cs="Times New Roman"/>
        </w:rPr>
      </w:pPr>
    </w:p>
    <w:p w14:paraId="039A59A7" w14:textId="77777777" w:rsidR="009F00AF" w:rsidRPr="00C73FDC" w:rsidRDefault="009F00AF" w:rsidP="009F00AF">
      <w:pPr>
        <w:pStyle w:val="BodyA"/>
        <w:spacing w:line="240" w:lineRule="atLeast"/>
        <w:ind w:firstLine="567"/>
        <w:rPr>
          <w:rStyle w:val="None"/>
          <w:rFonts w:ascii="Times New Roman" w:eastAsia="Times New Roman" w:hAnsi="Times New Roman" w:cs="Times New Roman"/>
        </w:rPr>
      </w:pPr>
      <w:r w:rsidRPr="00C73FDC">
        <w:rPr>
          <w:rFonts w:ascii="Times New Roman" w:hAnsi="Times New Roman" w:cs="Times New Roman"/>
        </w:rPr>
        <w:t>The questionnaire on the report is available at OHCHR website in English (original language) as well as in French, and Spanish: (</w:t>
      </w:r>
      <w:hyperlink r:id="rId11" w:history="1">
        <w:r w:rsidRPr="00C73FDC">
          <w:rPr>
            <w:rStyle w:val="Hyperlink"/>
            <w:rFonts w:ascii="Times New Roman" w:hAnsi="Times New Roman" w:cs="Times New Roman"/>
            <w:u w:color="0000FF"/>
          </w:rPr>
          <w:t>https://www.ohchr.org/EN/Issues/health/pages/srrighthealthindex.aspx</w:t>
        </w:r>
      </w:hyperlink>
      <w:r w:rsidRPr="00C73FDC">
        <w:rPr>
          <w:rStyle w:val="None"/>
          <w:rFonts w:ascii="Times New Roman" w:hAnsi="Times New Roman" w:cs="Times New Roman"/>
        </w:rPr>
        <w:t>).</w:t>
      </w:r>
    </w:p>
    <w:p w14:paraId="536E1330" w14:textId="77777777" w:rsidR="009F00AF" w:rsidRPr="00C73FDC" w:rsidRDefault="009F00AF" w:rsidP="009F00AF">
      <w:pPr>
        <w:pStyle w:val="Default"/>
        <w:shd w:val="clear" w:color="auto" w:fill="FFFFFF"/>
        <w:ind w:firstLine="567"/>
        <w:rPr>
          <w:rStyle w:val="None"/>
          <w:rFonts w:ascii="Times New Roman" w:hAnsi="Times New Roman" w:cs="Times New Roman"/>
        </w:rPr>
      </w:pPr>
    </w:p>
    <w:p w14:paraId="40E30921" w14:textId="77777777" w:rsidR="009F00AF" w:rsidRPr="00C73FDC" w:rsidRDefault="009F00AF" w:rsidP="009F00AF">
      <w:pPr>
        <w:pStyle w:val="Default"/>
        <w:shd w:val="clear" w:color="auto" w:fill="FFFFFF"/>
        <w:ind w:firstLine="567"/>
        <w:rPr>
          <w:rStyle w:val="None"/>
          <w:rFonts w:ascii="Times New Roman" w:hAnsi="Times New Roman" w:cs="Times New Roman"/>
        </w:rPr>
      </w:pPr>
      <w:r w:rsidRPr="00C73FDC">
        <w:rPr>
          <w:rStyle w:val="None"/>
          <w:rFonts w:ascii="Times New Roman" w:hAnsi="Times New Roman" w:cs="Times New Roman"/>
        </w:rPr>
        <w:t xml:space="preserve">All submissions received will be published in the aforementioned website, unless it is indicated that the submission should be kept confidential. </w:t>
      </w:r>
    </w:p>
    <w:p w14:paraId="60E21805"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5CC05A45" w14:textId="77777777" w:rsidR="009F00AF" w:rsidRPr="00FD7550" w:rsidRDefault="009F00AF" w:rsidP="009F00AF">
      <w:pPr>
        <w:pStyle w:val="BodyA"/>
        <w:ind w:firstLine="567"/>
        <w:rPr>
          <w:rStyle w:val="None"/>
          <w:rFonts w:ascii="Times New Roman" w:eastAsia="Times New Roman" w:hAnsi="Times New Roman" w:cs="Times New Roman"/>
        </w:rPr>
      </w:pPr>
      <w:r>
        <w:rPr>
          <w:rStyle w:val="None"/>
          <w:rFonts w:ascii="Times New Roman" w:hAnsi="Times New Roman" w:cs="Times New Roman"/>
        </w:rPr>
        <w:t>There is a word limit of 75</w:t>
      </w:r>
      <w:r w:rsidRPr="00FD7550">
        <w:rPr>
          <w:rStyle w:val="None"/>
          <w:rFonts w:ascii="Times New Roman" w:hAnsi="Times New Roman" w:cs="Times New Roman"/>
        </w:rPr>
        <w:t xml:space="preserve">0 words per question. Please submit the completed questionnaire to </w:t>
      </w:r>
      <w:r w:rsidRPr="008656C2">
        <w:rPr>
          <w:rStyle w:val="Hyperlink"/>
          <w:u w:color="0000FF"/>
          <w:lang w:val="pt-PT"/>
        </w:rPr>
        <w:t>ohchr-</w:t>
      </w:r>
      <w:hyperlink r:id="rId12" w:history="1">
        <w:r w:rsidRPr="0029073B">
          <w:rPr>
            <w:rStyle w:val="Hyperlink"/>
            <w:rFonts w:ascii="Times New Roman" w:hAnsi="Times New Roman" w:cs="Times New Roman"/>
            <w:u w:color="0000FF"/>
            <w:lang w:val="pt-PT"/>
          </w:rPr>
          <w:t>srhealth@un.org</w:t>
        </w:r>
      </w:hyperlink>
      <w:r w:rsidRPr="00FD7550">
        <w:rPr>
          <w:rStyle w:val="Hyperlink1"/>
          <w:rFonts w:eastAsia="Arial Unicode MS"/>
        </w:rPr>
        <w:t xml:space="preserve">. </w:t>
      </w:r>
      <w:r w:rsidRPr="00FD7550">
        <w:rPr>
          <w:rStyle w:val="None"/>
          <w:rFonts w:ascii="Times New Roman" w:hAnsi="Times New Roman" w:cs="Times New Roman"/>
        </w:rPr>
        <w:t xml:space="preserve">The deadline for submissions is: </w:t>
      </w:r>
      <w:r>
        <w:rPr>
          <w:rStyle w:val="None"/>
          <w:rFonts w:ascii="Times New Roman" w:hAnsi="Times New Roman" w:cs="Times New Roman"/>
          <w:b/>
          <w:bCs/>
        </w:rPr>
        <w:t>18 January 2022</w:t>
      </w:r>
      <w:r w:rsidRPr="00FD7550">
        <w:rPr>
          <w:rStyle w:val="None"/>
          <w:rFonts w:ascii="Times New Roman" w:hAnsi="Times New Roman" w:cs="Times New Roman"/>
          <w:b/>
          <w:bCs/>
        </w:rPr>
        <w:t>.</w:t>
      </w:r>
    </w:p>
    <w:p w14:paraId="5A53FCD4" w14:textId="77777777" w:rsidR="009F00AF" w:rsidRPr="00C73FDC" w:rsidRDefault="009F00AF" w:rsidP="009F00AF">
      <w:pPr>
        <w:pStyle w:val="BodyA"/>
        <w:rPr>
          <w:rStyle w:val="None"/>
          <w:rFonts w:ascii="Times New Roman" w:eastAsia="Times New Roman" w:hAnsi="Times New Roman" w:cs="Times New Roman"/>
        </w:rPr>
      </w:pPr>
    </w:p>
    <w:p w14:paraId="63174334" w14:textId="77777777" w:rsidR="009F00AF" w:rsidRPr="006512F6" w:rsidRDefault="009F00AF" w:rsidP="009F00AF">
      <w:pPr>
        <w:keepNext/>
        <w:jc w:val="center"/>
        <w:rPr>
          <w:sz w:val="24"/>
          <w:szCs w:val="24"/>
          <w:lang w:eastAsia="en-GB"/>
        </w:rPr>
      </w:pPr>
      <w:bookmarkStart w:id="1" w:name="allegation"/>
      <w:bookmarkEnd w:id="1"/>
    </w:p>
    <w:p w14:paraId="0E7A1B34" w14:textId="77777777" w:rsidR="009F00AF" w:rsidRPr="006512F6" w:rsidRDefault="009F00AF" w:rsidP="009F00AF">
      <w:pPr>
        <w:keepNext/>
        <w:jc w:val="center"/>
        <w:rPr>
          <w:rFonts w:eastAsiaTheme="minorHAnsi"/>
          <w:sz w:val="24"/>
          <w:szCs w:val="24"/>
        </w:rPr>
      </w:pPr>
      <w:r w:rsidRPr="006512F6">
        <w:rPr>
          <w:sz w:val="24"/>
          <w:szCs w:val="24"/>
        </w:rPr>
        <w:t>Tlaleng Mofokeng</w:t>
      </w:r>
    </w:p>
    <w:p w14:paraId="7D725049" w14:textId="77777777" w:rsidR="009F00AF" w:rsidRPr="00CB33B2" w:rsidRDefault="009F00AF" w:rsidP="009F00AF">
      <w:pPr>
        <w:jc w:val="center"/>
        <w:rPr>
          <w:sz w:val="24"/>
          <w:szCs w:val="24"/>
          <w:lang w:eastAsia="en-GB"/>
        </w:rPr>
      </w:pPr>
      <w:r w:rsidRPr="006512F6">
        <w:rPr>
          <w:sz w:val="24"/>
          <w:szCs w:val="24"/>
        </w:rPr>
        <w:t>Special Rapporteur on the right of everyone to the enjoyment of the highest attainable standard of physical and mental health</w:t>
      </w:r>
    </w:p>
    <w:p w14:paraId="257EFBC7" w14:textId="77777777" w:rsidR="009F00AF" w:rsidRDefault="009F00AF" w:rsidP="009F00AF">
      <w:pPr>
        <w:pBdr>
          <w:bottom w:val="single" w:sz="6" w:space="1" w:color="auto"/>
        </w:pBdr>
        <w:jc w:val="center"/>
        <w:rPr>
          <w:sz w:val="24"/>
          <w:szCs w:val="24"/>
        </w:rPr>
      </w:pPr>
    </w:p>
    <w:p w14:paraId="138DD37E" w14:textId="77777777" w:rsidR="00AB5B6F" w:rsidRDefault="00AB5B6F" w:rsidP="009F00AF">
      <w:pPr>
        <w:jc w:val="center"/>
        <w:rPr>
          <w:sz w:val="24"/>
          <w:szCs w:val="24"/>
        </w:rPr>
      </w:pPr>
    </w:p>
    <w:p w14:paraId="42F74637"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6FC31E94" w14:textId="77777777" w:rsidR="009F00AF" w:rsidRPr="006512F6" w:rsidRDefault="009F00AF" w:rsidP="009F00AF">
      <w:pPr>
        <w:pStyle w:val="BodyA"/>
        <w:rPr>
          <w:rStyle w:val="None"/>
          <w:rFonts w:ascii="Times New Roman" w:eastAsia="Times New Roman" w:hAnsi="Times New Roman" w:cs="Times New Roman"/>
        </w:rPr>
      </w:pPr>
    </w:p>
    <w:p w14:paraId="2B7913D2"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Please provide your contact details in case we need to contact you in connection with this survey. Note that this is optional.</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F82741" w14:paraId="1CF43E10"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6512F6" w:rsidRDefault="009F00AF" w:rsidP="00820E9E">
            <w:pPr>
              <w:rPr>
                <w:sz w:val="24"/>
                <w:szCs w:val="24"/>
              </w:rPr>
            </w:pPr>
            <w:r w:rsidRPr="006512F6">
              <w:rPr>
                <w:sz w:val="24"/>
                <w:szCs w:val="24"/>
              </w:rPr>
              <w:fldChar w:fldCharType="begin">
                <w:ffData>
                  <w:name w:val="Check3"/>
                  <w:enabled/>
                  <w:calcOnExit w:val="0"/>
                  <w:checkBox>
                    <w:sizeAuto/>
                    <w:default w:val="0"/>
                  </w:checkBox>
                </w:ffData>
              </w:fldChar>
            </w:r>
            <w:bookmarkStart w:id="2" w:name="Check3"/>
            <w:r w:rsidRPr="006512F6">
              <w:rPr>
                <w:sz w:val="24"/>
                <w:szCs w:val="24"/>
              </w:rPr>
              <w:instrText xml:space="preserve"> FORMCHECKBOX </w:instrText>
            </w:r>
            <w:r w:rsidR="000C0A35">
              <w:rPr>
                <w:sz w:val="24"/>
                <w:szCs w:val="24"/>
              </w:rPr>
            </w:r>
            <w:r w:rsidR="000C0A35">
              <w:rPr>
                <w:sz w:val="24"/>
                <w:szCs w:val="24"/>
              </w:rPr>
              <w:fldChar w:fldCharType="separate"/>
            </w:r>
            <w:r w:rsidRPr="006512F6">
              <w:rPr>
                <w:sz w:val="24"/>
                <w:szCs w:val="24"/>
              </w:rPr>
              <w:fldChar w:fldCharType="end"/>
            </w:r>
            <w:bookmarkEnd w:id="2"/>
            <w:r w:rsidRPr="006512F6">
              <w:rPr>
                <w:sz w:val="24"/>
                <w:szCs w:val="24"/>
              </w:rPr>
              <w:t xml:space="preserve">  Member State     </w:t>
            </w:r>
          </w:p>
          <w:p w14:paraId="064105A3"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0C0A35">
              <w:rPr>
                <w:sz w:val="24"/>
                <w:szCs w:val="24"/>
              </w:rPr>
            </w:r>
            <w:r w:rsidR="000C0A35">
              <w:rPr>
                <w:sz w:val="24"/>
                <w:szCs w:val="24"/>
              </w:rPr>
              <w:fldChar w:fldCharType="separate"/>
            </w:r>
            <w:r w:rsidRPr="006512F6">
              <w:rPr>
                <w:sz w:val="24"/>
                <w:szCs w:val="24"/>
              </w:rPr>
              <w:fldChar w:fldCharType="end"/>
            </w:r>
            <w:r w:rsidRPr="006512F6">
              <w:rPr>
                <w:sz w:val="24"/>
                <w:szCs w:val="24"/>
              </w:rPr>
              <w:t xml:space="preserve">  Observer State</w:t>
            </w:r>
          </w:p>
          <w:p w14:paraId="0781E329" w14:textId="3B39AD6C" w:rsidR="00F82741" w:rsidRPr="003A22E2" w:rsidRDefault="009F00AF" w:rsidP="00F82741">
            <w:pPr>
              <w:ind w:left="394" w:hanging="394"/>
              <w:rPr>
                <w:sz w:val="24"/>
                <w:szCs w:val="24"/>
                <w:lang w:val="en-US"/>
              </w:rPr>
            </w:pPr>
            <w:r w:rsidRPr="00F82741">
              <w:rPr>
                <w:b/>
                <w:bCs/>
                <w:sz w:val="24"/>
                <w:szCs w:val="24"/>
              </w:rPr>
              <w:fldChar w:fldCharType="begin">
                <w:ffData>
                  <w:name w:val="Check3"/>
                  <w:enabled/>
                  <w:calcOnExit w:val="0"/>
                  <w:checkBox>
                    <w:sizeAuto/>
                    <w:default w:val="0"/>
                  </w:checkBox>
                </w:ffData>
              </w:fldChar>
            </w:r>
            <w:r w:rsidRPr="00F82741">
              <w:rPr>
                <w:b/>
                <w:bCs/>
                <w:sz w:val="24"/>
                <w:szCs w:val="24"/>
              </w:rPr>
              <w:instrText xml:space="preserve"> FORMCHECKBOX </w:instrText>
            </w:r>
            <w:r w:rsidR="000C0A35">
              <w:rPr>
                <w:b/>
                <w:bCs/>
                <w:sz w:val="24"/>
                <w:szCs w:val="24"/>
              </w:rPr>
            </w:r>
            <w:r w:rsidR="000C0A35">
              <w:rPr>
                <w:b/>
                <w:bCs/>
                <w:sz w:val="24"/>
                <w:szCs w:val="24"/>
              </w:rPr>
              <w:fldChar w:fldCharType="separate"/>
            </w:r>
            <w:r w:rsidRPr="00F82741">
              <w:rPr>
                <w:b/>
                <w:bCs/>
                <w:sz w:val="24"/>
                <w:szCs w:val="24"/>
              </w:rPr>
              <w:fldChar w:fldCharType="end"/>
            </w:r>
            <w:r w:rsidRPr="006512F6">
              <w:rPr>
                <w:sz w:val="24"/>
                <w:szCs w:val="24"/>
              </w:rPr>
              <w:t xml:space="preserve">  </w:t>
            </w:r>
            <w:r w:rsidRPr="00F82741">
              <w:rPr>
                <w:b/>
                <w:bCs/>
                <w:sz w:val="24"/>
                <w:szCs w:val="24"/>
              </w:rPr>
              <w:t>Other (please specify)</w:t>
            </w:r>
          </w:p>
        </w:tc>
      </w:tr>
      <w:tr w:rsidR="009F00AF" w:rsidRPr="003A22E2" w14:paraId="17F5FE06"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820E9E">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F162E" w14:textId="1EF4C2E8" w:rsidR="009F00AF" w:rsidRPr="00F82741" w:rsidRDefault="00F82741" w:rsidP="00820E9E">
            <w:pPr>
              <w:rPr>
                <w:sz w:val="24"/>
                <w:szCs w:val="24"/>
                <w:lang w:val="es-MX"/>
              </w:rPr>
            </w:pPr>
            <w:r w:rsidRPr="00F82741">
              <w:rPr>
                <w:sz w:val="24"/>
                <w:szCs w:val="24"/>
                <w:lang w:val="es-MX"/>
              </w:rPr>
              <w:t>Amicus</w:t>
            </w:r>
            <w:r w:rsidR="00EB6663">
              <w:rPr>
                <w:sz w:val="24"/>
                <w:szCs w:val="24"/>
                <w:lang w:val="es-MX"/>
              </w:rPr>
              <w:t xml:space="preserve"> (a</w:t>
            </w:r>
            <w:r w:rsidRPr="00F82741">
              <w:rPr>
                <w:sz w:val="24"/>
                <w:szCs w:val="24"/>
                <w:lang w:val="es-MX"/>
              </w:rPr>
              <w:t xml:space="preserve"> Mexican civil society organization</w:t>
            </w:r>
            <w:r w:rsidR="00EB6663">
              <w:rPr>
                <w:sz w:val="24"/>
                <w:szCs w:val="24"/>
                <w:lang w:val="es-MX"/>
              </w:rPr>
              <w:t>)</w:t>
            </w:r>
          </w:p>
          <w:p w14:paraId="2A65A19E" w14:textId="1AF14D54" w:rsidR="00F82741" w:rsidRPr="00F82741" w:rsidRDefault="00F82741" w:rsidP="00820E9E">
            <w:pPr>
              <w:rPr>
                <w:sz w:val="24"/>
                <w:szCs w:val="24"/>
                <w:lang w:val="es-MX"/>
              </w:rPr>
            </w:pPr>
            <w:r w:rsidRPr="00F82741">
              <w:rPr>
                <w:sz w:val="24"/>
                <w:szCs w:val="24"/>
                <w:lang w:val="es-MX"/>
              </w:rPr>
              <w:t>Pablo de los Cobos Alcalá and Juan Pablo Delgado Miranda</w:t>
            </w:r>
          </w:p>
        </w:tc>
      </w:tr>
      <w:tr w:rsidR="009F00AF" w:rsidRPr="006512F6" w14:paraId="690C7624" w14:textId="77777777" w:rsidTr="00820E9E">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EE011" w14:textId="77777777" w:rsidR="009F00AF" w:rsidRPr="006512F6" w:rsidRDefault="009F00AF" w:rsidP="00820E9E">
            <w:pPr>
              <w:pStyle w:val="BodyA"/>
              <w:rPr>
                <w:rStyle w:val="None"/>
                <w:rFonts w:ascii="Times New Roman" w:hAnsi="Times New Roman" w:cs="Times New Roman"/>
              </w:rPr>
            </w:pPr>
            <w:r w:rsidRPr="006512F6">
              <w:rPr>
                <w:rStyle w:val="None"/>
                <w:rFonts w:ascii="Times New Roman" w:hAnsi="Times New Roman" w:cs="Times New Roman"/>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6D0FD" w14:textId="44F0142E" w:rsidR="009F00AF" w:rsidRPr="006512F6" w:rsidRDefault="000C0A35" w:rsidP="00820E9E">
            <w:pPr>
              <w:rPr>
                <w:sz w:val="24"/>
                <w:szCs w:val="24"/>
              </w:rPr>
            </w:pPr>
            <w:hyperlink r:id="rId13" w:history="1">
              <w:r w:rsidR="00F82741" w:rsidRPr="00831CC1">
                <w:rPr>
                  <w:rStyle w:val="Hyperlink"/>
                  <w:sz w:val="24"/>
                  <w:szCs w:val="24"/>
                </w:rPr>
                <w:t>pablodeloscobos@gmail.com</w:t>
              </w:r>
            </w:hyperlink>
            <w:r w:rsidR="00F82741">
              <w:rPr>
                <w:sz w:val="24"/>
                <w:szCs w:val="24"/>
              </w:rPr>
              <w:t xml:space="preserve"> </w:t>
            </w:r>
          </w:p>
        </w:tc>
      </w:tr>
      <w:tr w:rsidR="009F00AF" w:rsidRPr="006512F6" w14:paraId="57732BA4" w14:textId="77777777" w:rsidTr="00820E9E">
        <w:trPr>
          <w:trHeight w:val="1835"/>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2310"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 xml:space="preserve">Can we attribute responses to this questionnaire to </w:t>
            </w:r>
            <w:r>
              <w:rPr>
                <w:rStyle w:val="None"/>
                <w:rFonts w:ascii="Times New Roman" w:hAnsi="Times New Roman" w:cs="Times New Roman"/>
              </w:rPr>
              <w:t xml:space="preserve">your State </w:t>
            </w:r>
            <w:r w:rsidRPr="006512F6">
              <w:rPr>
                <w:rStyle w:val="None"/>
                <w:rFonts w:ascii="Times New Roman" w:hAnsi="Times New Roman" w:cs="Times New Roman"/>
              </w:rPr>
              <w:t>publicly</w:t>
            </w:r>
            <w:r w:rsidRPr="006512F6">
              <w:rPr>
                <w:rFonts w:ascii="Times New Roman" w:hAnsi="Times New Roman" w:cs="Times New Roman"/>
              </w:rPr>
              <w:t>*</w:t>
            </w:r>
            <w:r w:rsidRPr="006512F6">
              <w:rPr>
                <w:rStyle w:val="None"/>
                <w:rFonts w:ascii="Times New Roman" w:hAnsi="Times New Roman" w:cs="Times New Roman"/>
              </w:rPr>
              <w:t>?</w:t>
            </w:r>
            <w:r w:rsidRPr="006512F6">
              <w:rPr>
                <w:rFonts w:ascii="Times New Roman" w:hAnsi="Times New Roman" w:cs="Times New Roman"/>
              </w:rPr>
              <w:t xml:space="preserve"> </w:t>
            </w:r>
          </w:p>
          <w:p w14:paraId="5ED6EA70" w14:textId="77777777" w:rsidR="009F00AF" w:rsidRPr="006512F6" w:rsidRDefault="009F00AF" w:rsidP="00820E9E">
            <w:pPr>
              <w:pStyle w:val="BodyA"/>
              <w:rPr>
                <w:rFonts w:ascii="Times New Roman" w:hAnsi="Times New Roman" w:cs="Times New Roman"/>
              </w:rPr>
            </w:pPr>
          </w:p>
          <w:p w14:paraId="75ECAB6B" w14:textId="77777777" w:rsidR="009F00AF" w:rsidRPr="006512F6" w:rsidRDefault="009F00AF" w:rsidP="00820E9E">
            <w:pPr>
              <w:pStyle w:val="BodyA"/>
              <w:rPr>
                <w:rFonts w:ascii="Times New Roman" w:hAnsi="Times New Roman" w:cs="Times New Roman"/>
              </w:rPr>
            </w:pPr>
            <w:r w:rsidRPr="006512F6">
              <w:rPr>
                <w:rFonts w:ascii="Times New Roman" w:hAnsi="Times New Roman" w:cs="Times New Roman"/>
              </w:rPr>
              <w:t xml:space="preserve">*On OHCHR website, under the section of SR </w:t>
            </w:r>
            <w:r>
              <w:rPr>
                <w:rFonts w:ascii="Times New Roman" w:hAnsi="Times New Roman" w:cs="Times New Roman"/>
              </w:rPr>
              <w:t>h</w:t>
            </w:r>
            <w:r w:rsidRPr="006512F6">
              <w:rPr>
                <w:rFonts w:ascii="Times New Roman" w:hAnsi="Times New Roman" w:cs="Times New Roman"/>
              </w:rPr>
              <w:t>ealth</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914D2" w14:textId="77777777" w:rsidR="009F00AF" w:rsidRPr="006512F6" w:rsidRDefault="009F00AF" w:rsidP="00820E9E">
            <w:pPr>
              <w:pStyle w:val="BodyA"/>
              <w:rPr>
                <w:rStyle w:val="None"/>
                <w:rFonts w:ascii="Times New Roman" w:eastAsia="Times New Roman" w:hAnsi="Times New Roman" w:cs="Times New Roman"/>
              </w:rPr>
            </w:pPr>
            <w:r w:rsidRPr="006512F6">
              <w:rPr>
                <w:rStyle w:val="None"/>
                <w:rFonts w:ascii="Times New Roman" w:hAnsi="Times New Roman" w:cs="Times New Roman"/>
              </w:rPr>
              <w:t xml:space="preserve"> </w:t>
            </w:r>
            <w:r w:rsidRPr="00F82741">
              <w:rPr>
                <w:rStyle w:val="None"/>
                <w:rFonts w:ascii="Times New Roman" w:hAnsi="Times New Roman" w:cs="Times New Roman"/>
                <w:b/>
                <w:bCs/>
              </w:rPr>
              <w:t xml:space="preserve">Yes </w:t>
            </w:r>
            <w:r w:rsidRPr="006512F6">
              <w:rPr>
                <w:rStyle w:val="None"/>
                <w:rFonts w:ascii="Times New Roman" w:hAnsi="Times New Roman" w:cs="Times New Roman"/>
              </w:rPr>
              <w:t xml:space="preserve">          No</w:t>
            </w:r>
          </w:p>
          <w:p w14:paraId="272073F6" w14:textId="77777777" w:rsidR="009F00AF" w:rsidRPr="006512F6" w:rsidRDefault="009F00AF" w:rsidP="00820E9E">
            <w:pPr>
              <w:pStyle w:val="BodyA"/>
              <w:rPr>
                <w:rStyle w:val="None"/>
                <w:rFonts w:ascii="Times New Roman" w:eastAsia="Times New Roman" w:hAnsi="Times New Roman" w:cs="Times New Roman"/>
              </w:rPr>
            </w:pPr>
          </w:p>
          <w:p w14:paraId="2BAE826C" w14:textId="77777777" w:rsidR="009F00AF" w:rsidRDefault="009F00AF" w:rsidP="00820E9E">
            <w:pPr>
              <w:pStyle w:val="BodyA"/>
              <w:rPr>
                <w:rStyle w:val="None"/>
                <w:rFonts w:ascii="Times New Roman" w:hAnsi="Times New Roman" w:cs="Times New Roman"/>
              </w:rPr>
            </w:pPr>
            <w:r w:rsidRPr="006512F6">
              <w:rPr>
                <w:rStyle w:val="None"/>
                <w:rFonts w:ascii="Times New Roman" w:hAnsi="Times New Roman" w:cs="Times New Roman"/>
              </w:rPr>
              <w:t>Comments (if any):</w:t>
            </w:r>
          </w:p>
          <w:p w14:paraId="24A2E6FD" w14:textId="77777777" w:rsidR="00EB6663" w:rsidRDefault="00EB6663" w:rsidP="00820E9E">
            <w:pPr>
              <w:pStyle w:val="BodyA"/>
              <w:rPr>
                <w:rFonts w:ascii="Times New Roman" w:hAnsi="Times New Roman" w:cs="Times New Roman"/>
              </w:rPr>
            </w:pPr>
          </w:p>
          <w:p w14:paraId="230D7CA3" w14:textId="4627141E" w:rsidR="00F82741" w:rsidRPr="006512F6" w:rsidRDefault="00EB6663" w:rsidP="00820E9E">
            <w:pPr>
              <w:pStyle w:val="BodyA"/>
              <w:rPr>
                <w:rFonts w:ascii="Times New Roman" w:hAnsi="Times New Roman" w:cs="Times New Roman"/>
              </w:rPr>
            </w:pPr>
            <w:r w:rsidRPr="00EB6663">
              <w:rPr>
                <w:rFonts w:ascii="Times New Roman" w:hAnsi="Times New Roman" w:cs="Times New Roman"/>
              </w:rPr>
              <w:t>Answers are in bold</w:t>
            </w:r>
            <w:r>
              <w:rPr>
                <w:rFonts w:ascii="Times New Roman" w:hAnsi="Times New Roman" w:cs="Times New Roman"/>
              </w:rPr>
              <w:t xml:space="preserve"> below the respective question</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p>
    <w:p w14:paraId="4C768660" w14:textId="77777777" w:rsidR="009F00AF" w:rsidRDefault="009F00AF" w:rsidP="009F00AF">
      <w:pPr>
        <w:pStyle w:val="Heading1"/>
        <w:ind w:left="0"/>
        <w:jc w:val="left"/>
        <w:rPr>
          <w:rStyle w:val="Instructions"/>
          <w:sz w:val="24"/>
          <w:szCs w:val="24"/>
        </w:rPr>
      </w:pPr>
      <w:bookmarkStart w:id="3" w:name="_Toc48734679"/>
      <w:r w:rsidRPr="006512F6">
        <w:rPr>
          <w:sz w:val="24"/>
          <w:szCs w:val="24"/>
        </w:rPr>
        <w:t>Background</w:t>
      </w:r>
      <w:r w:rsidRPr="006512F6">
        <w:rPr>
          <w:rStyle w:val="Instructions"/>
          <w:sz w:val="24"/>
          <w:szCs w:val="24"/>
        </w:rPr>
        <w:t xml:space="preserve"> </w:t>
      </w:r>
      <w:bookmarkStart w:id="4" w:name="_Toc48734680"/>
      <w:bookmarkEnd w:id="3"/>
    </w:p>
    <w:p w14:paraId="7A0E004A" w14:textId="77777777" w:rsidR="009F00AF" w:rsidRPr="005879B6" w:rsidRDefault="009F00AF" w:rsidP="009F00AF"/>
    <w:p w14:paraId="062E1AE9" w14:textId="77777777" w:rsidR="009F00AF" w:rsidRPr="0096645F" w:rsidRDefault="009F00AF" w:rsidP="009F00AF">
      <w:pPr>
        <w:shd w:val="clear" w:color="auto" w:fill="FFFFFF"/>
        <w:jc w:val="both"/>
        <w:outlineLvl w:val="2"/>
        <w:rPr>
          <w:color w:val="000000"/>
          <w:sz w:val="24"/>
          <w:szCs w:val="24"/>
          <w:lang w:eastAsia="en-GB"/>
        </w:rPr>
      </w:pPr>
      <w:r w:rsidRPr="00FD7550">
        <w:rPr>
          <w:color w:val="000000"/>
          <w:sz w:val="24"/>
          <w:szCs w:val="24"/>
          <w:lang w:eastAsia="en-GB"/>
        </w:rPr>
        <w:t xml:space="preserve">Within the framework of Human Rights Council resolution 42/16, the Special </w:t>
      </w:r>
      <w:r>
        <w:rPr>
          <w:color w:val="000000"/>
          <w:sz w:val="24"/>
          <w:szCs w:val="24"/>
          <w:lang w:eastAsia="en-GB"/>
        </w:rPr>
        <w:t>R</w:t>
      </w:r>
      <w:r w:rsidRPr="00FD7550">
        <w:rPr>
          <w:color w:val="000000"/>
          <w:sz w:val="24"/>
          <w:szCs w:val="24"/>
          <w:lang w:eastAsia="en-GB"/>
        </w:rPr>
        <w:t xml:space="preserve">apporteur on the highest attainable standard of physical and mental health has identified sexuality, gender based violence and femicide as one of her priorities during her tenure (See </w:t>
      </w:r>
      <w:hyperlink r:id="rId14" w:history="1">
        <w:r w:rsidRPr="00FD7550">
          <w:rPr>
            <w:rStyle w:val="Hyperlink"/>
            <w:sz w:val="24"/>
            <w:szCs w:val="24"/>
            <w:lang w:eastAsia="en-GB"/>
          </w:rPr>
          <w:t>A/HRC/47/28</w:t>
        </w:r>
      </w:hyperlink>
      <w:r w:rsidRPr="00FD7550">
        <w:rPr>
          <w:color w:val="000000"/>
          <w:sz w:val="24"/>
          <w:szCs w:val="24"/>
          <w:lang w:eastAsia="en-GB"/>
        </w:rPr>
        <w:t xml:space="preserve"> paras 50-64). In compliance with her mandate and in line with this priority she has decided to devote her next thematic report to the 50</w:t>
      </w:r>
      <w:r w:rsidRPr="00FD7550">
        <w:rPr>
          <w:color w:val="000000"/>
          <w:sz w:val="24"/>
          <w:szCs w:val="24"/>
          <w:vertAlign w:val="superscript"/>
          <w:lang w:eastAsia="en-GB"/>
        </w:rPr>
        <w:t>th</w:t>
      </w:r>
      <w:r w:rsidRPr="00FD7550">
        <w:rPr>
          <w:color w:val="000000"/>
          <w:sz w:val="24"/>
          <w:szCs w:val="24"/>
          <w:lang w:eastAsia="en-GB"/>
        </w:rPr>
        <w:t xml:space="preserve"> session of the Human Rig</w:t>
      </w:r>
      <w:r>
        <w:rPr>
          <w:color w:val="000000"/>
          <w:sz w:val="24"/>
          <w:szCs w:val="24"/>
          <w:lang w:eastAsia="en-GB"/>
        </w:rPr>
        <w:t xml:space="preserve">hts Council in June 2022 to the theme </w:t>
      </w:r>
      <w:r w:rsidRPr="0096645F">
        <w:rPr>
          <w:color w:val="000000"/>
          <w:sz w:val="24"/>
          <w:szCs w:val="24"/>
          <w:lang w:eastAsia="en-GB"/>
        </w:rPr>
        <w:t xml:space="preserve">of “Violence and its impact on the right to health.” </w:t>
      </w:r>
    </w:p>
    <w:p w14:paraId="31CB1238" w14:textId="77777777" w:rsidR="009F00AF" w:rsidRDefault="009F00AF" w:rsidP="009F00AF">
      <w:pPr>
        <w:pStyle w:val="Heading1"/>
        <w:ind w:firstLine="563"/>
        <w:jc w:val="left"/>
        <w:rPr>
          <w:sz w:val="24"/>
          <w:szCs w:val="24"/>
        </w:rPr>
      </w:pPr>
    </w:p>
    <w:p w14:paraId="5686C350" w14:textId="77777777" w:rsidR="009F00AF" w:rsidRDefault="009F00AF" w:rsidP="009F00AF">
      <w:pPr>
        <w:pStyle w:val="Heading1"/>
        <w:ind w:firstLine="563"/>
        <w:jc w:val="left"/>
        <w:rPr>
          <w:sz w:val="24"/>
          <w:szCs w:val="24"/>
        </w:rPr>
      </w:pPr>
      <w:r w:rsidRPr="006512F6">
        <w:rPr>
          <w:sz w:val="24"/>
          <w:szCs w:val="24"/>
        </w:rPr>
        <w:t>Objectives</w:t>
      </w:r>
      <w:bookmarkEnd w:id="4"/>
      <w:r w:rsidRPr="006512F6">
        <w:rPr>
          <w:sz w:val="24"/>
          <w:szCs w:val="24"/>
        </w:rPr>
        <w:t xml:space="preserve"> of the report</w:t>
      </w:r>
    </w:p>
    <w:p w14:paraId="0AFFAD28" w14:textId="77777777" w:rsidR="009F00AF" w:rsidRPr="005879B6" w:rsidRDefault="009F00AF" w:rsidP="009F00AF">
      <w:pPr>
        <w:jc w:val="both"/>
      </w:pPr>
    </w:p>
    <w:p w14:paraId="0DA289E3" w14:textId="77777777" w:rsidR="009F00AF" w:rsidRPr="0096645F" w:rsidRDefault="009F00AF" w:rsidP="009F00AF">
      <w:pPr>
        <w:shd w:val="clear" w:color="auto" w:fill="FFFFFF"/>
        <w:jc w:val="both"/>
        <w:outlineLvl w:val="2"/>
        <w:rPr>
          <w:color w:val="000000"/>
          <w:sz w:val="24"/>
          <w:szCs w:val="24"/>
          <w:lang w:eastAsia="en-GB"/>
        </w:rPr>
      </w:pPr>
      <w:bookmarkStart w:id="5" w:name="_Toc48734681"/>
      <w:r w:rsidRPr="00FD7550">
        <w:rPr>
          <w:color w:val="000000"/>
          <w:sz w:val="24"/>
          <w:szCs w:val="24"/>
          <w:lang w:eastAsia="en-GB"/>
        </w:rPr>
        <w:t xml:space="preserve">The Special Rapporteur intends to shed light on who is seen as victims of violence, and who is affected by what type of violence, with </w:t>
      </w:r>
      <w:r w:rsidRPr="0096645F">
        <w:rPr>
          <w:color w:val="000000"/>
          <w:sz w:val="24"/>
          <w:szCs w:val="24"/>
          <w:lang w:eastAsia="en-GB"/>
        </w:rPr>
        <w:t xml:space="preserve">emphasis on the violence experienced by women, children, LGBTI persons </w:t>
      </w:r>
      <w:r w:rsidRPr="0096645F">
        <w:rPr>
          <w:sz w:val="24"/>
          <w:szCs w:val="24"/>
          <w:lang w:eastAsia="en-GB"/>
        </w:rPr>
        <w:t>and conflict related gender based violence. She will also explore the role of men as perpetrato</w:t>
      </w:r>
      <w:r w:rsidRPr="0096645F">
        <w:rPr>
          <w:color w:val="000000"/>
          <w:sz w:val="24"/>
          <w:szCs w:val="24"/>
          <w:lang w:eastAsia="en-GB"/>
        </w:rPr>
        <w:t>rs and their experience as victims of violence. Her analysis will look into the responses that survivors of violence receive</w:t>
      </w:r>
      <w:r w:rsidRPr="0096645F">
        <w:rPr>
          <w:color w:val="FF0000"/>
          <w:sz w:val="24"/>
          <w:szCs w:val="24"/>
          <w:lang w:eastAsia="en-GB"/>
        </w:rPr>
        <w:t xml:space="preserve"> </w:t>
      </w:r>
      <w:r w:rsidRPr="0096645F">
        <w:rPr>
          <w:color w:val="000000"/>
          <w:sz w:val="24"/>
          <w:szCs w:val="24"/>
          <w:lang w:eastAsia="en-GB"/>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2F907F57" w14:textId="31A65C84" w:rsidR="009F00AF" w:rsidRPr="00FD7550" w:rsidRDefault="009F00AF" w:rsidP="009F00AF">
      <w:pPr>
        <w:shd w:val="clear" w:color="auto" w:fill="FFFFFF"/>
        <w:spacing w:before="100" w:beforeAutospacing="1" w:after="100" w:afterAutospacing="1"/>
        <w:jc w:val="both"/>
        <w:outlineLvl w:val="2"/>
        <w:rPr>
          <w:color w:val="000000" w:themeColor="text1"/>
          <w:sz w:val="24"/>
          <w:szCs w:val="24"/>
          <w:lang w:eastAsia="en-GB"/>
        </w:rPr>
      </w:pPr>
      <w:r w:rsidRPr="0096645F">
        <w:rPr>
          <w:color w:val="000000"/>
          <w:sz w:val="24"/>
          <w:szCs w:val="24"/>
          <w:lang w:eastAsia="en-GB"/>
        </w:rPr>
        <w:t xml:space="preserve">In her report, the Special Rapporteur will address, inter alia, issues related to gender based violence, (including inter-personal and intimate violence), as well as structural </w:t>
      </w:r>
      <w:r w:rsidRPr="0096645F">
        <w:rPr>
          <w:sz w:val="24"/>
          <w:szCs w:val="24"/>
          <w:lang w:eastAsia="en-GB"/>
        </w:rPr>
        <w:t>violence. She will also assess the impact of the criminalization of sex work, same sex relations, transgender persons, abortion, drug use etc</w:t>
      </w:r>
      <w:r w:rsidR="003830AB">
        <w:rPr>
          <w:sz w:val="24"/>
          <w:szCs w:val="24"/>
          <w:lang w:eastAsia="en-GB"/>
        </w:rPr>
        <w:t>.</w:t>
      </w:r>
      <w:r w:rsidR="00C86EEC">
        <w:rPr>
          <w:sz w:val="24"/>
          <w:szCs w:val="24"/>
          <w:lang w:eastAsia="en-GB"/>
        </w:rPr>
        <w:t xml:space="preserve"> on the enjoyment of the right to health</w:t>
      </w:r>
      <w:r w:rsidRPr="0096645F">
        <w:rPr>
          <w:sz w:val="24"/>
          <w:szCs w:val="24"/>
          <w:lang w:eastAsia="en-GB"/>
        </w:rPr>
        <w:t xml:space="preserve">. </w:t>
      </w:r>
      <w:r w:rsidRPr="00FD7550">
        <w:rPr>
          <w:color w:val="000000"/>
          <w:sz w:val="24"/>
          <w:szCs w:val="24"/>
          <w:lang w:eastAsia="en-GB"/>
        </w:rPr>
        <w:t xml:space="preserve">The Special Rapporteur would like to </w:t>
      </w:r>
      <w:r w:rsidRPr="0096645F">
        <w:rPr>
          <w:color w:val="000000"/>
          <w:sz w:val="24"/>
          <w:szCs w:val="24"/>
          <w:lang w:eastAsia="en-GB"/>
        </w:rPr>
        <w:t xml:space="preserve">identify good practices and examples of comprehensive health responses to survivors of violence, and to identify lessons learned at the </w:t>
      </w:r>
      <w:r w:rsidRPr="0096645F">
        <w:rPr>
          <w:color w:val="000000" w:themeColor="text1"/>
          <w:sz w:val="24"/>
          <w:szCs w:val="24"/>
          <w:lang w:eastAsia="en-GB"/>
        </w:rPr>
        <w:t>community, national, regional and international</w:t>
      </w:r>
      <w:r w:rsidRPr="00FD7550">
        <w:rPr>
          <w:color w:val="000000" w:themeColor="text1"/>
          <w:sz w:val="24"/>
          <w:szCs w:val="24"/>
          <w:lang w:eastAsia="en-GB"/>
        </w:rPr>
        <w:t xml:space="preserve"> levels.</w:t>
      </w:r>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r w:rsidRPr="00373EF9">
        <w:rPr>
          <w:sz w:val="24"/>
          <w:szCs w:val="24"/>
        </w:rPr>
        <w:t xml:space="preserve">Key questions </w:t>
      </w:r>
      <w:bookmarkEnd w:id="5"/>
    </w:p>
    <w:p w14:paraId="1020CF9A" w14:textId="77777777" w:rsidR="009F00AF" w:rsidRPr="0096645F" w:rsidRDefault="009F00AF" w:rsidP="009F00AF">
      <w:pPr>
        <w:rPr>
          <w:sz w:val="24"/>
          <w:szCs w:val="24"/>
        </w:rPr>
      </w:pPr>
    </w:p>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answer all or some of the questions below. (750 words limit per question).</w:t>
      </w:r>
    </w:p>
    <w:p w14:paraId="1A4A3243" w14:textId="77777777" w:rsidR="009F00AF" w:rsidRDefault="009F00AF" w:rsidP="009F00AF">
      <w:pPr>
        <w:shd w:val="clear" w:color="auto" w:fill="FFFFFF"/>
        <w:spacing w:line="259" w:lineRule="auto"/>
        <w:outlineLvl w:val="2"/>
        <w:rPr>
          <w:color w:val="000000"/>
          <w:sz w:val="24"/>
          <w:szCs w:val="24"/>
          <w:lang w:eastAsia="en-GB"/>
        </w:rPr>
      </w:pPr>
    </w:p>
    <w:p w14:paraId="2B76F920" w14:textId="77777777" w:rsidR="009F00AF" w:rsidRDefault="009F00AF" w:rsidP="009F00AF">
      <w:pPr>
        <w:shd w:val="clear" w:color="auto" w:fill="FFFFFF"/>
        <w:spacing w:line="259" w:lineRule="auto"/>
        <w:outlineLvl w:val="2"/>
        <w:rPr>
          <w:color w:val="000000"/>
          <w:sz w:val="24"/>
          <w:szCs w:val="24"/>
          <w:lang w:eastAsia="en-GB"/>
        </w:rPr>
      </w:pPr>
      <w:r w:rsidRPr="0096645F">
        <w:rPr>
          <w:color w:val="000000"/>
          <w:sz w:val="24"/>
          <w:szCs w:val="24"/>
          <w:lang w:eastAsia="en-GB"/>
        </w:rPr>
        <w:t xml:space="preserve">When responding to the questions below, please use the glossary with definitions at the end of the questionnaire, and refer to all or some of </w:t>
      </w:r>
      <w:r>
        <w:rPr>
          <w:color w:val="000000"/>
          <w:sz w:val="24"/>
          <w:szCs w:val="24"/>
          <w:lang w:eastAsia="en-GB"/>
        </w:rPr>
        <w:t xml:space="preserve">the </w:t>
      </w:r>
      <w:r w:rsidRPr="0096645F">
        <w:rPr>
          <w:color w:val="000000"/>
          <w:sz w:val="24"/>
          <w:szCs w:val="24"/>
          <w:lang w:eastAsia="en-GB"/>
        </w:rPr>
        <w:t>forms of violence in focus for this study as applicable in your country, countries or region in focus:</w:t>
      </w:r>
    </w:p>
    <w:p w14:paraId="0E4010BA" w14:textId="77777777" w:rsidR="009F00AF" w:rsidRPr="0096645F" w:rsidRDefault="009F00AF" w:rsidP="009F00AF">
      <w:pPr>
        <w:shd w:val="clear" w:color="auto" w:fill="FFFFFF"/>
        <w:spacing w:line="259" w:lineRule="auto"/>
        <w:outlineLvl w:val="2"/>
        <w:rPr>
          <w:color w:val="000000"/>
          <w:sz w:val="24"/>
          <w:szCs w:val="24"/>
          <w:lang w:eastAsia="en-GB"/>
        </w:rPr>
      </w:pPr>
    </w:p>
    <w:p w14:paraId="4ACE69B7" w14:textId="77777777" w:rsidR="009F00AF" w:rsidRDefault="009F00AF" w:rsidP="009F00AF">
      <w:pPr>
        <w:pStyle w:val="ListParagraph"/>
        <w:numPr>
          <w:ilvl w:val="0"/>
          <w:numId w:val="1"/>
        </w:numPr>
        <w:shd w:val="clear" w:color="auto" w:fill="FFFFFF"/>
        <w:spacing w:line="259" w:lineRule="auto"/>
        <w:outlineLvl w:val="2"/>
        <w:rPr>
          <w:color w:val="000000"/>
          <w:sz w:val="24"/>
          <w:szCs w:val="24"/>
          <w:lang w:eastAsia="en-GB"/>
        </w:rPr>
      </w:pPr>
      <w:r w:rsidRPr="0096645F">
        <w:rPr>
          <w:color w:val="000000"/>
          <w:sz w:val="24"/>
          <w:szCs w:val="24"/>
          <w:lang w:eastAsia="en-GB"/>
        </w:rPr>
        <w:t>Please describe, share data and information on the characteristics, number of cases, and the profile of victims and perpetrators in your country/ies or region(s) regarding:</w:t>
      </w:r>
    </w:p>
    <w:p w14:paraId="6BBA6985" w14:textId="77777777" w:rsidR="009F00AF" w:rsidRPr="0096645F" w:rsidRDefault="009F00AF" w:rsidP="009F00AF">
      <w:pPr>
        <w:pStyle w:val="ListParagraph"/>
        <w:shd w:val="clear" w:color="auto" w:fill="FFFFFF"/>
        <w:spacing w:line="259" w:lineRule="auto"/>
        <w:ind w:left="360"/>
        <w:outlineLvl w:val="2"/>
        <w:rPr>
          <w:color w:val="000000"/>
          <w:sz w:val="24"/>
          <w:szCs w:val="24"/>
          <w:lang w:eastAsia="en-GB"/>
        </w:rPr>
      </w:pPr>
    </w:p>
    <w:p w14:paraId="696EFD90" w14:textId="77777777" w:rsidR="009F00AF" w:rsidRPr="00D26877"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 xml:space="preserve">gender based violence against women </w:t>
      </w:r>
    </w:p>
    <w:p w14:paraId="62026D07"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and other forms of violence against children:</w:t>
      </w:r>
    </w:p>
    <w:p w14:paraId="121D9F14" w14:textId="77777777" w:rsidR="009F00AF" w:rsidRPr="0096645F" w:rsidRDefault="009F00AF" w:rsidP="009F00AF">
      <w:pPr>
        <w:pStyle w:val="ListParagraph"/>
        <w:numPr>
          <w:ilvl w:val="1"/>
          <w:numId w:val="2"/>
        </w:numPr>
        <w:shd w:val="clear" w:color="auto" w:fill="FFFFFF"/>
        <w:spacing w:line="259" w:lineRule="auto"/>
        <w:outlineLvl w:val="2"/>
        <w:rPr>
          <w:sz w:val="24"/>
          <w:szCs w:val="24"/>
          <w:lang w:eastAsia="en-GB"/>
        </w:rPr>
      </w:pPr>
      <w:r w:rsidRPr="0096645F">
        <w:rPr>
          <w:color w:val="000000"/>
          <w:sz w:val="24"/>
          <w:szCs w:val="24"/>
          <w:lang w:eastAsia="en-GB"/>
        </w:rPr>
        <w:t xml:space="preserve">gender based violence against </w:t>
      </w:r>
      <w:r w:rsidRPr="0096645F">
        <w:rPr>
          <w:sz w:val="24"/>
          <w:szCs w:val="24"/>
          <w:lang w:eastAsia="en-GB"/>
        </w:rPr>
        <w:t xml:space="preserve">LGBTI or other persons based on </w:t>
      </w:r>
      <w:r w:rsidRPr="0096645F">
        <w:rPr>
          <w:color w:val="000000"/>
          <w:sz w:val="24"/>
          <w:szCs w:val="24"/>
          <w:lang w:eastAsia="en-GB"/>
        </w:rPr>
        <w:t>real or imputed sexual orientation</w:t>
      </w:r>
      <w:r w:rsidRPr="0096645F">
        <w:rPr>
          <w:sz w:val="24"/>
          <w:szCs w:val="24"/>
          <w:lang w:eastAsia="en-GB"/>
        </w:rPr>
        <w:t xml:space="preserve">, sex characteristics, and gender identity: </w:t>
      </w:r>
    </w:p>
    <w:p w14:paraId="156C8D92"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sz w:val="24"/>
          <w:szCs w:val="24"/>
          <w:lang w:eastAsia="en-GB"/>
        </w:rPr>
        <w:t>violence against persons with disabilities</w:t>
      </w:r>
      <w:r w:rsidRPr="0096645F">
        <w:rPr>
          <w:color w:val="000000"/>
          <w:sz w:val="24"/>
          <w:szCs w:val="24"/>
          <w:lang w:eastAsia="en-GB"/>
        </w:rPr>
        <w:t>, including GBV.</w:t>
      </w:r>
    </w:p>
    <w:p w14:paraId="007FE293"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against men</w:t>
      </w:r>
    </w:p>
    <w:p w14:paraId="4523CE49"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conflict gender based violence, including sexual violence</w:t>
      </w:r>
    </w:p>
    <w:p w14:paraId="09AD98CC"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Please share analysis and available evidence on the impact of COVID on the above</w:t>
      </w:r>
    </w:p>
    <w:p w14:paraId="04EF3493" w14:textId="67C0967C" w:rsidR="00EB6663" w:rsidRDefault="00EB6663" w:rsidP="00EB6663">
      <w:pPr>
        <w:shd w:val="clear" w:color="auto" w:fill="FFFFFF"/>
        <w:spacing w:line="259" w:lineRule="auto"/>
        <w:outlineLvl w:val="2"/>
        <w:rPr>
          <w:color w:val="000000"/>
          <w:sz w:val="24"/>
          <w:szCs w:val="24"/>
          <w:lang w:eastAsia="en-GB"/>
        </w:rPr>
      </w:pPr>
    </w:p>
    <w:p w14:paraId="41D1CBA6" w14:textId="77777777" w:rsidR="00EB6663" w:rsidRPr="00EB6663" w:rsidRDefault="00EB6663" w:rsidP="003A22E2">
      <w:pPr>
        <w:shd w:val="clear" w:color="auto" w:fill="FFFFFF"/>
        <w:spacing w:line="259" w:lineRule="auto"/>
        <w:jc w:val="both"/>
        <w:outlineLvl w:val="2"/>
        <w:rPr>
          <w:b/>
          <w:bCs/>
          <w:color w:val="000000"/>
          <w:sz w:val="24"/>
          <w:szCs w:val="24"/>
          <w:lang w:eastAsia="en-GB"/>
        </w:rPr>
      </w:pPr>
      <w:r w:rsidRPr="00EB6663">
        <w:rPr>
          <w:b/>
          <w:bCs/>
          <w:color w:val="000000"/>
          <w:sz w:val="24"/>
          <w:szCs w:val="24"/>
          <w:lang w:eastAsia="en-GB"/>
        </w:rPr>
        <w:t>Mexico lacks a comprehensive information system regarding gender based violence against LGBTI people. This reality motivated Amicus to develop Visible, the first online platform to report acts of violence and discrimination against LGBTI people in the country. Reports can be made both by victims and witnesses answering a confidential questionnaire. This platform generates an open database from these reports aiming to influence the decision-making processes in public and social organizations. Visible is also a way of empowering victims offering them a safe space to express and report acts of violence and discrimination, as well as a way to link them with other social and public organizations with which we have alliances in their respective states/regions.</w:t>
      </w:r>
    </w:p>
    <w:p w14:paraId="287E6A3C" w14:textId="77777777" w:rsidR="00EB6663" w:rsidRPr="00EB6663" w:rsidRDefault="00EB6663" w:rsidP="003A22E2">
      <w:pPr>
        <w:shd w:val="clear" w:color="auto" w:fill="FFFFFF"/>
        <w:spacing w:line="259" w:lineRule="auto"/>
        <w:jc w:val="both"/>
        <w:outlineLvl w:val="2"/>
        <w:rPr>
          <w:b/>
          <w:bCs/>
          <w:color w:val="000000"/>
          <w:sz w:val="24"/>
          <w:szCs w:val="24"/>
          <w:lang w:eastAsia="en-GB"/>
        </w:rPr>
      </w:pPr>
    </w:p>
    <w:p w14:paraId="14BE4BDA" w14:textId="0A4C7895" w:rsidR="00EB6663" w:rsidRDefault="00EB6663" w:rsidP="003A22E2">
      <w:pPr>
        <w:shd w:val="clear" w:color="auto" w:fill="FFFFFF"/>
        <w:spacing w:line="259" w:lineRule="auto"/>
        <w:jc w:val="both"/>
        <w:outlineLvl w:val="2"/>
        <w:rPr>
          <w:b/>
          <w:bCs/>
          <w:color w:val="000000"/>
          <w:sz w:val="24"/>
          <w:szCs w:val="24"/>
          <w:lang w:eastAsia="en-GB"/>
        </w:rPr>
      </w:pPr>
      <w:r w:rsidRPr="00EB6663">
        <w:rPr>
          <w:b/>
          <w:bCs/>
          <w:color w:val="000000"/>
          <w:sz w:val="24"/>
          <w:szCs w:val="24"/>
          <w:lang w:eastAsia="en-GB"/>
        </w:rPr>
        <w:t>From October 2018 until December 2021, we have received 934 reports of violence or discrimination against LGBTI people. Although in some cases there could be more than one type of violence, 248 of the reports were about principally verbal abuses, 130 about killings, and 87 about physical violence. Discrimination as a form of violence has also been prevalent: 119 reports were about people being denied to enter into some place or were negated a service/right. Arbitrary detentions, sexual assaults, harassment, bullying, and hate speech have also been reported, among other types of violence.</w:t>
      </w:r>
    </w:p>
    <w:p w14:paraId="32BA9E55" w14:textId="39331E2E" w:rsidR="00365121" w:rsidRDefault="00365121" w:rsidP="00EB6663">
      <w:pPr>
        <w:shd w:val="clear" w:color="auto" w:fill="FFFFFF"/>
        <w:spacing w:line="259" w:lineRule="auto"/>
        <w:outlineLvl w:val="2"/>
        <w:rPr>
          <w:b/>
          <w:bCs/>
          <w:color w:val="000000"/>
          <w:sz w:val="24"/>
          <w:szCs w:val="24"/>
          <w:lang w:eastAsia="en-GB"/>
        </w:rPr>
      </w:pPr>
    </w:p>
    <w:p w14:paraId="6370ABAE" w14:textId="5DC85257" w:rsidR="00EB6663" w:rsidRDefault="00365121" w:rsidP="00EB6663">
      <w:pPr>
        <w:shd w:val="clear" w:color="auto" w:fill="FFFFFF"/>
        <w:spacing w:line="259" w:lineRule="auto"/>
        <w:outlineLvl w:val="2"/>
        <w:rPr>
          <w:b/>
          <w:bCs/>
          <w:color w:val="000000"/>
          <w:sz w:val="24"/>
          <w:szCs w:val="24"/>
          <w:lang w:eastAsia="en-GB"/>
        </w:rPr>
      </w:pPr>
      <w:r>
        <w:rPr>
          <w:b/>
          <w:bCs/>
          <w:noProof/>
          <w:color w:val="000000"/>
          <w:sz w:val="24"/>
          <w:szCs w:val="24"/>
          <w:lang w:eastAsia="en-GB"/>
        </w:rPr>
        <w:drawing>
          <wp:inline distT="0" distB="0" distL="0" distR="0" wp14:anchorId="04E0CBD6" wp14:editId="3EF87E4D">
            <wp:extent cx="5395595" cy="3856990"/>
            <wp:effectExtent l="0" t="0" r="0" b="0"/>
            <wp:docPr id="1"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barras&#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5595" cy="3856990"/>
                    </a:xfrm>
                    <a:prstGeom prst="rect">
                      <a:avLst/>
                    </a:prstGeom>
                    <a:noFill/>
                    <a:ln>
                      <a:noFill/>
                    </a:ln>
                  </pic:spPr>
                </pic:pic>
              </a:graphicData>
            </a:graphic>
          </wp:inline>
        </w:drawing>
      </w:r>
    </w:p>
    <w:p w14:paraId="690BB71C" w14:textId="77777777" w:rsidR="00365121" w:rsidRPr="00EB6663" w:rsidRDefault="00365121" w:rsidP="00EB6663">
      <w:pPr>
        <w:shd w:val="clear" w:color="auto" w:fill="FFFFFF"/>
        <w:spacing w:line="259" w:lineRule="auto"/>
        <w:outlineLvl w:val="2"/>
        <w:rPr>
          <w:b/>
          <w:bCs/>
          <w:color w:val="000000"/>
          <w:sz w:val="24"/>
          <w:szCs w:val="24"/>
          <w:lang w:eastAsia="en-GB"/>
        </w:rPr>
      </w:pPr>
    </w:p>
    <w:p w14:paraId="51B704E9" w14:textId="77777777" w:rsidR="00365121" w:rsidRDefault="00EB6663" w:rsidP="003A22E2">
      <w:pPr>
        <w:shd w:val="clear" w:color="auto" w:fill="FFFFFF"/>
        <w:spacing w:line="259" w:lineRule="auto"/>
        <w:jc w:val="both"/>
        <w:outlineLvl w:val="2"/>
        <w:rPr>
          <w:b/>
          <w:bCs/>
          <w:color w:val="000000"/>
          <w:sz w:val="24"/>
          <w:szCs w:val="24"/>
          <w:lang w:eastAsia="en-GB"/>
        </w:rPr>
      </w:pPr>
      <w:r w:rsidRPr="00EB6663">
        <w:rPr>
          <w:b/>
          <w:bCs/>
          <w:color w:val="000000"/>
          <w:sz w:val="24"/>
          <w:szCs w:val="24"/>
          <w:lang w:eastAsia="en-GB"/>
        </w:rPr>
        <w:t xml:space="preserve">Most of these reports have been made by witnesses (66.7%), specifically NGOs who have reported about 51.8% of the overall incidents. The rest were made by the victims themselves. Although the age range of the reported victims varies, most cases involve young people: 38.3% were 18 to 25 years old, and 20.9% were 26 to 30. Cases involving young victims have a higher proportion of self-reports compared to reports of older persons, which are mostly made by witnesses. Visible has documented reports in reference to 9 different sexual orientations; the main victims’ categories are gay (40.3%), lesbian (9.2%), and bisexual (5.6%). From the 13 victims’ gender identities referred to in the reports, the most common were cisgender men (31.6%), trans women (27.8%), and cisgender women (9.3%). On non-normative sex characteristics, so far we have not received reports regarding intersex people. Aggressions have been committed by non-public sector actors in 42.3% of the cases, while 20.9% have been made by a government official. In 36.8% of cases, the aggressor was not identified.  </w:t>
      </w:r>
    </w:p>
    <w:p w14:paraId="550964C6" w14:textId="77777777" w:rsidR="00365121" w:rsidRDefault="00365121" w:rsidP="00EB6663">
      <w:pPr>
        <w:shd w:val="clear" w:color="auto" w:fill="FFFFFF"/>
        <w:spacing w:line="259" w:lineRule="auto"/>
        <w:outlineLvl w:val="2"/>
        <w:rPr>
          <w:b/>
          <w:bCs/>
          <w:color w:val="000000"/>
          <w:sz w:val="24"/>
          <w:szCs w:val="24"/>
          <w:lang w:eastAsia="en-GB"/>
        </w:rPr>
      </w:pPr>
    </w:p>
    <w:p w14:paraId="747728F8" w14:textId="183F0CF3" w:rsidR="00EB6663" w:rsidRPr="00EB6663" w:rsidRDefault="00365121" w:rsidP="00EB6663">
      <w:pPr>
        <w:shd w:val="clear" w:color="auto" w:fill="FFFFFF"/>
        <w:spacing w:line="259" w:lineRule="auto"/>
        <w:outlineLvl w:val="2"/>
        <w:rPr>
          <w:b/>
          <w:bCs/>
          <w:color w:val="000000"/>
          <w:sz w:val="24"/>
          <w:szCs w:val="24"/>
          <w:lang w:eastAsia="en-GB"/>
        </w:rPr>
      </w:pPr>
      <w:r>
        <w:rPr>
          <w:b/>
          <w:bCs/>
          <w:noProof/>
          <w:color w:val="000000"/>
          <w:sz w:val="24"/>
          <w:szCs w:val="24"/>
          <w:lang w:eastAsia="en-GB"/>
        </w:rPr>
        <w:drawing>
          <wp:inline distT="0" distB="0" distL="0" distR="0" wp14:anchorId="1C5400CA" wp14:editId="5DAEF4D0">
            <wp:extent cx="5395595" cy="3856990"/>
            <wp:effectExtent l="0" t="0" r="0" b="0"/>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5595" cy="3856990"/>
                    </a:xfrm>
                    <a:prstGeom prst="rect">
                      <a:avLst/>
                    </a:prstGeom>
                    <a:noFill/>
                    <a:ln>
                      <a:noFill/>
                    </a:ln>
                  </pic:spPr>
                </pic:pic>
              </a:graphicData>
            </a:graphic>
          </wp:inline>
        </w:drawing>
      </w:r>
      <w:r w:rsidR="00EB6663" w:rsidRPr="00EB6663">
        <w:rPr>
          <w:b/>
          <w:bCs/>
          <w:color w:val="000000"/>
          <w:sz w:val="24"/>
          <w:szCs w:val="24"/>
          <w:lang w:eastAsia="en-GB"/>
        </w:rPr>
        <w:t xml:space="preserve"> </w:t>
      </w:r>
    </w:p>
    <w:p w14:paraId="1A6BAE7A" w14:textId="77777777" w:rsidR="00EB6663" w:rsidRPr="00EB6663" w:rsidRDefault="00EB6663" w:rsidP="00EB6663">
      <w:pPr>
        <w:shd w:val="clear" w:color="auto" w:fill="FFFFFF"/>
        <w:spacing w:line="259" w:lineRule="auto"/>
        <w:outlineLvl w:val="2"/>
        <w:rPr>
          <w:b/>
          <w:bCs/>
          <w:color w:val="000000"/>
          <w:sz w:val="24"/>
          <w:szCs w:val="24"/>
          <w:lang w:eastAsia="en-GB"/>
        </w:rPr>
      </w:pPr>
    </w:p>
    <w:p w14:paraId="301145E1" w14:textId="77777777" w:rsidR="00EB6663" w:rsidRPr="00EB6663" w:rsidRDefault="00EB6663" w:rsidP="003A22E2">
      <w:pPr>
        <w:shd w:val="clear" w:color="auto" w:fill="FFFFFF"/>
        <w:spacing w:line="259" w:lineRule="auto"/>
        <w:jc w:val="both"/>
        <w:outlineLvl w:val="2"/>
        <w:rPr>
          <w:b/>
          <w:bCs/>
          <w:color w:val="000000"/>
          <w:sz w:val="24"/>
          <w:szCs w:val="24"/>
          <w:lang w:eastAsia="en-GB"/>
        </w:rPr>
      </w:pPr>
      <w:r w:rsidRPr="00EB6663">
        <w:rPr>
          <w:b/>
          <w:bCs/>
          <w:color w:val="000000"/>
          <w:sz w:val="24"/>
          <w:szCs w:val="24"/>
          <w:lang w:eastAsia="en-GB"/>
        </w:rPr>
        <w:t>Cases had occurred mainly in public (39.8%) and private places (37.5%), although cases both in social networks and media have also taken place (22.7%). Expectedly, during the first two national waves of COVID-19, the proportion of cases in this last place grew considerably as it was the one with the highest prevalence. Besides, reports that took place in social networks and media were reported faster: the time between when the event occurred and when it was reported in Visible has a median of 19.5 days, in contrast with 33 in private spaces and 39 in public ones.</w:t>
      </w:r>
    </w:p>
    <w:p w14:paraId="21B28E20" w14:textId="77777777" w:rsidR="00EB6663" w:rsidRPr="00EB6663" w:rsidRDefault="00EB6663" w:rsidP="003A22E2">
      <w:pPr>
        <w:shd w:val="clear" w:color="auto" w:fill="FFFFFF"/>
        <w:spacing w:line="259" w:lineRule="auto"/>
        <w:jc w:val="both"/>
        <w:outlineLvl w:val="2"/>
        <w:rPr>
          <w:b/>
          <w:bCs/>
          <w:color w:val="000000"/>
          <w:sz w:val="24"/>
          <w:szCs w:val="24"/>
          <w:lang w:eastAsia="en-GB"/>
        </w:rPr>
      </w:pPr>
    </w:p>
    <w:p w14:paraId="5A031CBE" w14:textId="77777777" w:rsidR="00EB6663" w:rsidRPr="00EB6663" w:rsidRDefault="00EB6663" w:rsidP="003A22E2">
      <w:pPr>
        <w:shd w:val="clear" w:color="auto" w:fill="FFFFFF"/>
        <w:spacing w:line="259" w:lineRule="auto"/>
        <w:jc w:val="both"/>
        <w:outlineLvl w:val="2"/>
        <w:rPr>
          <w:b/>
          <w:bCs/>
          <w:color w:val="000000"/>
          <w:sz w:val="24"/>
          <w:szCs w:val="24"/>
          <w:lang w:eastAsia="en-GB"/>
        </w:rPr>
      </w:pPr>
      <w:r w:rsidRPr="00EB6663">
        <w:rPr>
          <w:b/>
          <w:bCs/>
          <w:color w:val="000000"/>
          <w:sz w:val="24"/>
          <w:szCs w:val="24"/>
          <w:lang w:eastAsia="en-GB"/>
        </w:rPr>
        <w:t>Visible has received reports from all Mexican states, although they concentrate mainly in Mexico City, Jalisco, the State of Mexico, Guanajuato, and Veracruz. Prevalence reflected in our database does not necessarily mean that such places have higher rates of victimization. Among others, population size, greater media coverage, and the presence of alliances within certain States could be factors to explain higher reporting rates. Similarly, we have received reports from 197 municipalities, Guadalajara, León, Toluca, Cuauhtémoc (Mexico City), and Monterrey, the ones with the higher prevalence.</w:t>
      </w:r>
    </w:p>
    <w:p w14:paraId="44728AED" w14:textId="77777777" w:rsidR="00EB6663" w:rsidRPr="00EB6663" w:rsidRDefault="00EB6663" w:rsidP="00EB6663">
      <w:pPr>
        <w:shd w:val="clear" w:color="auto" w:fill="FFFFFF"/>
        <w:spacing w:line="259" w:lineRule="auto"/>
        <w:outlineLvl w:val="2"/>
        <w:rPr>
          <w:b/>
          <w:bCs/>
          <w:color w:val="000000"/>
          <w:sz w:val="24"/>
          <w:szCs w:val="24"/>
          <w:lang w:eastAsia="en-GB"/>
        </w:rPr>
      </w:pPr>
    </w:p>
    <w:p w14:paraId="6259FDE5" w14:textId="3FA51465" w:rsidR="00EB6663" w:rsidRDefault="00EB6663" w:rsidP="003A22E2">
      <w:pPr>
        <w:shd w:val="clear" w:color="auto" w:fill="FFFFFF"/>
        <w:spacing w:line="259" w:lineRule="auto"/>
        <w:jc w:val="both"/>
        <w:outlineLvl w:val="2"/>
        <w:rPr>
          <w:b/>
          <w:bCs/>
          <w:color w:val="000000"/>
          <w:sz w:val="24"/>
          <w:szCs w:val="24"/>
          <w:lang w:eastAsia="en-GB"/>
        </w:rPr>
      </w:pPr>
      <w:r w:rsidRPr="00EB6663">
        <w:rPr>
          <w:b/>
          <w:bCs/>
          <w:color w:val="000000"/>
          <w:sz w:val="24"/>
          <w:szCs w:val="24"/>
          <w:lang w:eastAsia="en-GB"/>
        </w:rPr>
        <w:t xml:space="preserve">Detailed information on each case could be found in our </w:t>
      </w:r>
      <w:hyperlink r:id="rId17" w:anchor="user-enumeration-disasbled" w:history="1">
        <w:r w:rsidRPr="00EB6663">
          <w:rPr>
            <w:rStyle w:val="Hyperlink"/>
            <w:b/>
            <w:bCs/>
            <w:sz w:val="24"/>
            <w:szCs w:val="24"/>
            <w:lang w:eastAsia="en-GB"/>
          </w:rPr>
          <w:t>open data section</w:t>
        </w:r>
      </w:hyperlink>
      <w:r w:rsidRPr="00EB6663">
        <w:rPr>
          <w:b/>
          <w:bCs/>
          <w:color w:val="000000"/>
          <w:sz w:val="24"/>
          <w:szCs w:val="24"/>
          <w:lang w:eastAsia="en-GB"/>
        </w:rPr>
        <w:t>, which does not contain personal information.</w:t>
      </w:r>
    </w:p>
    <w:p w14:paraId="67200748" w14:textId="77777777" w:rsidR="00EB6663" w:rsidRPr="00EB6663" w:rsidRDefault="00EB6663" w:rsidP="00EB6663">
      <w:pPr>
        <w:shd w:val="clear" w:color="auto" w:fill="FFFFFF"/>
        <w:spacing w:line="259" w:lineRule="auto"/>
        <w:outlineLvl w:val="2"/>
        <w:rPr>
          <w:color w:val="000000"/>
          <w:sz w:val="24"/>
          <w:szCs w:val="24"/>
          <w:lang w:eastAsia="en-GB"/>
        </w:rPr>
      </w:pPr>
    </w:p>
    <w:p w14:paraId="0F1F665E" w14:textId="2EE5F475" w:rsidR="009F00AF" w:rsidRDefault="009F00AF" w:rsidP="009F00AF">
      <w:pPr>
        <w:pStyle w:val="ListParagraph"/>
        <w:numPr>
          <w:ilvl w:val="0"/>
          <w:numId w:val="1"/>
        </w:numPr>
        <w:shd w:val="clear" w:color="auto" w:fill="FFFFFF"/>
        <w:spacing w:line="259" w:lineRule="auto"/>
        <w:jc w:val="both"/>
        <w:outlineLvl w:val="2"/>
        <w:rPr>
          <w:sz w:val="24"/>
          <w:szCs w:val="24"/>
          <w:lang w:eastAsia="en-GB"/>
        </w:rPr>
      </w:pPr>
      <w:r w:rsidRPr="0096645F">
        <w:rPr>
          <w:sz w:val="24"/>
          <w:szCs w:val="24"/>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w:t>
      </w:r>
      <w:r>
        <w:rPr>
          <w:sz w:val="24"/>
          <w:szCs w:val="24"/>
          <w:lang w:eastAsia="en-GB"/>
        </w:rPr>
        <w:t>mplaint), levels of impunity</w:t>
      </w:r>
      <w:r w:rsidRPr="0096645F">
        <w:rPr>
          <w:sz w:val="24"/>
          <w:szCs w:val="24"/>
          <w:lang w:eastAsia="en-GB"/>
        </w:rPr>
        <w:t xml:space="preserve"> and if access to comprehensive physical and mental care for GBV-survivors is recognized as a form of reparation.</w:t>
      </w:r>
    </w:p>
    <w:p w14:paraId="46DFEC7E" w14:textId="299C318E" w:rsidR="00EB6663" w:rsidRDefault="00EB6663" w:rsidP="00EB6663">
      <w:pPr>
        <w:shd w:val="clear" w:color="auto" w:fill="FFFFFF"/>
        <w:spacing w:line="259" w:lineRule="auto"/>
        <w:jc w:val="both"/>
        <w:outlineLvl w:val="2"/>
        <w:rPr>
          <w:sz w:val="24"/>
          <w:szCs w:val="24"/>
          <w:lang w:eastAsia="en-GB"/>
        </w:rPr>
      </w:pPr>
    </w:p>
    <w:p w14:paraId="42A6E230" w14:textId="34E8728C" w:rsidR="009F00AF" w:rsidRPr="00EB6663" w:rsidRDefault="00EB6663" w:rsidP="00EB6663">
      <w:pPr>
        <w:shd w:val="clear" w:color="auto" w:fill="FFFFFF"/>
        <w:spacing w:line="259" w:lineRule="auto"/>
        <w:jc w:val="both"/>
        <w:outlineLvl w:val="2"/>
        <w:rPr>
          <w:b/>
          <w:bCs/>
          <w:color w:val="000000"/>
          <w:sz w:val="24"/>
          <w:szCs w:val="24"/>
          <w:lang w:eastAsia="en-GB"/>
        </w:rPr>
      </w:pPr>
      <w:r w:rsidRPr="00EB6663">
        <w:rPr>
          <w:b/>
          <w:bCs/>
          <w:color w:val="000000"/>
          <w:sz w:val="24"/>
          <w:szCs w:val="24"/>
          <w:lang w:eastAsia="en-GB"/>
        </w:rPr>
        <w:t>60.5% of the victims that made a report in Visible did not make a previous report elsewhere, so the information collected is extremely important not only because of the systematization and openness, but because it would not be possible to find it anywhere else. The main reasons to not make a prior report than the one made in Visible were because victims did not know where to report it or that they could do it (22.8%), they did not believe that there would be consequences (19.9%) and they were afraid to report (13.5%). This information can give insights into understanding the (lack of) interaction of victims with authorities and the reasons behind it. As of today, a total of 18 States have included provisions in their criminal legislation that are related to crimes based on prejudice motivated by the sexual orientation and/or gender identity of the victims.</w:t>
      </w:r>
    </w:p>
    <w:p w14:paraId="547F30D6" w14:textId="77777777" w:rsidR="00EB6663" w:rsidRPr="00EB6663" w:rsidRDefault="00EB6663" w:rsidP="00EB6663">
      <w:pPr>
        <w:shd w:val="clear" w:color="auto" w:fill="FFFFFF"/>
        <w:spacing w:line="259" w:lineRule="auto"/>
        <w:jc w:val="both"/>
        <w:outlineLvl w:val="2"/>
        <w:rPr>
          <w:color w:val="000000"/>
          <w:sz w:val="24"/>
          <w:szCs w:val="24"/>
          <w:lang w:eastAsia="en-GB"/>
        </w:rPr>
      </w:pPr>
    </w:p>
    <w:p w14:paraId="17403491" w14:textId="2E8162A0" w:rsidR="009F00A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examples of the types of structural and institutional violence with origins within the State, (</w:t>
      </w:r>
      <w:r w:rsidRPr="0096645F">
        <w:rPr>
          <w:color w:val="000000"/>
          <w:sz w:val="24"/>
          <w:szCs w:val="24"/>
          <w:shd w:val="clear" w:color="auto" w:fill="FFFFFF"/>
          <w:lang w:val="en-ZA" w:eastAsia="en-GB"/>
        </w:rPr>
        <w:t>perpetrated or condoned by the State)</w:t>
      </w:r>
      <w:r w:rsidRPr="0096645F">
        <w:rPr>
          <w:sz w:val="24"/>
          <w:szCs w:val="24"/>
          <w:lang w:val="en-ZA" w:eastAsia="en-GB"/>
        </w:rPr>
        <w:t xml:space="preserve"> or </w:t>
      </w:r>
      <w:r w:rsidRPr="0096645F">
        <w:rPr>
          <w:color w:val="000000"/>
          <w:sz w:val="24"/>
          <w:szCs w:val="24"/>
          <w:shd w:val="clear" w:color="auto" w:fill="FFFFFF"/>
          <w:lang w:val="en-ZA" w:eastAsia="en-GB"/>
        </w:rPr>
        <w:t xml:space="preserve">perpetrated by those not representing or affiliated to the state </w:t>
      </w:r>
      <w:r w:rsidRPr="0096645F">
        <w:rPr>
          <w:color w:val="000000"/>
          <w:sz w:val="24"/>
          <w:szCs w:val="24"/>
          <w:lang w:eastAsia="en-GB"/>
        </w:rPr>
        <w:t xml:space="preserve">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14:paraId="34B168A5" w14:textId="3B57944B" w:rsidR="00EB6663" w:rsidRDefault="00EB6663" w:rsidP="00EB6663">
      <w:pPr>
        <w:shd w:val="clear" w:color="auto" w:fill="FFFFFF"/>
        <w:spacing w:line="259" w:lineRule="auto"/>
        <w:jc w:val="both"/>
        <w:outlineLvl w:val="2"/>
        <w:rPr>
          <w:color w:val="000000"/>
          <w:sz w:val="24"/>
          <w:szCs w:val="24"/>
          <w:lang w:eastAsia="en-GB"/>
        </w:rPr>
      </w:pPr>
    </w:p>
    <w:p w14:paraId="7D4317E0" w14:textId="21B92668" w:rsidR="00EB6663" w:rsidRPr="00EB6663" w:rsidRDefault="00EB6663" w:rsidP="00EB6663">
      <w:pPr>
        <w:shd w:val="clear" w:color="auto" w:fill="FFFFFF"/>
        <w:spacing w:line="259" w:lineRule="auto"/>
        <w:jc w:val="both"/>
        <w:outlineLvl w:val="2"/>
        <w:rPr>
          <w:b/>
          <w:bCs/>
          <w:color w:val="000000"/>
          <w:sz w:val="24"/>
          <w:szCs w:val="24"/>
          <w:lang w:eastAsia="en-GB"/>
        </w:rPr>
      </w:pPr>
      <w:r w:rsidRPr="00EB6663">
        <w:rPr>
          <w:b/>
          <w:bCs/>
          <w:color w:val="000000"/>
          <w:sz w:val="24"/>
          <w:szCs w:val="24"/>
          <w:lang w:eastAsia="en-GB"/>
        </w:rPr>
        <w:t xml:space="preserve">We have received 33 reports of cases of violence and discrimination against LGBTI persons in medical settings. One of the most common </w:t>
      </w:r>
      <w:r w:rsidR="00586AB7" w:rsidRPr="00EB6663">
        <w:rPr>
          <w:b/>
          <w:bCs/>
          <w:color w:val="000000"/>
          <w:sz w:val="24"/>
          <w:szCs w:val="24"/>
          <w:lang w:eastAsia="en-GB"/>
        </w:rPr>
        <w:t>types</w:t>
      </w:r>
      <w:r w:rsidRPr="00EB6663">
        <w:rPr>
          <w:b/>
          <w:bCs/>
          <w:color w:val="000000"/>
          <w:sz w:val="24"/>
          <w:szCs w:val="24"/>
          <w:lang w:eastAsia="en-GB"/>
        </w:rPr>
        <w:t xml:space="preserve"> of segregation is the impediment to gay persons to donate blood. In some cases, it is a public guideline towards the entire population, while in other cases it is a decision made after questions by health personnel in specific cases.</w:t>
      </w:r>
    </w:p>
    <w:p w14:paraId="11F7F93E" w14:textId="77777777" w:rsidR="00EB6663" w:rsidRPr="00EB6663" w:rsidRDefault="00EB6663" w:rsidP="00EB6663">
      <w:pPr>
        <w:shd w:val="clear" w:color="auto" w:fill="FFFFFF"/>
        <w:spacing w:line="259" w:lineRule="auto"/>
        <w:jc w:val="both"/>
        <w:outlineLvl w:val="2"/>
        <w:rPr>
          <w:b/>
          <w:bCs/>
          <w:color w:val="000000"/>
          <w:sz w:val="24"/>
          <w:szCs w:val="24"/>
          <w:lang w:eastAsia="en-GB"/>
        </w:rPr>
      </w:pPr>
    </w:p>
    <w:p w14:paraId="71218594" w14:textId="77777777" w:rsidR="00EB6663" w:rsidRPr="00EB6663" w:rsidRDefault="00EB6663" w:rsidP="00EB6663">
      <w:pPr>
        <w:shd w:val="clear" w:color="auto" w:fill="FFFFFF"/>
        <w:spacing w:line="259" w:lineRule="auto"/>
        <w:jc w:val="both"/>
        <w:outlineLvl w:val="2"/>
        <w:rPr>
          <w:b/>
          <w:bCs/>
          <w:color w:val="000000"/>
          <w:sz w:val="24"/>
          <w:szCs w:val="24"/>
          <w:lang w:eastAsia="en-GB"/>
        </w:rPr>
      </w:pPr>
      <w:r w:rsidRPr="00EB6663">
        <w:rPr>
          <w:b/>
          <w:bCs/>
          <w:color w:val="000000"/>
          <w:sz w:val="24"/>
          <w:szCs w:val="24"/>
          <w:lang w:eastAsia="en-GB"/>
        </w:rPr>
        <w:t>Similarly, we have documented cases where health care personnel formulate stigmatizing questions to LGB victims regarding their identities, which leads to the extreme of holding patients responsible for their diseases given their sexual orientation. There is indeed fear of expressing the own sexual orientation due to the consequences it can bring, such as the refusal to perform certain procedures, such as sexual and reproductive ones in the case of lesbian and bisexual cis women.</w:t>
      </w:r>
    </w:p>
    <w:p w14:paraId="2E0E789A" w14:textId="77777777" w:rsidR="00EB6663" w:rsidRPr="00EB6663" w:rsidRDefault="00EB6663" w:rsidP="00EB6663">
      <w:pPr>
        <w:shd w:val="clear" w:color="auto" w:fill="FFFFFF"/>
        <w:spacing w:line="259" w:lineRule="auto"/>
        <w:jc w:val="both"/>
        <w:outlineLvl w:val="2"/>
        <w:rPr>
          <w:b/>
          <w:bCs/>
          <w:color w:val="000000"/>
          <w:sz w:val="24"/>
          <w:szCs w:val="24"/>
          <w:lang w:eastAsia="en-GB"/>
        </w:rPr>
      </w:pPr>
    </w:p>
    <w:p w14:paraId="7C356CE8" w14:textId="62256B57" w:rsidR="00EB6663" w:rsidRPr="00EB6663" w:rsidRDefault="00EB6663" w:rsidP="00EB6663">
      <w:pPr>
        <w:shd w:val="clear" w:color="auto" w:fill="FFFFFF"/>
        <w:spacing w:line="259" w:lineRule="auto"/>
        <w:jc w:val="both"/>
        <w:outlineLvl w:val="2"/>
        <w:rPr>
          <w:b/>
          <w:bCs/>
          <w:color w:val="000000"/>
          <w:sz w:val="24"/>
          <w:szCs w:val="24"/>
          <w:lang w:eastAsia="en-GB"/>
        </w:rPr>
      </w:pPr>
      <w:r w:rsidRPr="00EB6663">
        <w:rPr>
          <w:b/>
          <w:bCs/>
          <w:color w:val="000000"/>
          <w:sz w:val="24"/>
          <w:szCs w:val="24"/>
          <w:lang w:eastAsia="en-GB"/>
        </w:rPr>
        <w:t xml:space="preserve">The other most common type of segregation is the refusal to attend an LGBT person arguing personal/religious beliefs or fear of infection. This last motivation is of great importance since, in an investigation carried out by Visible for its annual report, we noticed that public agencies at the state level in Mexico conceive the right to health of LGBTI persons consisting only on providing HIV treatment (although the population is a key population of attention, this is not the only aspect to consider in their access to the right). In this report, measuring state-level health ministries, we observe that only 7 out of 32 states had at least a partial </w:t>
      </w:r>
      <w:r w:rsidR="00586AB7" w:rsidRPr="00EB6663">
        <w:rPr>
          <w:b/>
          <w:bCs/>
          <w:color w:val="000000"/>
          <w:sz w:val="24"/>
          <w:szCs w:val="24"/>
          <w:lang w:eastAsia="en-GB"/>
        </w:rPr>
        <w:t>fulfilment</w:t>
      </w:r>
      <w:r w:rsidRPr="00EB6663">
        <w:rPr>
          <w:b/>
          <w:bCs/>
          <w:color w:val="000000"/>
          <w:sz w:val="24"/>
          <w:szCs w:val="24"/>
          <w:lang w:eastAsia="en-GB"/>
        </w:rPr>
        <w:t xml:space="preserve"> in training their medical staff in health care protocols for LGBTI people. Only 3 states said they had information on hormonal treatments, gender affirmation surgery or pregnancies of trans men, or the birth of intersex people. The latter, even when Mexico’s Federal Government has issued a Protocol for the Provision of Health Care Services to LGBTTTI Persons without Discrimination.</w:t>
      </w:r>
    </w:p>
    <w:p w14:paraId="289FECA1" w14:textId="77777777" w:rsidR="00EB6663" w:rsidRPr="00EB6663" w:rsidRDefault="00EB6663" w:rsidP="00EB6663">
      <w:pPr>
        <w:shd w:val="clear" w:color="auto" w:fill="FFFFFF"/>
        <w:spacing w:line="259" w:lineRule="auto"/>
        <w:jc w:val="both"/>
        <w:outlineLvl w:val="2"/>
        <w:rPr>
          <w:b/>
          <w:bCs/>
          <w:color w:val="000000"/>
          <w:sz w:val="24"/>
          <w:szCs w:val="24"/>
          <w:lang w:eastAsia="en-GB"/>
        </w:rPr>
      </w:pPr>
    </w:p>
    <w:p w14:paraId="29E0C655" w14:textId="5462C9DD" w:rsidR="00EB6663" w:rsidRPr="00EB6663" w:rsidRDefault="00EB6663" w:rsidP="00EB6663">
      <w:pPr>
        <w:shd w:val="clear" w:color="auto" w:fill="FFFFFF"/>
        <w:spacing w:line="259" w:lineRule="auto"/>
        <w:jc w:val="both"/>
        <w:outlineLvl w:val="2"/>
        <w:rPr>
          <w:b/>
          <w:bCs/>
          <w:color w:val="000000"/>
          <w:sz w:val="24"/>
          <w:szCs w:val="24"/>
          <w:lang w:eastAsia="en-GB"/>
        </w:rPr>
      </w:pPr>
      <w:r w:rsidRPr="00EB6663">
        <w:rPr>
          <w:b/>
          <w:bCs/>
          <w:color w:val="000000"/>
          <w:sz w:val="24"/>
          <w:szCs w:val="24"/>
          <w:lang w:eastAsia="en-GB"/>
        </w:rPr>
        <w:t xml:space="preserve">Based on our reports, trans people are particularly affected in their attempt to access health care because, in addition to being misgendered, health personnel </w:t>
      </w:r>
      <w:r w:rsidR="00586AB7" w:rsidRPr="00EB6663">
        <w:rPr>
          <w:b/>
          <w:bCs/>
          <w:color w:val="000000"/>
          <w:sz w:val="24"/>
          <w:szCs w:val="24"/>
          <w:lang w:eastAsia="en-GB"/>
        </w:rPr>
        <w:t>do</w:t>
      </w:r>
      <w:r w:rsidRPr="00EB6663">
        <w:rPr>
          <w:b/>
          <w:bCs/>
          <w:color w:val="000000"/>
          <w:sz w:val="24"/>
          <w:szCs w:val="24"/>
          <w:lang w:eastAsia="en-GB"/>
        </w:rPr>
        <w:t xml:space="preserve"> not always have the training or awareness to understand their need to carry out clinical studies commonly associated with a gender expression. It is common to hear phrases such as “women do not need testosterone tests” or “men do not get HPV” and suggestions to get their appointments at night “so as not to drive away other patients who go during the day”.</w:t>
      </w:r>
    </w:p>
    <w:p w14:paraId="152D4C16" w14:textId="77777777" w:rsidR="009F00AF" w:rsidRPr="0096645F" w:rsidRDefault="009F00AF" w:rsidP="009F00AF">
      <w:pPr>
        <w:pStyle w:val="ListParagraph"/>
        <w:spacing w:line="259" w:lineRule="auto"/>
        <w:jc w:val="both"/>
        <w:rPr>
          <w:color w:val="000000"/>
          <w:sz w:val="24"/>
          <w:szCs w:val="24"/>
          <w:lang w:eastAsia="en-GB"/>
        </w:rPr>
      </w:pPr>
    </w:p>
    <w:p w14:paraId="05CC9E52"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also </w:t>
      </w:r>
      <w:r w:rsidRPr="0096645F">
        <w:rPr>
          <w:sz w:val="24"/>
          <w:szCs w:val="24"/>
          <w:lang w:eastAsia="en-GB"/>
        </w:rPr>
        <w:t xml:space="preserve">share information on the impact of criminalization of sex work, same sex relations, transgender persons, abortion, drug abuse, </w:t>
      </w:r>
      <w:r w:rsidRPr="0096645F">
        <w:rPr>
          <w:rFonts w:eastAsia="Verdana"/>
          <w:sz w:val="24"/>
          <w:szCs w:val="24"/>
        </w:rPr>
        <w:t>harmful practices in obstetric care, female genital mutilation</w:t>
      </w:r>
      <w:r w:rsidRPr="0096645F">
        <w:rPr>
          <w:sz w:val="24"/>
          <w:szCs w:val="24"/>
          <w:lang w:eastAsia="en-GB"/>
        </w:rPr>
        <w:t xml:space="preserve"> </w:t>
      </w:r>
      <w:r w:rsidRPr="0096645F">
        <w:rPr>
          <w:color w:val="000000"/>
          <w:sz w:val="24"/>
          <w:szCs w:val="24"/>
          <w:lang w:eastAsia="en-GB"/>
        </w:rPr>
        <w:t>on the violence experienced by the affected individuals and their enjoyment of the right to health.</w:t>
      </w:r>
      <w:r w:rsidRPr="0096645F">
        <w:rPr>
          <w:rFonts w:eastAsia="Verdana"/>
          <w:color w:val="000000"/>
          <w:sz w:val="24"/>
          <w:szCs w:val="24"/>
        </w:rPr>
        <w:t xml:space="preserve"> </w:t>
      </w:r>
    </w:p>
    <w:p w14:paraId="15E2575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r w:rsidRPr="0096645F">
        <w:rPr>
          <w:color w:val="000000"/>
          <w:sz w:val="24"/>
          <w:szCs w:val="24"/>
          <w:lang w:eastAsia="en-GB"/>
        </w:rPr>
        <w:t xml:space="preserve"> </w:t>
      </w:r>
    </w:p>
    <w:p w14:paraId="273DEDF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0DDDECA7"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5CC7BB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w:t>
      </w:r>
      <w:r>
        <w:rPr>
          <w:color w:val="000000"/>
          <w:sz w:val="24"/>
          <w:szCs w:val="24"/>
          <w:lang w:eastAsia="en-GB"/>
        </w:rPr>
        <w:t xml:space="preserve">lain the impact of Covid 19 to </w:t>
      </w:r>
      <w:r w:rsidRPr="0096645F">
        <w:rPr>
          <w:color w:val="000000"/>
          <w:sz w:val="24"/>
          <w:szCs w:val="24"/>
          <w:lang w:eastAsia="en-GB"/>
        </w:rPr>
        <w:t xml:space="preserve">the funding of responses to all/some forms of violence in your State/institution.  </w:t>
      </w:r>
    </w:p>
    <w:p w14:paraId="60B1F18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258C3CD6"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1006A155" w14:textId="77777777" w:rsidR="009F00AF" w:rsidRPr="0096645F" w:rsidRDefault="009F00AF" w:rsidP="009F00AF">
      <w:pPr>
        <w:pStyle w:val="ListParagraph"/>
        <w:spacing w:line="259" w:lineRule="auto"/>
        <w:jc w:val="both"/>
        <w:rPr>
          <w:color w:val="000000"/>
          <w:sz w:val="24"/>
          <w:szCs w:val="24"/>
          <w:lang w:eastAsia="en-GB"/>
        </w:rPr>
      </w:pPr>
    </w:p>
    <w:p w14:paraId="6967E735"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share examples of good practices and examples of comprehensive health responses to survivors of violence and indicate efficient multi-sectorial efforts at the </w:t>
      </w:r>
      <w:r w:rsidRPr="0096645F">
        <w:rPr>
          <w:color w:val="000000" w:themeColor="text1"/>
          <w:sz w:val="24"/>
          <w:szCs w:val="24"/>
          <w:lang w:eastAsia="en-GB"/>
        </w:rPr>
        <w:t xml:space="preserve">community, national, regional and international levels </w:t>
      </w:r>
      <w:r w:rsidRPr="0096645F">
        <w:rPr>
          <w:color w:val="000000"/>
          <w:sz w:val="24"/>
          <w:szCs w:val="24"/>
          <w:lang w:eastAsia="en-GB"/>
        </w:rPr>
        <w:t>by State or non-State actors.</w:t>
      </w:r>
    </w:p>
    <w:p w14:paraId="521DD856" w14:textId="77777777" w:rsidR="009F00AF" w:rsidRPr="0096645F" w:rsidRDefault="009F00AF" w:rsidP="009F00AF">
      <w:pPr>
        <w:pStyle w:val="ListParagraph"/>
        <w:spacing w:line="259" w:lineRule="auto"/>
        <w:jc w:val="both"/>
        <w:rPr>
          <w:color w:val="000000"/>
          <w:sz w:val="24"/>
          <w:szCs w:val="24"/>
          <w:lang w:eastAsia="en-GB"/>
        </w:rPr>
      </w:pPr>
    </w:p>
    <w:p w14:paraId="5E012D4A" w14:textId="77777777" w:rsidR="009F00AF" w:rsidRPr="007C47FA" w:rsidRDefault="009F00AF" w:rsidP="009F00AF">
      <w:pPr>
        <w:pStyle w:val="ListParagraph"/>
        <w:numPr>
          <w:ilvl w:val="0"/>
          <w:numId w:val="1"/>
        </w:numPr>
        <w:shd w:val="clear" w:color="auto" w:fill="FFFFFF"/>
        <w:spacing w:line="259" w:lineRule="auto"/>
        <w:jc w:val="both"/>
        <w:outlineLvl w:val="2"/>
        <w:rPr>
          <w:sz w:val="24"/>
          <w:szCs w:val="24"/>
          <w:shd w:val="clear" w:color="auto" w:fill="FFFFFF"/>
        </w:rPr>
      </w:pPr>
      <w:r w:rsidRPr="0096645F">
        <w:rPr>
          <w:color w:val="000000"/>
          <w:sz w:val="24"/>
          <w:szCs w:val="24"/>
          <w:lang w:eastAsia="en-GB"/>
        </w:rPr>
        <w:t>Please describe State and other actors initiatives and measures to prevent these forms of violence, specific budget allocated to prevention, and good practices in this regard.</w:t>
      </w:r>
    </w:p>
    <w:p w14:paraId="6E3345C0" w14:textId="77777777" w:rsidR="009F00AF" w:rsidRDefault="009F00AF" w:rsidP="009F00AF">
      <w:pPr>
        <w:pStyle w:val="ListParagraph"/>
        <w:shd w:val="clear" w:color="auto" w:fill="FFFFFF"/>
        <w:spacing w:line="259" w:lineRule="auto"/>
        <w:ind w:left="360"/>
        <w:jc w:val="both"/>
        <w:outlineLvl w:val="2"/>
        <w:rPr>
          <w:sz w:val="24"/>
          <w:szCs w:val="24"/>
          <w:shd w:val="clear" w:color="auto" w:fill="FFFFFF"/>
        </w:rPr>
      </w:pPr>
    </w:p>
    <w:p w14:paraId="4007B6BC" w14:textId="77777777" w:rsidR="009F00AF" w:rsidRDefault="009F00AF" w:rsidP="009F00AF">
      <w:pPr>
        <w:rPr>
          <w:sz w:val="24"/>
          <w:szCs w:val="24"/>
          <w:shd w:val="clear" w:color="auto" w:fill="FFFFFF"/>
        </w:rPr>
      </w:pPr>
      <w:r>
        <w:rPr>
          <w:sz w:val="24"/>
          <w:szCs w:val="24"/>
          <w:shd w:val="clear" w:color="auto" w:fill="FFFFFF"/>
        </w:rPr>
        <w:br w:type="page"/>
      </w:r>
    </w:p>
    <w:p w14:paraId="02FA1800" w14:textId="77777777" w:rsidR="009F00AF" w:rsidRPr="007C47FA" w:rsidRDefault="009F00AF" w:rsidP="009F00AF">
      <w:pPr>
        <w:shd w:val="clear" w:color="auto" w:fill="FFFFFF"/>
        <w:spacing w:before="100" w:beforeAutospacing="1" w:after="100" w:afterAutospacing="1"/>
        <w:jc w:val="both"/>
        <w:outlineLvl w:val="2"/>
        <w:rPr>
          <w:b/>
          <w:sz w:val="24"/>
          <w:szCs w:val="24"/>
          <w:shd w:val="clear" w:color="auto" w:fill="FFFFFF"/>
        </w:rPr>
      </w:pPr>
      <w:r w:rsidRPr="007C47FA">
        <w:rPr>
          <w:b/>
          <w:sz w:val="24"/>
          <w:szCs w:val="24"/>
          <w:shd w:val="clear" w:color="auto" w:fill="FFFFFF"/>
        </w:rPr>
        <w:t xml:space="preserve">Glossary of definitions for the purpose of this questionnaire </w:t>
      </w:r>
    </w:p>
    <w:p w14:paraId="4F777956"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w:t>
      </w:r>
      <w:r>
        <w:rPr>
          <w:rFonts w:ascii="Times New Roman" w:hAnsi="Times New Roman"/>
          <w:sz w:val="24"/>
        </w:rPr>
        <w:t>co</w:t>
      </w:r>
      <w:r w:rsidRPr="0096645F">
        <w:rPr>
          <w:rFonts w:ascii="Times New Roman" w:hAnsi="Times New Roman"/>
          <w:sz w:val="24"/>
        </w:rPr>
        <w:t>ntraceptives, violence against LGBTI people, femicide, female infanticide, harmful practices and certain forms of slavery and servitude. Gender-based violence may be perpetrated against women, girls, men, boys, and non-binary persons. Gender-based violence, including sexual violence, may linked to a conflict.</w:t>
      </w:r>
    </w:p>
    <w:p w14:paraId="3576C112" w14:textId="77777777" w:rsidR="009F00AF" w:rsidRPr="0096645F" w:rsidRDefault="009F00AF" w:rsidP="009F00AF">
      <w:pPr>
        <w:pStyle w:val="NormalWeb"/>
        <w:spacing w:before="0"/>
        <w:ind w:left="717"/>
        <w:jc w:val="both"/>
        <w:rPr>
          <w:rFonts w:ascii="Times New Roman" w:hAnsi="Times New Roman"/>
          <w:sz w:val="24"/>
        </w:rPr>
      </w:pPr>
    </w:p>
    <w:p w14:paraId="27D99E71"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 violence against women (including girls) refers to violence that is directed against a woman because she is a woman or that affects women disproportionately. (CEDAW, </w:t>
      </w:r>
      <w:hyperlink r:id="rId18" w:history="1">
        <w:r w:rsidRPr="00057768">
          <w:t>General recommendation 19</w:t>
        </w:r>
      </w:hyperlink>
      <w:r w:rsidRPr="0096645F">
        <w:rPr>
          <w:rFonts w:ascii="Times New Roman" w:hAnsi="Times New Roman"/>
          <w:sz w:val="24"/>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19" w:history="1">
        <w:r w:rsidRPr="00057768">
          <w:t>(CEDAW, General recommendation 35, 2017).</w:t>
        </w:r>
      </w:hyperlink>
    </w:p>
    <w:p w14:paraId="62A012CA" w14:textId="77777777" w:rsidR="009F00AF" w:rsidRPr="0096645F" w:rsidRDefault="009F00AF" w:rsidP="009F00AF">
      <w:pPr>
        <w:pStyle w:val="NormalWeb"/>
        <w:spacing w:before="0"/>
        <w:ind w:left="357"/>
        <w:jc w:val="both"/>
        <w:rPr>
          <w:rFonts w:ascii="Times New Roman" w:hAnsi="Times New Roman"/>
          <w:sz w:val="24"/>
        </w:rPr>
      </w:pPr>
    </w:p>
    <w:p w14:paraId="31FDC300"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Violence against children refers to </w:t>
      </w:r>
      <w:r w:rsidRPr="0096645F">
        <w:rPr>
          <w:rFonts w:ascii="Times New Roman" w:hAnsi="Times New Roman"/>
          <w:noProof/>
          <w:sz w:val="24"/>
        </w:rPr>
        <w:t>all forms of physical or mental violence, injury or abuse, neglect or negligent treatment, maltreatment or exploitation, including sexual abuse</w:t>
      </w:r>
      <w:r w:rsidRPr="0096645F">
        <w:rPr>
          <w:rFonts w:ascii="Times New Roman" w:hAnsi="Times New Roman"/>
          <w:sz w:val="24"/>
        </w:rPr>
        <w:t xml:space="preserve"> against children. (CRC, </w:t>
      </w:r>
      <w:hyperlink r:id="rId20" w:history="1">
        <w:r w:rsidRPr="0096645F">
          <w:rPr>
            <w:rStyle w:val="Hyperlink"/>
            <w:rFonts w:ascii="Times New Roman" w:hAnsi="Times New Roman"/>
            <w:sz w:val="24"/>
          </w:rPr>
          <w:t>General Comment No. 13</w:t>
        </w:r>
      </w:hyperlink>
      <w:r w:rsidRPr="0096645F">
        <w:rPr>
          <w:rFonts w:ascii="Times New Roman" w:hAnsi="Times New Roman"/>
          <w:sz w:val="24"/>
        </w:rPr>
        <w:t>, 2011). Violence experienced by boys and girls may also be a form of gender-based violence.</w:t>
      </w:r>
    </w:p>
    <w:p w14:paraId="6F2E94E3" w14:textId="77777777" w:rsidR="009F00AF" w:rsidRPr="0096645F" w:rsidRDefault="009F00AF" w:rsidP="009F00AF">
      <w:pPr>
        <w:pStyle w:val="NormalWeb"/>
        <w:spacing w:before="0"/>
        <w:ind w:left="357"/>
        <w:jc w:val="both"/>
        <w:rPr>
          <w:rFonts w:ascii="Times New Roman" w:hAnsi="Times New Roman"/>
          <w:sz w:val="24"/>
        </w:rPr>
      </w:pPr>
    </w:p>
    <w:p w14:paraId="6912CA04" w14:textId="77777777" w:rsidR="009F00AF" w:rsidRPr="0096645F" w:rsidRDefault="009F00AF" w:rsidP="009F00AF">
      <w:pPr>
        <w:pStyle w:val="NormalWeb"/>
        <w:numPr>
          <w:ilvl w:val="0"/>
          <w:numId w:val="3"/>
        </w:numPr>
        <w:spacing w:before="0"/>
        <w:ind w:left="284" w:hanging="284"/>
        <w:jc w:val="both"/>
        <w:rPr>
          <w:rFonts w:ascii="Times New Roman" w:hAnsi="Times New Roman"/>
          <w:color w:val="000000"/>
          <w:sz w:val="24"/>
        </w:rPr>
      </w:pPr>
      <w:r w:rsidRPr="0096645F">
        <w:rPr>
          <w:rFonts w:ascii="Times New Roman" w:hAnsi="Times New Roman"/>
          <w:sz w:val="24"/>
        </w:rPr>
        <w:t xml:space="preserve">Gender based violence perpetrated against LGBTI or other persons </w:t>
      </w:r>
      <w:r w:rsidRPr="0096645F">
        <w:rPr>
          <w:rFonts w:ascii="Times New Roman" w:hAnsi="Times New Roman"/>
          <w:color w:val="000000"/>
          <w:sz w:val="24"/>
        </w:rPr>
        <w:t xml:space="preserve">based on real or imputed sexual orientation, gender identity, and /or sex characteristics </w:t>
      </w:r>
      <w:r w:rsidRPr="0096645F">
        <w:rPr>
          <w:rFonts w:ascii="Times New Roman" w:hAnsi="Times New Roman"/>
          <w:noProof/>
          <w:sz w:val="24"/>
        </w:rPr>
        <w:t xml:space="preserve">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unecessary procedures on intersex children and adults. (Report of the Independent Expert on protection against sexual orientation and gender identitiy, </w:t>
      </w:r>
      <w:r w:rsidRPr="0096645F">
        <w:rPr>
          <w:rFonts w:ascii="Times New Roman" w:hAnsi="Times New Roman"/>
          <w:sz w:val="24"/>
        </w:rPr>
        <w:t>(</w:t>
      </w:r>
      <w:hyperlink r:id="rId21" w:history="1">
        <w:r w:rsidRPr="0096645F">
          <w:rPr>
            <w:rStyle w:val="Hyperlink"/>
            <w:rFonts w:ascii="Times New Roman" w:hAnsi="Times New Roman"/>
            <w:noProof/>
            <w:sz w:val="24"/>
          </w:rPr>
          <w:t>A/HRC/38/43</w:t>
        </w:r>
      </w:hyperlink>
      <w:r w:rsidRPr="0096645F">
        <w:rPr>
          <w:rFonts w:ascii="Times New Roman" w:hAnsi="Times New Roman"/>
          <w:noProof/>
          <w:sz w:val="24"/>
        </w:rPr>
        <w:t xml:space="preserve">, 2018, </w:t>
      </w:r>
      <w:hyperlink r:id="rId22" w:history="1">
        <w:r w:rsidRPr="0096645F">
          <w:rPr>
            <w:rStyle w:val="Hyperlink"/>
            <w:rFonts w:ascii="Times New Roman" w:hAnsi="Times New Roman"/>
            <w:noProof/>
            <w:sz w:val="24"/>
          </w:rPr>
          <w:t>OHCHR, Born Free and equal</w:t>
        </w:r>
      </w:hyperlink>
      <w:r w:rsidRPr="0096645F">
        <w:rPr>
          <w:rFonts w:ascii="Times New Roman" w:hAnsi="Times New Roman"/>
          <w:noProof/>
          <w:sz w:val="24"/>
        </w:rPr>
        <w:t xml:space="preserve">, OHCHR, </w:t>
      </w:r>
      <w:hyperlink r:id="rId23" w:history="1">
        <w:r w:rsidRPr="0096645F">
          <w:rPr>
            <w:rStyle w:val="Hyperlink"/>
            <w:rFonts w:ascii="Times New Roman" w:hAnsi="Times New Roman"/>
            <w:noProof/>
            <w:sz w:val="24"/>
          </w:rPr>
          <w:t>Background note on human rights violations against intersex perople).</w:t>
        </w:r>
        <w:r w:rsidRPr="0096645F">
          <w:rPr>
            <w:rStyle w:val="Hyperlink"/>
            <w:rFonts w:ascii="Times New Roman" w:hAnsi="Times New Roman"/>
            <w:sz w:val="24"/>
          </w:rPr>
          <w:t xml:space="preserve"> </w:t>
        </w:r>
      </w:hyperlink>
      <w:r w:rsidRPr="0096645F">
        <w:rPr>
          <w:rFonts w:ascii="Times New Roman" w:hAnsi="Times New Roman"/>
          <w:sz w:val="24"/>
        </w:rPr>
        <w:t xml:space="preserve"> </w:t>
      </w:r>
    </w:p>
    <w:p w14:paraId="10DCD78B" w14:textId="77777777" w:rsidR="009F00AF" w:rsidRPr="0096645F" w:rsidRDefault="009F00AF" w:rsidP="009F00AF">
      <w:pPr>
        <w:pStyle w:val="NormalWeb"/>
        <w:spacing w:before="0"/>
        <w:ind w:left="357"/>
        <w:jc w:val="both"/>
        <w:rPr>
          <w:rFonts w:ascii="Times New Roman" w:hAnsi="Times New Roman"/>
          <w:color w:val="000000"/>
          <w:sz w:val="24"/>
        </w:rPr>
      </w:pPr>
    </w:p>
    <w:p w14:paraId="0345AC0B"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color w:val="000000"/>
          <w:sz w:val="24"/>
        </w:rPr>
        <w:t xml:space="preserve">Conflict related gender-based violence: </w:t>
      </w:r>
      <w:r w:rsidRPr="0096645F">
        <w:rPr>
          <w:rFonts w:ascii="Times New Roman" w:hAnsi="Times New Roman"/>
          <w:color w:val="000000"/>
          <w:sz w:val="24"/>
          <w:shd w:val="clear" w:color="auto" w:fill="FFFFFF"/>
        </w:rPr>
        <w:t>Conflict can result in higher levels of gender-based violence against </w:t>
      </w:r>
      <w:r w:rsidRPr="0096645F">
        <w:rPr>
          <w:rStyle w:val="Strong"/>
          <w:rFonts w:ascii="Times New Roman" w:hAnsi="Times New Roman"/>
          <w:color w:val="000000"/>
          <w:sz w:val="24"/>
          <w:shd w:val="clear" w:color="auto" w:fill="FFFFFF"/>
        </w:rPr>
        <w:t>women and girls</w:t>
      </w:r>
      <w:r w:rsidRPr="0096645F">
        <w:rPr>
          <w:rFonts w:ascii="Times New Roman" w:hAnsi="Times New Roman"/>
          <w:color w:val="000000"/>
          <w:sz w:val="24"/>
          <w:shd w:val="clear" w:color="auto" w:fill="FFFFFF"/>
        </w:rPr>
        <w:t>, including arbitrary killings, torture, </w:t>
      </w:r>
      <w:r w:rsidRPr="0096645F">
        <w:rPr>
          <w:rStyle w:val="Strong"/>
          <w:rFonts w:ascii="Times New Roman" w:hAnsi="Times New Roman"/>
          <w:color w:val="000000"/>
          <w:sz w:val="24"/>
          <w:shd w:val="clear" w:color="auto" w:fill="FFFFFF"/>
        </w:rPr>
        <w:t>sexual violence</w:t>
      </w:r>
      <w:r w:rsidRPr="0096645F">
        <w:rPr>
          <w:rFonts w:ascii="Times New Roman" w:hAnsi="Times New Roman"/>
          <w:color w:val="000000"/>
          <w:sz w:val="24"/>
          <w:shd w:val="clear" w:color="auto" w:fill="FFFFFF"/>
        </w:rPr>
        <w:t> and forced marriage. Women and girls are primarily and increasingly targeted by the use of sexual violence, including as a tactic of war. M</w:t>
      </w:r>
      <w:r w:rsidRPr="0096645F">
        <w:rPr>
          <w:rStyle w:val="Strong"/>
          <w:rFonts w:ascii="Times New Roman" w:hAnsi="Times New Roman"/>
          <w:color w:val="000000"/>
          <w:sz w:val="24"/>
          <w:shd w:val="clear" w:color="auto" w:fill="FFFFFF"/>
        </w:rPr>
        <w:t>en and boys</w:t>
      </w:r>
      <w:r w:rsidRPr="0096645F">
        <w:rPr>
          <w:rFonts w:ascii="Times New Roman" w:hAnsi="Times New Roman"/>
          <w:color w:val="000000"/>
          <w:sz w:val="24"/>
          <w:shd w:val="clear" w:color="auto" w:fill="FFFFFF"/>
        </w:rPr>
        <w:t xml:space="preserve"> have also been victims of sexual violence, especially in contexts of detention. </w:t>
      </w:r>
      <w:r w:rsidRPr="0096645F">
        <w:rPr>
          <w:rFonts w:ascii="Times New Roman" w:hAnsi="Times New Roman"/>
          <w:i/>
          <w:color w:val="000000"/>
          <w:sz w:val="24"/>
        </w:rPr>
        <w:t>Conflict related sexual violence</w:t>
      </w:r>
      <w:r w:rsidRPr="0096645F">
        <w:rPr>
          <w:rFonts w:ascii="Times New Roman" w:hAnsi="Times New Roman"/>
          <w:color w:val="000000"/>
          <w:sz w:val="24"/>
        </w:rPr>
        <w:t xml:space="preserve"> refers to </w:t>
      </w:r>
      <w:r w:rsidRPr="0096645F">
        <w:rPr>
          <w:rFonts w:ascii="Times New Roman" w:hAnsi="Times New Roman"/>
          <w:noProof/>
          <w:sz w:val="24"/>
        </w:rPr>
        <w:t>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w:t>
      </w:r>
      <w:r w:rsidRPr="0096645F">
        <w:rPr>
          <w:rFonts w:ascii="Times New Roman" w:hAnsi="Times New Roman"/>
          <w:sz w:val="24"/>
        </w:rPr>
        <w:t xml:space="preserve"> (</w:t>
      </w:r>
      <w:r w:rsidRPr="0096645F">
        <w:rPr>
          <w:rFonts w:ascii="Times New Roman" w:hAnsi="Times New Roman"/>
          <w:noProof/>
          <w:sz w:val="24"/>
        </w:rPr>
        <w:t>Report of the Secretary General</w:t>
      </w:r>
      <w:r w:rsidRPr="0096645F">
        <w:rPr>
          <w:rFonts w:ascii="Times New Roman" w:hAnsi="Times New Roman"/>
          <w:sz w:val="24"/>
        </w:rPr>
        <w:t xml:space="preserve"> </w:t>
      </w:r>
      <w:hyperlink r:id="rId24" w:history="1">
        <w:r w:rsidRPr="0096645F">
          <w:rPr>
            <w:rStyle w:val="Hyperlink"/>
            <w:rFonts w:ascii="Times New Roman" w:hAnsi="Times New Roman"/>
            <w:noProof/>
            <w:sz w:val="24"/>
          </w:rPr>
          <w:t>S/2019/280</w:t>
        </w:r>
      </w:hyperlink>
      <w:r w:rsidRPr="0096645F">
        <w:rPr>
          <w:rFonts w:ascii="Times New Roman" w:hAnsi="Times New Roman"/>
          <w:noProof/>
          <w:sz w:val="24"/>
        </w:rPr>
        <w:t>, 2019.)</w:t>
      </w:r>
    </w:p>
    <w:p w14:paraId="22E5CC7C" w14:textId="77777777" w:rsidR="009F00AF" w:rsidRPr="0096645F" w:rsidRDefault="009F00AF" w:rsidP="009F00AF">
      <w:pPr>
        <w:pStyle w:val="NormalWeb"/>
        <w:spacing w:before="0"/>
        <w:ind w:left="717"/>
        <w:jc w:val="both"/>
        <w:rPr>
          <w:rFonts w:ascii="Times New Roman" w:hAnsi="Times New Roman"/>
          <w:sz w:val="24"/>
        </w:rPr>
      </w:pPr>
    </w:p>
    <w:p w14:paraId="64E26426" w14:textId="77777777" w:rsidR="009F00AF" w:rsidRPr="00BF191F" w:rsidRDefault="009F00AF" w:rsidP="009F00AF">
      <w:pPr>
        <w:pStyle w:val="NormalWeb"/>
        <w:numPr>
          <w:ilvl w:val="0"/>
          <w:numId w:val="3"/>
        </w:numPr>
        <w:spacing w:before="0"/>
        <w:ind w:left="284" w:hanging="284"/>
        <w:jc w:val="both"/>
        <w:rPr>
          <w:rFonts w:ascii="Times New Roman" w:hAnsi="Times New Roman"/>
          <w:color w:val="000000"/>
          <w:sz w:val="24"/>
        </w:rPr>
      </w:pPr>
      <w:r w:rsidRPr="00BF191F">
        <w:rPr>
          <w:rFonts w:ascii="Times New Roman" w:hAnsi="Times New Roman"/>
          <w:color w:val="000000"/>
          <w:sz w:val="24"/>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14:paraId="5C28F200" w14:textId="77777777" w:rsidR="009F00AF" w:rsidRPr="00BF191F" w:rsidRDefault="009F00AF" w:rsidP="009F00AF">
      <w:pPr>
        <w:jc w:val="both"/>
        <w:rPr>
          <w:rFonts w:eastAsia="Helvetica Neue"/>
          <w:color w:val="000000"/>
          <w:sz w:val="24"/>
          <w:szCs w:val="24"/>
          <w:lang w:val="en"/>
        </w:rPr>
      </w:pPr>
    </w:p>
    <w:p w14:paraId="29D8CEEE" w14:textId="77777777" w:rsidR="003474A5" w:rsidRPr="009F00AF" w:rsidRDefault="000C0A35">
      <w:pPr>
        <w:rPr>
          <w:lang w:val="en"/>
        </w:rPr>
      </w:pPr>
    </w:p>
    <w:sectPr w:rsidR="003474A5" w:rsidRPr="009F00AF" w:rsidSect="00ED053D">
      <w:footerReference w:type="default" r:id="rId25"/>
      <w:headerReference w:type="first" r:id="rId26"/>
      <w:footerReference w:type="first" r:id="rId27"/>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8C4DA" w14:textId="77777777" w:rsidR="00B775C7" w:rsidRDefault="00B775C7" w:rsidP="009F00AF">
      <w:r>
        <w:separator/>
      </w:r>
    </w:p>
  </w:endnote>
  <w:endnote w:type="continuationSeparator" w:id="0">
    <w:p w14:paraId="6AF28EAA" w14:textId="77777777" w:rsidR="00B775C7" w:rsidRDefault="00B775C7"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338BDF21" w:rsidR="00373EF9" w:rsidRDefault="009F00AF">
        <w:pPr>
          <w:pStyle w:val="Footer"/>
          <w:jc w:val="center"/>
        </w:pPr>
        <w:r>
          <w:fldChar w:fldCharType="begin"/>
        </w:r>
        <w:r>
          <w:instrText xml:space="preserve"> PAGE   \* MERGEFORMAT </w:instrText>
        </w:r>
        <w:r>
          <w:fldChar w:fldCharType="separate"/>
        </w:r>
        <w:r w:rsidR="000C0A35">
          <w:rPr>
            <w:noProof/>
          </w:rPr>
          <w:t>8</w:t>
        </w:r>
        <w:r>
          <w:rPr>
            <w:noProof/>
          </w:rPr>
          <w:fldChar w:fldCharType="end"/>
        </w:r>
      </w:p>
    </w:sdtContent>
  </w:sdt>
  <w:p w14:paraId="5A6E9ADE" w14:textId="77777777" w:rsidR="00A93F3F" w:rsidRDefault="000C0A35"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44209B" w:rsidRPr="003F10CA" w:rsidRDefault="009F00AF" w:rsidP="0044209B">
    <w:pPr>
      <w:pStyle w:val="Footer"/>
      <w:tabs>
        <w:tab w:val="left" w:pos="567"/>
      </w:tabs>
    </w:pPr>
    <w:r w:rsidRPr="00904039">
      <w:rPr>
        <w:sz w:val="24"/>
      </w:rPr>
      <w:t xml:space="preserve"> </w:t>
    </w:r>
  </w:p>
  <w:p w14:paraId="2C78BA67"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27E56" w14:textId="77777777" w:rsidR="00B775C7" w:rsidRDefault="00B775C7" w:rsidP="009F00AF">
      <w:r>
        <w:separator/>
      </w:r>
    </w:p>
  </w:footnote>
  <w:footnote w:type="continuationSeparator" w:id="0">
    <w:p w14:paraId="7BB32BC9" w14:textId="77777777" w:rsidR="00B775C7" w:rsidRDefault="00B775C7" w:rsidP="009F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A93F3F" w:rsidRDefault="000C0A35"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0C0A35"/>
    <w:rsid w:val="003071F6"/>
    <w:rsid w:val="00365121"/>
    <w:rsid w:val="003830AB"/>
    <w:rsid w:val="003A22E2"/>
    <w:rsid w:val="00586AB7"/>
    <w:rsid w:val="005F7412"/>
    <w:rsid w:val="007311DB"/>
    <w:rsid w:val="009F00AF"/>
    <w:rsid w:val="00AB5B6F"/>
    <w:rsid w:val="00B775C7"/>
    <w:rsid w:val="00C86EEC"/>
    <w:rsid w:val="00D108AE"/>
    <w:rsid w:val="00D67CEB"/>
    <w:rsid w:val="00D7193C"/>
    <w:rsid w:val="00DA3A23"/>
    <w:rsid w:val="00EB6663"/>
    <w:rsid w:val="00F82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F82741"/>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F8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blodeloscobos@gmail.com" TargetMode="External"/><Relationship Id="rId18" Type="http://schemas.openxmlformats.org/officeDocument/2006/relationships/hyperlink" Target="https://tbinternet.ohchr.org/_layouts/15/treatybodyexternal/Download.aspx?symbolno=INT/CEDAW/GEC/3731&amp;Lang=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ohchr.org/documents/dpage_e.aspx?si=A/HRC/38/43" TargetMode="External"/><Relationship Id="rId7" Type="http://schemas.openxmlformats.org/officeDocument/2006/relationships/settings" Target="settings.xml"/><Relationship Id="rId12" Type="http://schemas.openxmlformats.org/officeDocument/2006/relationships/hyperlink" Target="mailto:srhealth@un.org" TargetMode="External"/><Relationship Id="rId17" Type="http://schemas.openxmlformats.org/officeDocument/2006/relationships/hyperlink" Target="https://visible.lgbt/datosabierto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tbinternet.ohchr.org/_layouts/15/treatybodyexternal/Download.aspx?symbolno=CRC%2fC%2fGC%2f13&amp;Lan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health/pages/srrighthealthindex.aspx" TargetMode="External"/><Relationship Id="rId24" Type="http://schemas.openxmlformats.org/officeDocument/2006/relationships/hyperlink" Target="https://undocs.org/en/S/2019/280"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www.ohchr.org/Documents/Issues/Discrimination/LGBT/BackgroundNoteHumanRightsViolationsagainstIntersexPeople.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HRC/47/28" TargetMode="External"/><Relationship Id="rId22" Type="http://schemas.openxmlformats.org/officeDocument/2006/relationships/hyperlink" Target="https://www.ohchr.org/Documents/Publications/Born_Free_and_Equal_WEB.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DBB55AC-379F-494C-98EB-54623E864CDF}"/>
</file>

<file path=customXml/itemProps2.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3.xml><?xml version="1.0" encoding="utf-8"?>
<ds:datastoreItem xmlns:ds="http://schemas.openxmlformats.org/officeDocument/2006/customXml" ds:itemID="{379E449B-CB6F-400B-BA6E-CF449830B8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65904F4-F30C-4BB9-AFD3-0BD181EB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3031</Words>
  <Characters>17282</Characters>
  <Application>Microsoft Office Word</Application>
  <DocSecurity>4</DocSecurity>
  <Lines>144</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2</cp:revision>
  <dcterms:created xsi:type="dcterms:W3CDTF">2022-01-26T15:03:00Z</dcterms:created>
  <dcterms:modified xsi:type="dcterms:W3CDTF">2022-01-26T15:03:00Z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