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0392A" w14:textId="77777777" w:rsidR="008A3DDD" w:rsidRPr="0026588C" w:rsidRDefault="008A3DDD" w:rsidP="008A3DDD">
      <w:pPr>
        <w:spacing w:after="120" w:line="720" w:lineRule="auto"/>
        <w:jc w:val="center"/>
        <w:rPr>
          <w:b/>
          <w:noProof/>
          <w:sz w:val="22"/>
          <w:szCs w:val="22"/>
          <w:lang w:val="en-US" w:eastAsia="da-DK"/>
        </w:rPr>
      </w:pPr>
      <w:r w:rsidRPr="00185ECE">
        <w:rPr>
          <w:noProof/>
          <w:lang w:eastAsia="en-GB"/>
        </w:rPr>
        <w:drawing>
          <wp:inline distT="0" distB="0" distL="0" distR="0" wp14:anchorId="46C4EBE5" wp14:editId="0B9A7A00">
            <wp:extent cx="1407381" cy="670334"/>
            <wp:effectExtent l="0" t="0" r="2540" b="0"/>
            <wp:docPr id="2051" name="Picture 1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12" descr="image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2258" cy="672657"/>
                    </a:xfrm>
                    <a:prstGeom prst="rect">
                      <a:avLst/>
                    </a:prstGeom>
                    <a:noFill/>
                    <a:ln>
                      <a:noFill/>
                    </a:ln>
                  </pic:spPr>
                </pic:pic>
              </a:graphicData>
            </a:graphic>
          </wp:inline>
        </w:drawing>
      </w:r>
      <w:r w:rsidRPr="000F0C3B">
        <w:rPr>
          <w:b/>
          <w:noProof/>
          <w:sz w:val="22"/>
          <w:szCs w:val="22"/>
          <w:lang w:val="en-US" w:eastAsia="da-DK"/>
        </w:rPr>
        <w:t xml:space="preserve">             </w:t>
      </w:r>
    </w:p>
    <w:p w14:paraId="3E8DE63C" w14:textId="77777777" w:rsidR="008A3DDD" w:rsidRDefault="008A3DDD" w:rsidP="008A3DDD">
      <w:pPr>
        <w:jc w:val="both"/>
        <w:rPr>
          <w:b/>
          <w:sz w:val="22"/>
          <w:szCs w:val="22"/>
          <w:lang w:val="en-US"/>
        </w:rPr>
      </w:pPr>
    </w:p>
    <w:p w14:paraId="64C66DE0" w14:textId="77777777" w:rsidR="008A3DDD" w:rsidRPr="00F87E7E" w:rsidRDefault="008A3DDD" w:rsidP="008A3DDD">
      <w:pPr>
        <w:jc w:val="center"/>
        <w:rPr>
          <w:b/>
          <w:sz w:val="36"/>
          <w:szCs w:val="36"/>
          <w:lang w:val="en-US"/>
        </w:rPr>
      </w:pPr>
      <w:r w:rsidRPr="00F87E7E">
        <w:rPr>
          <w:b/>
          <w:sz w:val="36"/>
          <w:szCs w:val="36"/>
          <w:lang w:val="en-US"/>
        </w:rPr>
        <w:t>Submission to the</w:t>
      </w:r>
    </w:p>
    <w:p w14:paraId="2B7221AA" w14:textId="77777777" w:rsidR="008A3DDD" w:rsidRPr="00F87E7E" w:rsidRDefault="008A3DDD" w:rsidP="008A3DDD">
      <w:pPr>
        <w:jc w:val="center"/>
        <w:rPr>
          <w:b/>
          <w:sz w:val="36"/>
          <w:szCs w:val="36"/>
          <w:lang w:val="en-US"/>
        </w:rPr>
      </w:pPr>
    </w:p>
    <w:p w14:paraId="548230D4" w14:textId="77777777" w:rsidR="008A3DDD" w:rsidRPr="00F87E7E" w:rsidRDefault="008A3DDD" w:rsidP="008A3DDD">
      <w:pPr>
        <w:jc w:val="center"/>
        <w:rPr>
          <w:b/>
          <w:sz w:val="36"/>
          <w:szCs w:val="36"/>
          <w:lang w:val="en-US"/>
        </w:rPr>
      </w:pPr>
      <w:r w:rsidRPr="00F87E7E">
        <w:rPr>
          <w:b/>
          <w:sz w:val="36"/>
          <w:szCs w:val="36"/>
          <w:lang w:val="en-US"/>
        </w:rPr>
        <w:t xml:space="preserve">United Nations </w:t>
      </w:r>
      <w:r>
        <w:rPr>
          <w:b/>
          <w:sz w:val="36"/>
          <w:szCs w:val="36"/>
          <w:lang w:val="en-US"/>
        </w:rPr>
        <w:t>Special Rapporteur on the right of everyone to the enjoyment of the highest attainable standard of physical and mental health</w:t>
      </w:r>
    </w:p>
    <w:p w14:paraId="21980617" w14:textId="77777777" w:rsidR="008A3DDD" w:rsidRPr="00F87E7E" w:rsidRDefault="008A3DDD" w:rsidP="008A3DDD">
      <w:pPr>
        <w:jc w:val="center"/>
        <w:rPr>
          <w:b/>
          <w:sz w:val="36"/>
          <w:szCs w:val="36"/>
          <w:lang w:val="en-US"/>
        </w:rPr>
      </w:pPr>
    </w:p>
    <w:p w14:paraId="602E685C" w14:textId="77777777" w:rsidR="008A3DDD" w:rsidRPr="00F87E7E" w:rsidRDefault="008A3DDD" w:rsidP="008A3DDD">
      <w:pPr>
        <w:jc w:val="center"/>
        <w:rPr>
          <w:b/>
          <w:sz w:val="36"/>
          <w:szCs w:val="36"/>
          <w:lang w:val="en-US"/>
        </w:rPr>
      </w:pPr>
      <w:r>
        <w:rPr>
          <w:b/>
          <w:sz w:val="36"/>
          <w:szCs w:val="36"/>
          <w:lang w:val="en-US"/>
        </w:rPr>
        <w:t>Responses to the Special Rapporteur’s call for input concerning her forthcoming report to the 50</w:t>
      </w:r>
      <w:r w:rsidRPr="003E4A52">
        <w:rPr>
          <w:b/>
          <w:sz w:val="36"/>
          <w:szCs w:val="36"/>
          <w:vertAlign w:val="superscript"/>
          <w:lang w:val="en-US"/>
        </w:rPr>
        <w:t>th</w:t>
      </w:r>
      <w:r>
        <w:rPr>
          <w:b/>
          <w:sz w:val="36"/>
          <w:szCs w:val="36"/>
          <w:lang w:val="en-US"/>
        </w:rPr>
        <w:t xml:space="preserve"> session of the Human Rights Council on the issue of violence and its impacts on the right to health</w:t>
      </w:r>
    </w:p>
    <w:p w14:paraId="6F66809D" w14:textId="77777777" w:rsidR="008A3DDD" w:rsidRDefault="008A3DDD" w:rsidP="008A3DDD">
      <w:pPr>
        <w:jc w:val="center"/>
        <w:rPr>
          <w:sz w:val="22"/>
          <w:szCs w:val="22"/>
          <w:lang w:val="en-US"/>
        </w:rPr>
      </w:pPr>
    </w:p>
    <w:p w14:paraId="4A60F627" w14:textId="77777777" w:rsidR="008A3DDD" w:rsidRDefault="008A3DDD" w:rsidP="008A3DDD">
      <w:pPr>
        <w:jc w:val="center"/>
        <w:rPr>
          <w:sz w:val="22"/>
          <w:szCs w:val="22"/>
          <w:lang w:val="en-US"/>
        </w:rPr>
      </w:pPr>
    </w:p>
    <w:p w14:paraId="04D01E66" w14:textId="77777777" w:rsidR="008A3DDD" w:rsidRPr="00A46B17" w:rsidRDefault="008A3DDD" w:rsidP="008A3DDD">
      <w:pPr>
        <w:jc w:val="center"/>
        <w:rPr>
          <w:sz w:val="22"/>
          <w:szCs w:val="22"/>
          <w:lang w:val="en-US"/>
        </w:rPr>
      </w:pPr>
    </w:p>
    <w:p w14:paraId="3F2AD591" w14:textId="77777777" w:rsidR="008A3DDD" w:rsidRDefault="008A3DDD" w:rsidP="008A3DDD">
      <w:pPr>
        <w:jc w:val="center"/>
        <w:rPr>
          <w:b/>
          <w:sz w:val="28"/>
          <w:szCs w:val="28"/>
          <w:lang w:val="en-US"/>
        </w:rPr>
      </w:pPr>
      <w:r w:rsidRPr="00F87E7E">
        <w:rPr>
          <w:b/>
          <w:sz w:val="28"/>
          <w:szCs w:val="28"/>
          <w:lang w:val="en-US"/>
        </w:rPr>
        <w:t xml:space="preserve">Submitted </w:t>
      </w:r>
      <w:r>
        <w:rPr>
          <w:b/>
          <w:sz w:val="28"/>
          <w:szCs w:val="28"/>
          <w:lang w:val="en-US"/>
        </w:rPr>
        <w:t>18</w:t>
      </w:r>
      <w:r w:rsidRPr="00F87E7E">
        <w:rPr>
          <w:b/>
          <w:sz w:val="28"/>
          <w:szCs w:val="28"/>
          <w:lang w:val="en-US"/>
        </w:rPr>
        <w:t xml:space="preserve"> </w:t>
      </w:r>
      <w:r>
        <w:rPr>
          <w:b/>
          <w:sz w:val="28"/>
          <w:szCs w:val="28"/>
          <w:lang w:val="en-US"/>
        </w:rPr>
        <w:t>January</w:t>
      </w:r>
      <w:r w:rsidRPr="00F87E7E">
        <w:rPr>
          <w:b/>
          <w:sz w:val="28"/>
          <w:szCs w:val="28"/>
          <w:lang w:val="en-US"/>
        </w:rPr>
        <w:t xml:space="preserve"> 20</w:t>
      </w:r>
      <w:r>
        <w:rPr>
          <w:b/>
          <w:sz w:val="28"/>
          <w:szCs w:val="28"/>
          <w:lang w:val="en-US"/>
        </w:rPr>
        <w:t>22</w:t>
      </w:r>
    </w:p>
    <w:p w14:paraId="69500373" w14:textId="77777777" w:rsidR="008A3DDD" w:rsidRDefault="008A3DDD" w:rsidP="008A3DDD">
      <w:pPr>
        <w:jc w:val="center"/>
        <w:rPr>
          <w:b/>
          <w:sz w:val="28"/>
          <w:szCs w:val="28"/>
          <w:lang w:val="en-US"/>
        </w:rPr>
      </w:pPr>
    </w:p>
    <w:p w14:paraId="3DA14292" w14:textId="77777777" w:rsidR="008A3DDD" w:rsidRDefault="008A3DDD" w:rsidP="008A3DDD">
      <w:pPr>
        <w:jc w:val="center"/>
        <w:rPr>
          <w:b/>
          <w:sz w:val="28"/>
          <w:szCs w:val="28"/>
          <w:lang w:val="en-US"/>
        </w:rPr>
      </w:pPr>
    </w:p>
    <w:p w14:paraId="6E83B52D" w14:textId="77777777" w:rsidR="008A3DDD" w:rsidRDefault="008A3DDD" w:rsidP="008A3DDD">
      <w:pPr>
        <w:jc w:val="center"/>
        <w:rPr>
          <w:b/>
          <w:sz w:val="28"/>
          <w:szCs w:val="28"/>
          <w:lang w:val="en-US"/>
        </w:rPr>
      </w:pPr>
    </w:p>
    <w:p w14:paraId="4DCA6CE4" w14:textId="77777777" w:rsidR="008A3DDD" w:rsidRDefault="008A3DDD" w:rsidP="008A3DDD">
      <w:pPr>
        <w:jc w:val="center"/>
        <w:rPr>
          <w:b/>
          <w:sz w:val="28"/>
          <w:szCs w:val="28"/>
          <w:lang w:val="en-US"/>
        </w:rPr>
      </w:pPr>
    </w:p>
    <w:p w14:paraId="69C0563F" w14:textId="77777777" w:rsidR="008A3DDD" w:rsidRDefault="008A3DDD" w:rsidP="008A3DDD">
      <w:pPr>
        <w:jc w:val="center"/>
        <w:rPr>
          <w:b/>
          <w:sz w:val="28"/>
          <w:szCs w:val="28"/>
          <w:lang w:val="en-US"/>
        </w:rPr>
      </w:pPr>
    </w:p>
    <w:p w14:paraId="12B98C8D" w14:textId="77777777" w:rsidR="008A3DDD" w:rsidRDefault="008A3DDD" w:rsidP="008A3DDD">
      <w:pPr>
        <w:jc w:val="center"/>
        <w:rPr>
          <w:b/>
          <w:sz w:val="28"/>
          <w:szCs w:val="28"/>
          <w:lang w:val="en-US"/>
        </w:rPr>
      </w:pPr>
    </w:p>
    <w:p w14:paraId="7351B2A5" w14:textId="77777777" w:rsidR="008A3DDD" w:rsidRDefault="008A3DDD" w:rsidP="008A3DDD">
      <w:pPr>
        <w:jc w:val="center"/>
        <w:rPr>
          <w:b/>
          <w:sz w:val="28"/>
          <w:szCs w:val="28"/>
          <w:lang w:val="en-US"/>
        </w:rPr>
      </w:pPr>
    </w:p>
    <w:p w14:paraId="203F5157" w14:textId="77777777" w:rsidR="008A3DDD" w:rsidRDefault="008A3DDD" w:rsidP="008A3DDD">
      <w:pPr>
        <w:jc w:val="center"/>
        <w:rPr>
          <w:b/>
          <w:sz w:val="28"/>
          <w:szCs w:val="28"/>
          <w:lang w:val="en-US"/>
        </w:rPr>
      </w:pPr>
    </w:p>
    <w:p w14:paraId="38203193" w14:textId="77777777" w:rsidR="008A3DDD" w:rsidRDefault="008A3DDD" w:rsidP="008A3DDD">
      <w:pPr>
        <w:jc w:val="center"/>
        <w:rPr>
          <w:b/>
          <w:sz w:val="28"/>
          <w:szCs w:val="28"/>
          <w:lang w:val="en-US"/>
        </w:rPr>
      </w:pPr>
    </w:p>
    <w:p w14:paraId="461AAC5E" w14:textId="77777777" w:rsidR="008A3DDD" w:rsidRDefault="008A3DDD" w:rsidP="008A3DDD">
      <w:pPr>
        <w:jc w:val="center"/>
        <w:rPr>
          <w:b/>
          <w:sz w:val="28"/>
          <w:szCs w:val="28"/>
          <w:lang w:val="en-US"/>
        </w:rPr>
      </w:pPr>
    </w:p>
    <w:p w14:paraId="0853756F" w14:textId="77777777" w:rsidR="008A3DDD" w:rsidRDefault="008A3DDD" w:rsidP="008A3DDD">
      <w:pPr>
        <w:jc w:val="center"/>
        <w:rPr>
          <w:b/>
          <w:sz w:val="28"/>
          <w:szCs w:val="28"/>
          <w:lang w:val="en-US"/>
        </w:rPr>
      </w:pPr>
    </w:p>
    <w:p w14:paraId="04CCCA4A" w14:textId="77777777" w:rsidR="008A3DDD" w:rsidRDefault="008A3DDD" w:rsidP="008A3DDD">
      <w:pPr>
        <w:jc w:val="center"/>
        <w:rPr>
          <w:b/>
          <w:sz w:val="28"/>
          <w:szCs w:val="28"/>
          <w:lang w:val="en-US"/>
        </w:rPr>
      </w:pPr>
    </w:p>
    <w:p w14:paraId="3F793DBE" w14:textId="77777777" w:rsidR="008A3DDD" w:rsidRDefault="008A3DDD" w:rsidP="008A3DDD">
      <w:pPr>
        <w:jc w:val="center"/>
        <w:rPr>
          <w:b/>
          <w:sz w:val="28"/>
          <w:szCs w:val="28"/>
          <w:lang w:val="en-US"/>
        </w:rPr>
      </w:pPr>
    </w:p>
    <w:p w14:paraId="29427918" w14:textId="77777777" w:rsidR="008A3DDD" w:rsidRDefault="008A3DDD" w:rsidP="008A3DDD">
      <w:pPr>
        <w:jc w:val="center"/>
        <w:rPr>
          <w:b/>
          <w:sz w:val="28"/>
          <w:szCs w:val="28"/>
          <w:lang w:val="en-US"/>
        </w:rPr>
      </w:pPr>
    </w:p>
    <w:p w14:paraId="762C43BD" w14:textId="77777777" w:rsidR="008A3DDD" w:rsidRDefault="008A3DDD" w:rsidP="008A3DDD">
      <w:pPr>
        <w:jc w:val="center"/>
        <w:rPr>
          <w:b/>
          <w:sz w:val="28"/>
          <w:szCs w:val="28"/>
          <w:lang w:val="en-US"/>
        </w:rPr>
      </w:pPr>
    </w:p>
    <w:p w14:paraId="1B2FA871" w14:textId="77777777" w:rsidR="008A3DDD" w:rsidRDefault="008A3DDD" w:rsidP="008A3DDD">
      <w:pPr>
        <w:jc w:val="center"/>
        <w:rPr>
          <w:b/>
          <w:sz w:val="28"/>
          <w:szCs w:val="28"/>
          <w:lang w:val="en-US"/>
        </w:rPr>
      </w:pPr>
    </w:p>
    <w:p w14:paraId="0E5DB76B" w14:textId="77777777" w:rsidR="008A3DDD" w:rsidRDefault="008A3DDD" w:rsidP="008A3DDD">
      <w:pPr>
        <w:jc w:val="center"/>
        <w:rPr>
          <w:b/>
          <w:sz w:val="28"/>
          <w:szCs w:val="28"/>
          <w:lang w:val="en-US"/>
        </w:rPr>
      </w:pPr>
    </w:p>
    <w:p w14:paraId="3C523879" w14:textId="77777777" w:rsidR="008A3DDD" w:rsidRDefault="008A3DDD" w:rsidP="008A3DDD">
      <w:pPr>
        <w:jc w:val="center"/>
        <w:rPr>
          <w:b/>
          <w:sz w:val="28"/>
          <w:szCs w:val="28"/>
          <w:lang w:val="en-US"/>
        </w:rPr>
      </w:pPr>
    </w:p>
    <w:p w14:paraId="394D4111" w14:textId="77777777" w:rsidR="008A3DDD" w:rsidRDefault="008A3DDD" w:rsidP="008A3DDD">
      <w:pPr>
        <w:jc w:val="center"/>
        <w:rPr>
          <w:b/>
          <w:sz w:val="28"/>
          <w:szCs w:val="28"/>
          <w:lang w:val="en-US"/>
        </w:rPr>
      </w:pPr>
    </w:p>
    <w:p w14:paraId="63C5EB1C" w14:textId="77777777" w:rsidR="008A3DDD" w:rsidRDefault="008A3DDD" w:rsidP="008A3DDD">
      <w:pPr>
        <w:jc w:val="center"/>
        <w:rPr>
          <w:b/>
          <w:sz w:val="28"/>
          <w:szCs w:val="28"/>
          <w:lang w:val="en-US"/>
        </w:rPr>
      </w:pPr>
    </w:p>
    <w:p w14:paraId="3AD98B61" w14:textId="77777777" w:rsidR="008A3DDD" w:rsidRDefault="008A3DDD" w:rsidP="008A3DDD">
      <w:pPr>
        <w:jc w:val="center"/>
        <w:rPr>
          <w:b/>
          <w:sz w:val="28"/>
          <w:szCs w:val="28"/>
          <w:lang w:val="en-US"/>
        </w:rPr>
      </w:pPr>
      <w:r>
        <w:rPr>
          <w:b/>
          <w:sz w:val="28"/>
          <w:szCs w:val="28"/>
          <w:lang w:val="en-US"/>
        </w:rPr>
        <w:t xml:space="preserve"> </w:t>
      </w:r>
    </w:p>
    <w:p w14:paraId="1BFDEE6B" w14:textId="2ED5225E" w:rsidR="008A3DDD" w:rsidRDefault="008A3DDD" w:rsidP="008A3DDD">
      <w:pPr>
        <w:rPr>
          <w:b/>
          <w:sz w:val="28"/>
          <w:szCs w:val="28"/>
          <w:u w:val="single"/>
        </w:rPr>
      </w:pPr>
    </w:p>
    <w:p w14:paraId="138DD37E" w14:textId="3756CDE6" w:rsidR="00AB5B6F" w:rsidRDefault="00AB5B6F" w:rsidP="008A3DDD">
      <w:pPr>
        <w:rPr>
          <w:sz w:val="24"/>
          <w:szCs w:val="24"/>
          <w:lang w:eastAsia="en-GB"/>
        </w:rPr>
      </w:pPr>
    </w:p>
    <w:p w14:paraId="42F74637" w14:textId="79096A75" w:rsidR="009F00AF" w:rsidRPr="00AD4287" w:rsidRDefault="00DB0B9D" w:rsidP="009F00AF">
      <w:pPr>
        <w:pStyle w:val="BodyA"/>
        <w:outlineLvl w:val="0"/>
        <w:rPr>
          <w:rFonts w:ascii="Times New Roman" w:eastAsia="Times New Roman" w:hAnsi="Times New Roman" w:cs="Times New Roman"/>
          <w:bCs/>
          <w:color w:val="auto"/>
          <w:sz w:val="32"/>
          <w:szCs w:val="32"/>
          <w:bdr w:val="none" w:sz="0" w:space="0" w:color="auto"/>
          <w:lang w:val="en-GB" w:eastAsia="en-US"/>
          <w14:textOutline w14:w="0" w14:cap="rnd" w14:cmpd="sng" w14:algn="ctr">
            <w14:noFill/>
            <w14:prstDash w14:val="solid"/>
            <w14:bevel/>
          </w14:textOutline>
        </w:rPr>
      </w:pPr>
      <w:r w:rsidRPr="00AD4287">
        <w:rPr>
          <w:rFonts w:ascii="Times New Roman" w:eastAsia="Times New Roman" w:hAnsi="Times New Roman" w:cs="Times New Roman"/>
          <w:b/>
          <w:color w:val="auto"/>
          <w:sz w:val="32"/>
          <w:szCs w:val="32"/>
          <w:u w:val="single"/>
          <w:bdr w:val="none" w:sz="0" w:space="0" w:color="auto"/>
          <w:lang w:val="en-GB" w:eastAsia="en-US"/>
          <w14:textOutline w14:w="0" w14:cap="rnd" w14:cmpd="sng" w14:algn="ctr">
            <w14:noFill/>
            <w14:prstDash w14:val="solid"/>
            <w14:bevel/>
          </w14:textOutline>
        </w:rPr>
        <w:lastRenderedPageBreak/>
        <w:t xml:space="preserve">About the </w:t>
      </w:r>
      <w:r w:rsidR="00D020CE" w:rsidRPr="00AD4287">
        <w:rPr>
          <w:rFonts w:ascii="Times New Roman" w:eastAsia="Times New Roman" w:hAnsi="Times New Roman" w:cs="Times New Roman"/>
          <w:b/>
          <w:color w:val="auto"/>
          <w:sz w:val="32"/>
          <w:szCs w:val="32"/>
          <w:u w:val="single"/>
          <w:bdr w:val="none" w:sz="0" w:space="0" w:color="auto"/>
          <w:lang w:val="en-GB" w:eastAsia="en-US"/>
          <w14:textOutline w14:w="0" w14:cap="rnd" w14:cmpd="sng" w14:algn="ctr">
            <w14:noFill/>
            <w14:prstDash w14:val="solid"/>
            <w14:bevel/>
          </w14:textOutline>
        </w:rPr>
        <w:t>S</w:t>
      </w:r>
      <w:r w:rsidRPr="00AD4287">
        <w:rPr>
          <w:rFonts w:ascii="Times New Roman" w:eastAsia="Times New Roman" w:hAnsi="Times New Roman" w:cs="Times New Roman"/>
          <w:b/>
          <w:color w:val="auto"/>
          <w:sz w:val="32"/>
          <w:szCs w:val="32"/>
          <w:u w:val="single"/>
          <w:bdr w:val="none" w:sz="0" w:space="0" w:color="auto"/>
          <w:lang w:val="en-GB" w:eastAsia="en-US"/>
          <w14:textOutline w14:w="0" w14:cap="rnd" w14:cmpd="sng" w14:algn="ctr">
            <w14:noFill/>
            <w14:prstDash w14:val="solid"/>
            <w14:bevel/>
          </w14:textOutline>
        </w:rPr>
        <w:t xml:space="preserve">ubmitting </w:t>
      </w:r>
      <w:r w:rsidR="00D020CE" w:rsidRPr="00AD4287">
        <w:rPr>
          <w:rFonts w:ascii="Times New Roman" w:eastAsia="Times New Roman" w:hAnsi="Times New Roman" w:cs="Times New Roman"/>
          <w:b/>
          <w:color w:val="auto"/>
          <w:sz w:val="32"/>
          <w:szCs w:val="32"/>
          <w:u w:val="single"/>
          <w:bdr w:val="none" w:sz="0" w:space="0" w:color="auto"/>
          <w:lang w:val="en-GB" w:eastAsia="en-US"/>
          <w14:textOutline w14:w="0" w14:cap="rnd" w14:cmpd="sng" w14:algn="ctr">
            <w14:noFill/>
            <w14:prstDash w14:val="solid"/>
            <w14:bevel/>
          </w14:textOutline>
        </w:rPr>
        <w:t>O</w:t>
      </w:r>
      <w:r w:rsidRPr="00AD4287">
        <w:rPr>
          <w:rFonts w:ascii="Times New Roman" w:eastAsia="Times New Roman" w:hAnsi="Times New Roman" w:cs="Times New Roman"/>
          <w:b/>
          <w:color w:val="auto"/>
          <w:sz w:val="32"/>
          <w:szCs w:val="32"/>
          <w:u w:val="single"/>
          <w:bdr w:val="none" w:sz="0" w:space="0" w:color="auto"/>
          <w:lang w:val="en-GB" w:eastAsia="en-US"/>
          <w14:textOutline w14:w="0" w14:cap="rnd" w14:cmpd="sng" w14:algn="ctr">
            <w14:noFill/>
            <w14:prstDash w14:val="solid"/>
            <w14:bevel/>
          </w14:textOutline>
        </w:rPr>
        <w:t>rganization</w:t>
      </w:r>
    </w:p>
    <w:p w14:paraId="6BFE7B8D" w14:textId="1CD6B813" w:rsidR="00DB0B9D" w:rsidRDefault="00DB0B9D" w:rsidP="009F00AF">
      <w:pPr>
        <w:pStyle w:val="BodyA"/>
        <w:outlineLvl w:val="0"/>
        <w:rPr>
          <w:rFonts w:ascii="Times New Roman" w:eastAsia="Times New Roman" w:hAnsi="Times New Roman" w:cs="Times New Roman"/>
          <w:bCs/>
          <w:color w:val="auto"/>
          <w:bdr w:val="none" w:sz="0" w:space="0" w:color="auto"/>
          <w:lang w:val="en-GB" w:eastAsia="en-US"/>
          <w14:textOutline w14:w="0" w14:cap="rnd" w14:cmpd="sng" w14:algn="ctr">
            <w14:noFill/>
            <w14:prstDash w14:val="solid"/>
            <w14:bevel/>
          </w14:textOutline>
        </w:rPr>
      </w:pPr>
    </w:p>
    <w:p w14:paraId="5FACFE8E" w14:textId="66515F40" w:rsidR="00DB0B9D" w:rsidRPr="00DB0B9D" w:rsidRDefault="00DB0B9D" w:rsidP="00DB0B9D">
      <w:pPr>
        <w:shd w:val="clear" w:color="auto" w:fill="FFFFFF"/>
        <w:spacing w:after="384"/>
        <w:textAlignment w:val="baseline"/>
        <w:rPr>
          <w:rFonts w:asciiTheme="majorBidi" w:hAnsiTheme="majorBidi" w:cstheme="majorBidi"/>
          <w:color w:val="000000"/>
          <w:sz w:val="24"/>
          <w:szCs w:val="24"/>
          <w:lang w:val="en-US" w:eastAsia="da-DK"/>
        </w:rPr>
      </w:pPr>
      <w:r w:rsidRPr="00DB0B9D">
        <w:rPr>
          <w:rFonts w:asciiTheme="majorBidi" w:hAnsiTheme="majorBidi" w:cstheme="majorBidi"/>
          <w:color w:val="000000"/>
          <w:sz w:val="24"/>
          <w:szCs w:val="24"/>
          <w:lang w:val="en-US" w:eastAsia="da-DK"/>
        </w:rPr>
        <w:t xml:space="preserve">DIGNITY is an independent human rights and development organization. Our vision is a world free of torture and </w:t>
      </w:r>
      <w:r w:rsidR="00C470EC">
        <w:rPr>
          <w:rFonts w:asciiTheme="majorBidi" w:hAnsiTheme="majorBidi" w:cstheme="majorBidi"/>
          <w:color w:val="000000"/>
          <w:sz w:val="24"/>
          <w:szCs w:val="24"/>
          <w:lang w:val="en-US" w:eastAsia="da-DK"/>
        </w:rPr>
        <w:t xml:space="preserve">other </w:t>
      </w:r>
      <w:r w:rsidRPr="00DB0B9D">
        <w:rPr>
          <w:rFonts w:asciiTheme="majorBidi" w:hAnsiTheme="majorBidi" w:cstheme="majorBidi"/>
          <w:color w:val="000000"/>
          <w:sz w:val="24"/>
          <w:szCs w:val="24"/>
          <w:lang w:val="en-US" w:eastAsia="da-DK"/>
        </w:rPr>
        <w:t xml:space="preserve">cruel, inhuman, </w:t>
      </w:r>
      <w:r w:rsidR="00C470EC">
        <w:rPr>
          <w:rFonts w:asciiTheme="majorBidi" w:hAnsiTheme="majorBidi" w:cstheme="majorBidi"/>
          <w:color w:val="000000"/>
          <w:sz w:val="24"/>
          <w:szCs w:val="24"/>
          <w:lang w:val="en-US" w:eastAsia="da-DK"/>
        </w:rPr>
        <w:t xml:space="preserve">or </w:t>
      </w:r>
      <w:r w:rsidRPr="00DB0B9D">
        <w:rPr>
          <w:rFonts w:asciiTheme="majorBidi" w:hAnsiTheme="majorBidi" w:cstheme="majorBidi"/>
          <w:color w:val="000000"/>
          <w:sz w:val="24"/>
          <w:szCs w:val="24"/>
          <w:lang w:val="en-US" w:eastAsia="da-DK"/>
        </w:rPr>
        <w:t>degrading treatment.</w:t>
      </w:r>
    </w:p>
    <w:p w14:paraId="0AAE84F3" w14:textId="6437E3CF" w:rsidR="00DB0B9D" w:rsidRPr="00DB0B9D" w:rsidRDefault="00DB0B9D" w:rsidP="00DB0B9D">
      <w:pPr>
        <w:shd w:val="clear" w:color="auto" w:fill="FFFFFF"/>
        <w:spacing w:after="384"/>
        <w:textAlignment w:val="baseline"/>
        <w:rPr>
          <w:rFonts w:asciiTheme="majorBidi" w:hAnsiTheme="majorBidi" w:cstheme="majorBidi"/>
          <w:color w:val="000000"/>
          <w:sz w:val="24"/>
          <w:szCs w:val="24"/>
          <w:lang w:val="en-US" w:eastAsia="da-DK"/>
        </w:rPr>
      </w:pPr>
      <w:r w:rsidRPr="00DB0B9D">
        <w:rPr>
          <w:rFonts w:asciiTheme="majorBidi" w:hAnsiTheme="majorBidi" w:cstheme="majorBidi"/>
          <w:color w:val="000000"/>
          <w:sz w:val="24"/>
          <w:szCs w:val="24"/>
          <w:lang w:val="en-US" w:eastAsia="da-DK"/>
        </w:rPr>
        <w:t xml:space="preserve">Founded in 1982, DIGNITY is one of the world’s first anti-torture NGOs and specialized treatment </w:t>
      </w:r>
      <w:r w:rsidRPr="00DB0B9D">
        <w:rPr>
          <w:rFonts w:asciiTheme="majorBidi" w:hAnsiTheme="majorBidi" w:cstheme="majorBidi"/>
          <w:color w:val="000000"/>
          <w:sz w:val="24"/>
          <w:szCs w:val="24"/>
          <w:lang w:eastAsia="da-DK"/>
        </w:rPr>
        <w:t>centres</w:t>
      </w:r>
      <w:r w:rsidRPr="00DB0B9D">
        <w:rPr>
          <w:rFonts w:asciiTheme="majorBidi" w:hAnsiTheme="majorBidi" w:cstheme="majorBidi"/>
          <w:color w:val="000000"/>
          <w:sz w:val="24"/>
          <w:szCs w:val="24"/>
          <w:lang w:val="en-US" w:eastAsia="da-DK"/>
        </w:rPr>
        <w:t xml:space="preserve"> for torture survivors. For 40 years, DIGNITY has been a leading civil society force in the global fight against torture</w:t>
      </w:r>
      <w:r w:rsidR="008C7A2D">
        <w:rPr>
          <w:rFonts w:asciiTheme="majorBidi" w:hAnsiTheme="majorBidi" w:cstheme="majorBidi"/>
          <w:color w:val="000000"/>
          <w:sz w:val="24"/>
          <w:szCs w:val="24"/>
          <w:lang w:val="en-US" w:eastAsia="da-DK"/>
        </w:rPr>
        <w:t xml:space="preserve"> and today our programming spans the health, legal and political sectors. </w:t>
      </w:r>
    </w:p>
    <w:p w14:paraId="642F1F50" w14:textId="6E3BB6D7" w:rsidR="00DB0B9D" w:rsidRPr="00DB0B9D" w:rsidRDefault="00DB0B9D" w:rsidP="00DB0B9D">
      <w:pPr>
        <w:shd w:val="clear" w:color="auto" w:fill="FFFFFF"/>
        <w:spacing w:after="384"/>
        <w:textAlignment w:val="baseline"/>
        <w:rPr>
          <w:rFonts w:asciiTheme="majorBidi" w:hAnsiTheme="majorBidi" w:cstheme="majorBidi"/>
          <w:color w:val="000000"/>
          <w:sz w:val="24"/>
          <w:szCs w:val="24"/>
          <w:lang w:val="en-US" w:eastAsia="da-DK"/>
        </w:rPr>
      </w:pPr>
      <w:r w:rsidRPr="00DB0B9D">
        <w:rPr>
          <w:rFonts w:asciiTheme="majorBidi" w:hAnsiTheme="majorBidi" w:cstheme="majorBidi"/>
          <w:color w:val="000000"/>
          <w:sz w:val="24"/>
          <w:szCs w:val="24"/>
          <w:lang w:val="en-US" w:eastAsia="da-DK"/>
        </w:rPr>
        <w:t>DIGNITY is headquartered in Copenhagen</w:t>
      </w:r>
      <w:r w:rsidR="008C7A2D">
        <w:rPr>
          <w:rFonts w:asciiTheme="majorBidi" w:hAnsiTheme="majorBidi" w:cstheme="majorBidi"/>
          <w:color w:val="000000"/>
          <w:sz w:val="24"/>
          <w:szCs w:val="24"/>
          <w:lang w:val="en-US" w:eastAsia="da-DK"/>
        </w:rPr>
        <w:t>,</w:t>
      </w:r>
      <w:r w:rsidR="003959D3">
        <w:rPr>
          <w:rFonts w:asciiTheme="majorBidi" w:hAnsiTheme="majorBidi" w:cstheme="majorBidi"/>
          <w:color w:val="000000"/>
          <w:sz w:val="24"/>
          <w:szCs w:val="24"/>
          <w:lang w:val="en-US" w:eastAsia="da-DK"/>
        </w:rPr>
        <w:t xml:space="preserve"> Denmark,</w:t>
      </w:r>
      <w:r w:rsidR="008C7A2D">
        <w:rPr>
          <w:rFonts w:asciiTheme="majorBidi" w:hAnsiTheme="majorBidi" w:cstheme="majorBidi"/>
          <w:color w:val="000000"/>
          <w:sz w:val="24"/>
          <w:szCs w:val="24"/>
          <w:lang w:val="en-US" w:eastAsia="da-DK"/>
        </w:rPr>
        <w:t xml:space="preserve"> has country offices i</w:t>
      </w:r>
      <w:r w:rsidR="009D555E">
        <w:rPr>
          <w:rFonts w:asciiTheme="majorBidi" w:hAnsiTheme="majorBidi" w:cstheme="majorBidi"/>
          <w:color w:val="000000"/>
          <w:sz w:val="24"/>
          <w:szCs w:val="24"/>
          <w:lang w:val="en-US" w:eastAsia="da-DK"/>
        </w:rPr>
        <w:t>n</w:t>
      </w:r>
      <w:r w:rsidR="008C7A2D">
        <w:rPr>
          <w:rFonts w:asciiTheme="majorBidi" w:hAnsiTheme="majorBidi" w:cstheme="majorBidi"/>
          <w:color w:val="000000"/>
          <w:sz w:val="24"/>
          <w:szCs w:val="24"/>
          <w:lang w:val="en-US" w:eastAsia="da-DK"/>
        </w:rPr>
        <w:t xml:space="preserve"> Jordan and Tunisia,</w:t>
      </w:r>
      <w:r w:rsidRPr="00DB0B9D">
        <w:rPr>
          <w:rFonts w:asciiTheme="majorBidi" w:hAnsiTheme="majorBidi" w:cstheme="majorBidi"/>
          <w:color w:val="000000"/>
          <w:sz w:val="24"/>
          <w:szCs w:val="24"/>
          <w:lang w:val="en-US" w:eastAsia="da-DK"/>
        </w:rPr>
        <w:t xml:space="preserve"> and currently employs around 140 staff globally. We have active partnerships with more than 30 local and international NGOs and research institutions around the world.</w:t>
      </w:r>
    </w:p>
    <w:p w14:paraId="7ED13360" w14:textId="43579B0F" w:rsidR="00DB0B9D" w:rsidRDefault="00DB0B9D" w:rsidP="00DB0B9D">
      <w:pPr>
        <w:shd w:val="clear" w:color="auto" w:fill="FFFFFF"/>
        <w:textAlignment w:val="baseline"/>
        <w:rPr>
          <w:rFonts w:asciiTheme="majorBidi" w:hAnsiTheme="majorBidi" w:cstheme="majorBidi"/>
          <w:color w:val="000000"/>
          <w:sz w:val="24"/>
          <w:szCs w:val="24"/>
          <w:lang w:val="en-US" w:eastAsia="da-DK"/>
        </w:rPr>
      </w:pPr>
      <w:r w:rsidRPr="00DB0B9D">
        <w:rPr>
          <w:rFonts w:asciiTheme="majorBidi" w:hAnsiTheme="majorBidi" w:cstheme="majorBidi"/>
          <w:color w:val="000000"/>
          <w:sz w:val="24"/>
          <w:szCs w:val="24"/>
          <w:lang w:val="en-US" w:eastAsia="da-DK"/>
        </w:rPr>
        <w:t xml:space="preserve">DIGNITY operates in </w:t>
      </w:r>
      <w:r w:rsidR="003959D3">
        <w:rPr>
          <w:rFonts w:asciiTheme="majorBidi" w:hAnsiTheme="majorBidi" w:cstheme="majorBidi"/>
          <w:color w:val="000000"/>
          <w:sz w:val="24"/>
          <w:szCs w:val="24"/>
          <w:lang w:val="en-US" w:eastAsia="da-DK"/>
        </w:rPr>
        <w:t xml:space="preserve">more than </w:t>
      </w:r>
      <w:r w:rsidRPr="00DB0B9D">
        <w:rPr>
          <w:rFonts w:asciiTheme="majorBidi" w:hAnsiTheme="majorBidi" w:cstheme="majorBidi"/>
          <w:color w:val="000000"/>
          <w:sz w:val="24"/>
          <w:szCs w:val="24"/>
          <w:lang w:val="en-US" w:eastAsia="da-DK"/>
        </w:rPr>
        <w:t xml:space="preserve">20 countries in Africa, Middle East, Asia, Eastern Europe, and </w:t>
      </w:r>
      <w:r w:rsidRPr="001C151C">
        <w:rPr>
          <w:rFonts w:asciiTheme="majorBidi" w:hAnsiTheme="majorBidi" w:cstheme="majorBidi"/>
          <w:color w:val="000000"/>
          <w:sz w:val="24"/>
          <w:szCs w:val="24"/>
          <w:lang w:val="en-US" w:eastAsia="da-DK"/>
        </w:rPr>
        <w:t>Central America, where we work in close partnerships with human rights defenders, civil society organizations and, where possible, government authorities.</w:t>
      </w:r>
      <w:r w:rsidR="001C151C" w:rsidRPr="001C151C">
        <w:rPr>
          <w:rFonts w:asciiTheme="majorBidi" w:hAnsiTheme="majorBidi" w:cstheme="majorBidi"/>
          <w:color w:val="000000"/>
          <w:sz w:val="24"/>
          <w:szCs w:val="24"/>
          <w:lang w:val="en-US" w:eastAsia="da-DK"/>
        </w:rPr>
        <w:t xml:space="preserve"> DIGNITY is a </w:t>
      </w:r>
      <w:r w:rsidR="001C151C" w:rsidRPr="001C151C">
        <w:rPr>
          <w:sz w:val="24"/>
          <w:szCs w:val="24"/>
        </w:rPr>
        <w:t>member of the World Health Organization’s Violence Prevention Alliance and the UN Sub-Committee on Prevention of Torture</w:t>
      </w:r>
      <w:r w:rsidR="00C37628">
        <w:rPr>
          <w:sz w:val="24"/>
          <w:szCs w:val="24"/>
        </w:rPr>
        <w:t>.</w:t>
      </w:r>
    </w:p>
    <w:p w14:paraId="025D1D0C" w14:textId="77777777" w:rsidR="00630C7B" w:rsidRPr="00DB0B9D" w:rsidRDefault="00630C7B" w:rsidP="00DB0B9D">
      <w:pPr>
        <w:shd w:val="clear" w:color="auto" w:fill="FFFFFF"/>
        <w:textAlignment w:val="baseline"/>
        <w:rPr>
          <w:rFonts w:asciiTheme="majorBidi" w:hAnsiTheme="majorBidi" w:cstheme="majorBidi"/>
          <w:color w:val="000000"/>
          <w:sz w:val="24"/>
          <w:szCs w:val="24"/>
          <w:lang w:val="en-US" w:eastAsia="da-DK"/>
        </w:rPr>
      </w:pPr>
    </w:p>
    <w:p w14:paraId="46DD864E" w14:textId="062DF532" w:rsidR="00DB0B9D" w:rsidRDefault="00DB0B9D" w:rsidP="009F00AF">
      <w:pPr>
        <w:pStyle w:val="BodyA"/>
        <w:outlineLvl w:val="0"/>
        <w:rPr>
          <w:rStyle w:val="None"/>
          <w:rFonts w:ascii="Times New Roman" w:hAnsi="Times New Roman" w:cs="Times New Roman"/>
          <w:b/>
          <w:bCs/>
        </w:rPr>
      </w:pPr>
    </w:p>
    <w:p w14:paraId="2C242574" w14:textId="77777777" w:rsidR="00630C7B" w:rsidRDefault="00630C7B" w:rsidP="009F00AF">
      <w:pPr>
        <w:pStyle w:val="BodyA"/>
        <w:outlineLvl w:val="0"/>
        <w:rPr>
          <w:rStyle w:val="None"/>
          <w:rFonts w:ascii="Times New Roman" w:hAnsi="Times New Roman" w:cs="Times New Roman"/>
          <w:b/>
          <w:bCs/>
        </w:rPr>
      </w:pPr>
    </w:p>
    <w:p w14:paraId="2B7913D2" w14:textId="7101607A" w:rsidR="009F00AF" w:rsidRPr="00AD4287" w:rsidRDefault="00D020CE" w:rsidP="00D020CE">
      <w:pPr>
        <w:pStyle w:val="BodyA"/>
        <w:outlineLvl w:val="0"/>
        <w:rPr>
          <w:rStyle w:val="None"/>
          <w:rFonts w:ascii="Times New Roman" w:eastAsia="Times New Roman" w:hAnsi="Times New Roman" w:cs="Times New Roman"/>
          <w:b/>
          <w:bCs/>
          <w:sz w:val="32"/>
          <w:szCs w:val="32"/>
          <w:u w:val="single"/>
        </w:rPr>
      </w:pPr>
      <w:r w:rsidRPr="00AD4287">
        <w:rPr>
          <w:rStyle w:val="None"/>
          <w:rFonts w:ascii="Times New Roman" w:hAnsi="Times New Roman" w:cs="Times New Roman"/>
          <w:b/>
          <w:bCs/>
          <w:sz w:val="32"/>
          <w:szCs w:val="32"/>
          <w:u w:val="single"/>
        </w:rPr>
        <w:t xml:space="preserve">Submitting Organization </w:t>
      </w:r>
      <w:r w:rsidR="009F00AF" w:rsidRPr="00AD4287">
        <w:rPr>
          <w:rStyle w:val="None"/>
          <w:rFonts w:ascii="Times New Roman" w:hAnsi="Times New Roman" w:cs="Times New Roman"/>
          <w:b/>
          <w:bCs/>
          <w:sz w:val="32"/>
          <w:szCs w:val="32"/>
          <w:u w:val="single"/>
        </w:rPr>
        <w:t>Contact Details</w:t>
      </w:r>
    </w:p>
    <w:p w14:paraId="5EFA2319"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6512F6" w14:paraId="1CF43E10" w14:textId="77777777" w:rsidTr="00820E9E">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8EE" w14:textId="77777777" w:rsidR="009F00AF" w:rsidRPr="006512F6" w:rsidRDefault="009F00AF" w:rsidP="00820E9E">
            <w:pPr>
              <w:rPr>
                <w:sz w:val="24"/>
                <w:szCs w:val="24"/>
              </w:rPr>
            </w:pPr>
            <w:r w:rsidRPr="006512F6">
              <w:rPr>
                <w:sz w:val="24"/>
                <w:szCs w:val="24"/>
              </w:rPr>
              <w:fldChar w:fldCharType="begin">
                <w:ffData>
                  <w:name w:val="Check3"/>
                  <w:enabled/>
                  <w:calcOnExit w:val="0"/>
                  <w:checkBox>
                    <w:sizeAuto/>
                    <w:default w:val="0"/>
                  </w:checkBox>
                </w:ffData>
              </w:fldChar>
            </w:r>
            <w:bookmarkStart w:id="0" w:name="Check3"/>
            <w:r w:rsidRPr="006512F6">
              <w:rPr>
                <w:sz w:val="24"/>
                <w:szCs w:val="24"/>
              </w:rPr>
              <w:instrText xml:space="preserve"> FORMCHECKBOX </w:instrText>
            </w:r>
            <w:r w:rsidR="00BD7C90">
              <w:rPr>
                <w:sz w:val="24"/>
                <w:szCs w:val="24"/>
              </w:rPr>
            </w:r>
            <w:r w:rsidR="00BD7C90">
              <w:rPr>
                <w:sz w:val="24"/>
                <w:szCs w:val="24"/>
              </w:rPr>
              <w:fldChar w:fldCharType="separate"/>
            </w:r>
            <w:r w:rsidRPr="006512F6">
              <w:rPr>
                <w:sz w:val="24"/>
                <w:szCs w:val="24"/>
              </w:rPr>
              <w:fldChar w:fldCharType="end"/>
            </w:r>
            <w:bookmarkEnd w:id="0"/>
            <w:r w:rsidRPr="006512F6">
              <w:rPr>
                <w:sz w:val="24"/>
                <w:szCs w:val="24"/>
              </w:rPr>
              <w:t xml:space="preserve">  Member State     </w:t>
            </w:r>
          </w:p>
          <w:p w14:paraId="064105A3" w14:textId="7777777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BD7C90">
              <w:rPr>
                <w:sz w:val="24"/>
                <w:szCs w:val="24"/>
              </w:rPr>
            </w:r>
            <w:r w:rsidR="00BD7C90">
              <w:rPr>
                <w:sz w:val="24"/>
                <w:szCs w:val="24"/>
              </w:rPr>
              <w:fldChar w:fldCharType="separate"/>
            </w:r>
            <w:r w:rsidRPr="006512F6">
              <w:rPr>
                <w:sz w:val="24"/>
                <w:szCs w:val="24"/>
              </w:rPr>
              <w:fldChar w:fldCharType="end"/>
            </w:r>
            <w:r w:rsidRPr="006512F6">
              <w:rPr>
                <w:sz w:val="24"/>
                <w:szCs w:val="24"/>
              </w:rPr>
              <w:t xml:space="preserve">  Observer State</w:t>
            </w:r>
          </w:p>
          <w:p w14:paraId="0781E329" w14:textId="4AA8A3B5" w:rsidR="009F00AF" w:rsidRPr="006512F6" w:rsidRDefault="006D3BCE" w:rsidP="00820E9E">
            <w:pPr>
              <w:ind w:left="394" w:hanging="394"/>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BD7C90">
              <w:rPr>
                <w:sz w:val="24"/>
                <w:szCs w:val="24"/>
              </w:rPr>
            </w:r>
            <w:r w:rsidR="00BD7C90">
              <w:rPr>
                <w:sz w:val="24"/>
                <w:szCs w:val="24"/>
              </w:rPr>
              <w:fldChar w:fldCharType="separate"/>
            </w:r>
            <w:r>
              <w:rPr>
                <w:sz w:val="24"/>
                <w:szCs w:val="24"/>
              </w:rPr>
              <w:fldChar w:fldCharType="end"/>
            </w:r>
            <w:r w:rsidR="009F00AF" w:rsidRPr="006512F6">
              <w:rPr>
                <w:sz w:val="24"/>
                <w:szCs w:val="24"/>
              </w:rPr>
              <w:t xml:space="preserve">  Other (please specify)</w:t>
            </w:r>
          </w:p>
        </w:tc>
      </w:tr>
      <w:tr w:rsidR="009F00AF" w:rsidRPr="006512F6" w14:paraId="17F5FE06" w14:textId="77777777" w:rsidTr="00820E9E">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6512F6" w:rsidRDefault="009F00AF" w:rsidP="00820E9E">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019774BA"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41981" w14:textId="6BCD7631" w:rsidR="009F00AF" w:rsidRDefault="006D3BCE" w:rsidP="00820E9E">
            <w:pPr>
              <w:rPr>
                <w:sz w:val="24"/>
                <w:szCs w:val="24"/>
              </w:rPr>
            </w:pPr>
            <w:r>
              <w:rPr>
                <w:sz w:val="24"/>
                <w:szCs w:val="24"/>
              </w:rPr>
              <w:t>DIGNITY – Danish Institute against Torture</w:t>
            </w:r>
          </w:p>
          <w:p w14:paraId="2A65A19E" w14:textId="3C54F75C" w:rsidR="006D3BCE" w:rsidRPr="006D3BCE" w:rsidRDefault="006D3BCE" w:rsidP="006D3BCE">
            <w:pPr>
              <w:rPr>
                <w:sz w:val="24"/>
                <w:szCs w:val="24"/>
              </w:rPr>
            </w:pPr>
            <w:r>
              <w:rPr>
                <w:sz w:val="24"/>
                <w:szCs w:val="24"/>
              </w:rPr>
              <w:t>Grant Shubin, Legal Advisor</w:t>
            </w:r>
          </w:p>
        </w:tc>
      </w:tr>
    </w:tbl>
    <w:p w14:paraId="003379F8" w14:textId="6FA4A5BF" w:rsidR="00630C7B" w:rsidRDefault="00630C7B" w:rsidP="00630C7B">
      <w:pPr>
        <w:pStyle w:val="Heading1"/>
        <w:ind w:left="0"/>
        <w:jc w:val="left"/>
        <w:rPr>
          <w:rFonts w:asciiTheme="majorBidi" w:hAnsiTheme="majorBidi" w:cstheme="majorBidi"/>
          <w:sz w:val="32"/>
          <w:szCs w:val="32"/>
          <w:u w:val="single"/>
        </w:rPr>
      </w:pPr>
      <w:bookmarkStart w:id="1" w:name="_Toc48734680"/>
      <w:bookmarkStart w:id="2" w:name="_GoBack"/>
      <w:bookmarkEnd w:id="2"/>
    </w:p>
    <w:p w14:paraId="639696E2" w14:textId="77777777" w:rsidR="00630C7B" w:rsidRPr="00630C7B" w:rsidRDefault="00630C7B" w:rsidP="00630C7B"/>
    <w:p w14:paraId="31CB1238" w14:textId="30D48B8A" w:rsidR="009F00AF" w:rsidRPr="00AD4287" w:rsidRDefault="006D3BCE" w:rsidP="00630C7B">
      <w:pPr>
        <w:pStyle w:val="Heading1"/>
        <w:ind w:left="0"/>
        <w:jc w:val="left"/>
        <w:rPr>
          <w:rFonts w:asciiTheme="majorBidi" w:hAnsiTheme="majorBidi" w:cstheme="majorBidi"/>
          <w:sz w:val="32"/>
          <w:szCs w:val="32"/>
          <w:u w:val="single"/>
        </w:rPr>
      </w:pPr>
      <w:r w:rsidRPr="00AD4287">
        <w:rPr>
          <w:rFonts w:asciiTheme="majorBidi" w:hAnsiTheme="majorBidi" w:cstheme="majorBidi"/>
          <w:sz w:val="32"/>
          <w:szCs w:val="32"/>
          <w:u w:val="single"/>
        </w:rPr>
        <w:t>Introduction</w:t>
      </w:r>
      <w:r w:rsidR="004E388A">
        <w:rPr>
          <w:rFonts w:asciiTheme="majorBidi" w:hAnsiTheme="majorBidi" w:cstheme="majorBidi"/>
          <w:sz w:val="32"/>
          <w:szCs w:val="32"/>
          <w:u w:val="single"/>
        </w:rPr>
        <w:t xml:space="preserve"> </w:t>
      </w:r>
    </w:p>
    <w:p w14:paraId="7918014C" w14:textId="77777777" w:rsidR="008A3DDD" w:rsidRPr="00FE2B98" w:rsidRDefault="008A3DDD" w:rsidP="008A3DDD">
      <w:pPr>
        <w:rPr>
          <w:rFonts w:asciiTheme="majorBidi" w:hAnsiTheme="majorBidi" w:cstheme="majorBidi"/>
          <w:sz w:val="24"/>
          <w:szCs w:val="24"/>
        </w:rPr>
      </w:pPr>
    </w:p>
    <w:p w14:paraId="44C9B09A" w14:textId="105F37F4" w:rsidR="002656F6" w:rsidRPr="00FE2B98" w:rsidRDefault="001504D9" w:rsidP="002656F6">
      <w:pPr>
        <w:shd w:val="clear" w:color="auto" w:fill="FFFFFF"/>
        <w:spacing w:line="259" w:lineRule="auto"/>
        <w:outlineLvl w:val="2"/>
        <w:rPr>
          <w:rFonts w:asciiTheme="majorBidi" w:hAnsiTheme="majorBidi" w:cstheme="majorBidi"/>
          <w:color w:val="000000"/>
          <w:sz w:val="24"/>
          <w:szCs w:val="24"/>
          <w:lang w:eastAsia="en-GB"/>
        </w:rPr>
      </w:pPr>
      <w:r w:rsidRPr="00FE2B98">
        <w:rPr>
          <w:rFonts w:asciiTheme="majorBidi" w:hAnsiTheme="majorBidi" w:cstheme="majorBidi"/>
          <w:color w:val="000000"/>
          <w:sz w:val="24"/>
          <w:szCs w:val="24"/>
          <w:lang w:eastAsia="en-GB"/>
        </w:rPr>
        <w:t xml:space="preserve">This report aims to provide the Special Rapporteur with information concerning violence and its impacts on the right to health in oft-overlooked settings: situations where people </w:t>
      </w:r>
      <w:r w:rsidR="000F7936">
        <w:rPr>
          <w:rFonts w:asciiTheme="majorBidi" w:hAnsiTheme="majorBidi" w:cstheme="majorBidi"/>
          <w:color w:val="000000"/>
          <w:sz w:val="24"/>
          <w:szCs w:val="24"/>
          <w:lang w:eastAsia="en-GB"/>
        </w:rPr>
        <w:t>are</w:t>
      </w:r>
      <w:r w:rsidR="001C151C">
        <w:rPr>
          <w:rFonts w:asciiTheme="majorBidi" w:hAnsiTheme="majorBidi" w:cstheme="majorBidi"/>
          <w:color w:val="000000"/>
          <w:sz w:val="24"/>
          <w:szCs w:val="24"/>
          <w:lang w:eastAsia="en-GB"/>
        </w:rPr>
        <w:t xml:space="preserve"> </w:t>
      </w:r>
      <w:r w:rsidRPr="00FE2B98">
        <w:rPr>
          <w:rFonts w:asciiTheme="majorBidi" w:hAnsiTheme="majorBidi" w:cstheme="majorBidi"/>
          <w:color w:val="000000"/>
          <w:sz w:val="24"/>
          <w:szCs w:val="24"/>
          <w:lang w:eastAsia="en-GB"/>
        </w:rPr>
        <w:t>deprived of their liberty</w:t>
      </w:r>
      <w:r w:rsidR="00FE2B98" w:rsidRPr="00FE2B98">
        <w:rPr>
          <w:rFonts w:asciiTheme="majorBidi" w:hAnsiTheme="majorBidi" w:cstheme="majorBidi"/>
          <w:color w:val="000000"/>
          <w:sz w:val="24"/>
          <w:szCs w:val="24"/>
          <w:lang w:eastAsia="en-GB"/>
        </w:rPr>
        <w:t>—</w:t>
      </w:r>
      <w:r w:rsidR="002656F6" w:rsidRPr="00FE2B98">
        <w:rPr>
          <w:rFonts w:asciiTheme="majorBidi" w:hAnsiTheme="majorBidi" w:cstheme="majorBidi"/>
          <w:color w:val="000000"/>
          <w:sz w:val="24"/>
          <w:szCs w:val="24"/>
          <w:lang w:eastAsia="en-GB"/>
        </w:rPr>
        <w:t>prisons, police departments,</w:t>
      </w:r>
      <w:r w:rsidR="00830520">
        <w:rPr>
          <w:rFonts w:asciiTheme="majorBidi" w:hAnsiTheme="majorBidi" w:cstheme="majorBidi"/>
          <w:color w:val="000000"/>
          <w:sz w:val="24"/>
          <w:szCs w:val="24"/>
          <w:lang w:eastAsia="en-GB"/>
        </w:rPr>
        <w:t xml:space="preserve"> immigration detention</w:t>
      </w:r>
      <w:r w:rsidR="000F7936">
        <w:rPr>
          <w:rFonts w:asciiTheme="majorBidi" w:hAnsiTheme="majorBidi" w:cstheme="majorBidi"/>
          <w:color w:val="000000"/>
          <w:sz w:val="24"/>
          <w:szCs w:val="24"/>
          <w:lang w:eastAsia="en-GB"/>
        </w:rPr>
        <w:t xml:space="preserve"> centres</w:t>
      </w:r>
      <w:r w:rsidR="00830520">
        <w:rPr>
          <w:rFonts w:asciiTheme="majorBidi" w:hAnsiTheme="majorBidi" w:cstheme="majorBidi"/>
          <w:color w:val="000000"/>
          <w:sz w:val="24"/>
          <w:szCs w:val="24"/>
          <w:lang w:eastAsia="en-GB"/>
        </w:rPr>
        <w:t>,</w:t>
      </w:r>
      <w:r w:rsidR="002656F6" w:rsidRPr="00FE2B98">
        <w:rPr>
          <w:rFonts w:asciiTheme="majorBidi" w:hAnsiTheme="majorBidi" w:cstheme="majorBidi"/>
          <w:color w:val="000000"/>
          <w:sz w:val="24"/>
          <w:szCs w:val="24"/>
          <w:lang w:eastAsia="en-GB"/>
        </w:rPr>
        <w:t xml:space="preserve"> </w:t>
      </w:r>
      <w:r w:rsidR="00830520" w:rsidRPr="00FE2B98">
        <w:rPr>
          <w:rFonts w:asciiTheme="majorBidi" w:hAnsiTheme="majorBidi" w:cstheme="majorBidi"/>
          <w:color w:val="000000"/>
          <w:sz w:val="24"/>
          <w:szCs w:val="24"/>
          <w:lang w:eastAsia="en-GB"/>
        </w:rPr>
        <w:t>juvenile detention facilities,</w:t>
      </w:r>
      <w:r w:rsidR="005D63EA" w:rsidRPr="00FE2B98">
        <w:rPr>
          <w:rFonts w:asciiTheme="majorBidi" w:hAnsiTheme="majorBidi" w:cstheme="majorBidi"/>
          <w:color w:val="000000"/>
          <w:sz w:val="24"/>
          <w:szCs w:val="24"/>
          <w:lang w:eastAsia="en-GB"/>
        </w:rPr>
        <w:t xml:space="preserve"> </w:t>
      </w:r>
      <w:r w:rsidR="00373FE3">
        <w:rPr>
          <w:rFonts w:asciiTheme="majorBidi" w:hAnsiTheme="majorBidi" w:cstheme="majorBidi"/>
          <w:color w:val="000000"/>
          <w:sz w:val="24"/>
          <w:szCs w:val="24"/>
          <w:lang w:eastAsia="en-GB"/>
        </w:rPr>
        <w:t xml:space="preserve">psychiatric and prison </w:t>
      </w:r>
      <w:r w:rsidR="005D63EA" w:rsidRPr="00FE2B98">
        <w:rPr>
          <w:rFonts w:asciiTheme="majorBidi" w:hAnsiTheme="majorBidi" w:cstheme="majorBidi"/>
          <w:color w:val="000000"/>
          <w:sz w:val="24"/>
          <w:szCs w:val="24"/>
          <w:lang w:eastAsia="en-GB"/>
        </w:rPr>
        <w:t>hospitals, etc</w:t>
      </w:r>
      <w:r w:rsidRPr="00FE2B98">
        <w:rPr>
          <w:rFonts w:asciiTheme="majorBidi" w:hAnsiTheme="majorBidi" w:cstheme="majorBidi"/>
          <w:color w:val="000000"/>
          <w:sz w:val="24"/>
          <w:szCs w:val="24"/>
          <w:lang w:eastAsia="en-GB"/>
        </w:rPr>
        <w:t xml:space="preserve">. </w:t>
      </w:r>
      <w:r w:rsidR="002656F6" w:rsidRPr="00FE2B98">
        <w:rPr>
          <w:rFonts w:asciiTheme="majorBidi" w:hAnsiTheme="majorBidi" w:cstheme="majorBidi"/>
          <w:color w:val="000000"/>
          <w:sz w:val="24"/>
          <w:szCs w:val="24"/>
          <w:lang w:eastAsia="en-GB"/>
        </w:rPr>
        <w:t xml:space="preserve">In these contexts, the state </w:t>
      </w:r>
      <w:r w:rsidR="000F7936">
        <w:rPr>
          <w:rFonts w:asciiTheme="majorBidi" w:hAnsiTheme="majorBidi" w:cstheme="majorBidi"/>
          <w:color w:val="000000"/>
          <w:sz w:val="24"/>
          <w:szCs w:val="24"/>
          <w:lang w:eastAsia="en-GB"/>
        </w:rPr>
        <w:t>and</w:t>
      </w:r>
      <w:r w:rsidR="002656F6" w:rsidRPr="00FE2B98">
        <w:rPr>
          <w:rFonts w:asciiTheme="majorBidi" w:hAnsiTheme="majorBidi" w:cstheme="majorBidi"/>
          <w:color w:val="000000"/>
          <w:sz w:val="24"/>
          <w:szCs w:val="24"/>
          <w:lang w:eastAsia="en-GB"/>
        </w:rPr>
        <w:t xml:space="preserve"> its agents are </w:t>
      </w:r>
      <w:r w:rsidR="00FE2B98" w:rsidRPr="00FE2B98">
        <w:rPr>
          <w:rFonts w:asciiTheme="majorBidi" w:hAnsiTheme="majorBidi" w:cstheme="majorBidi"/>
          <w:color w:val="000000"/>
          <w:sz w:val="24"/>
          <w:szCs w:val="24"/>
          <w:lang w:eastAsia="en-GB"/>
        </w:rPr>
        <w:t xml:space="preserve">commonly </w:t>
      </w:r>
      <w:r w:rsidR="002656F6" w:rsidRPr="00FE2B98">
        <w:rPr>
          <w:rFonts w:asciiTheme="majorBidi" w:hAnsiTheme="majorBidi" w:cstheme="majorBidi"/>
          <w:color w:val="000000"/>
          <w:sz w:val="24"/>
          <w:szCs w:val="24"/>
          <w:lang w:eastAsia="en-GB"/>
        </w:rPr>
        <w:t xml:space="preserve">both responsible for the act of violence, as well as the subsequent and/or simultaneous violation of the right to health. </w:t>
      </w:r>
    </w:p>
    <w:p w14:paraId="48FF2708" w14:textId="77777777" w:rsidR="00861310" w:rsidRPr="00FE2B98" w:rsidRDefault="00861310" w:rsidP="006D3BCE">
      <w:pPr>
        <w:shd w:val="clear" w:color="auto" w:fill="FFFFFF"/>
        <w:spacing w:line="259" w:lineRule="auto"/>
        <w:outlineLvl w:val="2"/>
        <w:rPr>
          <w:rFonts w:asciiTheme="majorBidi" w:hAnsiTheme="majorBidi" w:cstheme="majorBidi"/>
          <w:sz w:val="24"/>
          <w:szCs w:val="24"/>
        </w:rPr>
      </w:pPr>
    </w:p>
    <w:p w14:paraId="36A0F60D" w14:textId="1EE35ADB" w:rsidR="00EC7DF9" w:rsidRPr="00FE2B98" w:rsidRDefault="00FE2B98" w:rsidP="00AD4287">
      <w:pPr>
        <w:shd w:val="clear" w:color="auto" w:fill="FFFFFF"/>
        <w:spacing w:line="259" w:lineRule="auto"/>
        <w:outlineLvl w:val="2"/>
        <w:rPr>
          <w:rFonts w:asciiTheme="majorBidi" w:hAnsiTheme="majorBidi" w:cstheme="majorBidi"/>
          <w:sz w:val="24"/>
          <w:szCs w:val="24"/>
        </w:rPr>
      </w:pPr>
      <w:r>
        <w:rPr>
          <w:rFonts w:asciiTheme="majorBidi" w:hAnsiTheme="majorBidi" w:cstheme="majorBidi"/>
          <w:sz w:val="24"/>
          <w:szCs w:val="24"/>
        </w:rPr>
        <w:t>All over the world t</w:t>
      </w:r>
      <w:r w:rsidRPr="00FE2B98">
        <w:rPr>
          <w:rFonts w:asciiTheme="majorBidi" w:hAnsiTheme="majorBidi" w:cstheme="majorBidi"/>
          <w:sz w:val="24"/>
          <w:szCs w:val="24"/>
        </w:rPr>
        <w:t>he multiple and intersecting</w:t>
      </w:r>
      <w:r w:rsidR="00861310" w:rsidRPr="00FE2B98">
        <w:rPr>
          <w:rFonts w:asciiTheme="majorBidi" w:hAnsiTheme="majorBidi" w:cstheme="majorBidi"/>
          <w:sz w:val="24"/>
          <w:szCs w:val="24"/>
        </w:rPr>
        <w:t xml:space="preserve"> layers of discrimination faced</w:t>
      </w:r>
      <w:r w:rsidRPr="00FE2B98">
        <w:rPr>
          <w:rFonts w:asciiTheme="majorBidi" w:hAnsiTheme="majorBidi" w:cstheme="majorBidi"/>
          <w:sz w:val="24"/>
          <w:szCs w:val="24"/>
        </w:rPr>
        <w:t xml:space="preserve"> by marginalized groups</w:t>
      </w:r>
      <w:r w:rsidR="00861310" w:rsidRPr="00FE2B98">
        <w:rPr>
          <w:rFonts w:asciiTheme="majorBidi" w:hAnsiTheme="majorBidi" w:cstheme="majorBidi"/>
          <w:sz w:val="24"/>
          <w:szCs w:val="24"/>
        </w:rPr>
        <w:t xml:space="preserve"> are mirrored and often exacerbated i</w:t>
      </w:r>
      <w:r w:rsidRPr="00FE2B98">
        <w:rPr>
          <w:rFonts w:asciiTheme="majorBidi" w:hAnsiTheme="majorBidi" w:cstheme="majorBidi"/>
          <w:sz w:val="24"/>
          <w:szCs w:val="24"/>
        </w:rPr>
        <w:t>n situations of state custody.</w:t>
      </w:r>
      <w:r w:rsidR="001D2C04" w:rsidRPr="00FE2B98">
        <w:rPr>
          <w:rFonts w:asciiTheme="majorBidi" w:hAnsiTheme="majorBidi" w:cstheme="majorBidi"/>
          <w:sz w:val="24"/>
          <w:szCs w:val="24"/>
        </w:rPr>
        <w:t xml:space="preserve"> </w:t>
      </w:r>
      <w:r w:rsidR="00432756">
        <w:rPr>
          <w:rFonts w:asciiTheme="majorBidi" w:hAnsiTheme="majorBidi" w:cstheme="majorBidi"/>
          <w:sz w:val="24"/>
          <w:szCs w:val="24"/>
        </w:rPr>
        <w:t>W</w:t>
      </w:r>
      <w:r w:rsidR="00AD4287">
        <w:rPr>
          <w:rFonts w:asciiTheme="majorBidi" w:hAnsiTheme="majorBidi" w:cstheme="majorBidi"/>
          <w:sz w:val="24"/>
          <w:szCs w:val="24"/>
        </w:rPr>
        <w:t xml:space="preserve">omen and </w:t>
      </w:r>
      <w:r w:rsidR="00B37055">
        <w:rPr>
          <w:rFonts w:asciiTheme="majorBidi" w:hAnsiTheme="majorBidi" w:cstheme="majorBidi"/>
          <w:sz w:val="24"/>
          <w:szCs w:val="24"/>
        </w:rPr>
        <w:t>lesbian, gay, bisexual, trans and gender</w:t>
      </w:r>
      <w:r w:rsidR="009D555E">
        <w:rPr>
          <w:rFonts w:asciiTheme="majorBidi" w:hAnsiTheme="majorBidi" w:cstheme="majorBidi"/>
          <w:sz w:val="24"/>
          <w:szCs w:val="24"/>
        </w:rPr>
        <w:t xml:space="preserve"> </w:t>
      </w:r>
      <w:r w:rsidR="00B37055">
        <w:rPr>
          <w:rFonts w:asciiTheme="majorBidi" w:hAnsiTheme="majorBidi" w:cstheme="majorBidi"/>
          <w:sz w:val="24"/>
          <w:szCs w:val="24"/>
        </w:rPr>
        <w:t xml:space="preserve">diverse persons </w:t>
      </w:r>
      <w:r w:rsidR="00AD4287">
        <w:rPr>
          <w:rFonts w:asciiTheme="majorBidi" w:hAnsiTheme="majorBidi" w:cstheme="majorBidi"/>
          <w:sz w:val="24"/>
          <w:szCs w:val="24"/>
        </w:rPr>
        <w:t xml:space="preserve">face specific </w:t>
      </w:r>
      <w:r w:rsidR="001D2C04" w:rsidRPr="00FE2B98">
        <w:rPr>
          <w:rFonts w:asciiTheme="majorBidi" w:hAnsiTheme="majorBidi" w:cstheme="majorBidi"/>
          <w:sz w:val="24"/>
          <w:szCs w:val="24"/>
        </w:rPr>
        <w:t xml:space="preserve">risks of torture and ill-treatment </w:t>
      </w:r>
      <w:r w:rsidR="00AD4287">
        <w:rPr>
          <w:rFonts w:asciiTheme="majorBidi" w:hAnsiTheme="majorBidi" w:cstheme="majorBidi"/>
          <w:sz w:val="24"/>
          <w:szCs w:val="24"/>
        </w:rPr>
        <w:t xml:space="preserve">when they come in contact with </w:t>
      </w:r>
      <w:r w:rsidR="001D2C04" w:rsidRPr="00FE2B98">
        <w:rPr>
          <w:rFonts w:asciiTheme="majorBidi" w:hAnsiTheme="majorBidi" w:cstheme="majorBidi"/>
          <w:sz w:val="24"/>
          <w:szCs w:val="24"/>
        </w:rPr>
        <w:t>criminal justice system</w:t>
      </w:r>
      <w:r w:rsidR="00AD4287">
        <w:rPr>
          <w:rFonts w:asciiTheme="majorBidi" w:hAnsiTheme="majorBidi" w:cstheme="majorBidi"/>
          <w:sz w:val="24"/>
          <w:szCs w:val="24"/>
        </w:rPr>
        <w:t>s and other custodial contexts</w:t>
      </w:r>
      <w:r w:rsidR="001D2C04" w:rsidRPr="00FE2B98">
        <w:rPr>
          <w:rFonts w:asciiTheme="majorBidi" w:hAnsiTheme="majorBidi" w:cstheme="majorBidi"/>
          <w:sz w:val="24"/>
          <w:szCs w:val="24"/>
        </w:rPr>
        <w:t>.</w:t>
      </w:r>
      <w:r w:rsidR="001D2C04" w:rsidRPr="00FE2B98">
        <w:rPr>
          <w:rStyle w:val="FootnoteReference"/>
          <w:rFonts w:asciiTheme="majorBidi" w:hAnsiTheme="majorBidi" w:cstheme="majorBidi"/>
          <w:sz w:val="24"/>
          <w:szCs w:val="24"/>
        </w:rPr>
        <w:footnoteReference w:id="1"/>
      </w:r>
    </w:p>
    <w:p w14:paraId="77B90F20" w14:textId="77777777" w:rsidR="00EC7DF9" w:rsidRPr="00FE2B98" w:rsidRDefault="00EC7DF9" w:rsidP="006B1DDE">
      <w:pPr>
        <w:autoSpaceDE w:val="0"/>
        <w:autoSpaceDN w:val="0"/>
        <w:adjustRightInd w:val="0"/>
        <w:rPr>
          <w:rFonts w:asciiTheme="majorBidi" w:hAnsiTheme="majorBidi" w:cstheme="majorBidi"/>
          <w:sz w:val="24"/>
          <w:szCs w:val="24"/>
        </w:rPr>
      </w:pPr>
    </w:p>
    <w:p w14:paraId="641EFB2E" w14:textId="0A6AB260" w:rsidR="00D3792E" w:rsidRDefault="006B1DDE" w:rsidP="0049379E">
      <w:pPr>
        <w:autoSpaceDE w:val="0"/>
        <w:autoSpaceDN w:val="0"/>
        <w:adjustRightInd w:val="0"/>
        <w:rPr>
          <w:rFonts w:asciiTheme="majorBidi" w:hAnsiTheme="majorBidi" w:cstheme="majorBidi"/>
          <w:sz w:val="24"/>
          <w:szCs w:val="24"/>
        </w:rPr>
      </w:pPr>
      <w:r w:rsidRPr="00FE2B98">
        <w:rPr>
          <w:rFonts w:asciiTheme="majorBidi" w:hAnsiTheme="majorBidi" w:cstheme="majorBidi"/>
          <w:sz w:val="24"/>
          <w:szCs w:val="24"/>
        </w:rPr>
        <w:t xml:space="preserve">Historically, the torture and ill-treatment framework </w:t>
      </w:r>
      <w:r w:rsidR="006D4782">
        <w:rPr>
          <w:rFonts w:asciiTheme="majorBidi" w:hAnsiTheme="majorBidi" w:cstheme="majorBidi"/>
          <w:sz w:val="24"/>
          <w:szCs w:val="24"/>
        </w:rPr>
        <w:t>“</w:t>
      </w:r>
      <w:r w:rsidRPr="00FE2B98">
        <w:rPr>
          <w:rFonts w:asciiTheme="majorBidi" w:hAnsiTheme="majorBidi" w:cstheme="majorBidi"/>
          <w:sz w:val="24"/>
          <w:szCs w:val="24"/>
        </w:rPr>
        <w:t>evolved largely in response to practices and situations that disproportionately affected men.</w:t>
      </w:r>
      <w:r w:rsidR="006D4782">
        <w:rPr>
          <w:rFonts w:asciiTheme="majorBidi" w:hAnsiTheme="majorBidi" w:cstheme="majorBidi"/>
          <w:sz w:val="24"/>
          <w:szCs w:val="24"/>
        </w:rPr>
        <w:t>”</w:t>
      </w:r>
      <w:r w:rsidRPr="00FE2B98">
        <w:rPr>
          <w:rStyle w:val="FootnoteReference"/>
          <w:rFonts w:asciiTheme="majorBidi" w:hAnsiTheme="majorBidi" w:cstheme="majorBidi"/>
          <w:sz w:val="24"/>
          <w:szCs w:val="24"/>
        </w:rPr>
        <w:footnoteReference w:id="2"/>
      </w:r>
      <w:r w:rsidRPr="00FE2B98">
        <w:rPr>
          <w:rFonts w:asciiTheme="majorBidi" w:hAnsiTheme="majorBidi" w:cstheme="majorBidi"/>
          <w:sz w:val="24"/>
          <w:szCs w:val="24"/>
        </w:rPr>
        <w:t xml:space="preserve"> Simultaneously,</w:t>
      </w:r>
      <w:r w:rsidR="00EC7DF9" w:rsidRPr="00FE2B98">
        <w:rPr>
          <w:rFonts w:asciiTheme="majorBidi" w:hAnsiTheme="majorBidi" w:cstheme="majorBidi"/>
          <w:sz w:val="24"/>
          <w:szCs w:val="24"/>
        </w:rPr>
        <w:t xml:space="preserve"> conditions of imprisonment, detention, custody and other contexts of state control have likewise been </w:t>
      </w:r>
      <w:r w:rsidR="00B37055">
        <w:rPr>
          <w:rFonts w:asciiTheme="majorBidi" w:hAnsiTheme="majorBidi" w:cstheme="majorBidi"/>
          <w:sz w:val="24"/>
          <w:szCs w:val="24"/>
        </w:rPr>
        <w:t>designed</w:t>
      </w:r>
      <w:r w:rsidR="00EC7DF9" w:rsidRPr="00FE2B98">
        <w:rPr>
          <w:rFonts w:asciiTheme="majorBidi" w:hAnsiTheme="majorBidi" w:cstheme="majorBidi"/>
          <w:sz w:val="24"/>
          <w:szCs w:val="24"/>
        </w:rPr>
        <w:t xml:space="preserve"> narrowly around men and masculine perspectives</w:t>
      </w:r>
      <w:r w:rsidR="009D555E">
        <w:rPr>
          <w:rFonts w:asciiTheme="majorBidi" w:hAnsiTheme="majorBidi" w:cstheme="majorBidi"/>
          <w:sz w:val="24"/>
          <w:szCs w:val="24"/>
        </w:rPr>
        <w:t>—</w:t>
      </w:r>
      <w:r w:rsidR="00AA5C96">
        <w:rPr>
          <w:rFonts w:asciiTheme="majorBidi" w:hAnsiTheme="majorBidi" w:cstheme="majorBidi"/>
          <w:sz w:val="24"/>
          <w:szCs w:val="24"/>
        </w:rPr>
        <w:t>they</w:t>
      </w:r>
      <w:r w:rsidR="00B37055" w:rsidRPr="00FE2B98">
        <w:rPr>
          <w:rFonts w:asciiTheme="majorBidi" w:eastAsiaTheme="minorHAnsi" w:hAnsiTheme="majorBidi" w:cstheme="majorBidi"/>
          <w:sz w:val="24"/>
          <w:szCs w:val="24"/>
          <w:lang w:val="en-US"/>
        </w:rPr>
        <w:t xml:space="preserve"> are </w:t>
      </w:r>
      <w:r w:rsidR="00AA5C96">
        <w:rPr>
          <w:rFonts w:asciiTheme="majorBidi" w:eastAsiaTheme="minorHAnsi" w:hAnsiTheme="majorBidi" w:cstheme="majorBidi"/>
          <w:sz w:val="24"/>
          <w:szCs w:val="24"/>
          <w:lang w:val="en-US"/>
        </w:rPr>
        <w:t>typically</w:t>
      </w:r>
      <w:r w:rsidR="00B37055" w:rsidRPr="00FE2B98">
        <w:rPr>
          <w:rFonts w:asciiTheme="majorBidi" w:eastAsiaTheme="minorHAnsi" w:hAnsiTheme="majorBidi" w:cstheme="majorBidi"/>
          <w:sz w:val="24"/>
          <w:szCs w:val="24"/>
          <w:lang w:val="en-US"/>
        </w:rPr>
        <w:t xml:space="preserve"> masculinized, heteronormative </w:t>
      </w:r>
      <w:r w:rsidR="00AA5C96">
        <w:rPr>
          <w:rFonts w:asciiTheme="majorBidi" w:eastAsiaTheme="minorHAnsi" w:hAnsiTheme="majorBidi" w:cstheme="majorBidi"/>
          <w:sz w:val="24"/>
          <w:szCs w:val="24"/>
          <w:lang w:val="en-US"/>
        </w:rPr>
        <w:t>settings</w:t>
      </w:r>
      <w:r w:rsidR="00B37055" w:rsidRPr="00FE2B98">
        <w:rPr>
          <w:rFonts w:asciiTheme="majorBidi" w:eastAsiaTheme="minorHAnsi" w:hAnsiTheme="majorBidi" w:cstheme="majorBidi"/>
          <w:sz w:val="24"/>
          <w:szCs w:val="24"/>
          <w:lang w:val="en-US"/>
        </w:rPr>
        <w:t xml:space="preserve"> that serve women, gender and sexual minorities exceptionally poorly. </w:t>
      </w:r>
      <w:r w:rsidR="00432756">
        <w:rPr>
          <w:rFonts w:asciiTheme="majorBidi" w:hAnsiTheme="majorBidi" w:cstheme="majorBidi"/>
          <w:color w:val="000000"/>
          <w:sz w:val="24"/>
          <w:szCs w:val="24"/>
          <w:lang w:eastAsia="en-GB"/>
        </w:rPr>
        <w:t xml:space="preserve">Moreover, </w:t>
      </w:r>
      <w:r w:rsidR="004D6EC2">
        <w:rPr>
          <w:rFonts w:asciiTheme="majorBidi" w:hAnsiTheme="majorBidi" w:cstheme="majorBidi"/>
          <w:color w:val="000000"/>
          <w:sz w:val="24"/>
          <w:szCs w:val="24"/>
          <w:lang w:eastAsia="en-GB"/>
        </w:rPr>
        <w:t>p</w:t>
      </w:r>
      <w:r w:rsidR="00D3792E" w:rsidRPr="00FE2B98">
        <w:rPr>
          <w:rFonts w:asciiTheme="majorBidi" w:hAnsiTheme="majorBidi" w:cstheme="majorBidi"/>
          <w:sz w:val="24"/>
          <w:szCs w:val="24"/>
        </w:rPr>
        <w:t xml:space="preserve">ersons who </w:t>
      </w:r>
      <w:r w:rsidR="0049379E">
        <w:rPr>
          <w:rFonts w:asciiTheme="majorBidi" w:hAnsiTheme="majorBidi" w:cstheme="majorBidi"/>
          <w:sz w:val="24"/>
          <w:szCs w:val="24"/>
        </w:rPr>
        <w:t>do not</w:t>
      </w:r>
      <w:r w:rsidR="00D3792E" w:rsidRPr="00FE2B98">
        <w:rPr>
          <w:rFonts w:asciiTheme="majorBidi" w:hAnsiTheme="majorBidi" w:cstheme="majorBidi"/>
          <w:sz w:val="24"/>
          <w:szCs w:val="24"/>
        </w:rPr>
        <w:t xml:space="preserve"> conform to </w:t>
      </w:r>
      <w:r w:rsidR="0049379E">
        <w:rPr>
          <w:rFonts w:asciiTheme="majorBidi" w:hAnsiTheme="majorBidi" w:cstheme="majorBidi"/>
          <w:sz w:val="24"/>
          <w:szCs w:val="24"/>
        </w:rPr>
        <w:t xml:space="preserve">traditional </w:t>
      </w:r>
      <w:r w:rsidR="00D3792E" w:rsidRPr="00FE2B98">
        <w:rPr>
          <w:rFonts w:asciiTheme="majorBidi" w:hAnsiTheme="majorBidi" w:cstheme="majorBidi"/>
          <w:sz w:val="24"/>
          <w:szCs w:val="24"/>
        </w:rPr>
        <w:t xml:space="preserve">gender norms are often policed and punished more harshly in </w:t>
      </w:r>
      <w:r w:rsidR="0049379E">
        <w:rPr>
          <w:rFonts w:asciiTheme="majorBidi" w:hAnsiTheme="majorBidi" w:cstheme="majorBidi"/>
          <w:sz w:val="24"/>
          <w:szCs w:val="24"/>
        </w:rPr>
        <w:t xml:space="preserve">state custody </w:t>
      </w:r>
      <w:r w:rsidR="00D3792E" w:rsidRPr="00FE2B98">
        <w:rPr>
          <w:rFonts w:asciiTheme="majorBidi" w:hAnsiTheme="majorBidi" w:cstheme="majorBidi"/>
          <w:sz w:val="24"/>
          <w:szCs w:val="24"/>
        </w:rPr>
        <w:t>than those who adhere more closely to societal gender expectations.</w:t>
      </w:r>
      <w:r w:rsidR="00D3792E" w:rsidRPr="00FE2B98">
        <w:rPr>
          <w:rStyle w:val="FootnoteReference"/>
          <w:rFonts w:asciiTheme="majorBidi" w:hAnsiTheme="majorBidi" w:cstheme="majorBidi"/>
          <w:sz w:val="24"/>
          <w:szCs w:val="24"/>
        </w:rPr>
        <w:footnoteReference w:id="3"/>
      </w:r>
      <w:r w:rsidR="00D3792E" w:rsidRPr="00FE2B98">
        <w:rPr>
          <w:rFonts w:asciiTheme="majorBidi" w:hAnsiTheme="majorBidi" w:cstheme="majorBidi"/>
          <w:sz w:val="24"/>
          <w:szCs w:val="24"/>
        </w:rPr>
        <w:t xml:space="preserve"> Likewise, traditional norms around masculinity and femininity still operate as key modes of discipline, power and regulation within </w:t>
      </w:r>
      <w:r w:rsidR="003959D3">
        <w:rPr>
          <w:rFonts w:asciiTheme="majorBidi" w:hAnsiTheme="majorBidi" w:cstheme="majorBidi"/>
          <w:sz w:val="24"/>
          <w:szCs w:val="24"/>
        </w:rPr>
        <w:t>custodial</w:t>
      </w:r>
      <w:r w:rsidR="00D3792E" w:rsidRPr="00FE2B98">
        <w:rPr>
          <w:rFonts w:asciiTheme="majorBidi" w:hAnsiTheme="majorBidi" w:cstheme="majorBidi"/>
          <w:sz w:val="24"/>
          <w:szCs w:val="24"/>
        </w:rPr>
        <w:t xml:space="preserve"> settings.</w:t>
      </w:r>
      <w:r w:rsidR="00D3792E" w:rsidRPr="00FE2B98">
        <w:rPr>
          <w:rStyle w:val="FootnoteReference"/>
          <w:rFonts w:asciiTheme="majorBidi" w:hAnsiTheme="majorBidi" w:cstheme="majorBidi"/>
          <w:sz w:val="24"/>
          <w:szCs w:val="24"/>
        </w:rPr>
        <w:footnoteReference w:id="4"/>
      </w:r>
      <w:r w:rsidR="00D3792E" w:rsidRPr="00FE2B98">
        <w:rPr>
          <w:rFonts w:asciiTheme="majorBidi" w:hAnsiTheme="majorBidi" w:cstheme="majorBidi"/>
          <w:sz w:val="24"/>
          <w:szCs w:val="24"/>
        </w:rPr>
        <w:t xml:space="preserve"> These realities have a very potent effect on the realization, or lack thereof, of the right to health.</w:t>
      </w:r>
    </w:p>
    <w:p w14:paraId="0DE1C491" w14:textId="293EA0F4" w:rsidR="00B37055" w:rsidRDefault="00B37055" w:rsidP="006D3BCE">
      <w:pPr>
        <w:shd w:val="clear" w:color="auto" w:fill="FFFFFF"/>
        <w:spacing w:line="259" w:lineRule="auto"/>
        <w:outlineLvl w:val="2"/>
        <w:rPr>
          <w:rFonts w:asciiTheme="majorBidi" w:hAnsiTheme="majorBidi" w:cstheme="majorBidi"/>
          <w:sz w:val="24"/>
          <w:szCs w:val="24"/>
        </w:rPr>
      </w:pPr>
    </w:p>
    <w:p w14:paraId="62B185E8" w14:textId="7F2E8033" w:rsidR="00B37055" w:rsidRPr="00FE2B98" w:rsidRDefault="00B37055" w:rsidP="006D3BCE">
      <w:pPr>
        <w:shd w:val="clear" w:color="auto" w:fill="FFFFFF"/>
        <w:spacing w:line="259" w:lineRule="auto"/>
        <w:outlineLvl w:val="2"/>
        <w:rPr>
          <w:rFonts w:asciiTheme="majorBidi" w:hAnsiTheme="majorBidi" w:cstheme="majorBidi"/>
          <w:sz w:val="24"/>
          <w:szCs w:val="24"/>
        </w:rPr>
      </w:pPr>
      <w:r w:rsidRPr="00FE2B98">
        <w:rPr>
          <w:rFonts w:asciiTheme="majorBidi" w:hAnsiTheme="majorBidi" w:cstheme="majorBidi"/>
          <w:sz w:val="24"/>
          <w:szCs w:val="24"/>
        </w:rPr>
        <w:t>A</w:t>
      </w:r>
      <w:r>
        <w:rPr>
          <w:rFonts w:asciiTheme="majorBidi" w:hAnsiTheme="majorBidi" w:cstheme="majorBidi"/>
          <w:sz w:val="24"/>
          <w:szCs w:val="24"/>
        </w:rPr>
        <w:t xml:space="preserve">ccordingly, </w:t>
      </w:r>
      <w:r w:rsidR="00432756">
        <w:rPr>
          <w:rFonts w:asciiTheme="majorBidi" w:hAnsiTheme="majorBidi" w:cstheme="majorBidi"/>
          <w:sz w:val="24"/>
          <w:szCs w:val="24"/>
        </w:rPr>
        <w:t xml:space="preserve">DIGNITY urges the Special Rapporteur to take up these issues in her forthcoming report on violence and the right to health. The following information is respectfully submitted to facilitate the Special Rapporteur’s </w:t>
      </w:r>
      <w:r w:rsidR="00B361CD">
        <w:rPr>
          <w:rFonts w:asciiTheme="majorBidi" w:hAnsiTheme="majorBidi" w:cstheme="majorBidi"/>
          <w:sz w:val="24"/>
          <w:szCs w:val="24"/>
        </w:rPr>
        <w:t>investigation into the</w:t>
      </w:r>
      <w:r w:rsidRPr="00FE2B98">
        <w:rPr>
          <w:rFonts w:asciiTheme="majorBidi" w:hAnsiTheme="majorBidi" w:cstheme="majorBidi"/>
          <w:sz w:val="24"/>
          <w:szCs w:val="24"/>
        </w:rPr>
        <w:t xml:space="preserve"> gaps in prevention, protection, access to justice and remedies </w:t>
      </w:r>
      <w:r w:rsidR="00B361CD">
        <w:rPr>
          <w:rFonts w:asciiTheme="majorBidi" w:hAnsiTheme="majorBidi" w:cstheme="majorBidi"/>
          <w:sz w:val="24"/>
          <w:szCs w:val="24"/>
        </w:rPr>
        <w:t xml:space="preserve">for violence committed in </w:t>
      </w:r>
      <w:r w:rsidR="00197C8B">
        <w:rPr>
          <w:rFonts w:asciiTheme="majorBidi" w:hAnsiTheme="majorBidi" w:cstheme="majorBidi"/>
          <w:sz w:val="24"/>
          <w:szCs w:val="24"/>
        </w:rPr>
        <w:t xml:space="preserve">places of detention </w:t>
      </w:r>
      <w:r w:rsidR="00B361CD">
        <w:rPr>
          <w:rFonts w:asciiTheme="majorBidi" w:hAnsiTheme="majorBidi" w:cstheme="majorBidi"/>
          <w:sz w:val="24"/>
          <w:szCs w:val="24"/>
        </w:rPr>
        <w:t>and conditions of deprived liberty</w:t>
      </w:r>
      <w:r w:rsidRPr="00FE2B98">
        <w:rPr>
          <w:rFonts w:asciiTheme="majorBidi" w:hAnsiTheme="majorBidi" w:cstheme="majorBidi"/>
          <w:sz w:val="24"/>
          <w:szCs w:val="24"/>
        </w:rPr>
        <w:t>.</w:t>
      </w:r>
    </w:p>
    <w:p w14:paraId="15878588" w14:textId="78815251" w:rsidR="008C7A2D" w:rsidRDefault="008C7A2D" w:rsidP="006D3BCE">
      <w:pPr>
        <w:shd w:val="clear" w:color="auto" w:fill="FFFFFF"/>
        <w:spacing w:line="259" w:lineRule="auto"/>
        <w:outlineLvl w:val="2"/>
        <w:rPr>
          <w:rFonts w:asciiTheme="majorBidi" w:hAnsiTheme="majorBidi" w:cstheme="majorBidi"/>
          <w:sz w:val="24"/>
          <w:szCs w:val="24"/>
        </w:rPr>
      </w:pPr>
    </w:p>
    <w:p w14:paraId="143FE145" w14:textId="7C8CAB0C" w:rsidR="00373FE3" w:rsidRDefault="00373FE3" w:rsidP="006D3BCE">
      <w:pPr>
        <w:shd w:val="clear" w:color="auto" w:fill="FFFFFF"/>
        <w:spacing w:line="259" w:lineRule="auto"/>
        <w:outlineLvl w:val="2"/>
        <w:rPr>
          <w:rFonts w:asciiTheme="majorBidi" w:hAnsiTheme="majorBidi" w:cstheme="majorBidi"/>
          <w:sz w:val="24"/>
          <w:szCs w:val="24"/>
        </w:rPr>
      </w:pPr>
      <w:r>
        <w:rPr>
          <w:rFonts w:asciiTheme="majorBidi" w:hAnsiTheme="majorBidi" w:cstheme="majorBidi"/>
          <w:sz w:val="24"/>
          <w:szCs w:val="24"/>
        </w:rPr>
        <w:t>The sources drawn on in drafting this submission come from in-house research published in peer-reviewed journals, publications from experts and expert bodies on violence and</w:t>
      </w:r>
      <w:r w:rsidR="009D555E">
        <w:rPr>
          <w:rFonts w:asciiTheme="majorBidi" w:hAnsiTheme="majorBidi" w:cstheme="majorBidi"/>
          <w:sz w:val="24"/>
          <w:szCs w:val="24"/>
        </w:rPr>
        <w:t xml:space="preserve"> </w:t>
      </w:r>
      <w:r>
        <w:rPr>
          <w:rFonts w:asciiTheme="majorBidi" w:hAnsiTheme="majorBidi" w:cstheme="majorBidi"/>
          <w:sz w:val="24"/>
          <w:szCs w:val="24"/>
        </w:rPr>
        <w:t xml:space="preserve">health in custodial environments, and reports of UN </w:t>
      </w:r>
      <w:r w:rsidR="005D0036">
        <w:rPr>
          <w:rFonts w:asciiTheme="majorBidi" w:hAnsiTheme="majorBidi" w:cstheme="majorBidi"/>
          <w:sz w:val="24"/>
          <w:szCs w:val="24"/>
        </w:rPr>
        <w:t>entities including the Special Rapporteur on Torture and Other Cruel, Inhuman or Degrading Treatment o</w:t>
      </w:r>
      <w:r w:rsidR="009D555E">
        <w:rPr>
          <w:rFonts w:asciiTheme="majorBidi" w:hAnsiTheme="majorBidi" w:cstheme="majorBidi"/>
          <w:sz w:val="24"/>
          <w:szCs w:val="24"/>
        </w:rPr>
        <w:t>r</w:t>
      </w:r>
      <w:r w:rsidR="005D0036">
        <w:rPr>
          <w:rFonts w:asciiTheme="majorBidi" w:hAnsiTheme="majorBidi" w:cstheme="majorBidi"/>
          <w:sz w:val="24"/>
          <w:szCs w:val="24"/>
        </w:rPr>
        <w:t xml:space="preserve"> Punishment and the Office of the High Commissioner of Human Rights.</w:t>
      </w:r>
      <w:r w:rsidR="00C37628">
        <w:rPr>
          <w:rFonts w:asciiTheme="majorBidi" w:hAnsiTheme="majorBidi" w:cstheme="majorBidi"/>
          <w:sz w:val="24"/>
          <w:szCs w:val="24"/>
        </w:rPr>
        <w:t xml:space="preserve"> </w:t>
      </w:r>
      <w:r w:rsidR="008269CB">
        <w:rPr>
          <w:rFonts w:asciiTheme="majorBidi" w:hAnsiTheme="majorBidi" w:cstheme="majorBidi"/>
          <w:sz w:val="24"/>
          <w:szCs w:val="24"/>
        </w:rPr>
        <w:t xml:space="preserve">Country examples are drawn from contexts in which DIGNITY works and/or has partners, including Europe, </w:t>
      </w:r>
      <w:r w:rsidR="009D555E">
        <w:rPr>
          <w:rFonts w:asciiTheme="majorBidi" w:hAnsiTheme="majorBidi" w:cstheme="majorBidi"/>
          <w:sz w:val="24"/>
          <w:szCs w:val="24"/>
        </w:rPr>
        <w:t xml:space="preserve">the Middle East and North Africa, east Africa, and </w:t>
      </w:r>
      <w:r w:rsidR="008269CB">
        <w:rPr>
          <w:rFonts w:asciiTheme="majorBidi" w:hAnsiTheme="majorBidi" w:cstheme="majorBidi"/>
          <w:sz w:val="24"/>
          <w:szCs w:val="24"/>
        </w:rPr>
        <w:t>southeast Asia.</w:t>
      </w:r>
    </w:p>
    <w:p w14:paraId="6E476CF1" w14:textId="50055F28" w:rsidR="002128B4" w:rsidRDefault="002128B4" w:rsidP="006D3BCE">
      <w:pPr>
        <w:shd w:val="clear" w:color="auto" w:fill="FFFFFF"/>
        <w:spacing w:line="259" w:lineRule="auto"/>
        <w:outlineLvl w:val="2"/>
        <w:rPr>
          <w:rFonts w:asciiTheme="majorBidi" w:hAnsiTheme="majorBidi" w:cstheme="majorBidi"/>
          <w:sz w:val="24"/>
          <w:szCs w:val="24"/>
        </w:rPr>
      </w:pPr>
    </w:p>
    <w:p w14:paraId="79205500" w14:textId="77777777" w:rsidR="002128B4" w:rsidRPr="00FE2B98" w:rsidRDefault="002128B4" w:rsidP="006D3BCE">
      <w:pPr>
        <w:shd w:val="clear" w:color="auto" w:fill="FFFFFF"/>
        <w:spacing w:line="259" w:lineRule="auto"/>
        <w:outlineLvl w:val="2"/>
        <w:rPr>
          <w:rFonts w:asciiTheme="majorBidi" w:hAnsiTheme="majorBidi" w:cstheme="majorBidi"/>
          <w:sz w:val="24"/>
          <w:szCs w:val="24"/>
        </w:rPr>
      </w:pPr>
    </w:p>
    <w:p w14:paraId="55C8FACB" w14:textId="163BD0E7" w:rsidR="009F00AF" w:rsidRPr="00AD4287" w:rsidRDefault="00D020CE" w:rsidP="006D3BCE">
      <w:pPr>
        <w:pStyle w:val="Heading1"/>
        <w:ind w:firstLine="563"/>
        <w:jc w:val="left"/>
        <w:rPr>
          <w:rFonts w:asciiTheme="majorBidi" w:eastAsia="Helvetica Neue" w:hAnsiTheme="majorBidi" w:cstheme="majorBidi"/>
          <w:b w:val="0"/>
          <w:i/>
          <w:color w:val="000000"/>
          <w:sz w:val="32"/>
          <w:szCs w:val="32"/>
          <w:u w:val="single"/>
          <w:shd w:val="clear" w:color="auto" w:fill="FFFFFF"/>
        </w:rPr>
      </w:pPr>
      <w:bookmarkStart w:id="3" w:name="_Toc48734681"/>
      <w:bookmarkEnd w:id="1"/>
      <w:r w:rsidRPr="00AD4287">
        <w:rPr>
          <w:rFonts w:asciiTheme="majorBidi" w:hAnsiTheme="majorBidi" w:cstheme="majorBidi"/>
          <w:sz w:val="32"/>
          <w:szCs w:val="32"/>
          <w:u w:val="single"/>
        </w:rPr>
        <w:t>Answers to Select Q</w:t>
      </w:r>
      <w:r w:rsidR="009F00AF" w:rsidRPr="00AD4287">
        <w:rPr>
          <w:rFonts w:asciiTheme="majorBidi" w:hAnsiTheme="majorBidi" w:cstheme="majorBidi"/>
          <w:sz w:val="32"/>
          <w:szCs w:val="32"/>
          <w:u w:val="single"/>
        </w:rPr>
        <w:t xml:space="preserve">uestions </w:t>
      </w:r>
      <w:bookmarkEnd w:id="3"/>
    </w:p>
    <w:p w14:paraId="0E4010BA" w14:textId="77777777" w:rsidR="009F00AF" w:rsidRPr="00FE2B98" w:rsidRDefault="009F00AF" w:rsidP="009F00AF">
      <w:pPr>
        <w:shd w:val="clear" w:color="auto" w:fill="FFFFFF"/>
        <w:spacing w:line="259" w:lineRule="auto"/>
        <w:outlineLvl w:val="2"/>
        <w:rPr>
          <w:rFonts w:asciiTheme="majorBidi" w:hAnsiTheme="majorBidi" w:cstheme="majorBidi"/>
          <w:color w:val="000000"/>
          <w:sz w:val="24"/>
          <w:szCs w:val="24"/>
          <w:lang w:eastAsia="en-GB"/>
        </w:rPr>
      </w:pPr>
    </w:p>
    <w:p w14:paraId="4ACE69B7" w14:textId="57355687" w:rsidR="009F00AF" w:rsidRPr="00FE2B98" w:rsidRDefault="009F00AF" w:rsidP="006D3BCE">
      <w:pPr>
        <w:pStyle w:val="ListParagraph"/>
        <w:numPr>
          <w:ilvl w:val="0"/>
          <w:numId w:val="2"/>
        </w:numPr>
        <w:shd w:val="clear" w:color="auto" w:fill="FFFFFF"/>
        <w:spacing w:line="259" w:lineRule="auto"/>
        <w:outlineLvl w:val="2"/>
        <w:rPr>
          <w:rFonts w:asciiTheme="majorBidi" w:hAnsiTheme="majorBidi" w:cstheme="majorBidi"/>
          <w:color w:val="000000"/>
          <w:sz w:val="24"/>
          <w:szCs w:val="24"/>
          <w:u w:val="single"/>
          <w:lang w:eastAsia="en-GB"/>
        </w:rPr>
      </w:pPr>
      <w:r w:rsidRPr="00FE2B98">
        <w:rPr>
          <w:rFonts w:asciiTheme="majorBidi" w:hAnsiTheme="majorBidi" w:cstheme="majorBidi"/>
          <w:color w:val="000000"/>
          <w:sz w:val="24"/>
          <w:szCs w:val="24"/>
          <w:u w:val="single"/>
          <w:lang w:eastAsia="en-GB"/>
        </w:rPr>
        <w:t>Please describe, share data and information on the characteristics, number of cases, and the profile of victims and perpetrators in your country/ies or region(s) regarding:</w:t>
      </w:r>
    </w:p>
    <w:p w14:paraId="6BBA6985" w14:textId="77777777" w:rsidR="009F00AF" w:rsidRPr="00FE2B98" w:rsidRDefault="009F00AF" w:rsidP="009F00AF">
      <w:pPr>
        <w:pStyle w:val="ListParagraph"/>
        <w:shd w:val="clear" w:color="auto" w:fill="FFFFFF"/>
        <w:spacing w:line="259" w:lineRule="auto"/>
        <w:ind w:left="360"/>
        <w:outlineLvl w:val="2"/>
        <w:rPr>
          <w:rFonts w:asciiTheme="majorBidi" w:hAnsiTheme="majorBidi" w:cstheme="majorBidi"/>
          <w:color w:val="000000"/>
          <w:sz w:val="24"/>
          <w:szCs w:val="24"/>
          <w:lang w:eastAsia="en-GB"/>
        </w:rPr>
      </w:pPr>
    </w:p>
    <w:p w14:paraId="696EFD90" w14:textId="741047D0" w:rsidR="009F00AF" w:rsidRPr="00FE2B98" w:rsidRDefault="009F00AF" w:rsidP="009F00AF">
      <w:pPr>
        <w:pStyle w:val="ListParagraph"/>
        <w:numPr>
          <w:ilvl w:val="1"/>
          <w:numId w:val="2"/>
        </w:numPr>
        <w:shd w:val="clear" w:color="auto" w:fill="FFFFFF"/>
        <w:spacing w:line="259" w:lineRule="auto"/>
        <w:outlineLvl w:val="2"/>
        <w:rPr>
          <w:rFonts w:asciiTheme="majorBidi" w:hAnsiTheme="majorBidi" w:cstheme="majorBidi"/>
          <w:i/>
          <w:iCs/>
          <w:color w:val="000000"/>
          <w:sz w:val="24"/>
          <w:szCs w:val="24"/>
          <w:lang w:eastAsia="en-GB"/>
        </w:rPr>
      </w:pPr>
      <w:r w:rsidRPr="00FE2B98">
        <w:rPr>
          <w:rFonts w:asciiTheme="majorBidi" w:hAnsiTheme="majorBidi" w:cstheme="majorBidi"/>
          <w:i/>
          <w:iCs/>
          <w:color w:val="000000"/>
          <w:sz w:val="24"/>
          <w:szCs w:val="24"/>
          <w:lang w:eastAsia="en-GB"/>
        </w:rPr>
        <w:t xml:space="preserve">gender based violence against women </w:t>
      </w:r>
    </w:p>
    <w:p w14:paraId="2F9FF771" w14:textId="24C399FA" w:rsidR="00D11247" w:rsidRPr="00FE2B98" w:rsidRDefault="00D11247" w:rsidP="00D11247">
      <w:pPr>
        <w:shd w:val="clear" w:color="auto" w:fill="FFFFFF"/>
        <w:spacing w:line="259" w:lineRule="auto"/>
        <w:outlineLvl w:val="2"/>
        <w:rPr>
          <w:rFonts w:asciiTheme="majorBidi" w:hAnsiTheme="majorBidi" w:cstheme="majorBidi"/>
          <w:color w:val="000000"/>
          <w:sz w:val="24"/>
          <w:szCs w:val="24"/>
          <w:lang w:eastAsia="en-GB"/>
        </w:rPr>
      </w:pPr>
    </w:p>
    <w:p w14:paraId="25021441" w14:textId="1396B090" w:rsidR="007A79F3" w:rsidRDefault="005F7B42" w:rsidP="005351DA">
      <w:pPr>
        <w:shd w:val="clear" w:color="auto" w:fill="FFFFFF"/>
        <w:spacing w:line="259" w:lineRule="auto"/>
        <w:outlineLvl w:val="2"/>
        <w:rPr>
          <w:rFonts w:asciiTheme="majorBidi" w:hAnsiTheme="majorBidi" w:cstheme="majorBidi"/>
          <w:sz w:val="24"/>
          <w:szCs w:val="24"/>
        </w:rPr>
      </w:pPr>
      <w:r>
        <w:rPr>
          <w:rFonts w:asciiTheme="majorBidi" w:hAnsiTheme="majorBidi" w:cstheme="majorBidi"/>
          <w:sz w:val="24"/>
          <w:szCs w:val="24"/>
        </w:rPr>
        <w:t>(</w:t>
      </w:r>
      <w:r w:rsidR="007A79F3" w:rsidRPr="00FE2B98">
        <w:rPr>
          <w:rFonts w:asciiTheme="majorBidi" w:hAnsiTheme="majorBidi" w:cstheme="majorBidi"/>
          <w:sz w:val="24"/>
          <w:szCs w:val="24"/>
        </w:rPr>
        <w:t xml:space="preserve">Custodial settings are unique in their capacity to inflict institutional violence, </w:t>
      </w:r>
      <w:r w:rsidR="00A266E9">
        <w:rPr>
          <w:rFonts w:asciiTheme="majorBidi" w:hAnsiTheme="majorBidi" w:cstheme="majorBidi"/>
          <w:sz w:val="24"/>
          <w:szCs w:val="24"/>
        </w:rPr>
        <w:t>the specific gender dimensions of which are explored in the response to question 3 below.</w:t>
      </w:r>
      <w:r>
        <w:rPr>
          <w:rFonts w:asciiTheme="majorBidi" w:hAnsiTheme="majorBidi" w:cstheme="majorBidi"/>
          <w:sz w:val="24"/>
          <w:szCs w:val="24"/>
        </w:rPr>
        <w:t>)</w:t>
      </w:r>
    </w:p>
    <w:p w14:paraId="6FA427B0" w14:textId="079370EB" w:rsidR="00DC520E" w:rsidRDefault="00DC520E" w:rsidP="005351DA">
      <w:pPr>
        <w:shd w:val="clear" w:color="auto" w:fill="FFFFFF"/>
        <w:spacing w:line="259" w:lineRule="auto"/>
        <w:outlineLvl w:val="2"/>
        <w:rPr>
          <w:rFonts w:asciiTheme="majorBidi" w:hAnsiTheme="majorBidi" w:cstheme="majorBidi"/>
          <w:sz w:val="24"/>
          <w:szCs w:val="24"/>
        </w:rPr>
      </w:pPr>
    </w:p>
    <w:p w14:paraId="210CA499" w14:textId="53DC0073" w:rsidR="00C51247" w:rsidRDefault="009D555E" w:rsidP="00FB01D7">
      <w:pPr>
        <w:shd w:val="clear" w:color="auto" w:fill="FFFFFF"/>
        <w:spacing w:line="259" w:lineRule="auto"/>
        <w:outlineLvl w:val="2"/>
        <w:rPr>
          <w:rFonts w:asciiTheme="majorBidi" w:hAnsiTheme="majorBidi" w:cstheme="majorBidi"/>
          <w:sz w:val="24"/>
          <w:szCs w:val="24"/>
        </w:rPr>
      </w:pPr>
      <w:r>
        <w:rPr>
          <w:rFonts w:asciiTheme="majorBidi" w:hAnsiTheme="majorBidi" w:cstheme="majorBidi"/>
          <w:sz w:val="24"/>
          <w:szCs w:val="24"/>
        </w:rPr>
        <w:t>With respect to custody in criminal justice settings, a</w:t>
      </w:r>
      <w:r w:rsidR="00C51247" w:rsidRPr="00FE2B98">
        <w:rPr>
          <w:rFonts w:asciiTheme="majorBidi" w:hAnsiTheme="majorBidi" w:cstheme="majorBidi"/>
          <w:sz w:val="24"/>
          <w:szCs w:val="24"/>
        </w:rPr>
        <w:t xml:space="preserve"> majority of female detainees worldwide are first-time offenders suspected of or charged with non-violent crimes, </w:t>
      </w:r>
      <w:r w:rsidR="006F3AEB">
        <w:rPr>
          <w:rFonts w:asciiTheme="majorBidi" w:hAnsiTheme="majorBidi" w:cstheme="majorBidi"/>
          <w:sz w:val="24"/>
          <w:szCs w:val="24"/>
        </w:rPr>
        <w:t xml:space="preserve">but </w:t>
      </w:r>
      <w:r w:rsidR="00C51247" w:rsidRPr="00FE2B98">
        <w:rPr>
          <w:rFonts w:asciiTheme="majorBidi" w:hAnsiTheme="majorBidi" w:cstheme="majorBidi"/>
          <w:sz w:val="24"/>
          <w:szCs w:val="24"/>
        </w:rPr>
        <w:t xml:space="preserve">are </w:t>
      </w:r>
      <w:r w:rsidR="006F3AEB">
        <w:rPr>
          <w:rFonts w:asciiTheme="majorBidi" w:hAnsiTheme="majorBidi" w:cstheme="majorBidi"/>
          <w:sz w:val="24"/>
          <w:szCs w:val="24"/>
        </w:rPr>
        <w:t xml:space="preserve">nevertheless </w:t>
      </w:r>
      <w:r w:rsidR="0008377B">
        <w:rPr>
          <w:rFonts w:asciiTheme="majorBidi" w:hAnsiTheme="majorBidi" w:cstheme="majorBidi"/>
          <w:sz w:val="24"/>
          <w:szCs w:val="24"/>
        </w:rPr>
        <w:t xml:space="preserve">often </w:t>
      </w:r>
      <w:r w:rsidR="00C51247" w:rsidRPr="00FE2B98">
        <w:rPr>
          <w:rFonts w:asciiTheme="majorBidi" w:hAnsiTheme="majorBidi" w:cstheme="majorBidi"/>
          <w:sz w:val="24"/>
          <w:szCs w:val="24"/>
        </w:rPr>
        <w:t>automatically sent to pretrial detention.</w:t>
      </w:r>
      <w:r w:rsidR="00C51247" w:rsidRPr="00FE2B98">
        <w:rPr>
          <w:rStyle w:val="FootnoteReference"/>
          <w:rFonts w:asciiTheme="majorBidi" w:hAnsiTheme="majorBidi" w:cstheme="majorBidi"/>
          <w:sz w:val="24"/>
          <w:szCs w:val="24"/>
        </w:rPr>
        <w:footnoteReference w:id="5"/>
      </w:r>
      <w:r w:rsidR="00C51247" w:rsidRPr="00FE2B98">
        <w:rPr>
          <w:rFonts w:asciiTheme="majorBidi" w:hAnsiTheme="majorBidi" w:cstheme="majorBidi"/>
          <w:sz w:val="24"/>
          <w:szCs w:val="24"/>
        </w:rPr>
        <w:t xml:space="preserve"> </w:t>
      </w:r>
      <w:r w:rsidR="005F7B42">
        <w:rPr>
          <w:rFonts w:asciiTheme="majorBidi" w:hAnsiTheme="majorBidi" w:cstheme="majorBidi"/>
          <w:sz w:val="24"/>
          <w:szCs w:val="24"/>
        </w:rPr>
        <w:t xml:space="preserve">In many contexts, the “crimes” women are accused of committing are highly gendered moral crimes, such as </w:t>
      </w:r>
      <w:r w:rsidR="005F7B42" w:rsidRPr="00FE2B98">
        <w:rPr>
          <w:rFonts w:asciiTheme="majorBidi" w:hAnsiTheme="majorBidi" w:cstheme="majorBidi"/>
          <w:sz w:val="24"/>
          <w:szCs w:val="24"/>
        </w:rPr>
        <w:t xml:space="preserve">adultery and extramarital relationships, witchcraft and sorcery, </w:t>
      </w:r>
      <w:r>
        <w:rPr>
          <w:rFonts w:asciiTheme="majorBidi" w:hAnsiTheme="majorBidi" w:cstheme="majorBidi"/>
          <w:sz w:val="24"/>
          <w:szCs w:val="24"/>
        </w:rPr>
        <w:t xml:space="preserve">and </w:t>
      </w:r>
      <w:r w:rsidR="003C7C85">
        <w:rPr>
          <w:rFonts w:asciiTheme="majorBidi" w:hAnsiTheme="majorBidi" w:cstheme="majorBidi"/>
          <w:sz w:val="24"/>
          <w:szCs w:val="24"/>
        </w:rPr>
        <w:t>seeking or receiving reproductive health services.</w:t>
      </w:r>
      <w:r w:rsidR="003C7C85" w:rsidRPr="00FE2B98">
        <w:rPr>
          <w:rStyle w:val="FootnoteReference"/>
          <w:rFonts w:asciiTheme="majorBidi" w:hAnsiTheme="majorBidi" w:cstheme="majorBidi"/>
          <w:sz w:val="24"/>
          <w:szCs w:val="24"/>
        </w:rPr>
        <w:footnoteReference w:id="6"/>
      </w:r>
      <w:r w:rsidR="003C7C85">
        <w:rPr>
          <w:rFonts w:asciiTheme="majorBidi" w:hAnsiTheme="majorBidi" w:cstheme="majorBidi"/>
          <w:sz w:val="24"/>
          <w:szCs w:val="24"/>
        </w:rPr>
        <w:t xml:space="preserve"> </w:t>
      </w:r>
      <w:r w:rsidR="005D0036">
        <w:rPr>
          <w:rFonts w:asciiTheme="majorBidi" w:hAnsiTheme="majorBidi" w:cstheme="majorBidi"/>
          <w:sz w:val="24"/>
          <w:szCs w:val="24"/>
        </w:rPr>
        <w:t xml:space="preserve">Such laws </w:t>
      </w:r>
      <w:r w:rsidR="00C51247" w:rsidRPr="00FE2B98">
        <w:rPr>
          <w:rFonts w:asciiTheme="majorBidi" w:hAnsiTheme="majorBidi" w:cstheme="majorBidi"/>
          <w:sz w:val="24"/>
          <w:szCs w:val="24"/>
        </w:rPr>
        <w:t>significant</w:t>
      </w:r>
      <w:r w:rsidR="00FB01D7">
        <w:rPr>
          <w:rFonts w:asciiTheme="majorBidi" w:hAnsiTheme="majorBidi" w:cstheme="majorBidi"/>
          <w:sz w:val="24"/>
          <w:szCs w:val="24"/>
        </w:rPr>
        <w:t>ly contribute</w:t>
      </w:r>
      <w:r w:rsidR="00C51247" w:rsidRPr="00FE2B98">
        <w:rPr>
          <w:rFonts w:asciiTheme="majorBidi" w:hAnsiTheme="majorBidi" w:cstheme="majorBidi"/>
          <w:sz w:val="24"/>
          <w:szCs w:val="24"/>
        </w:rPr>
        <w:t xml:space="preserve"> </w:t>
      </w:r>
      <w:r w:rsidR="00FB01D7">
        <w:rPr>
          <w:rFonts w:asciiTheme="majorBidi" w:hAnsiTheme="majorBidi" w:cstheme="majorBidi"/>
          <w:sz w:val="24"/>
          <w:szCs w:val="24"/>
        </w:rPr>
        <w:t>to</w:t>
      </w:r>
      <w:r w:rsidR="00C51247" w:rsidRPr="00FE2B98">
        <w:rPr>
          <w:rFonts w:asciiTheme="majorBidi" w:hAnsiTheme="majorBidi" w:cstheme="majorBidi"/>
          <w:sz w:val="24"/>
          <w:szCs w:val="24"/>
        </w:rPr>
        <w:t xml:space="preserve"> overcrowding, which has a negative impact on </w:t>
      </w:r>
      <w:r w:rsidR="003C7C85">
        <w:rPr>
          <w:rFonts w:asciiTheme="majorBidi" w:hAnsiTheme="majorBidi" w:cstheme="majorBidi"/>
          <w:sz w:val="24"/>
          <w:szCs w:val="24"/>
        </w:rPr>
        <w:t>detainees’ right to health</w:t>
      </w:r>
      <w:r w:rsidR="00C51247" w:rsidRPr="00FE2B98">
        <w:rPr>
          <w:rFonts w:asciiTheme="majorBidi" w:hAnsiTheme="majorBidi" w:cstheme="majorBidi"/>
          <w:sz w:val="24"/>
          <w:szCs w:val="24"/>
        </w:rPr>
        <w:t xml:space="preserve"> and gives rise to ill-treatment or torture.</w:t>
      </w:r>
      <w:r w:rsidR="00C51247" w:rsidRPr="00FE2B98">
        <w:rPr>
          <w:rStyle w:val="FootnoteReference"/>
          <w:rFonts w:asciiTheme="majorBidi" w:hAnsiTheme="majorBidi" w:cstheme="majorBidi"/>
          <w:sz w:val="24"/>
          <w:szCs w:val="24"/>
        </w:rPr>
        <w:footnoteReference w:id="7"/>
      </w:r>
    </w:p>
    <w:p w14:paraId="5A3AC6FF" w14:textId="77777777" w:rsidR="00C51247" w:rsidRDefault="00C51247" w:rsidP="00DC520E">
      <w:pPr>
        <w:shd w:val="clear" w:color="auto" w:fill="FFFFFF"/>
        <w:spacing w:line="259" w:lineRule="auto"/>
        <w:outlineLvl w:val="2"/>
        <w:rPr>
          <w:rFonts w:asciiTheme="majorBidi" w:hAnsiTheme="majorBidi" w:cstheme="majorBidi"/>
          <w:sz w:val="24"/>
          <w:szCs w:val="24"/>
        </w:rPr>
      </w:pPr>
    </w:p>
    <w:p w14:paraId="247349DD" w14:textId="20C8101A" w:rsidR="00DC520E" w:rsidRDefault="00C51247" w:rsidP="009727F8">
      <w:pPr>
        <w:shd w:val="clear" w:color="auto" w:fill="FFFFFF"/>
        <w:spacing w:line="259" w:lineRule="auto"/>
        <w:outlineLvl w:val="2"/>
        <w:rPr>
          <w:rFonts w:asciiTheme="majorBidi" w:hAnsiTheme="majorBidi" w:cstheme="majorBidi"/>
          <w:sz w:val="24"/>
          <w:szCs w:val="24"/>
        </w:rPr>
      </w:pPr>
      <w:r w:rsidRPr="00FE2B98">
        <w:rPr>
          <w:rFonts w:asciiTheme="majorBidi" w:hAnsiTheme="majorBidi" w:cstheme="majorBidi"/>
          <w:sz w:val="24"/>
          <w:szCs w:val="24"/>
        </w:rPr>
        <w:t>Women in pretrial detention facilities</w:t>
      </w:r>
      <w:r w:rsidR="00FB01D7">
        <w:rPr>
          <w:rFonts w:asciiTheme="majorBidi" w:hAnsiTheme="majorBidi" w:cstheme="majorBidi"/>
          <w:sz w:val="24"/>
          <w:szCs w:val="24"/>
        </w:rPr>
        <w:t xml:space="preserve"> </w:t>
      </w:r>
      <w:r w:rsidRPr="00FE2B98">
        <w:rPr>
          <w:rFonts w:asciiTheme="majorBidi" w:hAnsiTheme="majorBidi" w:cstheme="majorBidi"/>
          <w:sz w:val="24"/>
          <w:szCs w:val="24"/>
        </w:rPr>
        <w:t>tend not to have access to specialized health car</w:t>
      </w:r>
      <w:r w:rsidR="00FB01D7">
        <w:rPr>
          <w:rFonts w:asciiTheme="majorBidi" w:hAnsiTheme="majorBidi" w:cstheme="majorBidi"/>
          <w:sz w:val="24"/>
          <w:szCs w:val="24"/>
        </w:rPr>
        <w:t>e services</w:t>
      </w:r>
      <w:r w:rsidRPr="00FE2B98">
        <w:rPr>
          <w:rStyle w:val="FootnoteReference"/>
          <w:rFonts w:asciiTheme="majorBidi" w:hAnsiTheme="majorBidi" w:cstheme="majorBidi"/>
          <w:sz w:val="24"/>
          <w:szCs w:val="24"/>
        </w:rPr>
        <w:footnoteReference w:id="8"/>
      </w:r>
      <w:r w:rsidR="009727F8">
        <w:rPr>
          <w:rFonts w:asciiTheme="majorBidi" w:hAnsiTheme="majorBidi" w:cstheme="majorBidi"/>
          <w:sz w:val="24"/>
          <w:szCs w:val="24"/>
        </w:rPr>
        <w:t xml:space="preserve"> and</w:t>
      </w:r>
      <w:r w:rsidR="00DC520E" w:rsidRPr="00FE2B98">
        <w:rPr>
          <w:rFonts w:asciiTheme="majorBidi" w:hAnsiTheme="majorBidi" w:cstheme="majorBidi"/>
          <w:sz w:val="24"/>
          <w:szCs w:val="24"/>
        </w:rPr>
        <w:t xml:space="preserve"> are at particular risk of torture and ill-treatment because sexual abuse an</w:t>
      </w:r>
      <w:r>
        <w:rPr>
          <w:rFonts w:asciiTheme="majorBidi" w:hAnsiTheme="majorBidi" w:cstheme="majorBidi"/>
          <w:sz w:val="24"/>
          <w:szCs w:val="24"/>
        </w:rPr>
        <w:t xml:space="preserve">d other forms of gender-based </w:t>
      </w:r>
      <w:r w:rsidR="00DC520E" w:rsidRPr="00FE2B98">
        <w:rPr>
          <w:rFonts w:asciiTheme="majorBidi" w:hAnsiTheme="majorBidi" w:cstheme="majorBidi"/>
          <w:sz w:val="24"/>
          <w:szCs w:val="24"/>
        </w:rPr>
        <w:t>violence may be used as a means of coercion and to extract confessions.</w:t>
      </w:r>
      <w:r w:rsidR="00DC520E" w:rsidRPr="00FE2B98">
        <w:rPr>
          <w:rStyle w:val="FootnoteReference"/>
          <w:rFonts w:asciiTheme="majorBidi" w:hAnsiTheme="majorBidi" w:cstheme="majorBidi"/>
          <w:sz w:val="24"/>
          <w:szCs w:val="24"/>
        </w:rPr>
        <w:footnoteReference w:id="9"/>
      </w:r>
      <w:r w:rsidR="00DC520E" w:rsidRPr="00FE2B98">
        <w:rPr>
          <w:rFonts w:asciiTheme="majorBidi" w:hAnsiTheme="majorBidi" w:cstheme="majorBidi"/>
          <w:sz w:val="24"/>
          <w:szCs w:val="24"/>
        </w:rPr>
        <w:t xml:space="preserve"> </w:t>
      </w:r>
    </w:p>
    <w:p w14:paraId="03E966AD" w14:textId="2C14A2A3" w:rsidR="00FD1AF7" w:rsidRDefault="00FD1AF7" w:rsidP="009727F8">
      <w:pPr>
        <w:shd w:val="clear" w:color="auto" w:fill="FFFFFF"/>
        <w:spacing w:line="259" w:lineRule="auto"/>
        <w:outlineLvl w:val="2"/>
        <w:rPr>
          <w:rFonts w:asciiTheme="majorBidi" w:hAnsiTheme="majorBidi" w:cstheme="majorBidi"/>
          <w:sz w:val="24"/>
          <w:szCs w:val="24"/>
        </w:rPr>
      </w:pPr>
    </w:p>
    <w:p w14:paraId="2EB00C00" w14:textId="5E47DC85" w:rsidR="00FD1AF7" w:rsidRPr="00AD2FF5" w:rsidRDefault="00AD2FF5" w:rsidP="00830520">
      <w:pPr>
        <w:shd w:val="clear" w:color="auto" w:fill="FFFFFF"/>
        <w:spacing w:line="259" w:lineRule="auto"/>
        <w:outlineLvl w:val="2"/>
        <w:rPr>
          <w:rFonts w:asciiTheme="majorBidi" w:hAnsiTheme="majorBidi" w:cstheme="majorBidi"/>
          <w:sz w:val="24"/>
          <w:szCs w:val="24"/>
        </w:rPr>
      </w:pPr>
      <w:r w:rsidRPr="00AD2FF5">
        <w:rPr>
          <w:sz w:val="24"/>
          <w:szCs w:val="24"/>
        </w:rPr>
        <w:t>The risk of sexual and other forms of violence can arise during transfers to police stations, courts or prisons, and particularly where male and female prisoners are not separated or when male staff transport female prisoners.</w:t>
      </w:r>
      <w:r w:rsidRPr="00AD2FF5">
        <w:rPr>
          <w:rStyle w:val="FootnoteReference"/>
          <w:rFonts w:asciiTheme="majorBidi" w:hAnsiTheme="majorBidi" w:cstheme="majorBidi"/>
          <w:sz w:val="24"/>
          <w:szCs w:val="24"/>
        </w:rPr>
        <w:footnoteReference w:id="10"/>
      </w:r>
      <w:r w:rsidRPr="00AD2FF5">
        <w:rPr>
          <w:sz w:val="24"/>
          <w:szCs w:val="24"/>
        </w:rPr>
        <w:t xml:space="preserve"> </w:t>
      </w:r>
      <w:r>
        <w:rPr>
          <w:sz w:val="24"/>
          <w:szCs w:val="24"/>
        </w:rPr>
        <w:t>In prison, w</w:t>
      </w:r>
      <w:r w:rsidR="00FD1AF7" w:rsidRPr="00AD2FF5">
        <w:rPr>
          <w:sz w:val="24"/>
          <w:szCs w:val="24"/>
        </w:rPr>
        <w:t xml:space="preserve">omen and girls are at particular risk of </w:t>
      </w:r>
      <w:r>
        <w:rPr>
          <w:sz w:val="24"/>
          <w:szCs w:val="24"/>
        </w:rPr>
        <w:t xml:space="preserve">gender-based violence </w:t>
      </w:r>
      <w:r w:rsidR="00FD1AF7" w:rsidRPr="00AD2FF5">
        <w:rPr>
          <w:sz w:val="24"/>
          <w:szCs w:val="24"/>
        </w:rPr>
        <w:t>by male prisoners and prison staff, including rape, insults, humiliation and unnecessary invasive body searches.</w:t>
      </w:r>
      <w:r w:rsidR="00FD1AF7" w:rsidRPr="00AD2FF5">
        <w:rPr>
          <w:rStyle w:val="FootnoteReference"/>
          <w:rFonts w:asciiTheme="majorBidi" w:hAnsiTheme="majorBidi" w:cstheme="majorBidi"/>
          <w:sz w:val="24"/>
          <w:szCs w:val="24"/>
        </w:rPr>
        <w:footnoteReference w:id="11"/>
      </w:r>
      <w:r w:rsidR="00FD1AF7" w:rsidRPr="00AD2FF5">
        <w:rPr>
          <w:sz w:val="24"/>
          <w:szCs w:val="24"/>
        </w:rPr>
        <w:t xml:space="preserve"> </w:t>
      </w:r>
    </w:p>
    <w:p w14:paraId="08C2FBF2" w14:textId="77777777" w:rsidR="00D11247" w:rsidRPr="00FE2B98" w:rsidRDefault="00D11247" w:rsidP="00D11247">
      <w:pPr>
        <w:shd w:val="clear" w:color="auto" w:fill="FFFFFF"/>
        <w:spacing w:line="259" w:lineRule="auto"/>
        <w:outlineLvl w:val="2"/>
        <w:rPr>
          <w:rFonts w:asciiTheme="majorBidi" w:hAnsiTheme="majorBidi" w:cstheme="majorBidi"/>
          <w:color w:val="000000"/>
          <w:sz w:val="24"/>
          <w:szCs w:val="24"/>
          <w:lang w:eastAsia="en-GB"/>
        </w:rPr>
      </w:pPr>
    </w:p>
    <w:p w14:paraId="62026D07" w14:textId="37C3AB68" w:rsidR="009F00AF" w:rsidRPr="00FE2B98" w:rsidRDefault="009F00AF" w:rsidP="009F00AF">
      <w:pPr>
        <w:pStyle w:val="ListParagraph"/>
        <w:numPr>
          <w:ilvl w:val="1"/>
          <w:numId w:val="2"/>
        </w:numPr>
        <w:shd w:val="clear" w:color="auto" w:fill="FFFFFF"/>
        <w:spacing w:line="259" w:lineRule="auto"/>
        <w:outlineLvl w:val="2"/>
        <w:rPr>
          <w:rFonts w:asciiTheme="majorBidi" w:hAnsiTheme="majorBidi" w:cstheme="majorBidi"/>
          <w:strike/>
          <w:color w:val="000000"/>
          <w:sz w:val="24"/>
          <w:szCs w:val="24"/>
          <w:lang w:eastAsia="en-GB"/>
        </w:rPr>
      </w:pPr>
      <w:r w:rsidRPr="00FE2B98">
        <w:rPr>
          <w:rFonts w:asciiTheme="majorBidi" w:hAnsiTheme="majorBidi" w:cstheme="majorBidi"/>
          <w:strike/>
          <w:color w:val="000000"/>
          <w:sz w:val="24"/>
          <w:szCs w:val="24"/>
          <w:lang w:eastAsia="en-GB"/>
        </w:rPr>
        <w:t>gender based violence and other forms of violence against children</w:t>
      </w:r>
      <w:r w:rsidR="00F22B4A" w:rsidRPr="00FE2B98">
        <w:rPr>
          <w:rFonts w:asciiTheme="majorBidi" w:hAnsiTheme="majorBidi" w:cstheme="majorBidi"/>
          <w:strike/>
          <w:color w:val="000000"/>
          <w:sz w:val="24"/>
          <w:szCs w:val="24"/>
          <w:lang w:eastAsia="en-GB"/>
        </w:rPr>
        <w:t>.</w:t>
      </w:r>
    </w:p>
    <w:p w14:paraId="121D9F14" w14:textId="149B1C80" w:rsidR="009F00AF" w:rsidRPr="00FE2B98" w:rsidRDefault="009F00AF" w:rsidP="009F00AF">
      <w:pPr>
        <w:pStyle w:val="ListParagraph"/>
        <w:numPr>
          <w:ilvl w:val="1"/>
          <w:numId w:val="2"/>
        </w:numPr>
        <w:shd w:val="clear" w:color="auto" w:fill="FFFFFF"/>
        <w:spacing w:line="259" w:lineRule="auto"/>
        <w:outlineLvl w:val="2"/>
        <w:rPr>
          <w:rFonts w:asciiTheme="majorBidi" w:hAnsiTheme="majorBidi" w:cstheme="majorBidi"/>
          <w:i/>
          <w:iCs/>
          <w:sz w:val="24"/>
          <w:szCs w:val="24"/>
          <w:lang w:eastAsia="en-GB"/>
        </w:rPr>
      </w:pPr>
      <w:r w:rsidRPr="00FE2B98">
        <w:rPr>
          <w:rFonts w:asciiTheme="majorBidi" w:hAnsiTheme="majorBidi" w:cstheme="majorBidi"/>
          <w:i/>
          <w:iCs/>
          <w:color w:val="000000"/>
          <w:sz w:val="24"/>
          <w:szCs w:val="24"/>
          <w:lang w:eastAsia="en-GB"/>
        </w:rPr>
        <w:t xml:space="preserve">gender based violence against </w:t>
      </w:r>
      <w:r w:rsidRPr="00FE2B98">
        <w:rPr>
          <w:rFonts w:asciiTheme="majorBidi" w:hAnsiTheme="majorBidi" w:cstheme="majorBidi"/>
          <w:i/>
          <w:iCs/>
          <w:sz w:val="24"/>
          <w:szCs w:val="24"/>
          <w:lang w:eastAsia="en-GB"/>
        </w:rPr>
        <w:t xml:space="preserve">LGBTI or other persons based on </w:t>
      </w:r>
      <w:r w:rsidRPr="00FE2B98">
        <w:rPr>
          <w:rFonts w:asciiTheme="majorBidi" w:hAnsiTheme="majorBidi" w:cstheme="majorBidi"/>
          <w:i/>
          <w:iCs/>
          <w:color w:val="000000"/>
          <w:sz w:val="24"/>
          <w:szCs w:val="24"/>
          <w:lang w:eastAsia="en-GB"/>
        </w:rPr>
        <w:t>real or imputed sexual orientation</w:t>
      </w:r>
      <w:r w:rsidRPr="00FE2B98">
        <w:rPr>
          <w:rFonts w:asciiTheme="majorBidi" w:hAnsiTheme="majorBidi" w:cstheme="majorBidi"/>
          <w:i/>
          <w:iCs/>
          <w:sz w:val="24"/>
          <w:szCs w:val="24"/>
          <w:lang w:eastAsia="en-GB"/>
        </w:rPr>
        <w:t>, sex characteristics, and gender identity</w:t>
      </w:r>
      <w:r w:rsidR="00F22B4A" w:rsidRPr="00FE2B98">
        <w:rPr>
          <w:rFonts w:asciiTheme="majorBidi" w:hAnsiTheme="majorBidi" w:cstheme="majorBidi"/>
          <w:i/>
          <w:iCs/>
          <w:sz w:val="24"/>
          <w:szCs w:val="24"/>
          <w:lang w:eastAsia="en-GB"/>
        </w:rPr>
        <w:t>.</w:t>
      </w:r>
    </w:p>
    <w:p w14:paraId="2CD7AE8A" w14:textId="77777777" w:rsidR="00FB2CD5" w:rsidRPr="00FE2B98" w:rsidRDefault="00FB2CD5" w:rsidP="00D97DA0">
      <w:pPr>
        <w:shd w:val="clear" w:color="auto" w:fill="FFFFFF"/>
        <w:spacing w:line="259" w:lineRule="auto"/>
        <w:outlineLvl w:val="2"/>
        <w:rPr>
          <w:rFonts w:asciiTheme="majorBidi" w:hAnsiTheme="majorBidi" w:cstheme="majorBidi"/>
          <w:sz w:val="24"/>
          <w:szCs w:val="24"/>
        </w:rPr>
      </w:pPr>
    </w:p>
    <w:p w14:paraId="2A7E6486" w14:textId="4BDF5E51" w:rsidR="00F02FA1" w:rsidRDefault="00F02FA1" w:rsidP="00F02FA1">
      <w:pPr>
        <w:shd w:val="clear" w:color="auto" w:fill="FFFFFF"/>
        <w:spacing w:line="259" w:lineRule="auto"/>
        <w:outlineLvl w:val="2"/>
        <w:rPr>
          <w:rFonts w:asciiTheme="majorBidi" w:hAnsiTheme="majorBidi" w:cstheme="majorBidi"/>
          <w:sz w:val="24"/>
          <w:szCs w:val="24"/>
        </w:rPr>
      </w:pPr>
      <w:r>
        <w:rPr>
          <w:rFonts w:asciiTheme="majorBidi" w:hAnsiTheme="majorBidi" w:cstheme="majorBidi"/>
          <w:sz w:val="24"/>
          <w:szCs w:val="24"/>
        </w:rPr>
        <w:t>(</w:t>
      </w:r>
      <w:r w:rsidRPr="00FE2B98">
        <w:rPr>
          <w:rFonts w:asciiTheme="majorBidi" w:hAnsiTheme="majorBidi" w:cstheme="majorBidi"/>
          <w:sz w:val="24"/>
          <w:szCs w:val="24"/>
        </w:rPr>
        <w:t xml:space="preserve">Custodial settings are unique in their capacity to inflict institutional violence, </w:t>
      </w:r>
      <w:r>
        <w:rPr>
          <w:rFonts w:asciiTheme="majorBidi" w:hAnsiTheme="majorBidi" w:cstheme="majorBidi"/>
          <w:sz w:val="24"/>
          <w:szCs w:val="24"/>
        </w:rPr>
        <w:t>the specific gender dimensions of which are explored in the response to question 3 below.)</w:t>
      </w:r>
    </w:p>
    <w:p w14:paraId="1FB899CE" w14:textId="77777777" w:rsidR="00F02FA1" w:rsidRDefault="00F02FA1" w:rsidP="003E6EF4">
      <w:pPr>
        <w:shd w:val="clear" w:color="auto" w:fill="FFFFFF"/>
        <w:spacing w:line="259" w:lineRule="auto"/>
        <w:outlineLvl w:val="2"/>
        <w:rPr>
          <w:rFonts w:asciiTheme="majorBidi" w:hAnsiTheme="majorBidi" w:cstheme="majorBidi"/>
          <w:sz w:val="24"/>
          <w:szCs w:val="24"/>
        </w:rPr>
      </w:pPr>
    </w:p>
    <w:p w14:paraId="7B669986" w14:textId="31CC2A79" w:rsidR="00F22B4A" w:rsidRPr="00FE2B98" w:rsidRDefault="00F22B4A" w:rsidP="00920E8F">
      <w:pPr>
        <w:shd w:val="clear" w:color="auto" w:fill="FFFFFF"/>
        <w:spacing w:line="259" w:lineRule="auto"/>
        <w:outlineLvl w:val="2"/>
        <w:rPr>
          <w:rFonts w:asciiTheme="majorBidi" w:hAnsiTheme="majorBidi" w:cstheme="majorBidi"/>
          <w:sz w:val="24"/>
          <w:szCs w:val="24"/>
          <w:lang w:eastAsia="en-GB"/>
        </w:rPr>
      </w:pPr>
      <w:r w:rsidRPr="00FE2B98">
        <w:rPr>
          <w:rFonts w:asciiTheme="majorBidi" w:hAnsiTheme="majorBidi" w:cstheme="majorBidi"/>
          <w:sz w:val="24"/>
          <w:szCs w:val="24"/>
        </w:rPr>
        <w:t>Lesbian, gay, bisexual and trans</w:t>
      </w:r>
      <w:r w:rsidR="004766AC">
        <w:rPr>
          <w:rFonts w:asciiTheme="majorBidi" w:hAnsiTheme="majorBidi" w:cstheme="majorBidi"/>
          <w:sz w:val="24"/>
          <w:szCs w:val="24"/>
        </w:rPr>
        <w:t xml:space="preserve"> and gender diverse</w:t>
      </w:r>
      <w:r w:rsidRPr="00FE2B98">
        <w:rPr>
          <w:rFonts w:asciiTheme="majorBidi" w:hAnsiTheme="majorBidi" w:cstheme="majorBidi"/>
          <w:sz w:val="24"/>
          <w:szCs w:val="24"/>
        </w:rPr>
        <w:t xml:space="preserve"> persons who are deprived of their liberty are at particular risk of torture and ill-treatment</w:t>
      </w:r>
      <w:r w:rsidR="00920E8F" w:rsidRPr="00FE2B98">
        <w:rPr>
          <w:rStyle w:val="FootnoteReference"/>
          <w:rFonts w:asciiTheme="majorBidi" w:hAnsiTheme="majorBidi" w:cstheme="majorBidi"/>
          <w:sz w:val="24"/>
          <w:szCs w:val="24"/>
        </w:rPr>
        <w:footnoteReference w:id="12"/>
      </w:r>
      <w:r w:rsidR="00920E8F">
        <w:rPr>
          <w:rFonts w:asciiTheme="majorBidi" w:hAnsiTheme="majorBidi" w:cstheme="majorBidi"/>
          <w:sz w:val="24"/>
          <w:szCs w:val="24"/>
        </w:rPr>
        <w:t xml:space="preserve">—including in the form of </w:t>
      </w:r>
      <w:r w:rsidR="00920E8F" w:rsidRPr="00FE2B98">
        <w:rPr>
          <w:rFonts w:asciiTheme="majorBidi" w:hAnsiTheme="majorBidi" w:cstheme="majorBidi"/>
          <w:sz w:val="24"/>
          <w:szCs w:val="24"/>
        </w:rPr>
        <w:t>placement in solitary confinement or administrative segregation for their own “protection</w:t>
      </w:r>
      <w:r w:rsidR="00920E8F">
        <w:rPr>
          <w:rFonts w:asciiTheme="majorBidi" w:hAnsiTheme="majorBidi" w:cstheme="majorBidi"/>
          <w:sz w:val="24"/>
          <w:szCs w:val="24"/>
        </w:rPr>
        <w:t>,</w:t>
      </w:r>
      <w:r w:rsidR="00920E8F" w:rsidRPr="00FE2B98">
        <w:rPr>
          <w:rFonts w:asciiTheme="majorBidi" w:hAnsiTheme="majorBidi" w:cstheme="majorBidi"/>
          <w:sz w:val="24"/>
          <w:szCs w:val="24"/>
        </w:rPr>
        <w:t>”</w:t>
      </w:r>
      <w:r w:rsidR="00920E8F" w:rsidRPr="00FE2B98">
        <w:rPr>
          <w:rStyle w:val="FootnoteReference"/>
          <w:rFonts w:asciiTheme="majorBidi" w:hAnsiTheme="majorBidi" w:cstheme="majorBidi"/>
          <w:sz w:val="24"/>
          <w:szCs w:val="24"/>
        </w:rPr>
        <w:footnoteReference w:id="13"/>
      </w:r>
      <w:r w:rsidRPr="00FE2B98">
        <w:rPr>
          <w:rFonts w:asciiTheme="majorBidi" w:hAnsiTheme="majorBidi" w:cstheme="majorBidi"/>
          <w:sz w:val="24"/>
          <w:szCs w:val="24"/>
        </w:rPr>
        <w:t xml:space="preserve"> </w:t>
      </w:r>
      <w:r w:rsidR="00920E8F">
        <w:rPr>
          <w:rFonts w:asciiTheme="majorBidi" w:hAnsiTheme="majorBidi" w:cstheme="majorBidi"/>
          <w:sz w:val="24"/>
          <w:szCs w:val="24"/>
        </w:rPr>
        <w:t>h</w:t>
      </w:r>
      <w:r w:rsidR="00920E8F" w:rsidRPr="00FE2B98">
        <w:rPr>
          <w:rFonts w:asciiTheme="majorBidi" w:hAnsiTheme="majorBidi" w:cstheme="majorBidi"/>
          <w:sz w:val="24"/>
          <w:szCs w:val="24"/>
        </w:rPr>
        <w:t>umiliating and invasive body searches particularly for transgender detainees</w:t>
      </w:r>
      <w:r w:rsidR="00920E8F">
        <w:rPr>
          <w:rFonts w:asciiTheme="majorBidi" w:hAnsiTheme="majorBidi" w:cstheme="majorBidi"/>
          <w:sz w:val="24"/>
          <w:szCs w:val="24"/>
        </w:rPr>
        <w:t>,</w:t>
      </w:r>
      <w:r w:rsidR="00920E8F" w:rsidRPr="00FE2B98">
        <w:rPr>
          <w:rStyle w:val="FootnoteReference"/>
          <w:rFonts w:asciiTheme="majorBidi" w:hAnsiTheme="majorBidi" w:cstheme="majorBidi"/>
          <w:sz w:val="24"/>
          <w:szCs w:val="24"/>
        </w:rPr>
        <w:footnoteReference w:id="14"/>
      </w:r>
      <w:r w:rsidR="00920E8F">
        <w:rPr>
          <w:rFonts w:asciiTheme="majorBidi" w:hAnsiTheme="majorBidi" w:cstheme="majorBidi"/>
          <w:sz w:val="24"/>
          <w:szCs w:val="24"/>
        </w:rPr>
        <w:t xml:space="preserve"> and </w:t>
      </w:r>
      <w:r w:rsidR="00920E8F" w:rsidRPr="00FE2B98">
        <w:rPr>
          <w:rFonts w:asciiTheme="majorBidi" w:hAnsiTheme="majorBidi" w:cstheme="majorBidi"/>
          <w:sz w:val="24"/>
          <w:szCs w:val="24"/>
        </w:rPr>
        <w:t>where homosexuality is criminalized, men suspected of same-sex conduct are subject to non-consensual anal examinations</w:t>
      </w:r>
      <w:r w:rsidR="00920E8F">
        <w:rPr>
          <w:rFonts w:asciiTheme="majorBidi" w:hAnsiTheme="majorBidi" w:cstheme="majorBidi"/>
          <w:sz w:val="24"/>
          <w:szCs w:val="24"/>
        </w:rPr>
        <w:t>.</w:t>
      </w:r>
      <w:r w:rsidR="00920E8F" w:rsidRPr="00FE2B98">
        <w:rPr>
          <w:rStyle w:val="FootnoteReference"/>
          <w:rFonts w:asciiTheme="majorBidi" w:hAnsiTheme="majorBidi" w:cstheme="majorBidi"/>
          <w:sz w:val="24"/>
          <w:szCs w:val="24"/>
        </w:rPr>
        <w:footnoteReference w:id="15"/>
      </w:r>
      <w:r w:rsidR="00920E8F">
        <w:rPr>
          <w:rFonts w:asciiTheme="majorBidi" w:hAnsiTheme="majorBidi" w:cstheme="majorBidi"/>
          <w:sz w:val="24"/>
          <w:szCs w:val="24"/>
        </w:rPr>
        <w:t xml:space="preserve"> </w:t>
      </w:r>
    </w:p>
    <w:p w14:paraId="274C84AF" w14:textId="77777777" w:rsidR="00F22B4A" w:rsidRPr="00FE2B98" w:rsidRDefault="00F22B4A" w:rsidP="00F22B4A">
      <w:pPr>
        <w:shd w:val="clear" w:color="auto" w:fill="FFFFFF"/>
        <w:spacing w:line="259" w:lineRule="auto"/>
        <w:outlineLvl w:val="2"/>
        <w:rPr>
          <w:rFonts w:asciiTheme="majorBidi" w:hAnsiTheme="majorBidi" w:cstheme="majorBidi"/>
          <w:sz w:val="24"/>
          <w:szCs w:val="24"/>
          <w:lang w:eastAsia="en-GB"/>
        </w:rPr>
      </w:pPr>
    </w:p>
    <w:p w14:paraId="156C8D92" w14:textId="77777777" w:rsidR="009F00AF" w:rsidRPr="00FE2B98" w:rsidRDefault="009F00AF" w:rsidP="009F00AF">
      <w:pPr>
        <w:pStyle w:val="ListParagraph"/>
        <w:numPr>
          <w:ilvl w:val="1"/>
          <w:numId w:val="2"/>
        </w:numPr>
        <w:shd w:val="clear" w:color="auto" w:fill="FFFFFF"/>
        <w:spacing w:line="259" w:lineRule="auto"/>
        <w:outlineLvl w:val="2"/>
        <w:rPr>
          <w:rFonts w:asciiTheme="majorBidi" w:hAnsiTheme="majorBidi" w:cstheme="majorBidi"/>
          <w:strike/>
          <w:color w:val="000000"/>
          <w:sz w:val="24"/>
          <w:szCs w:val="24"/>
          <w:lang w:eastAsia="en-GB"/>
        </w:rPr>
      </w:pPr>
      <w:r w:rsidRPr="00FE2B98">
        <w:rPr>
          <w:rFonts w:asciiTheme="majorBidi" w:hAnsiTheme="majorBidi" w:cstheme="majorBidi"/>
          <w:strike/>
          <w:sz w:val="24"/>
          <w:szCs w:val="24"/>
          <w:lang w:eastAsia="en-GB"/>
        </w:rPr>
        <w:t>violence against persons with disabilities</w:t>
      </w:r>
      <w:r w:rsidRPr="00FE2B98">
        <w:rPr>
          <w:rFonts w:asciiTheme="majorBidi" w:hAnsiTheme="majorBidi" w:cstheme="majorBidi"/>
          <w:strike/>
          <w:color w:val="000000"/>
          <w:sz w:val="24"/>
          <w:szCs w:val="24"/>
          <w:lang w:eastAsia="en-GB"/>
        </w:rPr>
        <w:t>, including GBV.</w:t>
      </w:r>
    </w:p>
    <w:p w14:paraId="007FE293" w14:textId="67007AE2" w:rsidR="009F00AF" w:rsidRPr="00176A05" w:rsidRDefault="009F00AF" w:rsidP="009F00AF">
      <w:pPr>
        <w:pStyle w:val="ListParagraph"/>
        <w:numPr>
          <w:ilvl w:val="1"/>
          <w:numId w:val="2"/>
        </w:numPr>
        <w:shd w:val="clear" w:color="auto" w:fill="FFFFFF"/>
        <w:spacing w:line="259" w:lineRule="auto"/>
        <w:outlineLvl w:val="2"/>
        <w:rPr>
          <w:rFonts w:asciiTheme="majorBidi" w:hAnsiTheme="majorBidi" w:cstheme="majorBidi"/>
          <w:color w:val="000000"/>
          <w:sz w:val="24"/>
          <w:szCs w:val="24"/>
          <w:lang w:eastAsia="en-GB"/>
        </w:rPr>
      </w:pPr>
      <w:r w:rsidRPr="00176A05">
        <w:rPr>
          <w:rFonts w:asciiTheme="majorBidi" w:hAnsiTheme="majorBidi" w:cstheme="majorBidi"/>
          <w:color w:val="000000"/>
          <w:sz w:val="24"/>
          <w:szCs w:val="24"/>
          <w:lang w:eastAsia="en-GB"/>
        </w:rPr>
        <w:t>gender based violence against men</w:t>
      </w:r>
    </w:p>
    <w:p w14:paraId="18771123" w14:textId="6AC5D965" w:rsidR="00176A05" w:rsidRPr="00176A05" w:rsidRDefault="00176A05" w:rsidP="00176A05">
      <w:pPr>
        <w:shd w:val="clear" w:color="auto" w:fill="FFFFFF"/>
        <w:spacing w:line="259" w:lineRule="auto"/>
        <w:outlineLvl w:val="2"/>
        <w:rPr>
          <w:rFonts w:asciiTheme="majorBidi" w:hAnsiTheme="majorBidi" w:cstheme="majorBidi"/>
          <w:color w:val="000000"/>
          <w:sz w:val="24"/>
          <w:szCs w:val="24"/>
          <w:lang w:eastAsia="en-GB"/>
        </w:rPr>
      </w:pPr>
    </w:p>
    <w:p w14:paraId="4331EED4" w14:textId="11142141" w:rsidR="00176A05" w:rsidRDefault="00176A05" w:rsidP="00212F6D">
      <w:pPr>
        <w:shd w:val="clear" w:color="auto" w:fill="FFFFFF"/>
        <w:spacing w:line="259" w:lineRule="auto"/>
        <w:outlineLvl w:val="2"/>
        <w:rPr>
          <w:rFonts w:asciiTheme="majorBidi" w:hAnsiTheme="majorBidi" w:cstheme="majorBidi"/>
          <w:color w:val="000000"/>
          <w:sz w:val="24"/>
          <w:szCs w:val="24"/>
          <w:highlight w:val="yellow"/>
          <w:lang w:eastAsia="en-GB"/>
        </w:rPr>
      </w:pPr>
      <w:r w:rsidRPr="00EF59EC">
        <w:rPr>
          <w:rFonts w:asciiTheme="majorBidi" w:hAnsiTheme="majorBidi" w:cstheme="majorBidi"/>
          <w:color w:val="000000"/>
          <w:sz w:val="24"/>
          <w:szCs w:val="24"/>
          <w:lang w:eastAsia="en-GB"/>
        </w:rPr>
        <w:t xml:space="preserve">Sexual and gender-based violence against men in custodial settings is </w:t>
      </w:r>
      <w:r w:rsidR="00EF59EC" w:rsidRPr="00EF59EC">
        <w:rPr>
          <w:rFonts w:asciiTheme="majorBidi" w:hAnsiTheme="majorBidi" w:cstheme="majorBidi"/>
          <w:color w:val="000000"/>
          <w:sz w:val="24"/>
          <w:szCs w:val="24"/>
          <w:lang w:eastAsia="en-GB"/>
        </w:rPr>
        <w:t>pervasive</w:t>
      </w:r>
      <w:r w:rsidR="00212F6D">
        <w:rPr>
          <w:rFonts w:asciiTheme="majorBidi" w:hAnsiTheme="majorBidi" w:cstheme="majorBidi"/>
          <w:color w:val="000000"/>
          <w:sz w:val="24"/>
          <w:szCs w:val="24"/>
          <w:lang w:eastAsia="en-GB"/>
        </w:rPr>
        <w:t>, in particular in prison settings where sexual violence is committed by prison staff and other inmates. Of particular concern</w:t>
      </w:r>
      <w:r w:rsidR="00835651">
        <w:rPr>
          <w:rFonts w:asciiTheme="majorBidi" w:hAnsiTheme="majorBidi" w:cstheme="majorBidi"/>
          <w:color w:val="000000"/>
          <w:sz w:val="24"/>
          <w:szCs w:val="24"/>
          <w:lang w:eastAsia="en-GB"/>
        </w:rPr>
        <w:t xml:space="preserve"> is inmate-perpetrated sexual violence against other inmates, which is typically horrifically brutal, and committed </w:t>
      </w:r>
      <w:r w:rsidR="00B35340">
        <w:rPr>
          <w:rFonts w:asciiTheme="majorBidi" w:hAnsiTheme="majorBidi" w:cstheme="majorBidi"/>
          <w:color w:val="000000"/>
          <w:sz w:val="24"/>
          <w:szCs w:val="24"/>
          <w:lang w:eastAsia="en-GB"/>
        </w:rPr>
        <w:t>with the awareness of prison officials. Take for example the European Committee for the Prevention of Torture and Inhuman or Degrading Treatment or Punishment’s (CPT) reports of its visits to prisons in Romania,</w:t>
      </w:r>
      <w:r w:rsidR="0081779C">
        <w:rPr>
          <w:rStyle w:val="FootnoteReference"/>
          <w:rFonts w:asciiTheme="majorBidi" w:hAnsiTheme="majorBidi" w:cstheme="majorBidi"/>
          <w:color w:val="000000"/>
          <w:sz w:val="24"/>
          <w:szCs w:val="24"/>
          <w:lang w:eastAsia="en-GB"/>
        </w:rPr>
        <w:footnoteReference w:id="16"/>
      </w:r>
      <w:r w:rsidR="00B35340">
        <w:rPr>
          <w:rFonts w:asciiTheme="majorBidi" w:hAnsiTheme="majorBidi" w:cstheme="majorBidi"/>
          <w:color w:val="000000"/>
          <w:sz w:val="24"/>
          <w:szCs w:val="24"/>
          <w:lang w:eastAsia="en-GB"/>
        </w:rPr>
        <w:t xml:space="preserve"> Czechia,</w:t>
      </w:r>
      <w:r w:rsidR="0081779C">
        <w:rPr>
          <w:rStyle w:val="FootnoteReference"/>
          <w:rFonts w:asciiTheme="majorBidi" w:hAnsiTheme="majorBidi" w:cstheme="majorBidi"/>
          <w:color w:val="000000"/>
          <w:sz w:val="24"/>
          <w:szCs w:val="24"/>
          <w:lang w:eastAsia="en-GB"/>
        </w:rPr>
        <w:footnoteReference w:id="17"/>
      </w:r>
      <w:r w:rsidR="00B35340">
        <w:rPr>
          <w:rFonts w:asciiTheme="majorBidi" w:hAnsiTheme="majorBidi" w:cstheme="majorBidi"/>
          <w:color w:val="000000"/>
          <w:sz w:val="24"/>
          <w:szCs w:val="24"/>
          <w:lang w:eastAsia="en-GB"/>
        </w:rPr>
        <w:t xml:space="preserve"> and </w:t>
      </w:r>
      <w:r w:rsidR="00804871">
        <w:rPr>
          <w:rFonts w:asciiTheme="majorBidi" w:hAnsiTheme="majorBidi" w:cstheme="majorBidi"/>
          <w:color w:val="000000"/>
          <w:sz w:val="24"/>
          <w:szCs w:val="24"/>
          <w:lang w:eastAsia="en-GB"/>
        </w:rPr>
        <w:t>Greece</w:t>
      </w:r>
      <w:r w:rsidR="0081779C">
        <w:rPr>
          <w:rStyle w:val="FootnoteReference"/>
          <w:rFonts w:asciiTheme="majorBidi" w:hAnsiTheme="majorBidi" w:cstheme="majorBidi"/>
          <w:color w:val="000000"/>
          <w:sz w:val="24"/>
          <w:szCs w:val="24"/>
          <w:lang w:eastAsia="en-GB"/>
        </w:rPr>
        <w:footnoteReference w:id="18"/>
      </w:r>
      <w:r w:rsidR="004528DF">
        <w:rPr>
          <w:rFonts w:asciiTheme="majorBidi" w:hAnsiTheme="majorBidi" w:cstheme="majorBidi"/>
          <w:color w:val="000000"/>
          <w:sz w:val="24"/>
          <w:szCs w:val="24"/>
          <w:lang w:eastAsia="en-GB"/>
        </w:rPr>
        <w:t xml:space="preserve"> where</w:t>
      </w:r>
      <w:r w:rsidR="0081779C">
        <w:rPr>
          <w:rFonts w:asciiTheme="majorBidi" w:hAnsiTheme="majorBidi" w:cstheme="majorBidi"/>
          <w:color w:val="000000"/>
          <w:sz w:val="24"/>
          <w:szCs w:val="24"/>
          <w:lang w:eastAsia="en-GB"/>
        </w:rPr>
        <w:t xml:space="preserve"> the Committee recorded numerous instances of extremely violent rape and sexual assaults against inmates at the hands of other inmates, often facilitated as a mode of punishment by prison authorities.</w:t>
      </w:r>
    </w:p>
    <w:p w14:paraId="49ACF3A5" w14:textId="77777777" w:rsidR="00176A05" w:rsidRPr="00176A05" w:rsidRDefault="00176A05" w:rsidP="00176A05">
      <w:pPr>
        <w:shd w:val="clear" w:color="auto" w:fill="FFFFFF"/>
        <w:spacing w:line="259" w:lineRule="auto"/>
        <w:outlineLvl w:val="2"/>
        <w:rPr>
          <w:rFonts w:asciiTheme="majorBidi" w:hAnsiTheme="majorBidi" w:cstheme="majorBidi"/>
          <w:color w:val="000000"/>
          <w:sz w:val="24"/>
          <w:szCs w:val="24"/>
          <w:highlight w:val="yellow"/>
          <w:lang w:eastAsia="en-GB"/>
        </w:rPr>
      </w:pPr>
    </w:p>
    <w:p w14:paraId="4523CE49" w14:textId="77777777" w:rsidR="009F00AF" w:rsidRPr="00FE2B98" w:rsidRDefault="009F00AF" w:rsidP="009F00AF">
      <w:pPr>
        <w:pStyle w:val="ListParagraph"/>
        <w:numPr>
          <w:ilvl w:val="1"/>
          <w:numId w:val="2"/>
        </w:numPr>
        <w:shd w:val="clear" w:color="auto" w:fill="FFFFFF"/>
        <w:spacing w:line="259" w:lineRule="auto"/>
        <w:outlineLvl w:val="2"/>
        <w:rPr>
          <w:rFonts w:asciiTheme="majorBidi" w:hAnsiTheme="majorBidi" w:cstheme="majorBidi"/>
          <w:strike/>
          <w:color w:val="000000"/>
          <w:sz w:val="24"/>
          <w:szCs w:val="24"/>
          <w:lang w:eastAsia="en-GB"/>
        </w:rPr>
      </w:pPr>
      <w:r w:rsidRPr="00FE2B98">
        <w:rPr>
          <w:rFonts w:asciiTheme="majorBidi" w:hAnsiTheme="majorBidi" w:cstheme="majorBidi"/>
          <w:strike/>
          <w:color w:val="000000"/>
          <w:sz w:val="24"/>
          <w:szCs w:val="24"/>
          <w:lang w:eastAsia="en-GB"/>
        </w:rPr>
        <w:t>conflict gender based violence, including sexual violence</w:t>
      </w:r>
    </w:p>
    <w:p w14:paraId="09AD98CC" w14:textId="77777777" w:rsidR="009F00AF" w:rsidRPr="00FE2B98" w:rsidRDefault="009F00AF" w:rsidP="009F00AF">
      <w:pPr>
        <w:pStyle w:val="ListParagraph"/>
        <w:numPr>
          <w:ilvl w:val="1"/>
          <w:numId w:val="2"/>
        </w:numPr>
        <w:shd w:val="clear" w:color="auto" w:fill="FFFFFF"/>
        <w:spacing w:line="259" w:lineRule="auto"/>
        <w:outlineLvl w:val="2"/>
        <w:rPr>
          <w:rFonts w:asciiTheme="majorBidi" w:hAnsiTheme="majorBidi" w:cstheme="majorBidi"/>
          <w:strike/>
          <w:color w:val="000000"/>
          <w:sz w:val="24"/>
          <w:szCs w:val="24"/>
          <w:lang w:eastAsia="en-GB"/>
        </w:rPr>
      </w:pPr>
      <w:r w:rsidRPr="00FE2B98">
        <w:rPr>
          <w:rFonts w:asciiTheme="majorBidi" w:hAnsiTheme="majorBidi" w:cstheme="majorBidi"/>
          <w:strike/>
          <w:color w:val="000000"/>
          <w:sz w:val="24"/>
          <w:szCs w:val="24"/>
          <w:lang w:eastAsia="en-GB"/>
        </w:rPr>
        <w:t>Please share analysis and available evidence on the impact of COVID on the above</w:t>
      </w:r>
    </w:p>
    <w:p w14:paraId="63CB739E" w14:textId="77777777" w:rsidR="009F00AF" w:rsidRPr="00FE2B98" w:rsidRDefault="009F00AF" w:rsidP="009F00AF">
      <w:pPr>
        <w:pStyle w:val="ListParagraph"/>
        <w:shd w:val="clear" w:color="auto" w:fill="FFFFFF"/>
        <w:spacing w:line="259" w:lineRule="auto"/>
        <w:ind w:left="792"/>
        <w:outlineLvl w:val="2"/>
        <w:rPr>
          <w:rFonts w:asciiTheme="majorBidi" w:hAnsiTheme="majorBidi" w:cstheme="majorBidi"/>
          <w:color w:val="000000"/>
          <w:sz w:val="24"/>
          <w:szCs w:val="24"/>
          <w:lang w:eastAsia="en-GB"/>
        </w:rPr>
      </w:pPr>
    </w:p>
    <w:p w14:paraId="0F1F665E" w14:textId="0DDE6FC7" w:rsidR="009F00AF" w:rsidRPr="00A266E9" w:rsidRDefault="009F00AF" w:rsidP="00A266E9">
      <w:pPr>
        <w:pStyle w:val="ListParagraph"/>
        <w:numPr>
          <w:ilvl w:val="0"/>
          <w:numId w:val="2"/>
        </w:numPr>
        <w:shd w:val="clear" w:color="auto" w:fill="FFFFFF"/>
        <w:spacing w:line="259" w:lineRule="auto"/>
        <w:jc w:val="both"/>
        <w:outlineLvl w:val="2"/>
        <w:rPr>
          <w:rFonts w:asciiTheme="majorBidi" w:hAnsiTheme="majorBidi" w:cstheme="majorBidi"/>
          <w:sz w:val="24"/>
          <w:szCs w:val="24"/>
          <w:u w:val="single"/>
          <w:lang w:eastAsia="en-GB"/>
        </w:rPr>
      </w:pPr>
      <w:r w:rsidRPr="00A266E9">
        <w:rPr>
          <w:rFonts w:asciiTheme="majorBidi" w:hAnsiTheme="majorBidi" w:cstheme="majorBidi"/>
          <w:sz w:val="24"/>
          <w:szCs w:val="24"/>
          <w:u w:val="single"/>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p>
    <w:p w14:paraId="0F54B6C3" w14:textId="4CE27BFA" w:rsidR="00F22B4A" w:rsidRPr="00FE2B98" w:rsidRDefault="004E388A" w:rsidP="00F22B4A">
      <w:pPr>
        <w:shd w:val="clear" w:color="auto" w:fill="FFFFFF"/>
        <w:spacing w:line="259" w:lineRule="auto"/>
        <w:jc w:val="both"/>
        <w:outlineLvl w:val="2"/>
        <w:rPr>
          <w:rFonts w:asciiTheme="majorBidi" w:hAnsiTheme="majorBidi" w:cstheme="majorBidi"/>
          <w:sz w:val="24"/>
          <w:szCs w:val="24"/>
          <w:lang w:eastAsia="en-GB"/>
        </w:rPr>
      </w:pPr>
      <w:r>
        <w:rPr>
          <w:rFonts w:asciiTheme="majorBidi" w:hAnsiTheme="majorBidi" w:cstheme="majorBidi"/>
          <w:sz w:val="24"/>
          <w:szCs w:val="24"/>
          <w:lang w:eastAsia="en-GB"/>
        </w:rPr>
        <w:t xml:space="preserve"> </w:t>
      </w:r>
    </w:p>
    <w:p w14:paraId="0289F9C2" w14:textId="25C1E8D6" w:rsidR="00225B63" w:rsidRPr="00176A05" w:rsidRDefault="00176A05" w:rsidP="00282A0E">
      <w:pPr>
        <w:shd w:val="clear" w:color="auto" w:fill="FFFFFF"/>
        <w:spacing w:line="259" w:lineRule="auto"/>
        <w:jc w:val="both"/>
        <w:outlineLvl w:val="2"/>
        <w:rPr>
          <w:rFonts w:asciiTheme="majorBidi" w:hAnsiTheme="majorBidi" w:cstheme="majorBidi"/>
          <w:sz w:val="24"/>
          <w:szCs w:val="24"/>
        </w:rPr>
      </w:pPr>
      <w:r w:rsidRPr="00176A05">
        <w:rPr>
          <w:rFonts w:asciiTheme="majorBidi" w:hAnsiTheme="majorBidi" w:cstheme="majorBidi"/>
          <w:sz w:val="24"/>
          <w:szCs w:val="24"/>
        </w:rPr>
        <w:t>The UN Convention against Torture</w:t>
      </w:r>
      <w:r>
        <w:rPr>
          <w:rFonts w:asciiTheme="majorBidi" w:hAnsiTheme="majorBidi" w:cstheme="majorBidi"/>
          <w:sz w:val="24"/>
          <w:szCs w:val="24"/>
        </w:rPr>
        <w:t>, the International Covenant on Civil and Political Rights</w:t>
      </w:r>
      <w:r w:rsidRPr="00176A05">
        <w:rPr>
          <w:rFonts w:asciiTheme="majorBidi" w:hAnsiTheme="majorBidi" w:cstheme="majorBidi"/>
          <w:sz w:val="24"/>
          <w:szCs w:val="24"/>
        </w:rPr>
        <w:t xml:space="preserve"> and</w:t>
      </w:r>
      <w:r>
        <w:rPr>
          <w:rFonts w:asciiTheme="majorBidi" w:hAnsiTheme="majorBidi" w:cstheme="majorBidi"/>
          <w:sz w:val="24"/>
          <w:szCs w:val="24"/>
        </w:rPr>
        <w:t xml:space="preserve"> numerous</w:t>
      </w:r>
      <w:r w:rsidRPr="00176A05">
        <w:rPr>
          <w:rFonts w:asciiTheme="majorBidi" w:hAnsiTheme="majorBidi" w:cstheme="majorBidi"/>
          <w:sz w:val="24"/>
          <w:szCs w:val="24"/>
        </w:rPr>
        <w:t xml:space="preserve"> regional human rights instruments not only prohibit torture,</w:t>
      </w:r>
      <w:r>
        <w:rPr>
          <w:rStyle w:val="FootnoteReference"/>
          <w:rFonts w:asciiTheme="majorBidi" w:hAnsiTheme="majorBidi" w:cstheme="majorBidi"/>
          <w:sz w:val="24"/>
          <w:szCs w:val="24"/>
        </w:rPr>
        <w:footnoteReference w:id="19"/>
      </w:r>
      <w:r w:rsidRPr="00176A05">
        <w:rPr>
          <w:rFonts w:asciiTheme="majorBidi" w:hAnsiTheme="majorBidi" w:cstheme="majorBidi"/>
          <w:sz w:val="24"/>
          <w:szCs w:val="24"/>
        </w:rPr>
        <w:t xml:space="preserve"> but oblige states to prevent public authorities from “directly committing, instigating, inciting, encouraging, acquiescing in or otherwise participating or being complicit in any acts of torture” and other cruel, inhuman, or degrading treatment or punishment.</w:t>
      </w:r>
      <w:r w:rsidRPr="00176A05">
        <w:rPr>
          <w:rStyle w:val="FootnoteReference"/>
          <w:rFonts w:asciiTheme="majorBidi" w:hAnsiTheme="majorBidi" w:cstheme="majorBidi"/>
          <w:sz w:val="24"/>
          <w:szCs w:val="24"/>
        </w:rPr>
        <w:footnoteReference w:id="20"/>
      </w:r>
    </w:p>
    <w:p w14:paraId="3A41D7AE" w14:textId="77777777" w:rsidR="00176A05" w:rsidRDefault="00176A05" w:rsidP="00282A0E">
      <w:pPr>
        <w:shd w:val="clear" w:color="auto" w:fill="FFFFFF"/>
        <w:spacing w:line="259" w:lineRule="auto"/>
        <w:jc w:val="both"/>
        <w:outlineLvl w:val="2"/>
        <w:rPr>
          <w:rFonts w:asciiTheme="majorBidi" w:hAnsiTheme="majorBidi" w:cstheme="majorBidi"/>
          <w:sz w:val="24"/>
          <w:szCs w:val="24"/>
        </w:rPr>
      </w:pPr>
    </w:p>
    <w:p w14:paraId="530ECF0D" w14:textId="5656CA94" w:rsidR="007172F9" w:rsidRDefault="00555EB1" w:rsidP="00282A0E">
      <w:pPr>
        <w:shd w:val="clear" w:color="auto" w:fill="FFFFFF"/>
        <w:spacing w:line="259" w:lineRule="auto"/>
        <w:jc w:val="both"/>
        <w:outlineLvl w:val="2"/>
        <w:rPr>
          <w:rFonts w:asciiTheme="majorBidi" w:hAnsiTheme="majorBidi" w:cstheme="majorBidi"/>
          <w:sz w:val="24"/>
          <w:szCs w:val="24"/>
          <w:lang w:eastAsia="en-GB"/>
        </w:rPr>
      </w:pPr>
      <w:r w:rsidRPr="00FE2B98">
        <w:rPr>
          <w:rFonts w:asciiTheme="majorBidi" w:hAnsiTheme="majorBidi" w:cstheme="majorBidi"/>
          <w:sz w:val="24"/>
          <w:szCs w:val="24"/>
        </w:rPr>
        <w:t>It is well established that rape and other forms of sexual violence can amount to torture and ill-treatment.</w:t>
      </w:r>
      <w:r w:rsidRPr="00FE2B98">
        <w:rPr>
          <w:rStyle w:val="FootnoteReference"/>
          <w:rFonts w:asciiTheme="majorBidi" w:hAnsiTheme="majorBidi" w:cstheme="majorBidi"/>
          <w:sz w:val="24"/>
          <w:szCs w:val="24"/>
        </w:rPr>
        <w:footnoteReference w:id="21"/>
      </w:r>
      <w:r w:rsidR="00282A0E">
        <w:rPr>
          <w:rFonts w:asciiTheme="majorBidi" w:hAnsiTheme="majorBidi" w:cstheme="majorBidi"/>
          <w:sz w:val="24"/>
          <w:szCs w:val="24"/>
          <w:lang w:eastAsia="en-GB"/>
        </w:rPr>
        <w:t xml:space="preserve"> In addition, women and</w:t>
      </w:r>
      <w:r w:rsidR="00521069">
        <w:rPr>
          <w:rFonts w:asciiTheme="majorBidi" w:hAnsiTheme="majorBidi" w:cstheme="majorBidi"/>
          <w:sz w:val="24"/>
          <w:szCs w:val="24"/>
          <w:lang w:eastAsia="en-GB"/>
        </w:rPr>
        <w:t xml:space="preserve"> lesbian, gay, bisexual, trans and gender diverse persons</w:t>
      </w:r>
      <w:r w:rsidR="00282A0E">
        <w:rPr>
          <w:rFonts w:asciiTheme="majorBidi" w:hAnsiTheme="majorBidi" w:cstheme="majorBidi"/>
          <w:sz w:val="24"/>
          <w:szCs w:val="24"/>
          <w:lang w:eastAsia="en-GB"/>
        </w:rPr>
        <w:t xml:space="preserve"> face specific </w:t>
      </w:r>
      <w:r w:rsidR="00521069">
        <w:rPr>
          <w:rFonts w:asciiTheme="majorBidi" w:hAnsiTheme="majorBidi" w:cstheme="majorBidi"/>
          <w:sz w:val="24"/>
          <w:szCs w:val="24"/>
          <w:lang w:eastAsia="en-GB"/>
        </w:rPr>
        <w:t>forms</w:t>
      </w:r>
      <w:r w:rsidR="00282A0E">
        <w:rPr>
          <w:rFonts w:asciiTheme="majorBidi" w:hAnsiTheme="majorBidi" w:cstheme="majorBidi"/>
          <w:sz w:val="24"/>
          <w:szCs w:val="24"/>
          <w:lang w:eastAsia="en-GB"/>
        </w:rPr>
        <w:t xml:space="preserve"> of institutional or s</w:t>
      </w:r>
      <w:r w:rsidR="00E865A6">
        <w:rPr>
          <w:rFonts w:asciiTheme="majorBidi" w:hAnsiTheme="majorBidi" w:cstheme="majorBidi"/>
          <w:sz w:val="24"/>
          <w:szCs w:val="24"/>
          <w:lang w:eastAsia="en-GB"/>
        </w:rPr>
        <w:t>tructural</w:t>
      </w:r>
      <w:r w:rsidR="00282A0E">
        <w:rPr>
          <w:rFonts w:asciiTheme="majorBidi" w:hAnsiTheme="majorBidi" w:cstheme="majorBidi"/>
          <w:sz w:val="24"/>
          <w:szCs w:val="24"/>
          <w:lang w:eastAsia="en-GB"/>
        </w:rPr>
        <w:t xml:space="preserve"> violence in custodial settings, all of which can amount to torture or ill-treatment and are therefore prohibited by international law. </w:t>
      </w:r>
    </w:p>
    <w:p w14:paraId="44F1D568" w14:textId="77777777" w:rsidR="00BF723A" w:rsidRDefault="00BF723A" w:rsidP="00BF723A">
      <w:pPr>
        <w:shd w:val="clear" w:color="auto" w:fill="FFFFFF"/>
        <w:spacing w:line="259" w:lineRule="auto"/>
        <w:jc w:val="both"/>
        <w:outlineLvl w:val="2"/>
        <w:rPr>
          <w:rFonts w:asciiTheme="majorBidi" w:hAnsiTheme="majorBidi" w:cstheme="majorBidi"/>
          <w:sz w:val="24"/>
          <w:szCs w:val="24"/>
          <w:lang w:eastAsia="en-GB"/>
        </w:rPr>
      </w:pPr>
    </w:p>
    <w:p w14:paraId="6E582420" w14:textId="418F27D9" w:rsidR="00521069" w:rsidRDefault="00521069" w:rsidP="00282A0E">
      <w:pPr>
        <w:shd w:val="clear" w:color="auto" w:fill="FFFFFF"/>
        <w:spacing w:line="259" w:lineRule="auto"/>
        <w:jc w:val="both"/>
        <w:outlineLvl w:val="2"/>
        <w:rPr>
          <w:rFonts w:asciiTheme="majorBidi" w:hAnsiTheme="majorBidi" w:cstheme="majorBidi"/>
          <w:sz w:val="24"/>
          <w:szCs w:val="24"/>
          <w:lang w:eastAsia="en-GB"/>
        </w:rPr>
      </w:pPr>
      <w:r>
        <w:rPr>
          <w:rFonts w:asciiTheme="majorBidi" w:hAnsiTheme="majorBidi" w:cstheme="majorBidi"/>
          <w:sz w:val="24"/>
          <w:szCs w:val="24"/>
          <w:lang w:eastAsia="en-GB"/>
        </w:rPr>
        <w:t xml:space="preserve">For example, </w:t>
      </w:r>
      <w:r>
        <w:rPr>
          <w:rFonts w:asciiTheme="majorBidi" w:eastAsiaTheme="minorHAnsi" w:hAnsiTheme="majorBidi" w:cstheme="majorBidi"/>
          <w:sz w:val="24"/>
          <w:szCs w:val="24"/>
          <w:lang w:val="en-US"/>
        </w:rPr>
        <w:t>in states where homosexuality is criminalized, “</w:t>
      </w:r>
      <w:r w:rsidRPr="007172F9">
        <w:rPr>
          <w:rFonts w:asciiTheme="majorBidi" w:eastAsiaTheme="minorHAnsi" w:hAnsiTheme="majorBidi" w:cstheme="majorBidi"/>
          <w:sz w:val="24"/>
          <w:szCs w:val="24"/>
          <w:lang w:val="en-US"/>
        </w:rPr>
        <w:t>men suspected of same-sex conduct are subject to non-consensual anal examinations intended to obtain physical evidence of homosexuality, a practice that is medically worthless.”</w:t>
      </w:r>
      <w:r w:rsidRPr="00FE2B98">
        <w:rPr>
          <w:rStyle w:val="FootnoteReference"/>
          <w:rFonts w:asciiTheme="majorBidi" w:eastAsiaTheme="minorHAnsi" w:hAnsiTheme="majorBidi" w:cstheme="majorBidi"/>
          <w:sz w:val="24"/>
          <w:szCs w:val="24"/>
          <w:lang w:val="en-US"/>
        </w:rPr>
        <w:footnoteReference w:id="22"/>
      </w:r>
      <w:r w:rsidR="00482564">
        <w:rPr>
          <w:rFonts w:asciiTheme="majorBidi" w:eastAsiaTheme="minorHAnsi" w:hAnsiTheme="majorBidi" w:cstheme="majorBidi"/>
          <w:sz w:val="24"/>
          <w:szCs w:val="24"/>
          <w:lang w:val="en-US"/>
        </w:rPr>
        <w:t xml:space="preserve"> T</w:t>
      </w:r>
      <w:r w:rsidR="00482564" w:rsidRPr="00482564">
        <w:rPr>
          <w:rFonts w:asciiTheme="majorBidi" w:eastAsiaTheme="minorHAnsi" w:hAnsiTheme="majorBidi" w:cstheme="majorBidi"/>
          <w:sz w:val="24"/>
          <w:szCs w:val="24"/>
          <w:lang w:val="en-US"/>
        </w:rPr>
        <w:t>he UN Working Group on Arbitrary Detention has stated that “forced anal examinations contravene the prohibition of torture and other cruel, inhuman and degrading treatment, whether… they are employed with a purpose to punish, to coerce a confession, or to further discrimination.”</w:t>
      </w:r>
      <w:r w:rsidR="00482564" w:rsidRPr="00482564">
        <w:rPr>
          <w:rStyle w:val="FootnoteReference"/>
          <w:rFonts w:asciiTheme="majorBidi" w:eastAsiaTheme="minorHAnsi" w:hAnsiTheme="majorBidi" w:cstheme="majorBidi"/>
          <w:sz w:val="24"/>
          <w:szCs w:val="24"/>
          <w:lang w:val="en-US"/>
        </w:rPr>
        <w:footnoteReference w:id="23"/>
      </w:r>
      <w:r w:rsidR="00482564" w:rsidRPr="00482564">
        <w:rPr>
          <w:rFonts w:asciiTheme="majorBidi" w:eastAsiaTheme="minorHAnsi" w:hAnsiTheme="majorBidi" w:cstheme="majorBidi"/>
          <w:sz w:val="24"/>
          <w:szCs w:val="24"/>
          <w:lang w:val="en-US"/>
        </w:rPr>
        <w:t xml:space="preserve"> I</w:t>
      </w:r>
      <w:r w:rsidR="009242E0">
        <w:rPr>
          <w:rFonts w:asciiTheme="majorBidi" w:eastAsiaTheme="minorHAnsi" w:hAnsiTheme="majorBidi" w:cstheme="majorBidi"/>
          <w:sz w:val="24"/>
          <w:szCs w:val="24"/>
          <w:lang w:val="en-US"/>
        </w:rPr>
        <w:t>ndeed, since 2015, t</w:t>
      </w:r>
      <w:r w:rsidR="00482564" w:rsidRPr="00482564">
        <w:rPr>
          <w:rFonts w:asciiTheme="majorBidi" w:eastAsiaTheme="minorHAnsi" w:hAnsiTheme="majorBidi" w:cstheme="majorBidi"/>
          <w:sz w:val="24"/>
          <w:szCs w:val="24"/>
          <w:lang w:val="en-US"/>
        </w:rPr>
        <w:t xml:space="preserve">he Office of the United Nations High Commissioner for Human Rights (OHCHR) </w:t>
      </w:r>
      <w:r w:rsidR="009242E0">
        <w:rPr>
          <w:rFonts w:asciiTheme="majorBidi" w:eastAsiaTheme="minorHAnsi" w:hAnsiTheme="majorBidi" w:cstheme="majorBidi"/>
          <w:sz w:val="24"/>
          <w:szCs w:val="24"/>
          <w:lang w:val="en-US"/>
        </w:rPr>
        <w:t>has called for a ban on the practice</w:t>
      </w:r>
      <w:r w:rsidR="00482564" w:rsidRPr="006245AF">
        <w:rPr>
          <w:rFonts w:asciiTheme="majorBidi" w:eastAsiaTheme="minorHAnsi" w:hAnsiTheme="majorBidi" w:cstheme="majorBidi"/>
          <w:sz w:val="24"/>
          <w:szCs w:val="24"/>
          <w:lang w:val="en-US"/>
        </w:rPr>
        <w:t>.</w:t>
      </w:r>
      <w:r w:rsidR="006245AF" w:rsidRPr="006245AF">
        <w:rPr>
          <w:rStyle w:val="FootnoteReference"/>
          <w:rFonts w:asciiTheme="majorBidi" w:eastAsiaTheme="minorHAnsi" w:hAnsiTheme="majorBidi" w:cstheme="majorBidi"/>
          <w:sz w:val="24"/>
          <w:szCs w:val="24"/>
          <w:lang w:val="en-US"/>
        </w:rPr>
        <w:footnoteReference w:id="24"/>
      </w:r>
    </w:p>
    <w:p w14:paraId="08F7D2DF" w14:textId="77777777" w:rsidR="007172F9" w:rsidRDefault="007172F9" w:rsidP="007172F9">
      <w:pPr>
        <w:shd w:val="clear" w:color="auto" w:fill="FFFFFF"/>
        <w:spacing w:line="259" w:lineRule="auto"/>
        <w:jc w:val="both"/>
        <w:outlineLvl w:val="2"/>
        <w:rPr>
          <w:rFonts w:asciiTheme="majorBidi" w:hAnsiTheme="majorBidi" w:cstheme="majorBidi"/>
          <w:sz w:val="24"/>
          <w:szCs w:val="24"/>
          <w:lang w:eastAsia="en-GB"/>
        </w:rPr>
      </w:pPr>
    </w:p>
    <w:p w14:paraId="4DFC4DC2" w14:textId="23AD70B7" w:rsidR="001350BD" w:rsidRDefault="009D555E" w:rsidP="00F216ED">
      <w:pPr>
        <w:shd w:val="clear" w:color="auto" w:fill="FFFFFF"/>
        <w:spacing w:line="259" w:lineRule="auto"/>
        <w:jc w:val="both"/>
        <w:outlineLvl w:val="2"/>
        <w:rPr>
          <w:rFonts w:asciiTheme="majorBidi" w:hAnsiTheme="majorBidi" w:cstheme="majorBidi"/>
          <w:sz w:val="24"/>
          <w:szCs w:val="24"/>
          <w:lang w:eastAsia="en-GB"/>
        </w:rPr>
      </w:pPr>
      <w:r>
        <w:rPr>
          <w:rFonts w:asciiTheme="majorBidi" w:hAnsiTheme="majorBidi" w:cstheme="majorBidi"/>
          <w:sz w:val="24"/>
          <w:szCs w:val="24"/>
          <w:lang w:eastAsia="en-GB"/>
        </w:rPr>
        <w:t>Additionally, l</w:t>
      </w:r>
      <w:r w:rsidR="00310CB4">
        <w:rPr>
          <w:rFonts w:asciiTheme="majorBidi" w:hAnsiTheme="majorBidi" w:cstheme="majorBidi"/>
          <w:sz w:val="24"/>
          <w:szCs w:val="24"/>
          <w:lang w:eastAsia="en-GB"/>
        </w:rPr>
        <w:t xml:space="preserve">esbian, gay, bisexual, trans and gender diverse persons are sometimes compelled into </w:t>
      </w:r>
      <w:r w:rsidR="001350BD">
        <w:rPr>
          <w:rFonts w:asciiTheme="majorBidi" w:hAnsiTheme="majorBidi" w:cstheme="majorBidi"/>
          <w:sz w:val="24"/>
          <w:szCs w:val="24"/>
          <w:lang w:eastAsia="en-GB"/>
        </w:rPr>
        <w:t xml:space="preserve">so-called “conversion therapy.” </w:t>
      </w:r>
      <w:r w:rsidR="001350BD" w:rsidRPr="007172F9">
        <w:rPr>
          <w:rFonts w:asciiTheme="majorBidi" w:hAnsiTheme="majorBidi" w:cstheme="majorBidi"/>
          <w:sz w:val="24"/>
          <w:szCs w:val="24"/>
        </w:rPr>
        <w:t xml:space="preserve">In </w:t>
      </w:r>
      <w:r w:rsidR="00B84755">
        <w:rPr>
          <w:rFonts w:asciiTheme="majorBidi" w:hAnsiTheme="majorBidi" w:cstheme="majorBidi"/>
          <w:sz w:val="24"/>
          <w:szCs w:val="24"/>
        </w:rPr>
        <w:t>many</w:t>
      </w:r>
      <w:r w:rsidR="001350BD" w:rsidRPr="007172F9">
        <w:rPr>
          <w:rFonts w:asciiTheme="majorBidi" w:hAnsiTheme="majorBidi" w:cstheme="majorBidi"/>
          <w:sz w:val="24"/>
          <w:szCs w:val="24"/>
        </w:rPr>
        <w:t xml:space="preserve"> cases</w:t>
      </w:r>
      <w:r w:rsidR="00B84755">
        <w:rPr>
          <w:rFonts w:asciiTheme="majorBidi" w:hAnsiTheme="majorBidi" w:cstheme="majorBidi"/>
          <w:sz w:val="24"/>
          <w:szCs w:val="24"/>
        </w:rPr>
        <w:t xml:space="preserve"> such practices are either performed pursuant to an order of </w:t>
      </w:r>
      <w:r w:rsidR="00F216ED">
        <w:rPr>
          <w:rFonts w:asciiTheme="majorBidi" w:hAnsiTheme="majorBidi" w:cstheme="majorBidi"/>
          <w:sz w:val="24"/>
          <w:szCs w:val="24"/>
        </w:rPr>
        <w:t xml:space="preserve">public officials, judges or the police, or </w:t>
      </w:r>
      <w:r w:rsidR="00B84755">
        <w:rPr>
          <w:rFonts w:asciiTheme="majorBidi" w:hAnsiTheme="majorBidi" w:cstheme="majorBidi"/>
          <w:sz w:val="24"/>
          <w:szCs w:val="24"/>
        </w:rPr>
        <w:t xml:space="preserve">performed </w:t>
      </w:r>
      <w:r w:rsidR="001350BD" w:rsidRPr="007172F9">
        <w:rPr>
          <w:rFonts w:asciiTheme="majorBidi" w:hAnsiTheme="majorBidi" w:cstheme="majorBidi"/>
          <w:sz w:val="24"/>
          <w:szCs w:val="24"/>
        </w:rPr>
        <w:t>by medical personnel in state hospitals, public clinics, schools, and juvenile detention centres.</w:t>
      </w:r>
      <w:r w:rsidR="00F216ED">
        <w:rPr>
          <w:rFonts w:asciiTheme="majorBidi" w:hAnsiTheme="majorBidi" w:cstheme="majorBidi"/>
          <w:sz w:val="24"/>
          <w:szCs w:val="24"/>
        </w:rPr>
        <w:t xml:space="preserve"> </w:t>
      </w:r>
      <w:r w:rsidR="00310CB4">
        <w:rPr>
          <w:rFonts w:asciiTheme="majorBidi" w:hAnsiTheme="majorBidi" w:cstheme="majorBidi"/>
          <w:sz w:val="24"/>
          <w:szCs w:val="24"/>
        </w:rPr>
        <w:t>Regarding this practice, t</w:t>
      </w:r>
      <w:r w:rsidR="00F216ED">
        <w:rPr>
          <w:rFonts w:asciiTheme="majorBidi" w:hAnsiTheme="majorBidi" w:cstheme="majorBidi"/>
          <w:sz w:val="24"/>
          <w:szCs w:val="24"/>
        </w:rPr>
        <w:t xml:space="preserve">he </w:t>
      </w:r>
      <w:r w:rsidR="000D0D72">
        <w:rPr>
          <w:rFonts w:asciiTheme="majorBidi" w:hAnsiTheme="majorBidi" w:cstheme="majorBidi"/>
          <w:sz w:val="24"/>
          <w:szCs w:val="24"/>
        </w:rPr>
        <w:t xml:space="preserve">UN </w:t>
      </w:r>
      <w:r w:rsidR="00F216ED">
        <w:rPr>
          <w:rFonts w:asciiTheme="majorBidi" w:hAnsiTheme="majorBidi" w:cstheme="majorBidi"/>
          <w:sz w:val="24"/>
          <w:szCs w:val="24"/>
        </w:rPr>
        <w:t xml:space="preserve">Special Rapporteur on Torture </w:t>
      </w:r>
      <w:r w:rsidR="00310CB4">
        <w:rPr>
          <w:rFonts w:asciiTheme="majorBidi" w:hAnsiTheme="majorBidi" w:cstheme="majorBidi"/>
          <w:sz w:val="24"/>
          <w:szCs w:val="24"/>
        </w:rPr>
        <w:t xml:space="preserve">has </w:t>
      </w:r>
      <w:r w:rsidR="00F216ED">
        <w:rPr>
          <w:rFonts w:asciiTheme="majorBidi" w:hAnsiTheme="majorBidi" w:cstheme="majorBidi"/>
          <w:sz w:val="24"/>
          <w:szCs w:val="24"/>
        </w:rPr>
        <w:t>observed:</w:t>
      </w:r>
    </w:p>
    <w:p w14:paraId="1F284F8B" w14:textId="3D3D3424" w:rsidR="001E41BF" w:rsidRPr="000D0D72" w:rsidRDefault="000D0D72" w:rsidP="000D0D72">
      <w:pPr>
        <w:ind w:left="567" w:right="567"/>
        <w:jc w:val="both"/>
        <w:rPr>
          <w:rFonts w:asciiTheme="majorBidi" w:hAnsiTheme="majorBidi" w:cstheme="majorBidi"/>
          <w:sz w:val="24"/>
          <w:szCs w:val="24"/>
          <w:lang w:val="en-US"/>
        </w:rPr>
      </w:pPr>
      <w:r>
        <w:rPr>
          <w:rFonts w:asciiTheme="majorBidi" w:hAnsiTheme="majorBidi" w:cstheme="majorBidi"/>
          <w:sz w:val="24"/>
          <w:szCs w:val="24"/>
        </w:rPr>
        <w:t>G</w:t>
      </w:r>
      <w:r w:rsidR="001E41BF" w:rsidRPr="000D0D72">
        <w:rPr>
          <w:rFonts w:asciiTheme="majorBidi" w:hAnsiTheme="majorBidi" w:cstheme="majorBidi"/>
          <w:sz w:val="24"/>
          <w:szCs w:val="24"/>
        </w:rPr>
        <w:t>iven that ‘conversion therapy’ can inflict severe pain or suffering, given also the absence both of a medical justification and of free and informed consent, and that it is rooted in discrimination based on sexual orientation or gender identity or expression, such practices can amount to torture or</w:t>
      </w:r>
      <w:r w:rsidR="00310CB4">
        <w:rPr>
          <w:rFonts w:asciiTheme="majorBidi" w:hAnsiTheme="majorBidi" w:cstheme="majorBidi"/>
          <w:sz w:val="24"/>
          <w:szCs w:val="24"/>
        </w:rPr>
        <w:t>…</w:t>
      </w:r>
      <w:r w:rsidR="001E41BF" w:rsidRPr="000D0D72">
        <w:rPr>
          <w:rFonts w:asciiTheme="majorBidi" w:hAnsiTheme="majorBidi" w:cstheme="majorBidi"/>
          <w:sz w:val="24"/>
          <w:szCs w:val="24"/>
        </w:rPr>
        <w:t>to other cruel, inhuman or degrading treatment or punishment.</w:t>
      </w:r>
      <w:r w:rsidR="001E41BF" w:rsidRPr="000D0D72">
        <w:rPr>
          <w:rStyle w:val="FootnoteReference"/>
          <w:rFonts w:asciiTheme="majorBidi" w:hAnsiTheme="majorBidi" w:cstheme="majorBidi"/>
          <w:sz w:val="24"/>
          <w:szCs w:val="24"/>
        </w:rPr>
        <w:footnoteReference w:id="25"/>
      </w:r>
    </w:p>
    <w:p w14:paraId="6A33E756" w14:textId="77777777" w:rsidR="007172F9" w:rsidRDefault="007172F9" w:rsidP="007172F9">
      <w:pPr>
        <w:shd w:val="clear" w:color="auto" w:fill="FFFFFF"/>
        <w:spacing w:line="259" w:lineRule="auto"/>
        <w:jc w:val="both"/>
        <w:outlineLvl w:val="2"/>
        <w:rPr>
          <w:rFonts w:asciiTheme="majorBidi" w:hAnsiTheme="majorBidi" w:cstheme="majorBidi"/>
          <w:sz w:val="24"/>
          <w:szCs w:val="24"/>
          <w:lang w:eastAsia="en-GB"/>
        </w:rPr>
      </w:pPr>
    </w:p>
    <w:p w14:paraId="5D18DD62" w14:textId="4C4C6EEA" w:rsidR="00F22B4A" w:rsidRPr="000D0D72" w:rsidRDefault="009D555E" w:rsidP="000D0D72">
      <w:pPr>
        <w:autoSpaceDE w:val="0"/>
        <w:autoSpaceDN w:val="0"/>
        <w:adjustRightInd w:val="0"/>
        <w:rPr>
          <w:rFonts w:ascii="AdvOT863180fb" w:eastAsiaTheme="minorHAnsi" w:hAnsi="AdvOT863180fb" w:cs="AdvOT863180fb"/>
          <w:sz w:val="14"/>
          <w:szCs w:val="14"/>
          <w:lang w:val="en-US"/>
        </w:rPr>
      </w:pPr>
      <w:r>
        <w:rPr>
          <w:rFonts w:asciiTheme="majorBidi" w:eastAsiaTheme="minorHAnsi" w:hAnsiTheme="majorBidi" w:cstheme="majorBidi"/>
          <w:sz w:val="24"/>
          <w:szCs w:val="24"/>
          <w:lang w:val="en-US"/>
        </w:rPr>
        <w:t>Third</w:t>
      </w:r>
      <w:r w:rsidR="00DF264A">
        <w:rPr>
          <w:rFonts w:asciiTheme="majorBidi" w:eastAsiaTheme="minorHAnsi" w:hAnsiTheme="majorBidi" w:cstheme="majorBidi"/>
          <w:sz w:val="24"/>
          <w:szCs w:val="24"/>
          <w:lang w:val="en-US"/>
        </w:rPr>
        <w:t>, v</w:t>
      </w:r>
      <w:r w:rsidR="000D0D72" w:rsidRPr="000D0D72">
        <w:rPr>
          <w:rFonts w:asciiTheme="majorBidi" w:eastAsiaTheme="minorHAnsi" w:hAnsiTheme="majorBidi" w:cstheme="majorBidi"/>
          <w:sz w:val="24"/>
          <w:szCs w:val="24"/>
          <w:lang w:val="en-US"/>
        </w:rPr>
        <w:t>irginity examinations are</w:t>
      </w:r>
      <w:r w:rsidR="00DF264A">
        <w:rPr>
          <w:rFonts w:asciiTheme="majorBidi" w:eastAsiaTheme="minorHAnsi" w:hAnsiTheme="majorBidi" w:cstheme="majorBidi"/>
          <w:sz w:val="24"/>
          <w:szCs w:val="24"/>
          <w:lang w:val="en-US"/>
        </w:rPr>
        <w:t xml:space="preserve"> </w:t>
      </w:r>
      <w:r w:rsidR="00756853">
        <w:rPr>
          <w:rFonts w:asciiTheme="majorBidi" w:eastAsiaTheme="minorHAnsi" w:hAnsiTheme="majorBidi" w:cstheme="majorBidi"/>
          <w:sz w:val="24"/>
          <w:szCs w:val="24"/>
          <w:lang w:val="en-US"/>
        </w:rPr>
        <w:t xml:space="preserve">still </w:t>
      </w:r>
      <w:r w:rsidR="000D0D72" w:rsidRPr="000D0D72">
        <w:rPr>
          <w:rFonts w:asciiTheme="majorBidi" w:eastAsiaTheme="minorHAnsi" w:hAnsiTheme="majorBidi" w:cstheme="majorBidi"/>
          <w:sz w:val="24"/>
          <w:szCs w:val="24"/>
          <w:lang w:val="en-US"/>
        </w:rPr>
        <w:t>practiced in many countries, often forcibly, including in detention</w:t>
      </w:r>
      <w:r w:rsidR="00DF264A">
        <w:rPr>
          <w:rFonts w:asciiTheme="majorBidi" w:eastAsiaTheme="minorHAnsi" w:hAnsiTheme="majorBidi" w:cstheme="majorBidi"/>
          <w:sz w:val="24"/>
          <w:szCs w:val="24"/>
          <w:lang w:val="en-US"/>
        </w:rPr>
        <w:t>,</w:t>
      </w:r>
      <w:r w:rsidR="000D0D72" w:rsidRPr="000D0D72">
        <w:rPr>
          <w:rFonts w:asciiTheme="majorBidi" w:eastAsiaTheme="minorHAnsi" w:hAnsiTheme="majorBidi" w:cstheme="majorBidi"/>
          <w:sz w:val="24"/>
          <w:szCs w:val="24"/>
          <w:lang w:val="en-US"/>
        </w:rPr>
        <w:t xml:space="preserve"> on women who allege rape or are accused of prostitution and as part of public or social policies to control sexuality.</w:t>
      </w:r>
      <w:r w:rsidR="00DF264A">
        <w:rPr>
          <w:rStyle w:val="FootnoteReference"/>
          <w:rFonts w:asciiTheme="majorBidi" w:eastAsiaTheme="minorHAnsi" w:hAnsiTheme="majorBidi" w:cstheme="majorBidi"/>
          <w:sz w:val="24"/>
          <w:szCs w:val="24"/>
          <w:lang w:val="en-US"/>
        </w:rPr>
        <w:footnoteReference w:id="26"/>
      </w:r>
      <w:r w:rsidR="007172F9">
        <w:rPr>
          <w:rFonts w:asciiTheme="majorBidi" w:hAnsiTheme="majorBidi" w:cstheme="majorBidi"/>
          <w:sz w:val="24"/>
          <w:szCs w:val="24"/>
          <w:lang w:eastAsia="en-GB"/>
        </w:rPr>
        <w:t xml:space="preserve"> </w:t>
      </w:r>
      <w:r w:rsidR="001E41BF" w:rsidRPr="007172F9">
        <w:rPr>
          <w:rFonts w:asciiTheme="majorBidi" w:eastAsiaTheme="minorHAnsi" w:hAnsiTheme="majorBidi" w:cstheme="majorBidi"/>
          <w:color w:val="000000"/>
          <w:sz w:val="24"/>
          <w:szCs w:val="24"/>
          <w:lang w:val="en-US"/>
        </w:rPr>
        <w:t>The World Health Organization,</w:t>
      </w:r>
      <w:r w:rsidR="001E41BF" w:rsidRPr="00FE2B98">
        <w:rPr>
          <w:rStyle w:val="FootnoteReference"/>
          <w:rFonts w:asciiTheme="majorBidi" w:eastAsiaTheme="minorHAnsi" w:hAnsiTheme="majorBidi" w:cstheme="majorBidi"/>
          <w:color w:val="000000"/>
          <w:sz w:val="24"/>
          <w:szCs w:val="24"/>
          <w:lang w:val="en-US"/>
        </w:rPr>
        <w:footnoteReference w:id="27"/>
      </w:r>
      <w:r w:rsidR="001E41BF" w:rsidRPr="007172F9">
        <w:rPr>
          <w:rFonts w:asciiTheme="majorBidi" w:eastAsiaTheme="minorHAnsi" w:hAnsiTheme="majorBidi" w:cstheme="majorBidi"/>
          <w:color w:val="2197D2"/>
          <w:sz w:val="24"/>
          <w:szCs w:val="24"/>
          <w:lang w:val="en-US"/>
        </w:rPr>
        <w:t xml:space="preserve"> </w:t>
      </w:r>
      <w:r w:rsidR="001E41BF" w:rsidRPr="007172F9">
        <w:rPr>
          <w:rFonts w:asciiTheme="majorBidi" w:eastAsiaTheme="minorHAnsi" w:hAnsiTheme="majorBidi" w:cstheme="majorBidi"/>
          <w:color w:val="000000"/>
          <w:sz w:val="24"/>
          <w:szCs w:val="24"/>
          <w:lang w:val="en-US"/>
        </w:rPr>
        <w:t>the</w:t>
      </w:r>
      <w:r w:rsidR="000D0D72">
        <w:rPr>
          <w:rFonts w:asciiTheme="majorBidi" w:eastAsiaTheme="minorHAnsi" w:hAnsiTheme="majorBidi" w:cstheme="majorBidi"/>
          <w:color w:val="000000"/>
          <w:sz w:val="24"/>
          <w:szCs w:val="24"/>
          <w:lang w:val="en-US"/>
        </w:rPr>
        <w:t xml:space="preserve"> UN</w:t>
      </w:r>
      <w:r w:rsidR="001E41BF" w:rsidRPr="007172F9">
        <w:rPr>
          <w:rFonts w:asciiTheme="majorBidi" w:eastAsiaTheme="minorHAnsi" w:hAnsiTheme="majorBidi" w:cstheme="majorBidi"/>
          <w:color w:val="000000"/>
          <w:sz w:val="24"/>
          <w:szCs w:val="24"/>
          <w:lang w:val="en-US"/>
        </w:rPr>
        <w:t xml:space="preserve"> Special Rapporteur on Torture,</w:t>
      </w:r>
      <w:r w:rsidR="001E41BF" w:rsidRPr="00FE2B98">
        <w:rPr>
          <w:rStyle w:val="FootnoteReference"/>
          <w:rFonts w:asciiTheme="majorBidi" w:eastAsiaTheme="minorHAnsi" w:hAnsiTheme="majorBidi" w:cstheme="majorBidi"/>
          <w:color w:val="000000"/>
          <w:sz w:val="24"/>
          <w:szCs w:val="24"/>
          <w:lang w:val="en-US"/>
        </w:rPr>
        <w:footnoteReference w:id="28"/>
      </w:r>
      <w:r w:rsidR="001E41BF" w:rsidRPr="007172F9">
        <w:rPr>
          <w:rFonts w:asciiTheme="majorBidi" w:eastAsiaTheme="minorHAnsi" w:hAnsiTheme="majorBidi" w:cstheme="majorBidi"/>
          <w:color w:val="2197D2"/>
          <w:sz w:val="24"/>
          <w:szCs w:val="24"/>
          <w:lang w:val="en-US"/>
        </w:rPr>
        <w:t xml:space="preserve"> </w:t>
      </w:r>
      <w:r w:rsidR="001E41BF" w:rsidRPr="007172F9">
        <w:rPr>
          <w:rFonts w:asciiTheme="majorBidi" w:eastAsiaTheme="minorHAnsi" w:hAnsiTheme="majorBidi" w:cstheme="majorBidi"/>
          <w:color w:val="000000"/>
          <w:sz w:val="24"/>
          <w:szCs w:val="24"/>
          <w:lang w:val="en-US"/>
        </w:rPr>
        <w:t>and the UN Special Rapporteur on Violence Against Women</w:t>
      </w:r>
      <w:r w:rsidR="001E41BF" w:rsidRPr="00FE2B98">
        <w:rPr>
          <w:rStyle w:val="FootnoteReference"/>
          <w:rFonts w:asciiTheme="majorBidi" w:eastAsiaTheme="minorHAnsi" w:hAnsiTheme="majorBidi" w:cstheme="majorBidi"/>
          <w:color w:val="000000"/>
          <w:sz w:val="24"/>
          <w:szCs w:val="24"/>
          <w:lang w:val="en-US"/>
        </w:rPr>
        <w:footnoteReference w:id="29"/>
      </w:r>
      <w:r w:rsidR="001E41BF" w:rsidRPr="007172F9">
        <w:rPr>
          <w:rFonts w:asciiTheme="majorBidi" w:eastAsiaTheme="minorHAnsi" w:hAnsiTheme="majorBidi" w:cstheme="majorBidi"/>
          <w:color w:val="2197D2"/>
          <w:sz w:val="24"/>
          <w:szCs w:val="24"/>
          <w:lang w:val="en-US"/>
        </w:rPr>
        <w:t xml:space="preserve"> </w:t>
      </w:r>
      <w:r w:rsidR="001E41BF" w:rsidRPr="007172F9">
        <w:rPr>
          <w:rFonts w:asciiTheme="majorBidi" w:eastAsiaTheme="minorHAnsi" w:hAnsiTheme="majorBidi" w:cstheme="majorBidi"/>
          <w:color w:val="000000"/>
          <w:sz w:val="24"/>
          <w:szCs w:val="24"/>
          <w:lang w:val="en-US"/>
        </w:rPr>
        <w:t>all consider virginity examination</w:t>
      </w:r>
      <w:r w:rsidR="003959D3">
        <w:rPr>
          <w:rFonts w:asciiTheme="majorBidi" w:eastAsiaTheme="minorHAnsi" w:hAnsiTheme="majorBidi" w:cstheme="majorBidi"/>
          <w:color w:val="000000"/>
          <w:sz w:val="24"/>
          <w:szCs w:val="24"/>
          <w:lang w:val="en-US"/>
        </w:rPr>
        <w:t>s</w:t>
      </w:r>
      <w:r w:rsidR="001E41BF" w:rsidRPr="007172F9">
        <w:rPr>
          <w:rFonts w:asciiTheme="majorBidi" w:eastAsiaTheme="minorHAnsi" w:hAnsiTheme="majorBidi" w:cstheme="majorBidi"/>
          <w:color w:val="000000"/>
          <w:sz w:val="24"/>
          <w:szCs w:val="24"/>
          <w:lang w:val="en-US"/>
        </w:rPr>
        <w:t xml:space="preserve"> to be a form of sexual violence</w:t>
      </w:r>
      <w:r w:rsidR="000D0D72">
        <w:rPr>
          <w:rFonts w:asciiTheme="majorBidi" w:eastAsiaTheme="minorHAnsi" w:hAnsiTheme="majorBidi" w:cstheme="majorBidi"/>
          <w:color w:val="000000"/>
          <w:sz w:val="24"/>
          <w:szCs w:val="24"/>
          <w:lang w:val="en-US"/>
        </w:rPr>
        <w:t>.</w:t>
      </w:r>
    </w:p>
    <w:p w14:paraId="4818845D" w14:textId="77777777" w:rsidR="007172F9" w:rsidRPr="007172F9" w:rsidRDefault="007172F9" w:rsidP="007172F9">
      <w:pPr>
        <w:shd w:val="clear" w:color="auto" w:fill="FFFFFF"/>
        <w:spacing w:line="259" w:lineRule="auto"/>
        <w:jc w:val="both"/>
        <w:outlineLvl w:val="2"/>
        <w:rPr>
          <w:rFonts w:asciiTheme="majorBidi" w:hAnsiTheme="majorBidi" w:cstheme="majorBidi"/>
          <w:sz w:val="24"/>
          <w:szCs w:val="24"/>
          <w:lang w:eastAsia="en-GB"/>
        </w:rPr>
      </w:pPr>
    </w:p>
    <w:p w14:paraId="2E2A1CD9" w14:textId="5977BBF9" w:rsidR="009338F1" w:rsidRPr="00FE2B98" w:rsidRDefault="009D555E" w:rsidP="00756853">
      <w:pPr>
        <w:shd w:val="clear" w:color="auto" w:fill="FFFFFF"/>
        <w:spacing w:line="259" w:lineRule="auto"/>
        <w:jc w:val="both"/>
        <w:outlineLvl w:val="2"/>
        <w:rPr>
          <w:rFonts w:asciiTheme="majorBidi" w:hAnsiTheme="majorBidi" w:cstheme="majorBidi"/>
          <w:sz w:val="24"/>
          <w:szCs w:val="24"/>
          <w:lang w:eastAsia="en-GB"/>
        </w:rPr>
      </w:pPr>
      <w:r>
        <w:rPr>
          <w:rFonts w:asciiTheme="majorBidi" w:hAnsiTheme="majorBidi" w:cstheme="majorBidi"/>
          <w:sz w:val="24"/>
          <w:szCs w:val="24"/>
          <w:lang w:eastAsia="en-GB"/>
        </w:rPr>
        <w:t>Finally, l</w:t>
      </w:r>
      <w:r w:rsidR="00380F95" w:rsidRPr="00FE2B98">
        <w:rPr>
          <w:rFonts w:asciiTheme="majorBidi" w:hAnsiTheme="majorBidi" w:cstheme="majorBidi"/>
          <w:sz w:val="24"/>
          <w:szCs w:val="24"/>
          <w:lang w:eastAsia="en-GB"/>
        </w:rPr>
        <w:t xml:space="preserve">egal frameworks in many </w:t>
      </w:r>
      <w:r w:rsidR="00310CB4">
        <w:rPr>
          <w:rFonts w:asciiTheme="majorBidi" w:hAnsiTheme="majorBidi" w:cstheme="majorBidi"/>
          <w:sz w:val="24"/>
          <w:szCs w:val="24"/>
          <w:lang w:eastAsia="en-GB"/>
        </w:rPr>
        <w:t xml:space="preserve">domestic </w:t>
      </w:r>
      <w:r w:rsidR="00380F95" w:rsidRPr="00FE2B98">
        <w:rPr>
          <w:rFonts w:asciiTheme="majorBidi" w:hAnsiTheme="majorBidi" w:cstheme="majorBidi"/>
          <w:sz w:val="24"/>
          <w:szCs w:val="24"/>
          <w:lang w:eastAsia="en-GB"/>
        </w:rPr>
        <w:t xml:space="preserve">contexts actually put </w:t>
      </w:r>
      <w:r w:rsidR="00403A5D" w:rsidRPr="00FE2B98">
        <w:rPr>
          <w:rFonts w:asciiTheme="majorBidi" w:hAnsiTheme="majorBidi" w:cstheme="majorBidi"/>
          <w:sz w:val="24"/>
          <w:szCs w:val="24"/>
          <w:lang w:eastAsia="en-GB"/>
        </w:rPr>
        <w:t>women</w:t>
      </w:r>
      <w:r w:rsidR="00403A5D">
        <w:rPr>
          <w:rFonts w:asciiTheme="majorBidi" w:hAnsiTheme="majorBidi" w:cstheme="majorBidi"/>
          <w:sz w:val="24"/>
          <w:szCs w:val="24"/>
          <w:lang w:eastAsia="en-GB"/>
        </w:rPr>
        <w:t xml:space="preserve"> and lesbian, gay, bisexual, trans and gender diverse persons at </w:t>
      </w:r>
      <w:r w:rsidR="00380F95" w:rsidRPr="00FE2B98">
        <w:rPr>
          <w:rFonts w:asciiTheme="majorBidi" w:hAnsiTheme="majorBidi" w:cstheme="majorBidi"/>
          <w:sz w:val="24"/>
          <w:szCs w:val="24"/>
          <w:lang w:eastAsia="en-GB"/>
        </w:rPr>
        <w:t xml:space="preserve">more risk of custodial violence by the state. </w:t>
      </w:r>
      <w:r>
        <w:rPr>
          <w:rFonts w:asciiTheme="majorBidi" w:hAnsiTheme="majorBidi" w:cstheme="majorBidi"/>
          <w:sz w:val="24"/>
          <w:szCs w:val="24"/>
          <w:lang w:eastAsia="en-GB"/>
        </w:rPr>
        <w:t>I</w:t>
      </w:r>
      <w:r w:rsidR="009338F1" w:rsidRPr="00403A5D">
        <w:rPr>
          <w:rFonts w:asciiTheme="majorBidi" w:hAnsiTheme="majorBidi" w:cstheme="majorBidi"/>
          <w:sz w:val="24"/>
          <w:szCs w:val="24"/>
        </w:rPr>
        <w:t xml:space="preserve">n many jurisdictions, the criminalization of abortion, “moral crimes” like adultery and extramarital relationships, witchcraft and sorcery, </w:t>
      </w:r>
      <w:r w:rsidR="00656CAA">
        <w:rPr>
          <w:rFonts w:asciiTheme="majorBidi" w:hAnsiTheme="majorBidi" w:cstheme="majorBidi"/>
          <w:sz w:val="24"/>
          <w:szCs w:val="24"/>
        </w:rPr>
        <w:t>laws criminalizing</w:t>
      </w:r>
      <w:r w:rsidR="008D08B3">
        <w:rPr>
          <w:rFonts w:asciiTheme="majorBidi" w:hAnsiTheme="majorBidi" w:cstheme="majorBidi"/>
          <w:sz w:val="24"/>
          <w:szCs w:val="24"/>
        </w:rPr>
        <w:t xml:space="preserve"> consensual</w:t>
      </w:r>
      <w:r w:rsidR="00656CAA">
        <w:rPr>
          <w:rFonts w:asciiTheme="majorBidi" w:hAnsiTheme="majorBidi" w:cstheme="majorBidi"/>
          <w:sz w:val="24"/>
          <w:szCs w:val="24"/>
        </w:rPr>
        <w:t xml:space="preserve"> same</w:t>
      </w:r>
      <w:r w:rsidR="008D08B3">
        <w:rPr>
          <w:rFonts w:asciiTheme="majorBidi" w:hAnsiTheme="majorBidi" w:cstheme="majorBidi"/>
          <w:sz w:val="24"/>
          <w:szCs w:val="24"/>
        </w:rPr>
        <w:t>-</w:t>
      </w:r>
      <w:r w:rsidR="00656CAA">
        <w:rPr>
          <w:rFonts w:asciiTheme="majorBidi" w:hAnsiTheme="majorBidi" w:cstheme="majorBidi"/>
          <w:sz w:val="24"/>
          <w:szCs w:val="24"/>
        </w:rPr>
        <w:t xml:space="preserve">sex </w:t>
      </w:r>
      <w:r w:rsidR="00656CAA" w:rsidRPr="008D08B3">
        <w:rPr>
          <w:rFonts w:asciiTheme="majorBidi" w:hAnsiTheme="majorBidi" w:cstheme="majorBidi"/>
          <w:sz w:val="24"/>
          <w:szCs w:val="24"/>
        </w:rPr>
        <w:t>relations</w:t>
      </w:r>
      <w:r w:rsidR="008D08B3" w:rsidRPr="008D08B3">
        <w:rPr>
          <w:rFonts w:asciiTheme="majorBidi" w:hAnsiTheme="majorBidi" w:cstheme="majorBidi"/>
          <w:sz w:val="24"/>
          <w:szCs w:val="24"/>
        </w:rPr>
        <w:t xml:space="preserve"> between</w:t>
      </w:r>
      <w:r w:rsidR="00756853">
        <w:rPr>
          <w:rFonts w:asciiTheme="majorBidi" w:hAnsiTheme="majorBidi" w:cstheme="majorBidi"/>
          <w:sz w:val="24"/>
          <w:szCs w:val="24"/>
        </w:rPr>
        <w:t xml:space="preserve"> adults</w:t>
      </w:r>
      <w:r w:rsidR="00656CAA" w:rsidRPr="008D08B3">
        <w:rPr>
          <w:rFonts w:asciiTheme="majorBidi" w:hAnsiTheme="majorBidi" w:cstheme="majorBidi"/>
          <w:sz w:val="24"/>
          <w:szCs w:val="24"/>
        </w:rPr>
        <w:t xml:space="preserve">, </w:t>
      </w:r>
      <w:r w:rsidR="008D08B3" w:rsidRPr="008D08B3">
        <w:rPr>
          <w:sz w:val="24"/>
          <w:szCs w:val="24"/>
        </w:rPr>
        <w:t>prohibitions on cross-dressing</w:t>
      </w:r>
      <w:r w:rsidR="00756853">
        <w:rPr>
          <w:sz w:val="24"/>
          <w:szCs w:val="24"/>
        </w:rPr>
        <w:t xml:space="preserve"> or “imitating the opposite sex”,</w:t>
      </w:r>
      <w:r w:rsidR="008D08B3" w:rsidRPr="008D08B3">
        <w:rPr>
          <w:sz w:val="24"/>
          <w:szCs w:val="24"/>
        </w:rPr>
        <w:t xml:space="preserve"> and police identity control laws</w:t>
      </w:r>
      <w:r w:rsidR="00756853">
        <w:rPr>
          <w:rFonts w:asciiTheme="majorBidi" w:hAnsiTheme="majorBidi" w:cstheme="majorBidi"/>
          <w:sz w:val="24"/>
          <w:szCs w:val="24"/>
        </w:rPr>
        <w:t xml:space="preserve"> </w:t>
      </w:r>
      <w:r w:rsidR="00656CAA">
        <w:rPr>
          <w:rFonts w:asciiTheme="majorBidi" w:hAnsiTheme="majorBidi" w:cstheme="majorBidi"/>
          <w:sz w:val="24"/>
          <w:szCs w:val="24"/>
        </w:rPr>
        <w:t xml:space="preserve">are </w:t>
      </w:r>
      <w:r w:rsidR="009338F1" w:rsidRPr="00403A5D">
        <w:rPr>
          <w:rFonts w:asciiTheme="majorBidi" w:hAnsiTheme="majorBidi" w:cstheme="majorBidi"/>
          <w:sz w:val="24"/>
          <w:szCs w:val="24"/>
        </w:rPr>
        <w:t>offences that are aimed at or that solely and disproportionately affect women</w:t>
      </w:r>
      <w:r w:rsidR="00756853">
        <w:rPr>
          <w:rFonts w:asciiTheme="majorBidi" w:hAnsiTheme="majorBidi" w:cstheme="majorBidi"/>
          <w:sz w:val="24"/>
          <w:szCs w:val="24"/>
        </w:rPr>
        <w:t xml:space="preserve">, lesbian, gay, bisexual, trans and gender diverse </w:t>
      </w:r>
      <w:r w:rsidR="009338F1" w:rsidRPr="00403A5D">
        <w:rPr>
          <w:rFonts w:asciiTheme="majorBidi" w:hAnsiTheme="majorBidi" w:cstheme="majorBidi"/>
          <w:sz w:val="24"/>
          <w:szCs w:val="24"/>
        </w:rPr>
        <w:t>person</w:t>
      </w:r>
      <w:r w:rsidR="00756853">
        <w:rPr>
          <w:rFonts w:asciiTheme="majorBidi" w:hAnsiTheme="majorBidi" w:cstheme="majorBidi"/>
          <w:sz w:val="24"/>
          <w:szCs w:val="24"/>
        </w:rPr>
        <w:t>s</w:t>
      </w:r>
      <w:r w:rsidR="009338F1" w:rsidRPr="00403A5D">
        <w:rPr>
          <w:rFonts w:asciiTheme="majorBidi" w:hAnsiTheme="majorBidi" w:cstheme="majorBidi"/>
          <w:sz w:val="24"/>
          <w:szCs w:val="24"/>
        </w:rPr>
        <w:t>.</w:t>
      </w:r>
      <w:r w:rsidR="009338F1" w:rsidRPr="00FE2B98">
        <w:rPr>
          <w:rStyle w:val="FootnoteReference"/>
          <w:rFonts w:asciiTheme="majorBidi" w:hAnsiTheme="majorBidi" w:cstheme="majorBidi"/>
          <w:sz w:val="24"/>
          <w:szCs w:val="24"/>
        </w:rPr>
        <w:footnoteReference w:id="30"/>
      </w:r>
      <w:r w:rsidR="00756853">
        <w:rPr>
          <w:rFonts w:asciiTheme="majorBidi" w:hAnsiTheme="majorBidi" w:cstheme="majorBidi"/>
          <w:sz w:val="24"/>
          <w:szCs w:val="24"/>
          <w:lang w:eastAsia="en-GB"/>
        </w:rPr>
        <w:t xml:space="preserve"> </w:t>
      </w:r>
    </w:p>
    <w:p w14:paraId="42A6E230" w14:textId="77777777" w:rsidR="009F00AF" w:rsidRPr="00FE2B98" w:rsidRDefault="009F00AF" w:rsidP="009F00AF">
      <w:pPr>
        <w:pStyle w:val="ListParagraph"/>
        <w:shd w:val="clear" w:color="auto" w:fill="FFFFFF"/>
        <w:spacing w:line="259" w:lineRule="auto"/>
        <w:ind w:left="360"/>
        <w:jc w:val="both"/>
        <w:outlineLvl w:val="2"/>
        <w:rPr>
          <w:rFonts w:asciiTheme="majorBidi" w:hAnsiTheme="majorBidi" w:cstheme="majorBidi"/>
          <w:color w:val="000000"/>
          <w:sz w:val="24"/>
          <w:szCs w:val="24"/>
          <w:lang w:eastAsia="en-GB"/>
        </w:rPr>
      </w:pPr>
    </w:p>
    <w:p w14:paraId="17403491" w14:textId="7DDC0FEA" w:rsidR="009F00AF" w:rsidRPr="00FE2B98" w:rsidRDefault="009F00AF" w:rsidP="00A266E9">
      <w:pPr>
        <w:pStyle w:val="ListParagraph"/>
        <w:numPr>
          <w:ilvl w:val="0"/>
          <w:numId w:val="2"/>
        </w:numPr>
        <w:shd w:val="clear" w:color="auto" w:fill="FFFFFF"/>
        <w:spacing w:line="259" w:lineRule="auto"/>
        <w:jc w:val="both"/>
        <w:outlineLvl w:val="2"/>
        <w:rPr>
          <w:rFonts w:asciiTheme="majorBidi" w:hAnsiTheme="majorBidi" w:cstheme="majorBidi"/>
          <w:color w:val="000000"/>
          <w:sz w:val="24"/>
          <w:szCs w:val="24"/>
          <w:u w:val="single"/>
          <w:lang w:eastAsia="en-GB"/>
        </w:rPr>
      </w:pPr>
      <w:r w:rsidRPr="00FE2B98">
        <w:rPr>
          <w:rFonts w:asciiTheme="majorBidi" w:hAnsiTheme="majorBidi" w:cstheme="majorBidi"/>
          <w:color w:val="000000"/>
          <w:sz w:val="24"/>
          <w:szCs w:val="24"/>
          <w:u w:val="single"/>
          <w:lang w:eastAsia="en-GB"/>
        </w:rPr>
        <w:t>Please share examples of the types of structural and institutional violence with origins within the State, (</w:t>
      </w:r>
      <w:r w:rsidRPr="00FE2B98">
        <w:rPr>
          <w:rFonts w:asciiTheme="majorBidi" w:hAnsiTheme="majorBidi" w:cstheme="majorBidi"/>
          <w:color w:val="000000"/>
          <w:sz w:val="24"/>
          <w:szCs w:val="24"/>
          <w:u w:val="single"/>
          <w:shd w:val="clear" w:color="auto" w:fill="FFFFFF"/>
          <w:lang w:val="en-ZA" w:eastAsia="en-GB"/>
        </w:rPr>
        <w:t>perpetrated or condoned by the State)</w:t>
      </w:r>
      <w:r w:rsidRPr="00FE2B98">
        <w:rPr>
          <w:rFonts w:asciiTheme="majorBidi" w:hAnsiTheme="majorBidi" w:cstheme="majorBidi"/>
          <w:sz w:val="24"/>
          <w:szCs w:val="24"/>
          <w:u w:val="single"/>
          <w:lang w:val="en-ZA" w:eastAsia="en-GB"/>
        </w:rPr>
        <w:t xml:space="preserve"> or </w:t>
      </w:r>
      <w:r w:rsidRPr="00FE2B98">
        <w:rPr>
          <w:rFonts w:asciiTheme="majorBidi" w:hAnsiTheme="majorBidi" w:cstheme="majorBidi"/>
          <w:color w:val="000000"/>
          <w:sz w:val="24"/>
          <w:szCs w:val="24"/>
          <w:u w:val="single"/>
          <w:shd w:val="clear" w:color="auto" w:fill="FFFFFF"/>
          <w:lang w:val="en-ZA" w:eastAsia="en-GB"/>
        </w:rPr>
        <w:t xml:space="preserve">perpetrated by those not representing or affiliated to the state </w:t>
      </w:r>
      <w:r w:rsidRPr="00FE2B98">
        <w:rPr>
          <w:rFonts w:asciiTheme="majorBidi" w:hAnsiTheme="majorBidi" w:cstheme="majorBidi"/>
          <w:color w:val="000000"/>
          <w:sz w:val="24"/>
          <w:szCs w:val="24"/>
          <w:u w:val="single"/>
          <w:lang w:eastAsia="en-GB"/>
        </w:rPr>
        <w:t xml:space="preserve">in your country/ies of region, and who is affected. In particular, describe structural/institutional violence in medical settings against women and girls, LGBTI persons and persons with disabilities or any other individuals or groups relevant in your country/ies or regions.  </w:t>
      </w:r>
    </w:p>
    <w:p w14:paraId="4C777983" w14:textId="1E7D7FF1" w:rsidR="00567379" w:rsidRPr="00FE2B98" w:rsidRDefault="00567379" w:rsidP="00567379">
      <w:pPr>
        <w:autoSpaceDE w:val="0"/>
        <w:autoSpaceDN w:val="0"/>
        <w:adjustRightInd w:val="0"/>
        <w:rPr>
          <w:rFonts w:asciiTheme="majorBidi" w:hAnsiTheme="majorBidi" w:cstheme="majorBidi"/>
          <w:sz w:val="24"/>
          <w:szCs w:val="24"/>
        </w:rPr>
      </w:pPr>
    </w:p>
    <w:p w14:paraId="2D822CF6" w14:textId="77777777" w:rsidR="00510EC2" w:rsidRDefault="00510EC2" w:rsidP="00510EC2">
      <w:pPr>
        <w:autoSpaceDE w:val="0"/>
        <w:autoSpaceDN w:val="0"/>
        <w:adjustRightInd w:val="0"/>
        <w:rPr>
          <w:rFonts w:asciiTheme="majorBidi" w:hAnsiTheme="majorBidi" w:cstheme="majorBidi"/>
          <w:sz w:val="24"/>
          <w:szCs w:val="24"/>
        </w:rPr>
      </w:pPr>
      <w:r>
        <w:rPr>
          <w:rFonts w:asciiTheme="majorBidi" w:hAnsiTheme="majorBidi" w:cstheme="majorBidi"/>
          <w:i/>
          <w:iCs/>
          <w:sz w:val="24"/>
          <w:szCs w:val="24"/>
        </w:rPr>
        <w:t>Custodial environments systemically fail to provide adequate and gendered health care</w:t>
      </w:r>
    </w:p>
    <w:p w14:paraId="7603B334" w14:textId="77777777" w:rsidR="00510EC2" w:rsidRPr="0019627D" w:rsidRDefault="00510EC2" w:rsidP="00510EC2">
      <w:pPr>
        <w:autoSpaceDE w:val="0"/>
        <w:autoSpaceDN w:val="0"/>
        <w:adjustRightInd w:val="0"/>
        <w:rPr>
          <w:rFonts w:asciiTheme="majorBidi" w:hAnsiTheme="majorBidi" w:cstheme="majorBidi"/>
          <w:sz w:val="24"/>
          <w:szCs w:val="24"/>
        </w:rPr>
      </w:pPr>
    </w:p>
    <w:p w14:paraId="06FEC9EE" w14:textId="1EF66027" w:rsidR="00510EC2" w:rsidRPr="002E0F06" w:rsidRDefault="00510EC2" w:rsidP="00510EC2">
      <w:pPr>
        <w:shd w:val="clear" w:color="auto" w:fill="FFFFFF"/>
        <w:spacing w:line="259" w:lineRule="auto"/>
        <w:outlineLvl w:val="2"/>
        <w:rPr>
          <w:rFonts w:asciiTheme="majorBidi" w:hAnsiTheme="majorBidi" w:cstheme="majorBidi"/>
          <w:sz w:val="24"/>
          <w:szCs w:val="24"/>
        </w:rPr>
      </w:pPr>
      <w:r w:rsidRPr="00FE2B98">
        <w:rPr>
          <w:rFonts w:asciiTheme="majorBidi" w:hAnsiTheme="majorBidi" w:cstheme="majorBidi"/>
          <w:sz w:val="24"/>
          <w:szCs w:val="24"/>
        </w:rPr>
        <w:t xml:space="preserve">States regularly fail to tailor </w:t>
      </w:r>
      <w:r>
        <w:rPr>
          <w:rFonts w:asciiTheme="majorBidi" w:hAnsiTheme="majorBidi" w:cstheme="majorBidi"/>
          <w:sz w:val="24"/>
          <w:szCs w:val="24"/>
        </w:rPr>
        <w:t>health</w:t>
      </w:r>
      <w:r w:rsidRPr="00FE2B98">
        <w:rPr>
          <w:rFonts w:asciiTheme="majorBidi" w:hAnsiTheme="majorBidi" w:cstheme="majorBidi"/>
          <w:sz w:val="24"/>
          <w:szCs w:val="24"/>
        </w:rPr>
        <w:t xml:space="preserve"> care</w:t>
      </w:r>
      <w:r>
        <w:rPr>
          <w:rFonts w:asciiTheme="majorBidi" w:hAnsiTheme="majorBidi" w:cstheme="majorBidi"/>
          <w:sz w:val="24"/>
          <w:szCs w:val="24"/>
        </w:rPr>
        <w:t xml:space="preserve"> in custodial settings</w:t>
      </w:r>
      <w:r w:rsidRPr="00FE2B98">
        <w:rPr>
          <w:rFonts w:asciiTheme="majorBidi" w:hAnsiTheme="majorBidi" w:cstheme="majorBidi"/>
          <w:sz w:val="24"/>
          <w:szCs w:val="24"/>
        </w:rPr>
        <w:t xml:space="preserve"> to </w:t>
      </w:r>
      <w:r>
        <w:rPr>
          <w:rFonts w:asciiTheme="majorBidi" w:hAnsiTheme="majorBidi" w:cstheme="majorBidi"/>
          <w:sz w:val="24"/>
          <w:szCs w:val="24"/>
        </w:rPr>
        <w:t>detainees</w:t>
      </w:r>
      <w:r w:rsidR="009D555E">
        <w:rPr>
          <w:rFonts w:asciiTheme="majorBidi" w:hAnsiTheme="majorBidi" w:cstheme="majorBidi"/>
          <w:sz w:val="24"/>
          <w:szCs w:val="24"/>
        </w:rPr>
        <w:t>’</w:t>
      </w:r>
      <w:r>
        <w:rPr>
          <w:rFonts w:asciiTheme="majorBidi" w:hAnsiTheme="majorBidi" w:cstheme="majorBidi"/>
          <w:sz w:val="24"/>
          <w:szCs w:val="24"/>
        </w:rPr>
        <w:t xml:space="preserve"> gendered needs</w:t>
      </w:r>
      <w:r w:rsidRPr="00FE2B98">
        <w:rPr>
          <w:rFonts w:asciiTheme="majorBidi" w:hAnsiTheme="majorBidi" w:cstheme="majorBidi"/>
          <w:sz w:val="24"/>
          <w:szCs w:val="24"/>
        </w:rPr>
        <w:t>.</w:t>
      </w:r>
      <w:r w:rsidRPr="00FE2B98">
        <w:rPr>
          <w:rStyle w:val="FootnoteReference"/>
          <w:rFonts w:asciiTheme="majorBidi" w:hAnsiTheme="majorBidi" w:cstheme="majorBidi"/>
          <w:sz w:val="24"/>
          <w:szCs w:val="24"/>
        </w:rPr>
        <w:footnoteReference w:id="31"/>
      </w:r>
      <w:r w:rsidRPr="00FE2B98">
        <w:rPr>
          <w:rFonts w:asciiTheme="majorBidi" w:hAnsiTheme="majorBidi" w:cstheme="majorBidi"/>
          <w:sz w:val="24"/>
          <w:szCs w:val="24"/>
        </w:rPr>
        <w:t xml:space="preserve"> Of particular concern are</w:t>
      </w:r>
      <w:r>
        <w:rPr>
          <w:rFonts w:asciiTheme="majorBidi" w:hAnsiTheme="majorBidi" w:cstheme="majorBidi"/>
          <w:sz w:val="24"/>
          <w:szCs w:val="24"/>
        </w:rPr>
        <w:t>:</w:t>
      </w:r>
      <w:r w:rsidRPr="00FE2B98">
        <w:rPr>
          <w:rFonts w:asciiTheme="majorBidi" w:hAnsiTheme="majorBidi" w:cstheme="majorBidi"/>
          <w:sz w:val="24"/>
          <w:szCs w:val="24"/>
        </w:rPr>
        <w:t xml:space="preserve"> a lack of specialist care; </w:t>
      </w:r>
      <w:r>
        <w:rPr>
          <w:rFonts w:asciiTheme="majorBidi" w:hAnsiTheme="majorBidi" w:cstheme="majorBidi"/>
          <w:sz w:val="24"/>
          <w:szCs w:val="24"/>
        </w:rPr>
        <w:t>lack</w:t>
      </w:r>
      <w:r w:rsidRPr="00FE2B98">
        <w:rPr>
          <w:rFonts w:asciiTheme="majorBidi" w:hAnsiTheme="majorBidi" w:cstheme="majorBidi"/>
          <w:sz w:val="24"/>
          <w:szCs w:val="24"/>
        </w:rPr>
        <w:t xml:space="preserve"> access to </w:t>
      </w:r>
      <w:r>
        <w:rPr>
          <w:rFonts w:asciiTheme="majorBidi" w:hAnsiTheme="majorBidi" w:cstheme="majorBidi"/>
          <w:sz w:val="24"/>
          <w:szCs w:val="24"/>
        </w:rPr>
        <w:t>mental health, addiction,</w:t>
      </w:r>
      <w:r w:rsidRPr="00FE2B98">
        <w:rPr>
          <w:rFonts w:asciiTheme="majorBidi" w:hAnsiTheme="majorBidi" w:cstheme="majorBidi"/>
          <w:sz w:val="24"/>
          <w:szCs w:val="24"/>
        </w:rPr>
        <w:t xml:space="preserve"> harm-reduction </w:t>
      </w:r>
      <w:r>
        <w:rPr>
          <w:rFonts w:asciiTheme="majorBidi" w:hAnsiTheme="majorBidi" w:cstheme="majorBidi"/>
          <w:sz w:val="24"/>
          <w:szCs w:val="24"/>
        </w:rPr>
        <w:t xml:space="preserve">and suicide prevention </w:t>
      </w:r>
      <w:r w:rsidRPr="00FE2B98">
        <w:rPr>
          <w:rFonts w:asciiTheme="majorBidi" w:hAnsiTheme="majorBidi" w:cstheme="majorBidi"/>
          <w:sz w:val="24"/>
          <w:szCs w:val="24"/>
        </w:rPr>
        <w:t>programmes; lack of private spaces for examinations; failures in diagnosis</w:t>
      </w:r>
      <w:r>
        <w:rPr>
          <w:rFonts w:asciiTheme="majorBidi" w:hAnsiTheme="majorBidi" w:cstheme="majorBidi"/>
          <w:sz w:val="24"/>
          <w:szCs w:val="24"/>
        </w:rPr>
        <w:t xml:space="preserve">; </w:t>
      </w:r>
      <w:r w:rsidRPr="00FE2B98">
        <w:rPr>
          <w:rFonts w:asciiTheme="majorBidi" w:hAnsiTheme="majorBidi" w:cstheme="majorBidi"/>
          <w:sz w:val="24"/>
          <w:szCs w:val="24"/>
        </w:rPr>
        <w:t>medical neglect; and reportedly higher rates of disease among female detainees.</w:t>
      </w:r>
      <w:r w:rsidRPr="00FE2B98">
        <w:rPr>
          <w:rStyle w:val="FootnoteReference"/>
          <w:rFonts w:asciiTheme="majorBidi" w:hAnsiTheme="majorBidi" w:cstheme="majorBidi"/>
          <w:sz w:val="24"/>
          <w:szCs w:val="24"/>
        </w:rPr>
        <w:footnoteReference w:id="32"/>
      </w:r>
      <w:r>
        <w:rPr>
          <w:rFonts w:asciiTheme="majorBidi" w:hAnsiTheme="majorBidi" w:cstheme="majorBidi"/>
          <w:sz w:val="24"/>
          <w:szCs w:val="24"/>
        </w:rPr>
        <w:t xml:space="preserve"> L</w:t>
      </w:r>
      <w:r w:rsidRPr="00FE2B98">
        <w:rPr>
          <w:rFonts w:asciiTheme="majorBidi" w:hAnsiTheme="majorBidi" w:cstheme="majorBidi"/>
          <w:sz w:val="24"/>
          <w:szCs w:val="24"/>
          <w:lang w:val="en-US"/>
        </w:rPr>
        <w:t>esbian, gay, bisexual, trans</w:t>
      </w:r>
      <w:r>
        <w:rPr>
          <w:rFonts w:asciiTheme="majorBidi" w:hAnsiTheme="majorBidi" w:cstheme="majorBidi"/>
          <w:sz w:val="24"/>
          <w:szCs w:val="24"/>
          <w:lang w:val="en-US"/>
        </w:rPr>
        <w:t xml:space="preserve"> and gender diverse persons</w:t>
      </w:r>
      <w:r w:rsidRPr="00FE2B98">
        <w:rPr>
          <w:rFonts w:asciiTheme="majorBidi" w:hAnsiTheme="majorBidi" w:cstheme="majorBidi"/>
          <w:sz w:val="24"/>
          <w:szCs w:val="24"/>
          <w:lang w:val="en-US"/>
        </w:rPr>
        <w:t xml:space="preserve"> </w:t>
      </w:r>
      <w:r>
        <w:rPr>
          <w:rFonts w:asciiTheme="majorBidi" w:hAnsiTheme="majorBidi" w:cstheme="majorBidi"/>
          <w:sz w:val="24"/>
          <w:szCs w:val="24"/>
          <w:lang w:val="en-US"/>
        </w:rPr>
        <w:t>face additional risks of being</w:t>
      </w:r>
      <w:r w:rsidRPr="00FE2B98">
        <w:rPr>
          <w:rFonts w:asciiTheme="majorBidi" w:hAnsiTheme="majorBidi" w:cstheme="majorBidi"/>
          <w:sz w:val="24"/>
          <w:szCs w:val="24"/>
          <w:lang w:val="en-US"/>
        </w:rPr>
        <w:t xml:space="preserve"> denied</w:t>
      </w:r>
      <w:r>
        <w:rPr>
          <w:rFonts w:asciiTheme="majorBidi" w:hAnsiTheme="majorBidi" w:cstheme="majorBidi"/>
          <w:sz w:val="24"/>
          <w:szCs w:val="24"/>
          <w:lang w:val="en-US"/>
        </w:rPr>
        <w:t xml:space="preserve"> services, </w:t>
      </w:r>
      <w:r w:rsidRPr="00FE2B98">
        <w:rPr>
          <w:rFonts w:asciiTheme="majorBidi" w:hAnsiTheme="majorBidi" w:cstheme="majorBidi"/>
          <w:sz w:val="24"/>
          <w:szCs w:val="24"/>
          <w:lang w:val="en-US"/>
        </w:rPr>
        <w:t>verbal abuse</w:t>
      </w:r>
      <w:r>
        <w:rPr>
          <w:rFonts w:asciiTheme="majorBidi" w:hAnsiTheme="majorBidi" w:cstheme="majorBidi"/>
          <w:sz w:val="24"/>
          <w:szCs w:val="24"/>
          <w:lang w:val="en-US"/>
        </w:rPr>
        <w:t xml:space="preserve">, </w:t>
      </w:r>
      <w:r w:rsidRPr="00FE2B98">
        <w:rPr>
          <w:rFonts w:asciiTheme="majorBidi" w:hAnsiTheme="majorBidi" w:cstheme="majorBidi"/>
          <w:sz w:val="24"/>
          <w:szCs w:val="24"/>
          <w:lang w:val="en-US"/>
        </w:rPr>
        <w:t>public humiliation, psychiatric evaluations,</w:t>
      </w:r>
      <w:r>
        <w:rPr>
          <w:rFonts w:asciiTheme="majorBidi" w:hAnsiTheme="majorBidi" w:cstheme="majorBidi"/>
          <w:sz w:val="24"/>
          <w:szCs w:val="24"/>
          <w:lang w:val="en-US"/>
        </w:rPr>
        <w:t xml:space="preserve"> and</w:t>
      </w:r>
      <w:r w:rsidRPr="00FE2B98">
        <w:rPr>
          <w:rFonts w:asciiTheme="majorBidi" w:hAnsiTheme="majorBidi" w:cstheme="majorBidi"/>
          <w:sz w:val="24"/>
          <w:szCs w:val="24"/>
          <w:lang w:val="en-US"/>
        </w:rPr>
        <w:t xml:space="preserve"> forced procedures</w:t>
      </w:r>
      <w:r>
        <w:rPr>
          <w:rStyle w:val="FootnoteReference"/>
          <w:rFonts w:asciiTheme="majorBidi" w:hAnsiTheme="majorBidi" w:cstheme="majorBidi"/>
          <w:sz w:val="24"/>
          <w:szCs w:val="24"/>
          <w:lang w:val="en-US"/>
        </w:rPr>
        <w:footnoteReference w:id="33"/>
      </w:r>
      <w:r w:rsidR="00956F56">
        <w:rPr>
          <w:rFonts w:asciiTheme="majorBidi" w:hAnsiTheme="majorBidi" w:cstheme="majorBidi"/>
          <w:sz w:val="24"/>
          <w:szCs w:val="24"/>
          <w:lang w:val="en-US"/>
        </w:rPr>
        <w:t xml:space="preserve"> that</w:t>
      </w:r>
      <w:r w:rsidRPr="00FE2B98">
        <w:rPr>
          <w:rFonts w:asciiTheme="majorBidi" w:hAnsiTheme="majorBidi" w:cstheme="majorBidi"/>
          <w:sz w:val="24"/>
          <w:szCs w:val="24"/>
          <w:lang w:val="en-US"/>
        </w:rPr>
        <w:t xml:space="preserve"> procedures are</w:t>
      </w:r>
      <w:r>
        <w:rPr>
          <w:rFonts w:asciiTheme="majorBidi" w:hAnsiTheme="majorBidi" w:cstheme="majorBidi"/>
          <w:sz w:val="24"/>
          <w:szCs w:val="24"/>
          <w:lang w:val="en-US"/>
        </w:rPr>
        <w:t xml:space="preserve"> not medically necessary and</w:t>
      </w:r>
      <w:r w:rsidRPr="00FE2B98">
        <w:rPr>
          <w:rFonts w:asciiTheme="majorBidi" w:hAnsiTheme="majorBidi" w:cstheme="majorBidi"/>
          <w:sz w:val="24"/>
          <w:szCs w:val="24"/>
          <w:lang w:val="en-US"/>
        </w:rPr>
        <w:t xml:space="preserve"> can amount to torture and ill-treatment</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34"/>
      </w:r>
    </w:p>
    <w:p w14:paraId="779562A2" w14:textId="77777777" w:rsidR="00510EC2" w:rsidRPr="00FE2B98" w:rsidRDefault="00510EC2" w:rsidP="00510EC2">
      <w:pPr>
        <w:shd w:val="clear" w:color="auto" w:fill="FFFFFF"/>
        <w:spacing w:line="259" w:lineRule="auto"/>
        <w:outlineLvl w:val="2"/>
        <w:rPr>
          <w:rFonts w:asciiTheme="majorBidi" w:hAnsiTheme="majorBidi" w:cstheme="majorBidi"/>
          <w:color w:val="000000"/>
          <w:sz w:val="24"/>
          <w:szCs w:val="24"/>
          <w:lang w:val="en-US" w:eastAsia="en-GB"/>
        </w:rPr>
      </w:pPr>
    </w:p>
    <w:p w14:paraId="38F5E361" w14:textId="77777777" w:rsidR="00510EC2" w:rsidRPr="002E0F06" w:rsidRDefault="00510EC2" w:rsidP="00510EC2">
      <w:pPr>
        <w:autoSpaceDE w:val="0"/>
        <w:autoSpaceDN w:val="0"/>
        <w:adjustRightInd w:val="0"/>
        <w:rPr>
          <w:rFonts w:asciiTheme="majorBidi" w:hAnsiTheme="majorBidi" w:cstheme="majorBidi"/>
          <w:i/>
          <w:iCs/>
          <w:sz w:val="24"/>
          <w:szCs w:val="24"/>
        </w:rPr>
      </w:pPr>
      <w:r w:rsidRPr="002E0F06">
        <w:rPr>
          <w:rFonts w:asciiTheme="majorBidi" w:hAnsiTheme="majorBidi" w:cstheme="majorBidi"/>
          <w:i/>
          <w:iCs/>
          <w:sz w:val="24"/>
          <w:szCs w:val="24"/>
        </w:rPr>
        <w:t xml:space="preserve">Custodial environments are venues for institutional gender-based violence </w:t>
      </w:r>
    </w:p>
    <w:p w14:paraId="4C20C3E6" w14:textId="77777777" w:rsidR="00510EC2" w:rsidRPr="00FE2B98" w:rsidRDefault="00510EC2" w:rsidP="00510EC2">
      <w:pPr>
        <w:autoSpaceDE w:val="0"/>
        <w:autoSpaceDN w:val="0"/>
        <w:adjustRightInd w:val="0"/>
        <w:rPr>
          <w:rFonts w:asciiTheme="majorBidi" w:hAnsiTheme="majorBidi" w:cstheme="majorBidi"/>
          <w:sz w:val="24"/>
          <w:szCs w:val="24"/>
        </w:rPr>
      </w:pPr>
    </w:p>
    <w:p w14:paraId="20082938" w14:textId="77777777" w:rsidR="00510EC2" w:rsidRPr="00FE2B98" w:rsidRDefault="00510EC2" w:rsidP="00510EC2">
      <w:pPr>
        <w:autoSpaceDE w:val="0"/>
        <w:autoSpaceDN w:val="0"/>
        <w:adjustRightInd w:val="0"/>
        <w:rPr>
          <w:rFonts w:asciiTheme="majorBidi" w:eastAsiaTheme="minorHAnsi" w:hAnsiTheme="majorBidi" w:cstheme="majorBidi"/>
          <w:sz w:val="24"/>
          <w:szCs w:val="24"/>
          <w:lang w:val="en-US"/>
        </w:rPr>
      </w:pPr>
      <w:r>
        <w:rPr>
          <w:rFonts w:asciiTheme="majorBidi" w:eastAsiaTheme="minorHAnsi" w:hAnsiTheme="majorBidi" w:cstheme="majorBidi"/>
          <w:sz w:val="24"/>
          <w:szCs w:val="24"/>
          <w:lang w:val="en-US"/>
        </w:rPr>
        <w:t xml:space="preserve">There are myriad forms of institutional violence occurring in custodial environments, including policies of neglect, sterilization, and force feeding. This submission will focus on three pervasive types of such violence that have particularly gendered elements: forced anal examinations, so-called “conversion therapy”, and virginity exams. </w:t>
      </w:r>
    </w:p>
    <w:p w14:paraId="74221AF0" w14:textId="77777777" w:rsidR="00510EC2" w:rsidRDefault="00510EC2" w:rsidP="00510EC2">
      <w:pPr>
        <w:rPr>
          <w:rFonts w:asciiTheme="majorBidi" w:eastAsiaTheme="minorHAnsi" w:hAnsiTheme="majorBidi" w:cstheme="majorBidi"/>
          <w:sz w:val="24"/>
          <w:szCs w:val="24"/>
          <w:lang w:val="en-US"/>
        </w:rPr>
      </w:pPr>
    </w:p>
    <w:p w14:paraId="5B7061F8" w14:textId="77777777" w:rsidR="00510EC2" w:rsidRPr="00312D60" w:rsidRDefault="00510EC2" w:rsidP="00510EC2">
      <w:pPr>
        <w:rPr>
          <w:rFonts w:asciiTheme="majorBidi" w:eastAsiaTheme="minorHAnsi" w:hAnsiTheme="majorBidi" w:cstheme="majorBidi"/>
          <w:sz w:val="24"/>
          <w:szCs w:val="24"/>
          <w:lang w:val="en-US"/>
        </w:rPr>
      </w:pPr>
      <w:r w:rsidRPr="00D44EAC">
        <w:rPr>
          <w:rFonts w:asciiTheme="majorBidi" w:eastAsiaTheme="minorHAnsi" w:hAnsiTheme="majorBidi" w:cstheme="majorBidi"/>
          <w:sz w:val="24"/>
          <w:szCs w:val="24"/>
          <w:lang w:val="en-US"/>
        </w:rPr>
        <w:t>Anal examinations are forcibly conducted in many countries where consensual anal intercourse is a criminal</w:t>
      </w:r>
      <w:r>
        <w:rPr>
          <w:rFonts w:asciiTheme="majorBidi" w:eastAsiaTheme="minorHAnsi" w:hAnsiTheme="majorBidi" w:cstheme="majorBidi"/>
          <w:sz w:val="24"/>
          <w:szCs w:val="24"/>
          <w:lang w:val="en-US"/>
        </w:rPr>
        <w:t xml:space="preserve"> act</w:t>
      </w:r>
      <w:r w:rsidRPr="00D44EAC">
        <w:rPr>
          <w:rFonts w:asciiTheme="majorBidi" w:eastAsiaTheme="minorHAnsi" w:hAnsiTheme="majorBidi" w:cstheme="majorBidi"/>
          <w:sz w:val="24"/>
          <w:szCs w:val="24"/>
          <w:lang w:val="en-US"/>
        </w:rPr>
        <w:t>.</w:t>
      </w:r>
      <w:r>
        <w:rPr>
          <w:rStyle w:val="FootnoteReference"/>
          <w:rFonts w:asciiTheme="majorBidi" w:eastAsiaTheme="minorHAnsi" w:hAnsiTheme="majorBidi" w:cstheme="majorBidi"/>
          <w:sz w:val="24"/>
          <w:szCs w:val="24"/>
          <w:lang w:val="en-US"/>
        </w:rPr>
        <w:footnoteReference w:id="35"/>
      </w:r>
      <w:r>
        <w:rPr>
          <w:rFonts w:asciiTheme="majorBidi" w:hAnsiTheme="majorBidi" w:cstheme="majorBidi"/>
          <w:sz w:val="24"/>
          <w:szCs w:val="24"/>
          <w:lang w:val="en-US"/>
        </w:rPr>
        <w:t xml:space="preserve"> </w:t>
      </w:r>
      <w:r>
        <w:rPr>
          <w:rFonts w:asciiTheme="majorBidi" w:eastAsiaTheme="minorHAnsi" w:hAnsiTheme="majorBidi" w:cstheme="majorBidi"/>
          <w:sz w:val="24"/>
          <w:szCs w:val="24"/>
          <w:lang w:val="en-US"/>
        </w:rPr>
        <w:t>U</w:t>
      </w:r>
      <w:r w:rsidRPr="00D44EAC">
        <w:rPr>
          <w:rFonts w:asciiTheme="majorBidi" w:eastAsiaTheme="minorHAnsi" w:hAnsiTheme="majorBidi" w:cstheme="majorBidi"/>
          <w:sz w:val="24"/>
          <w:szCs w:val="24"/>
          <w:lang w:val="en-US"/>
        </w:rPr>
        <w:t>sually initiated at the request of law enforcement officials, prosecutor</w:t>
      </w:r>
      <w:r>
        <w:rPr>
          <w:rFonts w:asciiTheme="majorBidi" w:eastAsiaTheme="minorHAnsi" w:hAnsiTheme="majorBidi" w:cstheme="majorBidi"/>
          <w:sz w:val="24"/>
          <w:szCs w:val="24"/>
          <w:lang w:val="en-US"/>
        </w:rPr>
        <w:t>s</w:t>
      </w:r>
      <w:r w:rsidRPr="00D44EAC">
        <w:rPr>
          <w:rFonts w:asciiTheme="majorBidi" w:eastAsiaTheme="minorHAnsi" w:hAnsiTheme="majorBidi" w:cstheme="majorBidi"/>
          <w:sz w:val="24"/>
          <w:szCs w:val="24"/>
          <w:lang w:val="en-US"/>
        </w:rPr>
        <w:t>, or court</w:t>
      </w:r>
      <w:r>
        <w:rPr>
          <w:rFonts w:asciiTheme="majorBidi" w:eastAsiaTheme="minorHAnsi" w:hAnsiTheme="majorBidi" w:cstheme="majorBidi"/>
          <w:sz w:val="24"/>
          <w:szCs w:val="24"/>
          <w:lang w:val="en-US"/>
        </w:rPr>
        <w:t>s</w:t>
      </w:r>
      <w:r w:rsidRPr="00D44EAC">
        <w:rPr>
          <w:rFonts w:asciiTheme="majorBidi" w:eastAsiaTheme="minorHAnsi" w:hAnsiTheme="majorBidi" w:cstheme="majorBidi"/>
          <w:sz w:val="24"/>
          <w:szCs w:val="24"/>
          <w:lang w:val="en-US"/>
        </w:rPr>
        <w:t xml:space="preserve"> and conducted </w:t>
      </w:r>
      <w:r>
        <w:rPr>
          <w:rFonts w:asciiTheme="majorBidi" w:eastAsiaTheme="minorHAnsi" w:hAnsiTheme="majorBidi" w:cstheme="majorBidi"/>
          <w:sz w:val="24"/>
          <w:szCs w:val="24"/>
          <w:lang w:val="en-US"/>
        </w:rPr>
        <w:t>forcefully,</w:t>
      </w:r>
      <w:r w:rsidRPr="00D44EAC">
        <w:rPr>
          <w:rFonts w:asciiTheme="majorBidi" w:eastAsiaTheme="minorHAnsi" w:hAnsiTheme="majorBidi" w:cstheme="majorBidi"/>
          <w:sz w:val="24"/>
          <w:szCs w:val="24"/>
          <w:lang w:val="en-US"/>
        </w:rPr>
        <w:t xml:space="preserve"> </w:t>
      </w:r>
      <w:r>
        <w:rPr>
          <w:rFonts w:asciiTheme="majorBidi" w:eastAsiaTheme="minorHAnsi" w:hAnsiTheme="majorBidi" w:cstheme="majorBidi"/>
          <w:sz w:val="24"/>
          <w:szCs w:val="24"/>
          <w:lang w:val="en-US"/>
        </w:rPr>
        <w:t>t</w:t>
      </w:r>
      <w:r w:rsidRPr="00E15470">
        <w:rPr>
          <w:rFonts w:asciiTheme="majorBidi" w:eastAsiaTheme="minorHAnsi" w:hAnsiTheme="majorBidi" w:cstheme="majorBidi"/>
          <w:sz w:val="24"/>
          <w:szCs w:val="24"/>
          <w:lang w:val="en-US"/>
        </w:rPr>
        <w:t xml:space="preserve">here </w:t>
      </w:r>
      <w:r>
        <w:rPr>
          <w:rFonts w:asciiTheme="majorBidi" w:eastAsiaTheme="minorHAnsi" w:hAnsiTheme="majorBidi" w:cstheme="majorBidi"/>
          <w:sz w:val="24"/>
          <w:szCs w:val="24"/>
          <w:lang w:val="en-US"/>
        </w:rPr>
        <w:t>is</w:t>
      </w:r>
      <w:r w:rsidRPr="00E15470">
        <w:rPr>
          <w:rFonts w:asciiTheme="majorBidi" w:eastAsiaTheme="minorHAnsi" w:hAnsiTheme="majorBidi" w:cstheme="majorBidi"/>
          <w:sz w:val="24"/>
          <w:szCs w:val="24"/>
          <w:lang w:val="en-US"/>
        </w:rPr>
        <w:t xml:space="preserve"> no scientific validity </w:t>
      </w:r>
      <w:r>
        <w:rPr>
          <w:rFonts w:asciiTheme="majorBidi" w:eastAsiaTheme="minorHAnsi" w:hAnsiTheme="majorBidi" w:cstheme="majorBidi"/>
          <w:sz w:val="24"/>
          <w:szCs w:val="24"/>
          <w:lang w:val="en-US"/>
        </w:rPr>
        <w:t>to</w:t>
      </w:r>
      <w:r w:rsidRPr="00E15470">
        <w:rPr>
          <w:rFonts w:asciiTheme="majorBidi" w:eastAsiaTheme="minorHAnsi" w:hAnsiTheme="majorBidi" w:cstheme="majorBidi"/>
          <w:sz w:val="24"/>
          <w:szCs w:val="24"/>
          <w:lang w:val="en-US"/>
        </w:rPr>
        <w:t xml:space="preserve"> </w:t>
      </w:r>
      <w:r>
        <w:rPr>
          <w:rFonts w:asciiTheme="majorBidi" w:eastAsiaTheme="minorHAnsi" w:hAnsiTheme="majorBidi" w:cstheme="majorBidi"/>
          <w:sz w:val="24"/>
          <w:szCs w:val="24"/>
          <w:lang w:val="en-US"/>
        </w:rPr>
        <w:t>these examinations</w:t>
      </w:r>
      <w:r w:rsidRPr="00E15470">
        <w:rPr>
          <w:rFonts w:asciiTheme="majorBidi" w:eastAsiaTheme="minorHAnsi" w:hAnsiTheme="majorBidi" w:cstheme="majorBidi"/>
          <w:sz w:val="24"/>
          <w:szCs w:val="24"/>
          <w:lang w:val="en-US"/>
        </w:rPr>
        <w:t>.</w:t>
      </w:r>
      <w:r>
        <w:rPr>
          <w:rStyle w:val="FootnoteReference"/>
          <w:rFonts w:asciiTheme="majorBidi" w:eastAsiaTheme="minorHAnsi" w:hAnsiTheme="majorBidi" w:cstheme="majorBidi"/>
          <w:sz w:val="24"/>
          <w:szCs w:val="24"/>
          <w:lang w:val="en-US"/>
        </w:rPr>
        <w:footnoteReference w:id="36"/>
      </w:r>
      <w:r w:rsidRPr="00E15470">
        <w:rPr>
          <w:rFonts w:asciiTheme="majorBidi" w:eastAsiaTheme="minorHAnsi" w:hAnsiTheme="majorBidi" w:cstheme="majorBidi"/>
          <w:sz w:val="24"/>
          <w:szCs w:val="24"/>
          <w:lang w:val="en-US"/>
        </w:rPr>
        <w:t xml:space="preserve"> The overall experience of being detained, charged with a crime, forced to undergo a painful, humiliating examination, and facing the possibility of being incarcerated for one’s private, consensual sexual conduct </w:t>
      </w:r>
      <w:r>
        <w:rPr>
          <w:rFonts w:asciiTheme="majorBidi" w:eastAsiaTheme="minorHAnsi" w:hAnsiTheme="majorBidi" w:cstheme="majorBidi"/>
          <w:sz w:val="24"/>
          <w:szCs w:val="24"/>
          <w:lang w:val="en-US"/>
        </w:rPr>
        <w:t xml:space="preserve">is </w:t>
      </w:r>
      <w:r w:rsidRPr="00E15470">
        <w:rPr>
          <w:rFonts w:asciiTheme="majorBidi" w:eastAsiaTheme="minorHAnsi" w:hAnsiTheme="majorBidi" w:cstheme="majorBidi"/>
          <w:sz w:val="24"/>
          <w:szCs w:val="24"/>
          <w:lang w:val="en-US"/>
        </w:rPr>
        <w:t>profound</w:t>
      </w:r>
      <w:r>
        <w:rPr>
          <w:rFonts w:asciiTheme="majorBidi" w:eastAsiaTheme="minorHAnsi" w:hAnsiTheme="majorBidi" w:cstheme="majorBidi"/>
          <w:sz w:val="24"/>
          <w:szCs w:val="24"/>
          <w:lang w:val="en-US"/>
        </w:rPr>
        <w:t>ly</w:t>
      </w:r>
      <w:r w:rsidRPr="00E15470">
        <w:rPr>
          <w:rFonts w:asciiTheme="majorBidi" w:eastAsiaTheme="minorHAnsi" w:hAnsiTheme="majorBidi" w:cstheme="majorBidi"/>
          <w:sz w:val="24"/>
          <w:szCs w:val="24"/>
          <w:lang w:val="en-US"/>
        </w:rPr>
        <w:t xml:space="preserve"> discriminat</w:t>
      </w:r>
      <w:r>
        <w:rPr>
          <w:rFonts w:asciiTheme="majorBidi" w:eastAsiaTheme="minorHAnsi" w:hAnsiTheme="majorBidi" w:cstheme="majorBidi"/>
          <w:sz w:val="24"/>
          <w:szCs w:val="24"/>
          <w:lang w:val="en-US"/>
        </w:rPr>
        <w:t>ory and</w:t>
      </w:r>
      <w:r w:rsidRPr="00E15470">
        <w:rPr>
          <w:rFonts w:asciiTheme="majorBidi" w:eastAsiaTheme="minorHAnsi" w:hAnsiTheme="majorBidi" w:cstheme="majorBidi"/>
          <w:sz w:val="24"/>
          <w:szCs w:val="24"/>
          <w:lang w:val="en-US"/>
        </w:rPr>
        <w:t xml:space="preserve"> can lead to depression, anxiety disorders, substance abuse, suicidal thoughts and attempts, and may also contribute to the symptoms of post-traumatic stress disorder.</w:t>
      </w:r>
      <w:r>
        <w:rPr>
          <w:rStyle w:val="FootnoteReference"/>
          <w:rFonts w:asciiTheme="majorBidi" w:eastAsiaTheme="minorHAnsi" w:hAnsiTheme="majorBidi" w:cstheme="majorBidi"/>
          <w:sz w:val="24"/>
          <w:szCs w:val="24"/>
          <w:lang w:val="en-US"/>
        </w:rPr>
        <w:footnoteReference w:id="37"/>
      </w:r>
    </w:p>
    <w:p w14:paraId="016B5FCF" w14:textId="77777777" w:rsidR="00510EC2" w:rsidRDefault="00510EC2" w:rsidP="00510EC2">
      <w:pPr>
        <w:rPr>
          <w:rFonts w:asciiTheme="majorBidi" w:eastAsiaTheme="minorHAnsi" w:hAnsiTheme="majorBidi" w:cstheme="majorBidi"/>
          <w:color w:val="000000"/>
          <w:sz w:val="24"/>
          <w:szCs w:val="24"/>
          <w:lang w:val="en-US"/>
        </w:rPr>
      </w:pPr>
    </w:p>
    <w:p w14:paraId="0F472D38" w14:textId="77777777" w:rsidR="00510EC2" w:rsidRPr="00524545" w:rsidRDefault="00510EC2" w:rsidP="00510EC2">
      <w:pPr>
        <w:rPr>
          <w:rFonts w:asciiTheme="majorBidi" w:hAnsiTheme="majorBidi" w:cstheme="majorBidi"/>
          <w:sz w:val="24"/>
          <w:szCs w:val="24"/>
          <w:lang w:val="en-US"/>
        </w:rPr>
      </w:pPr>
      <w:r w:rsidRPr="00312D60">
        <w:rPr>
          <w:rFonts w:asciiTheme="majorBidi" w:eastAsiaTheme="minorHAnsi" w:hAnsiTheme="majorBidi" w:cstheme="majorBidi"/>
          <w:color w:val="000000"/>
          <w:sz w:val="24"/>
          <w:szCs w:val="24"/>
          <w:lang w:val="en-US"/>
        </w:rPr>
        <w:t>So-</w:t>
      </w:r>
      <w:r>
        <w:rPr>
          <w:rFonts w:asciiTheme="majorBidi" w:eastAsiaTheme="minorHAnsi" w:hAnsiTheme="majorBidi" w:cstheme="majorBidi"/>
          <w:color w:val="000000"/>
          <w:sz w:val="24"/>
          <w:szCs w:val="24"/>
          <w:lang w:val="en-US"/>
        </w:rPr>
        <w:t>called c</w:t>
      </w:r>
      <w:r w:rsidRPr="00AC42E7">
        <w:rPr>
          <w:rFonts w:asciiTheme="majorBidi" w:hAnsiTheme="majorBidi" w:cstheme="majorBidi"/>
          <w:sz w:val="24"/>
          <w:szCs w:val="24"/>
        </w:rPr>
        <w:t>onversion therapy is undertaken both in contexts under state control, e.g., hospitals, schools, and juvenile detention facilities, as well as in private settings.</w:t>
      </w:r>
      <w:r w:rsidRPr="00FE2B98">
        <w:rPr>
          <w:rStyle w:val="FootnoteReference"/>
          <w:rFonts w:asciiTheme="majorBidi" w:eastAsiaTheme="minorHAnsi" w:hAnsiTheme="majorBidi" w:cstheme="majorBidi"/>
          <w:color w:val="000000"/>
          <w:sz w:val="24"/>
          <w:szCs w:val="24"/>
          <w:lang w:val="en-US"/>
        </w:rPr>
        <w:footnoteReference w:id="38"/>
      </w:r>
      <w:r w:rsidRPr="00AC42E7">
        <w:rPr>
          <w:rFonts w:asciiTheme="majorBidi" w:hAnsiTheme="majorBidi" w:cstheme="majorBidi"/>
          <w:sz w:val="24"/>
          <w:szCs w:val="24"/>
        </w:rPr>
        <w:t xml:space="preserve"> In some countries, </w:t>
      </w:r>
      <w:r>
        <w:rPr>
          <w:rFonts w:asciiTheme="majorBidi" w:hAnsiTheme="majorBidi" w:cstheme="majorBidi"/>
          <w:sz w:val="24"/>
          <w:szCs w:val="24"/>
        </w:rPr>
        <w:t xml:space="preserve">it </w:t>
      </w:r>
      <w:r w:rsidRPr="00AC42E7">
        <w:rPr>
          <w:rFonts w:asciiTheme="majorBidi" w:hAnsiTheme="majorBidi" w:cstheme="majorBidi"/>
          <w:sz w:val="24"/>
          <w:szCs w:val="24"/>
        </w:rPr>
        <w:t>is imposed by the orde</w:t>
      </w:r>
      <w:r>
        <w:rPr>
          <w:rFonts w:asciiTheme="majorBidi" w:hAnsiTheme="majorBidi" w:cstheme="majorBidi"/>
          <w:sz w:val="24"/>
          <w:szCs w:val="24"/>
        </w:rPr>
        <w:t>r</w:t>
      </w:r>
      <w:r w:rsidRPr="00AC42E7">
        <w:rPr>
          <w:rFonts w:asciiTheme="majorBidi" w:hAnsiTheme="majorBidi" w:cstheme="majorBidi"/>
          <w:sz w:val="24"/>
          <w:szCs w:val="24"/>
        </w:rPr>
        <w:t xml:space="preserve"> of public officials, judges, or the police.</w:t>
      </w:r>
      <w:r w:rsidRPr="00FE2B98">
        <w:rPr>
          <w:rStyle w:val="FootnoteReference"/>
          <w:rFonts w:asciiTheme="majorBidi" w:eastAsiaTheme="minorHAnsi" w:hAnsiTheme="majorBidi" w:cstheme="majorBidi"/>
          <w:color w:val="000000"/>
          <w:sz w:val="24"/>
          <w:szCs w:val="24"/>
          <w:lang w:val="en-US"/>
        </w:rPr>
        <w:footnoteReference w:id="39"/>
      </w:r>
      <w:r>
        <w:rPr>
          <w:rFonts w:asciiTheme="majorBidi" w:hAnsiTheme="majorBidi" w:cstheme="majorBidi"/>
          <w:sz w:val="24"/>
          <w:szCs w:val="24"/>
          <w:lang w:val="en-US"/>
        </w:rPr>
        <w:t xml:space="preserve"> </w:t>
      </w:r>
      <w:r w:rsidRPr="00AC42E7">
        <w:rPr>
          <w:rFonts w:asciiTheme="majorBidi" w:hAnsiTheme="majorBidi" w:cstheme="majorBidi"/>
          <w:sz w:val="24"/>
          <w:szCs w:val="24"/>
        </w:rPr>
        <w:t xml:space="preserve">The practice is ineffective, inherently repressive, and </w:t>
      </w:r>
      <w:r>
        <w:rPr>
          <w:rFonts w:asciiTheme="majorBidi" w:hAnsiTheme="majorBidi" w:cstheme="majorBidi"/>
          <w:sz w:val="24"/>
          <w:szCs w:val="24"/>
        </w:rPr>
        <w:t>not supported by</w:t>
      </w:r>
      <w:r w:rsidRPr="00AC42E7">
        <w:rPr>
          <w:rFonts w:asciiTheme="majorBidi" w:hAnsiTheme="majorBidi" w:cstheme="majorBidi"/>
          <w:sz w:val="24"/>
          <w:szCs w:val="24"/>
        </w:rPr>
        <w:t xml:space="preserve"> empirical evidence.</w:t>
      </w:r>
      <w:r w:rsidRPr="00FE2B98">
        <w:rPr>
          <w:rStyle w:val="FootnoteReference"/>
          <w:rFonts w:asciiTheme="majorBidi" w:eastAsiaTheme="minorHAnsi" w:hAnsiTheme="majorBidi" w:cstheme="majorBidi"/>
          <w:color w:val="000000"/>
          <w:sz w:val="24"/>
          <w:szCs w:val="24"/>
          <w:lang w:val="en-US"/>
        </w:rPr>
        <w:footnoteReference w:id="40"/>
      </w:r>
      <w:r w:rsidRPr="00AC42E7">
        <w:rPr>
          <w:rFonts w:asciiTheme="majorBidi" w:hAnsiTheme="majorBidi" w:cstheme="majorBidi"/>
          <w:sz w:val="24"/>
          <w:szCs w:val="24"/>
        </w:rPr>
        <w:t xml:space="preserve"> Many </w:t>
      </w:r>
      <w:r>
        <w:rPr>
          <w:rFonts w:asciiTheme="majorBidi" w:hAnsiTheme="majorBidi" w:cstheme="majorBidi"/>
          <w:sz w:val="24"/>
          <w:szCs w:val="24"/>
        </w:rPr>
        <w:t>“</w:t>
      </w:r>
      <w:r w:rsidRPr="00AC42E7">
        <w:rPr>
          <w:rFonts w:asciiTheme="majorBidi" w:hAnsiTheme="majorBidi" w:cstheme="majorBidi"/>
          <w:sz w:val="24"/>
          <w:szCs w:val="24"/>
        </w:rPr>
        <w:t>conversion therapy</w:t>
      </w:r>
      <w:r>
        <w:rPr>
          <w:rFonts w:asciiTheme="majorBidi" w:hAnsiTheme="majorBidi" w:cstheme="majorBidi"/>
          <w:sz w:val="24"/>
          <w:szCs w:val="24"/>
        </w:rPr>
        <w:t>”</w:t>
      </w:r>
      <w:r w:rsidRPr="00AC42E7">
        <w:rPr>
          <w:rFonts w:asciiTheme="majorBidi" w:hAnsiTheme="majorBidi" w:cstheme="majorBidi"/>
          <w:sz w:val="24"/>
          <w:szCs w:val="24"/>
        </w:rPr>
        <w:t xml:space="preserve"> practices bear similarity to acts that constitute torture or other cruel, inhuman, or degrading treatment or punishment</w:t>
      </w:r>
      <w:r>
        <w:rPr>
          <w:rFonts w:asciiTheme="majorBidi" w:hAnsiTheme="majorBidi" w:cstheme="majorBidi"/>
          <w:sz w:val="24"/>
          <w:szCs w:val="24"/>
        </w:rPr>
        <w:t>,</w:t>
      </w:r>
      <w:r w:rsidRPr="00AC42E7">
        <w:rPr>
          <w:rFonts w:asciiTheme="majorBidi" w:hAnsiTheme="majorBidi" w:cstheme="majorBidi"/>
          <w:sz w:val="24"/>
          <w:szCs w:val="24"/>
        </w:rPr>
        <w:t xml:space="preserve"> includ</w:t>
      </w:r>
      <w:r>
        <w:rPr>
          <w:rFonts w:asciiTheme="majorBidi" w:hAnsiTheme="majorBidi" w:cstheme="majorBidi"/>
          <w:sz w:val="24"/>
          <w:szCs w:val="24"/>
        </w:rPr>
        <w:t>ing</w:t>
      </w:r>
      <w:r w:rsidRPr="00AC42E7">
        <w:rPr>
          <w:rFonts w:asciiTheme="majorBidi" w:hAnsiTheme="majorBidi" w:cstheme="majorBidi"/>
          <w:sz w:val="24"/>
          <w:szCs w:val="24"/>
        </w:rPr>
        <w:t xml:space="preserve"> beatings, rape, forced nudity, isolation</w:t>
      </w:r>
      <w:r>
        <w:rPr>
          <w:rFonts w:asciiTheme="majorBidi" w:hAnsiTheme="majorBidi" w:cstheme="majorBidi"/>
          <w:sz w:val="24"/>
          <w:szCs w:val="24"/>
        </w:rPr>
        <w:t>,</w:t>
      </w:r>
      <w:r w:rsidRPr="00AC42E7">
        <w:rPr>
          <w:rFonts w:asciiTheme="majorBidi" w:hAnsiTheme="majorBidi" w:cstheme="majorBidi"/>
          <w:sz w:val="24"/>
          <w:szCs w:val="24"/>
        </w:rPr>
        <w:t xml:space="preserve"> confinement, deprivation of food, forced medication, verbal abuse, humiliation, and electrocution.</w:t>
      </w:r>
      <w:r w:rsidRPr="00FE2B98">
        <w:rPr>
          <w:rStyle w:val="FootnoteReference"/>
          <w:rFonts w:asciiTheme="majorBidi" w:eastAsiaTheme="minorHAnsi" w:hAnsiTheme="majorBidi" w:cstheme="majorBidi"/>
          <w:color w:val="000000"/>
          <w:sz w:val="24"/>
          <w:szCs w:val="24"/>
          <w:lang w:val="en-US"/>
        </w:rPr>
        <w:footnoteReference w:id="41"/>
      </w:r>
      <w:r w:rsidRPr="00AC42E7">
        <w:rPr>
          <w:rFonts w:asciiTheme="majorBidi" w:hAnsiTheme="majorBidi" w:cstheme="majorBidi"/>
          <w:sz w:val="24"/>
          <w:szCs w:val="24"/>
        </w:rPr>
        <w:t xml:space="preserve"> </w:t>
      </w:r>
    </w:p>
    <w:p w14:paraId="389E667B" w14:textId="77777777" w:rsidR="00510EC2" w:rsidRPr="007D6F54" w:rsidRDefault="00510EC2" w:rsidP="00510EC2">
      <w:pPr>
        <w:ind w:firstLine="720"/>
        <w:rPr>
          <w:rFonts w:asciiTheme="majorBidi" w:eastAsiaTheme="minorHAnsi" w:hAnsiTheme="majorBidi" w:cstheme="majorBidi"/>
          <w:sz w:val="24"/>
          <w:szCs w:val="24"/>
          <w:lang w:val="en-US"/>
        </w:rPr>
      </w:pPr>
    </w:p>
    <w:p w14:paraId="2FCE5750" w14:textId="77777777" w:rsidR="00510EC2" w:rsidRPr="00AF56DF" w:rsidRDefault="00510EC2" w:rsidP="00510EC2">
      <w:pPr>
        <w:rPr>
          <w:rFonts w:asciiTheme="majorBidi" w:hAnsiTheme="majorBidi" w:cstheme="majorBidi"/>
          <w:sz w:val="24"/>
          <w:szCs w:val="24"/>
          <w:lang w:val="en-US"/>
        </w:rPr>
      </w:pPr>
      <w:r w:rsidRPr="00AC42E7">
        <w:rPr>
          <w:rFonts w:asciiTheme="majorBidi" w:eastAsiaTheme="minorHAnsi" w:hAnsiTheme="majorBidi" w:cstheme="majorBidi"/>
          <w:sz w:val="24"/>
          <w:szCs w:val="24"/>
          <w:lang w:val="en-US"/>
        </w:rPr>
        <w:t>Virginity examinations are practiced, often forcibly</w:t>
      </w:r>
      <w:r>
        <w:rPr>
          <w:rFonts w:asciiTheme="majorBidi" w:eastAsiaTheme="minorHAnsi" w:hAnsiTheme="majorBidi" w:cstheme="majorBidi"/>
          <w:sz w:val="24"/>
          <w:szCs w:val="24"/>
          <w:lang w:val="en-US"/>
        </w:rPr>
        <w:t xml:space="preserve"> and</w:t>
      </w:r>
      <w:r w:rsidRPr="00AC42E7">
        <w:rPr>
          <w:rFonts w:asciiTheme="majorBidi" w:eastAsiaTheme="minorHAnsi" w:hAnsiTheme="majorBidi" w:cstheme="majorBidi"/>
          <w:sz w:val="24"/>
          <w:szCs w:val="24"/>
          <w:lang w:val="en-US"/>
        </w:rPr>
        <w:t xml:space="preserve"> in detention places</w:t>
      </w:r>
      <w:r>
        <w:rPr>
          <w:rFonts w:asciiTheme="majorBidi" w:eastAsiaTheme="minorHAnsi" w:hAnsiTheme="majorBidi" w:cstheme="majorBidi"/>
          <w:sz w:val="24"/>
          <w:szCs w:val="24"/>
          <w:lang w:val="en-US"/>
        </w:rPr>
        <w:t>,</w:t>
      </w:r>
      <w:r w:rsidRPr="00AC42E7">
        <w:rPr>
          <w:rFonts w:asciiTheme="majorBidi" w:eastAsiaTheme="minorHAnsi" w:hAnsiTheme="majorBidi" w:cstheme="majorBidi"/>
          <w:sz w:val="24"/>
          <w:szCs w:val="24"/>
          <w:lang w:val="en-US"/>
        </w:rPr>
        <w:t xml:space="preserve"> on women who allege rape or are accused of prostitution.</w:t>
      </w:r>
      <w:r w:rsidRPr="00FE2B98">
        <w:rPr>
          <w:rStyle w:val="FootnoteReference"/>
          <w:rFonts w:asciiTheme="majorBidi" w:eastAsiaTheme="minorHAnsi" w:hAnsiTheme="majorBidi" w:cstheme="majorBidi"/>
          <w:sz w:val="24"/>
          <w:szCs w:val="24"/>
          <w:lang w:val="en-US"/>
        </w:rPr>
        <w:footnoteReference w:id="42"/>
      </w:r>
      <w:r>
        <w:rPr>
          <w:rFonts w:asciiTheme="majorBidi" w:eastAsiaTheme="minorHAnsi" w:hAnsiTheme="majorBidi" w:cstheme="majorBidi"/>
          <w:sz w:val="24"/>
          <w:szCs w:val="24"/>
          <w:lang w:val="en-US"/>
        </w:rPr>
        <w:t xml:space="preserve"> </w:t>
      </w:r>
      <w:r w:rsidRPr="00AF56DF">
        <w:rPr>
          <w:rFonts w:asciiTheme="majorBidi" w:eastAsiaTheme="minorHAnsi" w:hAnsiTheme="majorBidi" w:cstheme="majorBidi"/>
          <w:sz w:val="24"/>
          <w:szCs w:val="24"/>
          <w:lang w:val="en-US"/>
        </w:rPr>
        <w:t>Virginity examinations are medically unreliable and have no clinical value.</w:t>
      </w:r>
      <w:r w:rsidRPr="00FE2B98">
        <w:rPr>
          <w:rStyle w:val="FootnoteReference"/>
          <w:rFonts w:asciiTheme="majorBidi" w:eastAsiaTheme="minorHAnsi" w:hAnsiTheme="majorBidi" w:cstheme="majorBidi"/>
          <w:sz w:val="24"/>
          <w:szCs w:val="24"/>
          <w:lang w:val="en-US"/>
        </w:rPr>
        <w:footnoteReference w:id="43"/>
      </w:r>
      <w:r w:rsidRPr="00AF56DF">
        <w:rPr>
          <w:rFonts w:asciiTheme="majorBidi" w:eastAsiaTheme="minorHAnsi" w:hAnsiTheme="majorBidi" w:cstheme="majorBidi"/>
          <w:sz w:val="24"/>
          <w:szCs w:val="24"/>
          <w:lang w:val="en-US"/>
        </w:rPr>
        <w:t xml:space="preserve"> Forcibly conducting virginity examinations on women violates the</w:t>
      </w:r>
      <w:r>
        <w:rPr>
          <w:rFonts w:asciiTheme="majorBidi" w:eastAsiaTheme="minorHAnsi" w:hAnsiTheme="majorBidi" w:cstheme="majorBidi"/>
          <w:sz w:val="24"/>
          <w:szCs w:val="24"/>
          <w:lang w:val="en-US"/>
        </w:rPr>
        <w:t>ir bodily</w:t>
      </w:r>
      <w:r w:rsidRPr="00AF56DF">
        <w:rPr>
          <w:rFonts w:asciiTheme="majorBidi" w:eastAsiaTheme="minorHAnsi" w:hAnsiTheme="majorBidi" w:cstheme="majorBidi"/>
          <w:sz w:val="24"/>
          <w:szCs w:val="24"/>
          <w:lang w:val="en-US"/>
        </w:rPr>
        <w:t xml:space="preserve"> autonomy and sexual decision-making.</w:t>
      </w:r>
      <w:r w:rsidRPr="00FE2B98">
        <w:rPr>
          <w:rStyle w:val="FootnoteReference"/>
          <w:rFonts w:asciiTheme="majorBidi" w:eastAsiaTheme="minorHAnsi" w:hAnsiTheme="majorBidi" w:cstheme="majorBidi"/>
          <w:sz w:val="24"/>
          <w:szCs w:val="24"/>
          <w:lang w:val="en-US"/>
        </w:rPr>
        <w:footnoteReference w:id="44"/>
      </w:r>
      <w:r w:rsidRPr="00AF56DF">
        <w:rPr>
          <w:rFonts w:asciiTheme="majorBidi" w:eastAsiaTheme="minorHAnsi" w:hAnsiTheme="majorBidi" w:cstheme="majorBidi"/>
          <w:sz w:val="24"/>
          <w:szCs w:val="24"/>
          <w:lang w:val="en-US"/>
        </w:rPr>
        <w:t xml:space="preserve"> </w:t>
      </w:r>
      <w:r>
        <w:rPr>
          <w:rFonts w:asciiTheme="majorBidi" w:eastAsiaTheme="minorHAnsi" w:hAnsiTheme="majorBidi" w:cstheme="majorBidi"/>
          <w:sz w:val="24"/>
          <w:szCs w:val="24"/>
          <w:lang w:val="en-US"/>
        </w:rPr>
        <w:t>As such</w:t>
      </w:r>
      <w:r w:rsidRPr="00AF56DF">
        <w:rPr>
          <w:rFonts w:asciiTheme="majorBidi" w:eastAsiaTheme="minorHAnsi" w:hAnsiTheme="majorBidi" w:cstheme="majorBidi"/>
          <w:sz w:val="24"/>
          <w:szCs w:val="24"/>
          <w:lang w:val="en-US"/>
        </w:rPr>
        <w:t>, these examinations cause significant mental pain and suffering in almost all instances.</w:t>
      </w:r>
      <w:r w:rsidRPr="00FE2B98">
        <w:rPr>
          <w:rStyle w:val="FootnoteReference"/>
          <w:rFonts w:asciiTheme="majorBidi" w:eastAsiaTheme="minorHAnsi" w:hAnsiTheme="majorBidi" w:cstheme="majorBidi"/>
          <w:sz w:val="24"/>
          <w:szCs w:val="24"/>
          <w:lang w:val="en-US"/>
        </w:rPr>
        <w:footnoteReference w:id="45"/>
      </w:r>
      <w:r w:rsidRPr="00AF56DF">
        <w:rPr>
          <w:rFonts w:asciiTheme="majorBidi" w:eastAsiaTheme="minorHAnsi" w:hAnsiTheme="majorBidi" w:cstheme="majorBidi"/>
          <w:sz w:val="24"/>
          <w:szCs w:val="24"/>
          <w:lang w:val="en-US"/>
        </w:rPr>
        <w:t xml:space="preserve"> When undertaken in detention setting</w:t>
      </w:r>
      <w:r>
        <w:rPr>
          <w:rFonts w:asciiTheme="majorBidi" w:eastAsiaTheme="minorHAnsi" w:hAnsiTheme="majorBidi" w:cstheme="majorBidi"/>
          <w:sz w:val="24"/>
          <w:szCs w:val="24"/>
          <w:lang w:val="en-US"/>
        </w:rPr>
        <w:t>s</w:t>
      </w:r>
      <w:r w:rsidRPr="00AF56DF">
        <w:rPr>
          <w:rFonts w:asciiTheme="majorBidi" w:eastAsiaTheme="minorHAnsi" w:hAnsiTheme="majorBidi" w:cstheme="majorBidi"/>
          <w:sz w:val="24"/>
          <w:szCs w:val="24"/>
          <w:lang w:val="en-US"/>
        </w:rPr>
        <w:t>, they can be particularly traumatic because of the state</w:t>
      </w:r>
      <w:r>
        <w:rPr>
          <w:rFonts w:asciiTheme="majorBidi" w:eastAsiaTheme="minorHAnsi" w:hAnsiTheme="majorBidi" w:cstheme="majorBidi"/>
          <w:sz w:val="24"/>
          <w:szCs w:val="24"/>
          <w:lang w:val="en-US"/>
        </w:rPr>
        <w:t>’s</w:t>
      </w:r>
      <w:r w:rsidRPr="00AF56DF">
        <w:rPr>
          <w:rFonts w:asciiTheme="majorBidi" w:eastAsiaTheme="minorHAnsi" w:hAnsiTheme="majorBidi" w:cstheme="majorBidi"/>
          <w:sz w:val="24"/>
          <w:szCs w:val="24"/>
          <w:lang w:val="en-US"/>
        </w:rPr>
        <w:t xml:space="preserve"> exploit</w:t>
      </w:r>
      <w:r>
        <w:rPr>
          <w:rFonts w:asciiTheme="majorBidi" w:eastAsiaTheme="minorHAnsi" w:hAnsiTheme="majorBidi" w:cstheme="majorBidi"/>
          <w:sz w:val="24"/>
          <w:szCs w:val="24"/>
          <w:lang w:val="en-US"/>
        </w:rPr>
        <w:t>ation of the detainee’s</w:t>
      </w:r>
      <w:r w:rsidRPr="00AF56DF">
        <w:rPr>
          <w:rFonts w:asciiTheme="majorBidi" w:eastAsiaTheme="minorHAnsi" w:hAnsiTheme="majorBidi" w:cstheme="majorBidi"/>
          <w:sz w:val="24"/>
          <w:szCs w:val="24"/>
          <w:lang w:val="en-US"/>
        </w:rPr>
        <w:t xml:space="preserve"> vulnerability and weakened resistance.</w:t>
      </w:r>
      <w:r w:rsidRPr="00FE2B98">
        <w:rPr>
          <w:rStyle w:val="FootnoteReference"/>
          <w:rFonts w:asciiTheme="majorBidi" w:eastAsiaTheme="minorHAnsi" w:hAnsiTheme="majorBidi" w:cstheme="majorBidi"/>
          <w:sz w:val="24"/>
          <w:szCs w:val="24"/>
          <w:lang w:val="en-US"/>
        </w:rPr>
        <w:footnoteReference w:id="46"/>
      </w:r>
      <w:r w:rsidRPr="00AF56DF">
        <w:rPr>
          <w:rFonts w:asciiTheme="majorBidi" w:eastAsiaTheme="minorHAnsi" w:hAnsiTheme="majorBidi" w:cstheme="majorBidi"/>
          <w:sz w:val="24"/>
          <w:szCs w:val="24"/>
          <w:lang w:val="en-US"/>
        </w:rPr>
        <w:t xml:space="preserve"> </w:t>
      </w:r>
    </w:p>
    <w:p w14:paraId="152D4C16" w14:textId="77777777" w:rsidR="009F00AF" w:rsidRPr="001673AA" w:rsidRDefault="009F00AF" w:rsidP="00AF56DF">
      <w:pPr>
        <w:spacing w:line="259" w:lineRule="auto"/>
        <w:jc w:val="both"/>
        <w:rPr>
          <w:rFonts w:asciiTheme="majorBidi" w:hAnsiTheme="majorBidi" w:cstheme="majorBidi"/>
          <w:color w:val="000000"/>
          <w:sz w:val="24"/>
          <w:szCs w:val="24"/>
          <w:lang w:val="en-US" w:eastAsia="en-GB"/>
        </w:rPr>
      </w:pPr>
    </w:p>
    <w:p w14:paraId="05CC9E52" w14:textId="65B67B29" w:rsidR="009F00AF" w:rsidRPr="00D413E8" w:rsidRDefault="009F00AF" w:rsidP="00A266E9">
      <w:pPr>
        <w:pStyle w:val="ListParagraph"/>
        <w:numPr>
          <w:ilvl w:val="0"/>
          <w:numId w:val="2"/>
        </w:numPr>
        <w:shd w:val="clear" w:color="auto" w:fill="FFFFFF"/>
        <w:spacing w:line="259" w:lineRule="auto"/>
        <w:jc w:val="both"/>
        <w:outlineLvl w:val="2"/>
        <w:rPr>
          <w:rFonts w:asciiTheme="majorBidi" w:hAnsiTheme="majorBidi" w:cstheme="majorBidi"/>
          <w:strike/>
          <w:color w:val="000000"/>
          <w:sz w:val="24"/>
          <w:szCs w:val="24"/>
          <w:u w:val="single"/>
          <w:lang w:eastAsia="en-GB"/>
        </w:rPr>
      </w:pPr>
      <w:r w:rsidRPr="00D413E8">
        <w:rPr>
          <w:rFonts w:asciiTheme="majorBidi" w:hAnsiTheme="majorBidi" w:cstheme="majorBidi"/>
          <w:strike/>
          <w:color w:val="000000"/>
          <w:sz w:val="24"/>
          <w:szCs w:val="24"/>
          <w:u w:val="single"/>
          <w:lang w:eastAsia="en-GB"/>
        </w:rPr>
        <w:t xml:space="preserve">Please also </w:t>
      </w:r>
      <w:r w:rsidRPr="00D413E8">
        <w:rPr>
          <w:rFonts w:asciiTheme="majorBidi" w:hAnsiTheme="majorBidi" w:cstheme="majorBidi"/>
          <w:strike/>
          <w:sz w:val="24"/>
          <w:szCs w:val="24"/>
          <w:u w:val="single"/>
          <w:lang w:eastAsia="en-GB"/>
        </w:rPr>
        <w:t xml:space="preserve">share information on the impact of criminalization of sex work, same sex relations, transgender persons, abortion, drug abuse, </w:t>
      </w:r>
      <w:r w:rsidRPr="00D413E8">
        <w:rPr>
          <w:rFonts w:asciiTheme="majorBidi" w:eastAsia="Verdana" w:hAnsiTheme="majorBidi" w:cstheme="majorBidi"/>
          <w:strike/>
          <w:sz w:val="24"/>
          <w:szCs w:val="24"/>
          <w:u w:val="single"/>
        </w:rPr>
        <w:t>harmful practices in obstetric care, female genital mutilation</w:t>
      </w:r>
      <w:r w:rsidRPr="00D413E8">
        <w:rPr>
          <w:rFonts w:asciiTheme="majorBidi" w:hAnsiTheme="majorBidi" w:cstheme="majorBidi"/>
          <w:strike/>
          <w:sz w:val="24"/>
          <w:szCs w:val="24"/>
          <w:u w:val="single"/>
          <w:lang w:eastAsia="en-GB"/>
        </w:rPr>
        <w:t xml:space="preserve"> </w:t>
      </w:r>
      <w:r w:rsidRPr="00D413E8">
        <w:rPr>
          <w:rFonts w:asciiTheme="majorBidi" w:hAnsiTheme="majorBidi" w:cstheme="majorBidi"/>
          <w:strike/>
          <w:color w:val="000000"/>
          <w:sz w:val="24"/>
          <w:szCs w:val="24"/>
          <w:u w:val="single"/>
          <w:lang w:eastAsia="en-GB"/>
        </w:rPr>
        <w:t>on the violence experienced by the affected individuals and their enjoyment of the right to health.</w:t>
      </w:r>
      <w:r w:rsidRPr="00D413E8">
        <w:rPr>
          <w:rFonts w:asciiTheme="majorBidi" w:eastAsia="Verdana" w:hAnsiTheme="majorBidi" w:cstheme="majorBidi"/>
          <w:strike/>
          <w:color w:val="000000"/>
          <w:sz w:val="24"/>
          <w:szCs w:val="24"/>
          <w:u w:val="single"/>
        </w:rPr>
        <w:t xml:space="preserve"> </w:t>
      </w:r>
    </w:p>
    <w:p w14:paraId="249FC45D" w14:textId="41BA6E40" w:rsidR="008E64B4" w:rsidRPr="00FE2B98" w:rsidRDefault="008E64B4" w:rsidP="008E64B4">
      <w:pPr>
        <w:shd w:val="clear" w:color="auto" w:fill="FFFFFF"/>
        <w:spacing w:line="259" w:lineRule="auto"/>
        <w:jc w:val="both"/>
        <w:outlineLvl w:val="2"/>
        <w:rPr>
          <w:rFonts w:asciiTheme="majorBidi" w:hAnsiTheme="majorBidi" w:cstheme="majorBidi"/>
          <w:color w:val="000000"/>
          <w:sz w:val="24"/>
          <w:szCs w:val="24"/>
          <w:lang w:eastAsia="en-GB"/>
        </w:rPr>
      </w:pPr>
    </w:p>
    <w:p w14:paraId="273DEDF1" w14:textId="77777777" w:rsidR="009F00AF" w:rsidRPr="00FE2B98" w:rsidRDefault="009F00AF" w:rsidP="00A266E9">
      <w:pPr>
        <w:pStyle w:val="ListParagraph"/>
        <w:numPr>
          <w:ilvl w:val="0"/>
          <w:numId w:val="2"/>
        </w:numPr>
        <w:shd w:val="clear" w:color="auto" w:fill="FFFFFF"/>
        <w:spacing w:line="259" w:lineRule="auto"/>
        <w:jc w:val="both"/>
        <w:outlineLvl w:val="2"/>
        <w:rPr>
          <w:rFonts w:asciiTheme="majorBidi" w:hAnsiTheme="majorBidi" w:cstheme="majorBidi"/>
          <w:strike/>
          <w:color w:val="000000"/>
          <w:sz w:val="24"/>
          <w:szCs w:val="24"/>
          <w:lang w:eastAsia="en-GB"/>
        </w:rPr>
      </w:pPr>
      <w:r w:rsidRPr="00FE2B98">
        <w:rPr>
          <w:rFonts w:asciiTheme="majorBidi" w:hAnsiTheme="majorBidi" w:cstheme="majorBidi"/>
          <w:strike/>
          <w:color w:val="000000"/>
          <w:sz w:val="24"/>
          <w:szCs w:val="24"/>
          <w:lang w:eastAsia="en-GB"/>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0DDDECA7" w14:textId="77777777" w:rsidR="009F00AF" w:rsidRPr="00FE2B98" w:rsidRDefault="009F00AF" w:rsidP="009F00AF">
      <w:pPr>
        <w:pStyle w:val="ListParagraph"/>
        <w:shd w:val="clear" w:color="auto" w:fill="FFFFFF"/>
        <w:spacing w:line="259" w:lineRule="auto"/>
        <w:ind w:left="360"/>
        <w:jc w:val="both"/>
        <w:outlineLvl w:val="2"/>
        <w:rPr>
          <w:rFonts w:asciiTheme="majorBidi" w:hAnsiTheme="majorBidi" w:cstheme="majorBidi"/>
          <w:strike/>
          <w:color w:val="000000"/>
          <w:sz w:val="24"/>
          <w:szCs w:val="24"/>
          <w:lang w:eastAsia="en-GB"/>
        </w:rPr>
      </w:pPr>
    </w:p>
    <w:p w14:paraId="15CC7BB1" w14:textId="77777777" w:rsidR="009F00AF" w:rsidRPr="00FE2B98" w:rsidRDefault="009F00AF" w:rsidP="00A266E9">
      <w:pPr>
        <w:pStyle w:val="ListParagraph"/>
        <w:numPr>
          <w:ilvl w:val="0"/>
          <w:numId w:val="2"/>
        </w:numPr>
        <w:shd w:val="clear" w:color="auto" w:fill="FFFFFF"/>
        <w:spacing w:line="259" w:lineRule="auto"/>
        <w:jc w:val="both"/>
        <w:outlineLvl w:val="2"/>
        <w:rPr>
          <w:rFonts w:asciiTheme="majorBidi" w:hAnsiTheme="majorBidi" w:cstheme="majorBidi"/>
          <w:strike/>
          <w:color w:val="000000"/>
          <w:sz w:val="24"/>
          <w:szCs w:val="24"/>
          <w:lang w:eastAsia="en-GB"/>
        </w:rPr>
      </w:pPr>
      <w:r w:rsidRPr="00FE2B98">
        <w:rPr>
          <w:rFonts w:asciiTheme="majorBidi" w:hAnsiTheme="majorBidi" w:cstheme="majorBidi"/>
          <w:strike/>
          <w:color w:val="000000"/>
          <w:sz w:val="24"/>
          <w:szCs w:val="24"/>
          <w:lang w:eastAsia="en-GB"/>
        </w:rPr>
        <w:t xml:space="preserve">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  </w:t>
      </w:r>
    </w:p>
    <w:p w14:paraId="60B1F18B" w14:textId="77777777" w:rsidR="009F00AF" w:rsidRPr="00FE2B98" w:rsidRDefault="009F00AF" w:rsidP="009F00AF">
      <w:pPr>
        <w:pStyle w:val="ListParagraph"/>
        <w:shd w:val="clear" w:color="auto" w:fill="FFFFFF"/>
        <w:spacing w:line="259" w:lineRule="auto"/>
        <w:ind w:left="360"/>
        <w:jc w:val="both"/>
        <w:outlineLvl w:val="2"/>
        <w:rPr>
          <w:rFonts w:asciiTheme="majorBidi" w:hAnsiTheme="majorBidi" w:cstheme="majorBidi"/>
          <w:color w:val="000000"/>
          <w:sz w:val="24"/>
          <w:szCs w:val="24"/>
          <w:lang w:eastAsia="en-GB"/>
        </w:rPr>
      </w:pPr>
    </w:p>
    <w:p w14:paraId="258C3CD6" w14:textId="10AE137D" w:rsidR="009F00AF" w:rsidRPr="00FE2B98" w:rsidRDefault="009F00AF" w:rsidP="00A266E9">
      <w:pPr>
        <w:pStyle w:val="ListParagraph"/>
        <w:numPr>
          <w:ilvl w:val="0"/>
          <w:numId w:val="2"/>
        </w:numPr>
        <w:shd w:val="clear" w:color="auto" w:fill="FFFFFF"/>
        <w:spacing w:line="259" w:lineRule="auto"/>
        <w:jc w:val="both"/>
        <w:outlineLvl w:val="2"/>
        <w:rPr>
          <w:rFonts w:asciiTheme="majorBidi" w:hAnsiTheme="majorBidi" w:cstheme="majorBidi"/>
          <w:color w:val="000000"/>
          <w:sz w:val="24"/>
          <w:szCs w:val="24"/>
          <w:u w:val="single"/>
          <w:lang w:eastAsia="en-GB"/>
        </w:rPr>
      </w:pPr>
      <w:r w:rsidRPr="00FE2B98">
        <w:rPr>
          <w:rFonts w:asciiTheme="majorBidi" w:hAnsiTheme="majorBidi" w:cstheme="majorBidi"/>
          <w:color w:val="000000"/>
          <w:sz w:val="24"/>
          <w:szCs w:val="24"/>
          <w:u w:val="single"/>
          <w:lang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6C4258DF" w14:textId="58E989F1" w:rsidR="008E64B4" w:rsidRPr="00FE2B98" w:rsidRDefault="008E64B4" w:rsidP="008E64B4">
      <w:pPr>
        <w:pStyle w:val="ListParagraph"/>
        <w:rPr>
          <w:rFonts w:asciiTheme="majorBidi" w:hAnsiTheme="majorBidi" w:cstheme="majorBidi"/>
          <w:color w:val="000000"/>
          <w:sz w:val="24"/>
          <w:szCs w:val="24"/>
          <w:lang w:eastAsia="en-GB"/>
        </w:rPr>
      </w:pPr>
    </w:p>
    <w:p w14:paraId="2DD1EB70" w14:textId="37C257EC" w:rsidR="008E64B4" w:rsidRPr="00FE2B98" w:rsidRDefault="008E64B4" w:rsidP="000971E3">
      <w:pPr>
        <w:shd w:val="clear" w:color="auto" w:fill="FFFFFF"/>
        <w:spacing w:line="259" w:lineRule="auto"/>
        <w:jc w:val="both"/>
        <w:outlineLvl w:val="2"/>
        <w:rPr>
          <w:rFonts w:asciiTheme="majorBidi" w:hAnsiTheme="majorBidi" w:cstheme="majorBidi"/>
          <w:color w:val="000000"/>
          <w:sz w:val="24"/>
          <w:szCs w:val="24"/>
          <w:lang w:eastAsia="en-GB"/>
        </w:rPr>
      </w:pPr>
      <w:r w:rsidRPr="00FE2B98">
        <w:rPr>
          <w:rFonts w:asciiTheme="majorBidi" w:hAnsiTheme="majorBidi" w:cstheme="majorBidi"/>
          <w:color w:val="000000"/>
          <w:sz w:val="24"/>
          <w:szCs w:val="24"/>
          <w:lang w:eastAsia="en-GB"/>
        </w:rPr>
        <w:t xml:space="preserve">The primary needs of </w:t>
      </w:r>
      <w:r w:rsidR="008F3F08">
        <w:rPr>
          <w:rFonts w:asciiTheme="majorBidi" w:hAnsiTheme="majorBidi" w:cstheme="majorBidi"/>
          <w:color w:val="000000"/>
          <w:sz w:val="24"/>
          <w:szCs w:val="24"/>
          <w:lang w:eastAsia="en-GB"/>
        </w:rPr>
        <w:t>survivors</w:t>
      </w:r>
      <w:r w:rsidRPr="00FE2B98">
        <w:rPr>
          <w:rFonts w:asciiTheme="majorBidi" w:hAnsiTheme="majorBidi" w:cstheme="majorBidi"/>
          <w:color w:val="000000"/>
          <w:sz w:val="24"/>
          <w:szCs w:val="24"/>
          <w:lang w:eastAsia="en-GB"/>
        </w:rPr>
        <w:t xml:space="preserve"> of </w:t>
      </w:r>
      <w:r w:rsidR="00F96DF6">
        <w:rPr>
          <w:rFonts w:asciiTheme="majorBidi" w:hAnsiTheme="majorBidi" w:cstheme="majorBidi"/>
          <w:color w:val="000000"/>
          <w:sz w:val="24"/>
          <w:szCs w:val="24"/>
          <w:lang w:eastAsia="en-GB"/>
        </w:rPr>
        <w:t>torture or other cruel, inhuman or degrading treatment o</w:t>
      </w:r>
      <w:r w:rsidR="008F3F08">
        <w:rPr>
          <w:rFonts w:asciiTheme="majorBidi" w:hAnsiTheme="majorBidi" w:cstheme="majorBidi"/>
          <w:color w:val="000000"/>
          <w:sz w:val="24"/>
          <w:szCs w:val="24"/>
          <w:lang w:eastAsia="en-GB"/>
        </w:rPr>
        <w:t>r</w:t>
      </w:r>
      <w:r w:rsidR="00F96DF6">
        <w:rPr>
          <w:rFonts w:asciiTheme="majorBidi" w:hAnsiTheme="majorBidi" w:cstheme="majorBidi"/>
          <w:color w:val="000000"/>
          <w:sz w:val="24"/>
          <w:szCs w:val="24"/>
          <w:lang w:eastAsia="en-GB"/>
        </w:rPr>
        <w:t xml:space="preserve"> punishment</w:t>
      </w:r>
      <w:r w:rsidR="008F3F08">
        <w:rPr>
          <w:rFonts w:asciiTheme="majorBidi" w:hAnsiTheme="majorBidi" w:cstheme="majorBidi"/>
          <w:color w:val="000000"/>
          <w:sz w:val="24"/>
          <w:szCs w:val="24"/>
          <w:lang w:eastAsia="en-GB"/>
        </w:rPr>
        <w:t xml:space="preserve"> that takes the</w:t>
      </w:r>
      <w:r w:rsidR="00F96DF6">
        <w:rPr>
          <w:rFonts w:asciiTheme="majorBidi" w:hAnsiTheme="majorBidi" w:cstheme="majorBidi"/>
          <w:color w:val="000000"/>
          <w:sz w:val="24"/>
          <w:szCs w:val="24"/>
          <w:lang w:eastAsia="en-GB"/>
        </w:rPr>
        <w:t xml:space="preserve"> form of </w:t>
      </w:r>
      <w:r w:rsidRPr="00FE2B98">
        <w:rPr>
          <w:rFonts w:asciiTheme="majorBidi" w:hAnsiTheme="majorBidi" w:cstheme="majorBidi"/>
          <w:color w:val="000000"/>
          <w:sz w:val="24"/>
          <w:szCs w:val="24"/>
          <w:lang w:eastAsia="en-GB"/>
        </w:rPr>
        <w:t>gender-based violence often consist of immediate medical attention</w:t>
      </w:r>
      <w:r w:rsidR="00F96DF6">
        <w:rPr>
          <w:rFonts w:asciiTheme="majorBidi" w:hAnsiTheme="majorBidi" w:cstheme="majorBidi"/>
          <w:color w:val="000000"/>
          <w:sz w:val="24"/>
          <w:szCs w:val="24"/>
          <w:lang w:eastAsia="en-GB"/>
        </w:rPr>
        <w:t>, mental</w:t>
      </w:r>
      <w:r w:rsidR="008F3F08">
        <w:rPr>
          <w:rFonts w:asciiTheme="majorBidi" w:hAnsiTheme="majorBidi" w:cstheme="majorBidi"/>
          <w:color w:val="000000"/>
          <w:sz w:val="24"/>
          <w:szCs w:val="24"/>
          <w:lang w:eastAsia="en-GB"/>
        </w:rPr>
        <w:t xml:space="preserve"> health</w:t>
      </w:r>
      <w:r w:rsidR="00F96DF6">
        <w:rPr>
          <w:rFonts w:asciiTheme="majorBidi" w:hAnsiTheme="majorBidi" w:cstheme="majorBidi"/>
          <w:color w:val="000000"/>
          <w:sz w:val="24"/>
          <w:szCs w:val="24"/>
          <w:lang w:eastAsia="en-GB"/>
        </w:rPr>
        <w:t xml:space="preserve"> and psychosocial services, and</w:t>
      </w:r>
      <w:r w:rsidRPr="00FE2B98">
        <w:rPr>
          <w:rFonts w:asciiTheme="majorBidi" w:hAnsiTheme="majorBidi" w:cstheme="majorBidi"/>
          <w:color w:val="000000"/>
          <w:sz w:val="24"/>
          <w:szCs w:val="24"/>
          <w:lang w:eastAsia="en-GB"/>
        </w:rPr>
        <w:t xml:space="preserve"> protection from further harm</w:t>
      </w:r>
      <w:r w:rsidR="000971E3">
        <w:rPr>
          <w:rFonts w:asciiTheme="majorBidi" w:hAnsiTheme="majorBidi" w:cstheme="majorBidi"/>
          <w:color w:val="000000"/>
          <w:sz w:val="24"/>
          <w:szCs w:val="24"/>
          <w:lang w:eastAsia="en-GB"/>
        </w:rPr>
        <w:t xml:space="preserve"> and immediate physical safety, shelter, and resources to maintain social relationships and livelihoods</w:t>
      </w:r>
      <w:r w:rsidRPr="00FE2B98">
        <w:rPr>
          <w:rFonts w:asciiTheme="majorBidi" w:hAnsiTheme="majorBidi" w:cstheme="majorBidi"/>
          <w:color w:val="000000"/>
          <w:sz w:val="24"/>
          <w:szCs w:val="24"/>
          <w:lang w:eastAsia="en-GB"/>
        </w:rPr>
        <w:t>.</w:t>
      </w:r>
      <w:r w:rsidR="00345F9F">
        <w:rPr>
          <w:rStyle w:val="FootnoteReference"/>
          <w:rFonts w:asciiTheme="majorBidi" w:hAnsiTheme="majorBidi" w:cstheme="majorBidi"/>
          <w:color w:val="000000"/>
          <w:sz w:val="24"/>
          <w:szCs w:val="24"/>
          <w:lang w:eastAsia="en-GB"/>
        </w:rPr>
        <w:footnoteReference w:id="47"/>
      </w:r>
      <w:r w:rsidRPr="00FE2B98">
        <w:rPr>
          <w:rFonts w:asciiTheme="majorBidi" w:hAnsiTheme="majorBidi" w:cstheme="majorBidi"/>
          <w:color w:val="000000"/>
          <w:sz w:val="24"/>
          <w:szCs w:val="24"/>
          <w:lang w:eastAsia="en-GB"/>
        </w:rPr>
        <w:t xml:space="preserve"> </w:t>
      </w:r>
    </w:p>
    <w:p w14:paraId="1006A155" w14:textId="77777777" w:rsidR="009F00AF" w:rsidRPr="00FE2B98" w:rsidRDefault="009F00AF" w:rsidP="009F00AF">
      <w:pPr>
        <w:pStyle w:val="ListParagraph"/>
        <w:spacing w:line="259" w:lineRule="auto"/>
        <w:jc w:val="both"/>
        <w:rPr>
          <w:rFonts w:asciiTheme="majorBidi" w:hAnsiTheme="majorBidi" w:cstheme="majorBidi"/>
          <w:color w:val="000000"/>
          <w:sz w:val="24"/>
          <w:szCs w:val="24"/>
          <w:lang w:eastAsia="en-GB"/>
        </w:rPr>
      </w:pPr>
    </w:p>
    <w:p w14:paraId="6967E735" w14:textId="393CDE01" w:rsidR="009F00AF" w:rsidRPr="00FE2B98" w:rsidRDefault="009F00AF" w:rsidP="00A266E9">
      <w:pPr>
        <w:pStyle w:val="ListParagraph"/>
        <w:numPr>
          <w:ilvl w:val="0"/>
          <w:numId w:val="2"/>
        </w:numPr>
        <w:shd w:val="clear" w:color="auto" w:fill="FFFFFF"/>
        <w:spacing w:line="259" w:lineRule="auto"/>
        <w:jc w:val="both"/>
        <w:outlineLvl w:val="2"/>
        <w:rPr>
          <w:rFonts w:asciiTheme="majorBidi" w:hAnsiTheme="majorBidi" w:cstheme="majorBidi"/>
          <w:color w:val="000000"/>
          <w:sz w:val="24"/>
          <w:szCs w:val="24"/>
          <w:u w:val="single"/>
          <w:lang w:eastAsia="en-GB"/>
        </w:rPr>
      </w:pPr>
      <w:r w:rsidRPr="00FE2B98">
        <w:rPr>
          <w:rFonts w:asciiTheme="majorBidi" w:hAnsiTheme="majorBidi" w:cstheme="majorBidi"/>
          <w:color w:val="000000"/>
          <w:sz w:val="24"/>
          <w:szCs w:val="24"/>
          <w:u w:val="single"/>
          <w:lang w:eastAsia="en-GB"/>
        </w:rPr>
        <w:t xml:space="preserve">Please share examples of good practices and examples of comprehensive health responses to survivors of violence and indicate efficient multi-sectorial efforts at the </w:t>
      </w:r>
      <w:r w:rsidRPr="00FE2B98">
        <w:rPr>
          <w:rFonts w:asciiTheme="majorBidi" w:hAnsiTheme="majorBidi" w:cstheme="majorBidi"/>
          <w:color w:val="000000" w:themeColor="text1"/>
          <w:sz w:val="24"/>
          <w:szCs w:val="24"/>
          <w:u w:val="single"/>
          <w:lang w:eastAsia="en-GB"/>
        </w:rPr>
        <w:t xml:space="preserve">community, national, regional and international levels </w:t>
      </w:r>
      <w:r w:rsidRPr="00FE2B98">
        <w:rPr>
          <w:rFonts w:asciiTheme="majorBidi" w:hAnsiTheme="majorBidi" w:cstheme="majorBidi"/>
          <w:color w:val="000000"/>
          <w:sz w:val="24"/>
          <w:szCs w:val="24"/>
          <w:u w:val="single"/>
          <w:lang w:eastAsia="en-GB"/>
        </w:rPr>
        <w:t>by State or non-State actors.</w:t>
      </w:r>
    </w:p>
    <w:p w14:paraId="63D1D22A" w14:textId="77777777" w:rsidR="008E64B4" w:rsidRPr="00FE2B98" w:rsidRDefault="008E64B4" w:rsidP="008E64B4">
      <w:pPr>
        <w:shd w:val="clear" w:color="auto" w:fill="FFFFFF"/>
        <w:spacing w:line="259" w:lineRule="auto"/>
        <w:jc w:val="both"/>
        <w:outlineLvl w:val="2"/>
        <w:rPr>
          <w:rFonts w:asciiTheme="majorBidi" w:hAnsiTheme="majorBidi" w:cstheme="majorBidi"/>
          <w:b/>
          <w:bCs/>
          <w:color w:val="000000"/>
          <w:sz w:val="24"/>
          <w:szCs w:val="24"/>
          <w:lang w:eastAsia="en-GB"/>
        </w:rPr>
      </w:pPr>
    </w:p>
    <w:p w14:paraId="03E6F7FA" w14:textId="60A55482" w:rsidR="008E64B4" w:rsidRPr="00240381" w:rsidRDefault="008360A2" w:rsidP="007C0561">
      <w:pPr>
        <w:pStyle w:val="CommentText"/>
        <w:rPr>
          <w:rFonts w:asciiTheme="majorBidi" w:hAnsiTheme="majorBidi" w:cstheme="majorBidi"/>
          <w:color w:val="000000"/>
          <w:sz w:val="24"/>
          <w:szCs w:val="24"/>
          <w:lang w:eastAsia="en-GB"/>
        </w:rPr>
      </w:pPr>
      <w:r w:rsidRPr="008360A2">
        <w:rPr>
          <w:rFonts w:asciiTheme="majorBidi" w:hAnsiTheme="majorBidi" w:cstheme="majorBidi"/>
          <w:color w:val="000000"/>
          <w:sz w:val="24"/>
          <w:szCs w:val="24"/>
          <w:lang w:eastAsia="en-GB"/>
        </w:rPr>
        <w:t>C</w:t>
      </w:r>
      <w:r w:rsidR="008E64B4" w:rsidRPr="008360A2">
        <w:rPr>
          <w:rFonts w:asciiTheme="majorBidi" w:hAnsiTheme="majorBidi" w:cstheme="majorBidi"/>
          <w:color w:val="000000"/>
          <w:sz w:val="24"/>
          <w:szCs w:val="24"/>
          <w:lang w:eastAsia="en-GB"/>
        </w:rPr>
        <w:t xml:space="preserve">ommunity health workers </w:t>
      </w:r>
      <w:r>
        <w:rPr>
          <w:rFonts w:asciiTheme="majorBidi" w:hAnsiTheme="majorBidi" w:cstheme="majorBidi"/>
          <w:color w:val="000000"/>
          <w:sz w:val="24"/>
          <w:szCs w:val="24"/>
          <w:lang w:eastAsia="en-GB"/>
        </w:rPr>
        <w:t>are</w:t>
      </w:r>
      <w:r w:rsidR="008E64B4" w:rsidRPr="008360A2">
        <w:rPr>
          <w:rFonts w:asciiTheme="majorBidi" w:hAnsiTheme="majorBidi" w:cstheme="majorBidi"/>
          <w:color w:val="000000"/>
          <w:sz w:val="24"/>
          <w:szCs w:val="24"/>
          <w:lang w:eastAsia="en-GB"/>
        </w:rPr>
        <w:t xml:space="preserve"> crucial in addressing the medical needs of </w:t>
      </w:r>
      <w:r>
        <w:rPr>
          <w:rFonts w:asciiTheme="majorBidi" w:hAnsiTheme="majorBidi" w:cstheme="majorBidi"/>
          <w:color w:val="000000"/>
          <w:sz w:val="24"/>
          <w:szCs w:val="24"/>
          <w:lang w:eastAsia="en-GB"/>
        </w:rPr>
        <w:t>survivors of torture and other cruel, inhuman or degrading treatment or punishment in the form of</w:t>
      </w:r>
      <w:r w:rsidR="008E64B4" w:rsidRPr="008360A2">
        <w:rPr>
          <w:rFonts w:asciiTheme="majorBidi" w:hAnsiTheme="majorBidi" w:cstheme="majorBidi"/>
          <w:color w:val="000000"/>
          <w:sz w:val="24"/>
          <w:szCs w:val="24"/>
          <w:lang w:eastAsia="en-GB"/>
        </w:rPr>
        <w:t xml:space="preserve"> </w:t>
      </w:r>
      <w:r w:rsidR="008E64B4" w:rsidRPr="00240381">
        <w:rPr>
          <w:rFonts w:asciiTheme="majorBidi" w:hAnsiTheme="majorBidi" w:cstheme="majorBidi"/>
          <w:color w:val="000000"/>
          <w:sz w:val="24"/>
          <w:szCs w:val="24"/>
          <w:lang w:eastAsia="en-GB"/>
        </w:rPr>
        <w:t>gender-based</w:t>
      </w:r>
      <w:r w:rsidRPr="00240381">
        <w:rPr>
          <w:rFonts w:asciiTheme="majorBidi" w:hAnsiTheme="majorBidi" w:cstheme="majorBidi"/>
          <w:color w:val="000000"/>
          <w:sz w:val="24"/>
          <w:szCs w:val="24"/>
          <w:lang w:eastAsia="en-GB"/>
        </w:rPr>
        <w:t xml:space="preserve"> violence</w:t>
      </w:r>
      <w:r w:rsidR="008E64B4" w:rsidRPr="00240381">
        <w:rPr>
          <w:rFonts w:asciiTheme="majorBidi" w:hAnsiTheme="majorBidi" w:cstheme="majorBidi"/>
          <w:color w:val="000000"/>
          <w:sz w:val="24"/>
          <w:szCs w:val="24"/>
          <w:lang w:eastAsia="en-GB"/>
        </w:rPr>
        <w:t xml:space="preserve">. </w:t>
      </w:r>
      <w:r w:rsidR="00D72ADE" w:rsidRPr="00240381">
        <w:rPr>
          <w:rFonts w:asciiTheme="majorBidi" w:hAnsiTheme="majorBidi" w:cstheme="majorBidi"/>
          <w:color w:val="000000"/>
          <w:sz w:val="24"/>
          <w:szCs w:val="24"/>
          <w:lang w:eastAsia="en-GB"/>
        </w:rPr>
        <w:t>Community-based organizations and services providers tend to be better</w:t>
      </w:r>
      <w:r w:rsidR="008E64B4" w:rsidRPr="00240381">
        <w:rPr>
          <w:rFonts w:asciiTheme="majorBidi" w:hAnsiTheme="majorBidi" w:cstheme="majorBidi"/>
          <w:color w:val="000000"/>
          <w:sz w:val="24"/>
          <w:szCs w:val="24"/>
          <w:lang w:eastAsia="en-GB"/>
        </w:rPr>
        <w:t xml:space="preserve"> trusted by survivors and are</w:t>
      </w:r>
      <w:r w:rsidR="007C0561" w:rsidRPr="00240381">
        <w:rPr>
          <w:rFonts w:asciiTheme="majorBidi" w:hAnsiTheme="majorBidi" w:cstheme="majorBidi"/>
          <w:color w:val="000000"/>
          <w:sz w:val="24"/>
          <w:szCs w:val="24"/>
          <w:lang w:eastAsia="en-GB"/>
        </w:rPr>
        <w:t xml:space="preserve"> thus</w:t>
      </w:r>
      <w:r w:rsidR="008E64B4" w:rsidRPr="00240381">
        <w:rPr>
          <w:rFonts w:asciiTheme="majorBidi" w:hAnsiTheme="majorBidi" w:cstheme="majorBidi"/>
          <w:color w:val="000000"/>
          <w:sz w:val="24"/>
          <w:szCs w:val="24"/>
          <w:lang w:eastAsia="en-GB"/>
        </w:rPr>
        <w:t xml:space="preserve"> able to identify victims in need of attention who would not report violations. </w:t>
      </w:r>
      <w:r w:rsidR="007C0561" w:rsidRPr="00240381">
        <w:rPr>
          <w:rFonts w:asciiTheme="majorBidi" w:hAnsiTheme="majorBidi" w:cstheme="majorBidi"/>
          <w:color w:val="000000"/>
          <w:sz w:val="24"/>
          <w:szCs w:val="24"/>
          <w:lang w:eastAsia="en-GB"/>
        </w:rPr>
        <w:t>Examples of locally-based organizations providing essential services to communities in need include</w:t>
      </w:r>
      <w:r w:rsidR="00956F56">
        <w:rPr>
          <w:rFonts w:asciiTheme="majorBidi" w:hAnsiTheme="majorBidi" w:cstheme="majorBidi"/>
          <w:color w:val="000000"/>
          <w:sz w:val="24"/>
          <w:szCs w:val="24"/>
          <w:lang w:eastAsia="en-GB"/>
        </w:rPr>
        <w:t>: the</w:t>
      </w:r>
      <w:r w:rsidR="007C0561" w:rsidRPr="00240381">
        <w:rPr>
          <w:rFonts w:asciiTheme="majorBidi" w:hAnsiTheme="majorBidi" w:cstheme="majorBidi"/>
          <w:color w:val="000000"/>
          <w:sz w:val="24"/>
          <w:szCs w:val="24"/>
          <w:lang w:eastAsia="en-GB"/>
        </w:rPr>
        <w:t xml:space="preserve"> </w:t>
      </w:r>
      <w:r w:rsidR="007C0561" w:rsidRPr="00240381">
        <w:rPr>
          <w:sz w:val="24"/>
          <w:szCs w:val="24"/>
        </w:rPr>
        <w:t>Institute for Family Health (Jordan),</w:t>
      </w:r>
      <w:r w:rsidR="00240381" w:rsidRPr="00240381">
        <w:rPr>
          <w:rStyle w:val="FootnoteReference"/>
          <w:sz w:val="24"/>
          <w:szCs w:val="24"/>
        </w:rPr>
        <w:footnoteReference w:id="48"/>
      </w:r>
      <w:r w:rsidR="007C0561" w:rsidRPr="00240381">
        <w:rPr>
          <w:sz w:val="24"/>
          <w:szCs w:val="24"/>
        </w:rPr>
        <w:t xml:space="preserve"> NEBRAS (Tunisia),</w:t>
      </w:r>
      <w:r w:rsidR="00240381" w:rsidRPr="00240381">
        <w:rPr>
          <w:rStyle w:val="FootnoteReference"/>
          <w:sz w:val="24"/>
          <w:szCs w:val="24"/>
        </w:rPr>
        <w:footnoteReference w:id="49"/>
      </w:r>
      <w:r w:rsidR="007C0561" w:rsidRPr="00240381">
        <w:rPr>
          <w:sz w:val="24"/>
          <w:szCs w:val="24"/>
        </w:rPr>
        <w:t xml:space="preserve"> and Restart Center for Rehabiliation of Victims of Violence and Torture (Lebanon).</w:t>
      </w:r>
      <w:r w:rsidR="007C0561" w:rsidRPr="00240381">
        <w:rPr>
          <w:rStyle w:val="FootnoteReference"/>
          <w:sz w:val="24"/>
          <w:szCs w:val="24"/>
        </w:rPr>
        <w:footnoteReference w:id="50"/>
      </w:r>
    </w:p>
    <w:p w14:paraId="521DD856" w14:textId="77777777" w:rsidR="009F00AF" w:rsidRPr="00FE2B98" w:rsidRDefault="009F00AF" w:rsidP="009F00AF">
      <w:pPr>
        <w:pStyle w:val="ListParagraph"/>
        <w:spacing w:line="259" w:lineRule="auto"/>
        <w:jc w:val="both"/>
        <w:rPr>
          <w:rFonts w:asciiTheme="majorBidi" w:hAnsiTheme="majorBidi" w:cstheme="majorBidi"/>
          <w:color w:val="000000"/>
          <w:sz w:val="24"/>
          <w:szCs w:val="24"/>
          <w:lang w:eastAsia="en-GB"/>
        </w:rPr>
      </w:pPr>
    </w:p>
    <w:p w14:paraId="5E012D4A" w14:textId="68547636" w:rsidR="009F00AF" w:rsidRPr="00FE2B98" w:rsidRDefault="009F00AF" w:rsidP="00A266E9">
      <w:pPr>
        <w:pStyle w:val="ListParagraph"/>
        <w:numPr>
          <w:ilvl w:val="0"/>
          <w:numId w:val="2"/>
        </w:numPr>
        <w:shd w:val="clear" w:color="auto" w:fill="FFFFFF"/>
        <w:spacing w:line="259" w:lineRule="auto"/>
        <w:jc w:val="both"/>
        <w:outlineLvl w:val="2"/>
        <w:rPr>
          <w:rFonts w:asciiTheme="majorBidi" w:hAnsiTheme="majorBidi" w:cstheme="majorBidi"/>
          <w:sz w:val="24"/>
          <w:szCs w:val="24"/>
          <w:u w:val="single"/>
          <w:shd w:val="clear" w:color="auto" w:fill="FFFFFF"/>
        </w:rPr>
      </w:pPr>
      <w:r w:rsidRPr="00FE2B98">
        <w:rPr>
          <w:rFonts w:asciiTheme="majorBidi" w:hAnsiTheme="majorBidi" w:cstheme="majorBidi"/>
          <w:color w:val="000000"/>
          <w:sz w:val="24"/>
          <w:szCs w:val="24"/>
          <w:u w:val="single"/>
          <w:lang w:eastAsia="en-GB"/>
        </w:rPr>
        <w:t>Please describe State and other actors initiatives and measures to prevent these forms of violence, specific budget allocated to prevention, and good practices in this regard.</w:t>
      </w:r>
    </w:p>
    <w:p w14:paraId="01F07009" w14:textId="77777777" w:rsidR="004E388A" w:rsidRDefault="004E388A" w:rsidP="004E388A">
      <w:pPr>
        <w:shd w:val="clear" w:color="auto" w:fill="FFFFFF"/>
        <w:spacing w:line="259" w:lineRule="auto"/>
        <w:jc w:val="both"/>
        <w:outlineLvl w:val="2"/>
        <w:rPr>
          <w:rFonts w:asciiTheme="majorBidi" w:hAnsiTheme="majorBidi" w:cstheme="majorBidi"/>
          <w:color w:val="333333"/>
          <w:sz w:val="24"/>
          <w:szCs w:val="24"/>
          <w:shd w:val="clear" w:color="auto" w:fill="FCFCFC"/>
        </w:rPr>
      </w:pPr>
    </w:p>
    <w:p w14:paraId="77CCD016" w14:textId="36B41AF1" w:rsidR="008E64B4" w:rsidRPr="00240381" w:rsidRDefault="008E64B4" w:rsidP="004E388A">
      <w:pPr>
        <w:shd w:val="clear" w:color="auto" w:fill="FFFFFF"/>
        <w:spacing w:line="259" w:lineRule="auto"/>
        <w:jc w:val="both"/>
        <w:outlineLvl w:val="2"/>
        <w:rPr>
          <w:rFonts w:asciiTheme="majorBidi" w:hAnsiTheme="majorBidi" w:cstheme="majorBidi"/>
          <w:b/>
          <w:bCs/>
          <w:color w:val="000000"/>
          <w:sz w:val="24"/>
          <w:szCs w:val="24"/>
          <w:lang w:eastAsia="en-GB"/>
        </w:rPr>
      </w:pPr>
      <w:r w:rsidRPr="00240381">
        <w:rPr>
          <w:rFonts w:asciiTheme="majorBidi" w:hAnsiTheme="majorBidi" w:cstheme="majorBidi"/>
          <w:color w:val="333333"/>
          <w:sz w:val="24"/>
          <w:szCs w:val="24"/>
          <w:shd w:val="clear" w:color="auto" w:fill="FCFCFC"/>
        </w:rPr>
        <w:t>The</w:t>
      </w:r>
      <w:r w:rsidR="00240381" w:rsidRPr="00240381">
        <w:rPr>
          <w:rFonts w:asciiTheme="majorBidi" w:hAnsiTheme="majorBidi" w:cstheme="majorBidi"/>
          <w:color w:val="333333"/>
          <w:sz w:val="24"/>
          <w:szCs w:val="24"/>
          <w:shd w:val="clear" w:color="auto" w:fill="FCFCFC"/>
        </w:rPr>
        <w:t xml:space="preserve"> </w:t>
      </w:r>
      <w:r w:rsidR="00240381" w:rsidRPr="00240381">
        <w:rPr>
          <w:sz w:val="24"/>
          <w:szCs w:val="24"/>
        </w:rPr>
        <w:t>United Nations Rules for the Treatment of Women Prisoners and Non-custodial Measures for Women Offenders (Bangkok Rules)</w:t>
      </w:r>
      <w:r w:rsidRPr="00240381">
        <w:rPr>
          <w:rFonts w:asciiTheme="majorBidi" w:hAnsiTheme="majorBidi" w:cstheme="majorBidi"/>
          <w:color w:val="333333"/>
          <w:sz w:val="24"/>
          <w:szCs w:val="24"/>
          <w:shd w:val="clear" w:color="auto" w:fill="FCFCFC"/>
        </w:rPr>
        <w:t xml:space="preserve"> </w:t>
      </w:r>
      <w:r w:rsidR="00240381" w:rsidRPr="00240381">
        <w:rPr>
          <w:rFonts w:asciiTheme="majorBidi" w:hAnsiTheme="majorBidi" w:cstheme="majorBidi"/>
          <w:color w:val="333333"/>
          <w:sz w:val="24"/>
          <w:szCs w:val="24"/>
          <w:shd w:val="clear" w:color="auto" w:fill="FCFCFC"/>
        </w:rPr>
        <w:t xml:space="preserve">are </w:t>
      </w:r>
      <w:r w:rsidRPr="00240381">
        <w:rPr>
          <w:rFonts w:asciiTheme="majorBidi" w:hAnsiTheme="majorBidi" w:cstheme="majorBidi"/>
          <w:color w:val="333333"/>
          <w:sz w:val="24"/>
          <w:szCs w:val="24"/>
          <w:shd w:val="clear" w:color="auto" w:fill="FCFCFC"/>
        </w:rPr>
        <w:t>the most comprehensive effort to account for the treatment and conditions of women in prison.</w:t>
      </w:r>
      <w:r w:rsidR="005E2A64" w:rsidRPr="00240381">
        <w:rPr>
          <w:rStyle w:val="FootnoteReference"/>
          <w:rFonts w:asciiTheme="majorBidi" w:hAnsiTheme="majorBidi" w:cstheme="majorBidi"/>
          <w:color w:val="333333"/>
          <w:sz w:val="24"/>
          <w:szCs w:val="24"/>
          <w:shd w:val="clear" w:color="auto" w:fill="FCFCFC"/>
        </w:rPr>
        <w:footnoteReference w:id="51"/>
      </w:r>
      <w:r w:rsidRPr="00240381">
        <w:rPr>
          <w:rFonts w:asciiTheme="majorBidi" w:hAnsiTheme="majorBidi" w:cstheme="majorBidi"/>
          <w:color w:val="333333"/>
          <w:sz w:val="24"/>
          <w:szCs w:val="24"/>
          <w:shd w:val="clear" w:color="auto" w:fill="FCFCFC"/>
        </w:rPr>
        <w:t xml:space="preserve"> The Rules </w:t>
      </w:r>
      <w:r w:rsidR="00083C31">
        <w:rPr>
          <w:rFonts w:asciiTheme="majorBidi" w:hAnsiTheme="majorBidi" w:cstheme="majorBidi"/>
          <w:color w:val="333333"/>
          <w:sz w:val="24"/>
          <w:szCs w:val="24"/>
          <w:shd w:val="clear" w:color="auto" w:fill="FCFCFC"/>
        </w:rPr>
        <w:t xml:space="preserve">cover a </w:t>
      </w:r>
      <w:r w:rsidRPr="00240381">
        <w:rPr>
          <w:rFonts w:asciiTheme="majorBidi" w:hAnsiTheme="majorBidi" w:cstheme="majorBidi"/>
          <w:color w:val="333333"/>
          <w:sz w:val="24"/>
          <w:szCs w:val="24"/>
          <w:shd w:val="clear" w:color="auto" w:fill="FCFCFC"/>
        </w:rPr>
        <w:t xml:space="preserve">wide </w:t>
      </w:r>
      <w:r w:rsidR="00083C31">
        <w:rPr>
          <w:rFonts w:asciiTheme="majorBidi" w:hAnsiTheme="majorBidi" w:cstheme="majorBidi"/>
          <w:color w:val="333333"/>
          <w:sz w:val="24"/>
          <w:szCs w:val="24"/>
          <w:shd w:val="clear" w:color="auto" w:fill="FCFCFC"/>
        </w:rPr>
        <w:t>range</w:t>
      </w:r>
      <w:r w:rsidRPr="00240381">
        <w:rPr>
          <w:rFonts w:asciiTheme="majorBidi" w:hAnsiTheme="majorBidi" w:cstheme="majorBidi"/>
          <w:color w:val="333333"/>
          <w:sz w:val="24"/>
          <w:szCs w:val="24"/>
          <w:shd w:val="clear" w:color="auto" w:fill="FCFCFC"/>
        </w:rPr>
        <w:t xml:space="preserve"> of issues, including women’s specific hygiene needs, gender-specific healthcare including mental health care services and sexual and reproductive healthcare, gender-based training for prison staff, and conditions necessary to promote opportunities for women to spend time with their children.</w:t>
      </w:r>
      <w:r w:rsidR="005E2A64" w:rsidRPr="00240381">
        <w:rPr>
          <w:rStyle w:val="FootnoteReference"/>
          <w:rFonts w:asciiTheme="majorBidi" w:hAnsiTheme="majorBidi" w:cstheme="majorBidi"/>
          <w:color w:val="333333"/>
          <w:sz w:val="24"/>
          <w:szCs w:val="24"/>
          <w:shd w:val="clear" w:color="auto" w:fill="FCFCFC"/>
        </w:rPr>
        <w:footnoteReference w:id="52"/>
      </w:r>
      <w:r w:rsidRPr="00240381">
        <w:rPr>
          <w:rFonts w:asciiTheme="majorBidi" w:hAnsiTheme="majorBidi" w:cstheme="majorBidi"/>
          <w:color w:val="333333"/>
          <w:sz w:val="24"/>
          <w:szCs w:val="24"/>
          <w:shd w:val="clear" w:color="auto" w:fill="FCFCFC"/>
        </w:rPr>
        <w:t xml:space="preserve"> The Rules also a</w:t>
      </w:r>
      <w:r w:rsidR="00083C31">
        <w:rPr>
          <w:rFonts w:asciiTheme="majorBidi" w:hAnsiTheme="majorBidi" w:cstheme="majorBidi"/>
          <w:color w:val="333333"/>
          <w:sz w:val="24"/>
          <w:szCs w:val="24"/>
          <w:shd w:val="clear" w:color="auto" w:fill="FCFCFC"/>
        </w:rPr>
        <w:t>ddress</w:t>
      </w:r>
      <w:r w:rsidRPr="00240381">
        <w:rPr>
          <w:rFonts w:asciiTheme="majorBidi" w:hAnsiTheme="majorBidi" w:cstheme="majorBidi"/>
          <w:color w:val="333333"/>
          <w:sz w:val="24"/>
          <w:szCs w:val="24"/>
          <w:shd w:val="clear" w:color="auto" w:fill="FCFCFC"/>
        </w:rPr>
        <w:t xml:space="preserve"> the unique needs of minority, indigenous and foreign national women in prison.</w:t>
      </w:r>
      <w:r w:rsidR="005E2A64" w:rsidRPr="00240381">
        <w:rPr>
          <w:rStyle w:val="FootnoteReference"/>
          <w:rFonts w:asciiTheme="majorBidi" w:hAnsiTheme="majorBidi" w:cstheme="majorBidi"/>
          <w:color w:val="333333"/>
          <w:sz w:val="24"/>
          <w:szCs w:val="24"/>
          <w:shd w:val="clear" w:color="auto" w:fill="FCFCFC"/>
        </w:rPr>
        <w:footnoteReference w:id="53"/>
      </w:r>
      <w:r w:rsidR="005435EE">
        <w:rPr>
          <w:rFonts w:asciiTheme="majorBidi" w:hAnsiTheme="majorBidi" w:cstheme="majorBidi"/>
          <w:color w:val="333333"/>
          <w:sz w:val="24"/>
          <w:szCs w:val="24"/>
          <w:shd w:val="clear" w:color="auto" w:fill="FCFCFC"/>
        </w:rPr>
        <w:t xml:space="preserve"> Notably however</w:t>
      </w:r>
      <w:r w:rsidR="00DA3780">
        <w:rPr>
          <w:rFonts w:asciiTheme="majorBidi" w:hAnsiTheme="majorBidi" w:cstheme="majorBidi"/>
          <w:color w:val="333333"/>
          <w:sz w:val="24"/>
          <w:szCs w:val="24"/>
          <w:shd w:val="clear" w:color="auto" w:fill="FCFCFC"/>
        </w:rPr>
        <w:t>,</w:t>
      </w:r>
      <w:r w:rsidR="005435EE">
        <w:rPr>
          <w:rFonts w:asciiTheme="majorBidi" w:hAnsiTheme="majorBidi" w:cstheme="majorBidi"/>
          <w:color w:val="333333"/>
          <w:sz w:val="24"/>
          <w:szCs w:val="24"/>
          <w:shd w:val="clear" w:color="auto" w:fill="FCFCFC"/>
        </w:rPr>
        <w:t xml:space="preserve"> the Rules fail to address the specific needs of transgender women.</w:t>
      </w:r>
      <w:r w:rsidR="00DA3780">
        <w:rPr>
          <w:rFonts w:asciiTheme="majorBidi" w:hAnsiTheme="majorBidi" w:cstheme="majorBidi"/>
          <w:color w:val="333333"/>
          <w:sz w:val="24"/>
          <w:szCs w:val="24"/>
          <w:shd w:val="clear" w:color="auto" w:fill="FCFCFC"/>
        </w:rPr>
        <w:t xml:space="preserve"> Filling this gap</w:t>
      </w:r>
      <w:r w:rsidRPr="00240381">
        <w:rPr>
          <w:rFonts w:asciiTheme="majorBidi" w:hAnsiTheme="majorBidi" w:cstheme="majorBidi"/>
          <w:color w:val="333333"/>
          <w:sz w:val="24"/>
          <w:szCs w:val="24"/>
          <w:shd w:val="clear" w:color="auto" w:fill="FCFCFC"/>
        </w:rPr>
        <w:t>, the Yogyakarta Principles incorporate recommendations specific to the treatment of transgender people in prison</w:t>
      </w:r>
      <w:r w:rsidR="00DA3780">
        <w:rPr>
          <w:rFonts w:asciiTheme="majorBidi" w:hAnsiTheme="majorBidi" w:cstheme="majorBidi"/>
          <w:color w:val="333333"/>
          <w:sz w:val="24"/>
          <w:szCs w:val="24"/>
          <w:shd w:val="clear" w:color="auto" w:fill="FCFCFC"/>
        </w:rPr>
        <w:t>.</w:t>
      </w:r>
      <w:r w:rsidR="00E421D1" w:rsidRPr="00240381">
        <w:rPr>
          <w:rStyle w:val="FootnoteReference"/>
          <w:rFonts w:asciiTheme="majorBidi" w:hAnsiTheme="majorBidi" w:cstheme="majorBidi"/>
          <w:color w:val="333333"/>
          <w:sz w:val="24"/>
          <w:szCs w:val="24"/>
          <w:shd w:val="clear" w:color="auto" w:fill="FCFCFC"/>
        </w:rPr>
        <w:footnoteReference w:id="54"/>
      </w:r>
    </w:p>
    <w:p w14:paraId="5C28F200" w14:textId="6BACB8A6" w:rsidR="009F00AF" w:rsidRPr="00FE2B98" w:rsidRDefault="009F00AF" w:rsidP="00E421D1">
      <w:pPr>
        <w:rPr>
          <w:rFonts w:asciiTheme="majorBidi" w:hAnsiTheme="majorBidi" w:cstheme="majorBidi"/>
          <w:sz w:val="24"/>
          <w:szCs w:val="24"/>
          <w:shd w:val="clear" w:color="auto" w:fill="FFFFFF"/>
        </w:rPr>
      </w:pPr>
    </w:p>
    <w:p w14:paraId="29D8CEEE" w14:textId="77777777" w:rsidR="003474A5" w:rsidRPr="00FE2B98" w:rsidRDefault="00BD7C90">
      <w:pPr>
        <w:rPr>
          <w:rFonts w:asciiTheme="majorBidi" w:hAnsiTheme="majorBidi" w:cstheme="majorBidi"/>
          <w:sz w:val="24"/>
          <w:szCs w:val="24"/>
          <w:lang w:val="en"/>
        </w:rPr>
      </w:pPr>
    </w:p>
    <w:sectPr w:rsidR="003474A5" w:rsidRPr="00FE2B98" w:rsidSect="00ED053D">
      <w:footerReference w:type="default" r:id="rId12"/>
      <w:headerReference w:type="first" r:id="rId13"/>
      <w:foot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2D2AD" w14:textId="77777777" w:rsidR="00957E22" w:rsidRDefault="00957E22" w:rsidP="009F00AF">
      <w:r>
        <w:separator/>
      </w:r>
    </w:p>
  </w:endnote>
  <w:endnote w:type="continuationSeparator" w:id="0">
    <w:p w14:paraId="48141EA2" w14:textId="77777777" w:rsidR="00957E22" w:rsidRDefault="00957E22"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AdvOT863180fb">
    <w:altName w:val="Cambria"/>
    <w:panose1 w:val="00000000000000000000"/>
    <w:charset w:val="00"/>
    <w:family w:val="roman"/>
    <w:notTrueType/>
    <w:pitch w:val="default"/>
    <w:sig w:usb0="00000003" w:usb1="00000000" w:usb2="00000000" w:usb3="00000000" w:csb0="00000001" w:csb1="00000000"/>
  </w:font>
  <w:font w:name="StoneSansStd-Mediu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6F3786A4" w:rsidR="00373EF9" w:rsidRDefault="009F00AF">
        <w:pPr>
          <w:pStyle w:val="Footer"/>
          <w:jc w:val="center"/>
        </w:pPr>
        <w:r>
          <w:fldChar w:fldCharType="begin"/>
        </w:r>
        <w:r>
          <w:instrText xml:space="preserve"> PAGE   \* MERGEFORMAT </w:instrText>
        </w:r>
        <w:r>
          <w:fldChar w:fldCharType="separate"/>
        </w:r>
        <w:r w:rsidR="00BD7C90">
          <w:rPr>
            <w:noProof/>
          </w:rPr>
          <w:t>3</w:t>
        </w:r>
        <w:r>
          <w:rPr>
            <w:noProof/>
          </w:rPr>
          <w:fldChar w:fldCharType="end"/>
        </w:r>
      </w:p>
    </w:sdtContent>
  </w:sdt>
  <w:p w14:paraId="5A6E9ADE" w14:textId="77777777" w:rsidR="00A93F3F" w:rsidRDefault="00BD7C90"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44209B" w:rsidRPr="003F10CA" w:rsidRDefault="009F00AF" w:rsidP="0044209B">
    <w:pPr>
      <w:pStyle w:val="Footer"/>
      <w:tabs>
        <w:tab w:val="left" w:pos="567"/>
      </w:tabs>
    </w:pPr>
    <w:r w:rsidRPr="00904039">
      <w:rPr>
        <w:sz w:val="24"/>
      </w:rPr>
      <w:t xml:space="preserve"> </w:t>
    </w:r>
  </w:p>
  <w:p w14:paraId="2C78BA67" w14:textId="77777777" w:rsidR="00A93F3F" w:rsidRPr="00282983" w:rsidRDefault="009F00AF"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F4655" w14:textId="77777777" w:rsidR="00957E22" w:rsidRDefault="00957E22" w:rsidP="009F00AF">
      <w:r>
        <w:separator/>
      </w:r>
    </w:p>
  </w:footnote>
  <w:footnote w:type="continuationSeparator" w:id="0">
    <w:p w14:paraId="39E66785" w14:textId="77777777" w:rsidR="00957E22" w:rsidRDefault="00957E22" w:rsidP="009F00AF">
      <w:r>
        <w:continuationSeparator/>
      </w:r>
    </w:p>
  </w:footnote>
  <w:footnote w:id="1">
    <w:p w14:paraId="56D8D15B" w14:textId="0A1561AF" w:rsidR="001D2C04" w:rsidRPr="0080753B" w:rsidRDefault="001D2C04" w:rsidP="001D2C04">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w:t>
      </w:r>
      <w:r w:rsidR="00AD4287" w:rsidRPr="0080753B">
        <w:rPr>
          <w:rFonts w:asciiTheme="majorBidi" w:hAnsiTheme="majorBidi" w:cstheme="majorBidi"/>
          <w:sz w:val="18"/>
          <w:szCs w:val="18"/>
        </w:rPr>
        <w:t>Report of the</w:t>
      </w:r>
      <w:r w:rsidR="000D0D72">
        <w:rPr>
          <w:rFonts w:asciiTheme="majorBidi" w:hAnsiTheme="majorBidi" w:cstheme="majorBidi"/>
          <w:sz w:val="18"/>
          <w:szCs w:val="18"/>
        </w:rPr>
        <w:t xml:space="preserve"> U.N.</w:t>
      </w:r>
      <w:r w:rsidR="00AD4287" w:rsidRPr="0080753B">
        <w:rPr>
          <w:rFonts w:asciiTheme="majorBidi" w:hAnsiTheme="majorBidi" w:cstheme="majorBidi"/>
          <w:sz w:val="18"/>
          <w:szCs w:val="18"/>
        </w:rPr>
        <w:t xml:space="preserve"> Special Rapporteur on torture and other cruel, inhuman or degrading treatment or punishment, U.N. Doc. A/HRC/31/57, para. 13, 5 January 2016</w:t>
      </w:r>
      <w:r w:rsidR="00AD4287">
        <w:rPr>
          <w:rFonts w:asciiTheme="majorBidi" w:hAnsiTheme="majorBidi" w:cstheme="majorBidi"/>
          <w:sz w:val="18"/>
          <w:szCs w:val="18"/>
        </w:rPr>
        <w:t xml:space="preserve">; </w:t>
      </w:r>
      <w:r w:rsidRPr="0080753B">
        <w:rPr>
          <w:rFonts w:asciiTheme="majorBidi" w:hAnsiTheme="majorBidi" w:cstheme="majorBidi"/>
          <w:sz w:val="18"/>
          <w:szCs w:val="18"/>
        </w:rPr>
        <w:t>Gender Perspectives on Torture: Law and Practice, American University – Washington College of the Law, Center on Human Rights and Humanitarian Law - Anti-Torture Initiative, 2016, Therese Rytter &amp; Andrea Huber, Women in the Criminal Justice System and the Bangkok Rules, 217.</w:t>
      </w:r>
    </w:p>
  </w:footnote>
  <w:footnote w:id="2">
    <w:p w14:paraId="2B7426DA" w14:textId="6930C296" w:rsidR="006B1DDE" w:rsidRPr="0080753B" w:rsidRDefault="006B1DDE" w:rsidP="006B1DDE">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Report of the </w:t>
      </w:r>
      <w:r w:rsidR="000D0D72">
        <w:rPr>
          <w:rFonts w:asciiTheme="majorBidi" w:hAnsiTheme="majorBidi" w:cstheme="majorBidi"/>
          <w:sz w:val="18"/>
          <w:szCs w:val="18"/>
        </w:rPr>
        <w:t xml:space="preserve">U.N. </w:t>
      </w:r>
      <w:r w:rsidRPr="0080753B">
        <w:rPr>
          <w:rFonts w:asciiTheme="majorBidi" w:hAnsiTheme="majorBidi" w:cstheme="majorBidi"/>
          <w:sz w:val="18"/>
          <w:szCs w:val="18"/>
        </w:rPr>
        <w:t xml:space="preserve">Special Rapporteur on torture and other cruel, inhuman or degrading treatment or punishment, U.N. Doc. A/HRC/31/57, para. 5, 5 January 2016. </w:t>
      </w:r>
    </w:p>
  </w:footnote>
  <w:footnote w:id="3">
    <w:p w14:paraId="745A1EAE" w14:textId="77777777" w:rsidR="00D3792E" w:rsidRPr="0080753B" w:rsidRDefault="00D3792E" w:rsidP="00D3792E">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Carlen, Pat (1983) Women's Imprisonment. London: Routledge; Carlen, Pat (1985) Criminal Women. London: Routledge; Heidensohn, Frances (1996) Women and Crime. London: Macmillan.</w:t>
      </w:r>
    </w:p>
  </w:footnote>
  <w:footnote w:id="4">
    <w:p w14:paraId="4057F106" w14:textId="1CE63CF7" w:rsidR="00D3792E" w:rsidRPr="0080753B" w:rsidRDefault="00D3792E" w:rsidP="00D3792E">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w:t>
      </w:r>
      <w:r w:rsidR="003959D3">
        <w:rPr>
          <w:rFonts w:asciiTheme="majorBidi" w:hAnsiTheme="majorBidi" w:cstheme="majorBidi"/>
          <w:i/>
          <w:iCs/>
          <w:sz w:val="18"/>
          <w:szCs w:val="18"/>
        </w:rPr>
        <w:t xml:space="preserve">See e.g. </w:t>
      </w:r>
      <w:r w:rsidRPr="0080753B">
        <w:rPr>
          <w:rFonts w:asciiTheme="majorBidi" w:hAnsiTheme="majorBidi" w:cstheme="majorBidi"/>
          <w:sz w:val="18"/>
          <w:szCs w:val="18"/>
        </w:rPr>
        <w:t>Carrabine, Eamonn and Brian Longhurst (1998) Gender and Prison Organisation: Some Comments on Masculinities and Prison Management. The Howard Journal of Criminal Justice 37(2) pp.161</w:t>
      </w:r>
      <w:r w:rsidR="00373FE3">
        <w:rPr>
          <w:rFonts w:asciiTheme="majorBidi" w:hAnsiTheme="majorBidi" w:cstheme="majorBidi"/>
          <w:sz w:val="18"/>
          <w:szCs w:val="18"/>
        </w:rPr>
        <w:t>-</w:t>
      </w:r>
      <w:r w:rsidRPr="0080753B">
        <w:rPr>
          <w:rFonts w:asciiTheme="majorBidi" w:hAnsiTheme="majorBidi" w:cstheme="majorBidi"/>
          <w:sz w:val="18"/>
          <w:szCs w:val="18"/>
        </w:rPr>
        <w:t>76; Crewe, Ben (2006) Male prisoners, orientations toward female officers in English prisons, Punishment &amp; Society 8(4) pp.395</w:t>
      </w:r>
      <w:r w:rsidR="00373FE3">
        <w:rPr>
          <w:rFonts w:asciiTheme="majorBidi" w:hAnsiTheme="majorBidi" w:cstheme="majorBidi"/>
          <w:sz w:val="18"/>
          <w:szCs w:val="18"/>
        </w:rPr>
        <w:t>-</w:t>
      </w:r>
      <w:r w:rsidRPr="0080753B">
        <w:rPr>
          <w:rFonts w:asciiTheme="majorBidi" w:hAnsiTheme="majorBidi" w:cstheme="majorBidi"/>
          <w:sz w:val="18"/>
          <w:szCs w:val="18"/>
        </w:rPr>
        <w:t>421.</w:t>
      </w:r>
    </w:p>
  </w:footnote>
  <w:footnote w:id="5">
    <w:p w14:paraId="68232CE0" w14:textId="76B1806B" w:rsidR="00C51247" w:rsidRPr="0080753B" w:rsidRDefault="00C51247" w:rsidP="00C51247">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Report of the </w:t>
      </w:r>
      <w:r w:rsidR="000D0D72">
        <w:rPr>
          <w:rFonts w:asciiTheme="majorBidi" w:hAnsiTheme="majorBidi" w:cstheme="majorBidi"/>
          <w:sz w:val="18"/>
          <w:szCs w:val="18"/>
        </w:rPr>
        <w:t xml:space="preserve">U.N. </w:t>
      </w:r>
      <w:r w:rsidRPr="0080753B">
        <w:rPr>
          <w:rFonts w:asciiTheme="majorBidi" w:hAnsiTheme="majorBidi" w:cstheme="majorBidi"/>
          <w:sz w:val="18"/>
          <w:szCs w:val="18"/>
        </w:rPr>
        <w:t>Special Rapporteur on torture and other cruel, inhuman or degrading treatment or punishment, U.N. Doc. A/HRC/31/57, para. 20, 5 January 2016.</w:t>
      </w:r>
    </w:p>
  </w:footnote>
  <w:footnote w:id="6">
    <w:p w14:paraId="710B7AD3" w14:textId="3701BA08" w:rsidR="003C7C85" w:rsidRPr="0080753B" w:rsidRDefault="003C7C85" w:rsidP="003C7C85">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Report of the </w:t>
      </w:r>
      <w:r w:rsidR="000D0D72">
        <w:rPr>
          <w:rFonts w:asciiTheme="majorBidi" w:hAnsiTheme="majorBidi" w:cstheme="majorBidi"/>
          <w:sz w:val="18"/>
          <w:szCs w:val="18"/>
        </w:rPr>
        <w:t xml:space="preserve">U.N. </w:t>
      </w:r>
      <w:r w:rsidRPr="0080753B">
        <w:rPr>
          <w:rFonts w:asciiTheme="majorBidi" w:hAnsiTheme="majorBidi" w:cstheme="majorBidi"/>
          <w:sz w:val="18"/>
          <w:szCs w:val="18"/>
        </w:rPr>
        <w:t xml:space="preserve">Special Rapporteur on torture and other cruel, inhuman or degrading treatment or punishment, U.N. Doc. A/HRC/31/57, para. 14, 5 January 2016. </w:t>
      </w:r>
    </w:p>
  </w:footnote>
  <w:footnote w:id="7">
    <w:p w14:paraId="287D6950" w14:textId="5AEF8D08" w:rsidR="00C51247" w:rsidRPr="0080753B" w:rsidRDefault="00C51247" w:rsidP="00C51247">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Report of the </w:t>
      </w:r>
      <w:r w:rsidR="000D0D72">
        <w:rPr>
          <w:rFonts w:asciiTheme="majorBidi" w:hAnsiTheme="majorBidi" w:cstheme="majorBidi"/>
          <w:sz w:val="18"/>
          <w:szCs w:val="18"/>
        </w:rPr>
        <w:t xml:space="preserve">U.N. </w:t>
      </w:r>
      <w:r w:rsidRPr="0080753B">
        <w:rPr>
          <w:rFonts w:asciiTheme="majorBidi" w:hAnsiTheme="majorBidi" w:cstheme="majorBidi"/>
          <w:sz w:val="18"/>
          <w:szCs w:val="18"/>
        </w:rPr>
        <w:t xml:space="preserve">Special Rapporteur on torture and other cruel, inhuman or degrading treatment or punishment, U.N. Doc. A/HRC/31/57, para. 14, 5 January 2016. </w:t>
      </w:r>
    </w:p>
  </w:footnote>
  <w:footnote w:id="8">
    <w:p w14:paraId="53779136" w14:textId="21165341" w:rsidR="00C51247" w:rsidRPr="0080753B" w:rsidRDefault="00C51247" w:rsidP="00C51247">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Report of the </w:t>
      </w:r>
      <w:r w:rsidR="000D0D72">
        <w:rPr>
          <w:rFonts w:asciiTheme="majorBidi" w:hAnsiTheme="majorBidi" w:cstheme="majorBidi"/>
          <w:sz w:val="18"/>
          <w:szCs w:val="18"/>
        </w:rPr>
        <w:t xml:space="preserve">U.N. </w:t>
      </w:r>
      <w:r w:rsidRPr="0080753B">
        <w:rPr>
          <w:rFonts w:asciiTheme="majorBidi" w:hAnsiTheme="majorBidi" w:cstheme="majorBidi"/>
          <w:sz w:val="18"/>
          <w:szCs w:val="18"/>
        </w:rPr>
        <w:t>Special Rapporteur on torture and other cruel, inhuman or degrading treatment or punishment, U.N. Doc. A/HRC/31/57, para. 20, 5 January 2016.</w:t>
      </w:r>
    </w:p>
  </w:footnote>
  <w:footnote w:id="9">
    <w:p w14:paraId="0B5FD63B" w14:textId="1C0C2DA0" w:rsidR="00DC520E" w:rsidRPr="0080753B" w:rsidRDefault="00DC520E" w:rsidP="00DC520E">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Report of the </w:t>
      </w:r>
      <w:r w:rsidR="000D0D72">
        <w:rPr>
          <w:rFonts w:asciiTheme="majorBidi" w:hAnsiTheme="majorBidi" w:cstheme="majorBidi"/>
          <w:sz w:val="18"/>
          <w:szCs w:val="18"/>
        </w:rPr>
        <w:t xml:space="preserve">U.N. </w:t>
      </w:r>
      <w:r w:rsidRPr="0080753B">
        <w:rPr>
          <w:rFonts w:asciiTheme="majorBidi" w:hAnsiTheme="majorBidi" w:cstheme="majorBidi"/>
          <w:sz w:val="18"/>
          <w:szCs w:val="18"/>
        </w:rPr>
        <w:t>Special Rapporteur on torture and other cruel, inhuman or degrading treatment or punishment, U.N. Doc. A/HRC/31/57, para. 20, 5 January 2016.</w:t>
      </w:r>
    </w:p>
  </w:footnote>
  <w:footnote w:id="10">
    <w:p w14:paraId="2F6991EB" w14:textId="18E8E54E" w:rsidR="00AD2FF5" w:rsidRPr="0080753B" w:rsidRDefault="00AD2FF5" w:rsidP="00AD2FF5">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Report of the </w:t>
      </w:r>
      <w:r w:rsidR="000D0D72">
        <w:rPr>
          <w:rFonts w:asciiTheme="majorBidi" w:hAnsiTheme="majorBidi" w:cstheme="majorBidi"/>
          <w:sz w:val="18"/>
          <w:szCs w:val="18"/>
        </w:rPr>
        <w:t xml:space="preserve">U.N. </w:t>
      </w:r>
      <w:r w:rsidRPr="0080753B">
        <w:rPr>
          <w:rFonts w:asciiTheme="majorBidi" w:hAnsiTheme="majorBidi" w:cstheme="majorBidi"/>
          <w:sz w:val="18"/>
          <w:szCs w:val="18"/>
        </w:rPr>
        <w:t xml:space="preserve">Special Rapporteur on torture and other cruel, inhuman or degrading treatment or punishment, U.N. Doc. A/HRC/31/57, para. </w:t>
      </w:r>
      <w:r>
        <w:rPr>
          <w:rFonts w:asciiTheme="majorBidi" w:hAnsiTheme="majorBidi" w:cstheme="majorBidi"/>
          <w:sz w:val="18"/>
          <w:szCs w:val="18"/>
        </w:rPr>
        <w:t>19</w:t>
      </w:r>
      <w:r w:rsidRPr="0080753B">
        <w:rPr>
          <w:rFonts w:asciiTheme="majorBidi" w:hAnsiTheme="majorBidi" w:cstheme="majorBidi"/>
          <w:sz w:val="18"/>
          <w:szCs w:val="18"/>
        </w:rPr>
        <w:t>, 5 January 2016.</w:t>
      </w:r>
    </w:p>
  </w:footnote>
  <w:footnote w:id="11">
    <w:p w14:paraId="3CF78CE2" w14:textId="4E3373F3" w:rsidR="00FD1AF7" w:rsidRPr="0080753B" w:rsidRDefault="00FD1AF7" w:rsidP="00FD1AF7">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Report of the </w:t>
      </w:r>
      <w:r w:rsidR="000D0D72">
        <w:rPr>
          <w:rFonts w:asciiTheme="majorBidi" w:hAnsiTheme="majorBidi" w:cstheme="majorBidi"/>
          <w:sz w:val="18"/>
          <w:szCs w:val="18"/>
        </w:rPr>
        <w:t xml:space="preserve">U.N. </w:t>
      </w:r>
      <w:r w:rsidRPr="0080753B">
        <w:rPr>
          <w:rFonts w:asciiTheme="majorBidi" w:hAnsiTheme="majorBidi" w:cstheme="majorBidi"/>
          <w:sz w:val="18"/>
          <w:szCs w:val="18"/>
        </w:rPr>
        <w:t xml:space="preserve">Special Rapporteur on torture and other cruel, inhuman or degrading treatment or punishment, U.N. Doc. A/HRC/31/57, para. </w:t>
      </w:r>
      <w:r>
        <w:rPr>
          <w:rFonts w:asciiTheme="majorBidi" w:hAnsiTheme="majorBidi" w:cstheme="majorBidi"/>
          <w:sz w:val="18"/>
          <w:szCs w:val="18"/>
        </w:rPr>
        <w:t>19</w:t>
      </w:r>
      <w:r w:rsidRPr="0080753B">
        <w:rPr>
          <w:rFonts w:asciiTheme="majorBidi" w:hAnsiTheme="majorBidi" w:cstheme="majorBidi"/>
          <w:sz w:val="18"/>
          <w:szCs w:val="18"/>
        </w:rPr>
        <w:t>, 5 January 2016.</w:t>
      </w:r>
    </w:p>
  </w:footnote>
  <w:footnote w:id="12">
    <w:p w14:paraId="0A4D6294" w14:textId="77777777" w:rsidR="00920E8F" w:rsidRPr="0080753B" w:rsidRDefault="00920E8F" w:rsidP="00920E8F">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Report of the Special Rapporteur on torture and other cruel, inhuman or degrading treatment or punishment, U.N. Doc. A/HRC/31/57, para. 34, 5 January 2016. </w:t>
      </w:r>
    </w:p>
  </w:footnote>
  <w:footnote w:id="13">
    <w:p w14:paraId="6E77F8B5" w14:textId="77777777" w:rsidR="00920E8F" w:rsidRPr="0080753B" w:rsidRDefault="00920E8F" w:rsidP="00920E8F">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Report of the Special Rapporteur on torture and other cruel, inhuman or degrading treatment or punishment, U.N. Doc. A/HRC/31/57, para. 35, 5 January 2016, citing Report of the Office of the United Nations High Commissioner for Human Rights concerning, Discrimination and violence against individuals based on their sexual orientation and gender identity, U.N. Doc. A/HRC/29/23, 4 May 2015.</w:t>
      </w:r>
    </w:p>
  </w:footnote>
  <w:footnote w:id="14">
    <w:p w14:paraId="536A2727" w14:textId="77777777" w:rsidR="00920E8F" w:rsidRPr="0080753B" w:rsidRDefault="00920E8F" w:rsidP="00920E8F">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Report of the Special Rapporteur on torture and other cruel, inhuman or degrading treatment or punishment, U.N. Doc. A/HRC/31/57, para. 36, 5 January 2016. </w:t>
      </w:r>
    </w:p>
  </w:footnote>
  <w:footnote w:id="15">
    <w:p w14:paraId="13A6A3A9" w14:textId="77777777" w:rsidR="00920E8F" w:rsidRPr="0080753B" w:rsidRDefault="00920E8F" w:rsidP="00920E8F">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Report of the Special Rapporteur on torture and other cruel, inhuman or degrading treatment or punishment, U.N. Doc. A/HRC/31/57, para. 36, 5 January 2016, citing conclusions and recommendations of the Committee against Torture’s consideration of Egypt, U.N. Doc. CAT/C/CR/29/4, 23 December 2002.</w:t>
      </w:r>
    </w:p>
  </w:footnote>
  <w:footnote w:id="16">
    <w:p w14:paraId="15AF7E2C" w14:textId="0CC8F28D" w:rsidR="0081779C" w:rsidRPr="00295582" w:rsidRDefault="0081779C" w:rsidP="0081779C">
      <w:pPr>
        <w:pStyle w:val="s5891fd46"/>
        <w:shd w:val="clear" w:color="auto" w:fill="FFFFFF"/>
        <w:spacing w:before="0" w:beforeAutospacing="0" w:after="0" w:afterAutospacing="0"/>
        <w:jc w:val="both"/>
        <w:rPr>
          <w:rFonts w:asciiTheme="majorBidi" w:hAnsiTheme="majorBidi" w:cstheme="majorBidi"/>
          <w:color w:val="000000"/>
          <w:sz w:val="18"/>
          <w:szCs w:val="18"/>
          <w:lang w:val="en-US"/>
        </w:rPr>
      </w:pPr>
      <w:r w:rsidRPr="0081779C">
        <w:rPr>
          <w:rStyle w:val="FootnoteReference"/>
          <w:rFonts w:asciiTheme="majorBidi" w:hAnsiTheme="majorBidi" w:cstheme="majorBidi"/>
          <w:sz w:val="18"/>
          <w:szCs w:val="18"/>
        </w:rPr>
        <w:footnoteRef/>
      </w:r>
      <w:r w:rsidRPr="0081779C">
        <w:rPr>
          <w:rFonts w:asciiTheme="majorBidi" w:hAnsiTheme="majorBidi" w:cstheme="majorBidi"/>
          <w:sz w:val="18"/>
          <w:szCs w:val="18"/>
          <w:lang w:val="en-US"/>
        </w:rPr>
        <w:t xml:space="preserve"> CPT, </w:t>
      </w:r>
      <w:r w:rsidRPr="0081779C">
        <w:rPr>
          <w:rStyle w:val="s7d2086b4"/>
          <w:rFonts w:asciiTheme="majorBidi" w:hAnsiTheme="majorBidi" w:cstheme="majorBidi"/>
          <w:color w:val="000000"/>
          <w:sz w:val="18"/>
          <w:szCs w:val="18"/>
          <w:lang w:val="en-US"/>
        </w:rPr>
        <w:t>Romania: Visit 2018</w:t>
      </w:r>
      <w:r w:rsidRPr="0081779C">
        <w:rPr>
          <w:rFonts w:asciiTheme="majorBidi" w:hAnsiTheme="majorBidi" w:cstheme="majorBidi"/>
          <w:color w:val="000000"/>
          <w:sz w:val="18"/>
          <w:szCs w:val="18"/>
          <w:lang w:val="en-US"/>
        </w:rPr>
        <w:t xml:space="preserve">, </w:t>
      </w:r>
      <w:r w:rsidRPr="0081779C">
        <w:rPr>
          <w:rStyle w:val="s7d2086b4"/>
          <w:rFonts w:asciiTheme="majorBidi" w:hAnsiTheme="majorBidi" w:cstheme="majorBidi"/>
          <w:color w:val="000000"/>
          <w:sz w:val="18"/>
          <w:szCs w:val="18"/>
          <w:lang w:val="en-US"/>
        </w:rPr>
        <w:t>CPT/Inf (2019) 7 | Section: 19/39 | Date:  30/06/2018</w:t>
      </w:r>
      <w:r w:rsidRPr="0081779C">
        <w:rPr>
          <w:rFonts w:asciiTheme="majorBidi" w:hAnsiTheme="majorBidi" w:cstheme="majorBidi"/>
          <w:color w:val="000000"/>
          <w:sz w:val="18"/>
          <w:szCs w:val="18"/>
          <w:lang w:val="en-US"/>
        </w:rPr>
        <w:t xml:space="preserve">, </w:t>
      </w:r>
      <w:r w:rsidRPr="0081779C">
        <w:rPr>
          <w:rStyle w:val="s7d2086b4"/>
          <w:rFonts w:asciiTheme="majorBidi" w:hAnsiTheme="majorBidi" w:cstheme="majorBidi"/>
          <w:color w:val="000000"/>
          <w:sz w:val="18"/>
          <w:szCs w:val="18"/>
          <w:lang w:val="en-US"/>
        </w:rPr>
        <w:t>B. Prison establishments / 2. Ill-</w:t>
      </w:r>
      <w:r w:rsidRPr="00804871">
        <w:rPr>
          <w:rStyle w:val="s7d2086b4"/>
          <w:rFonts w:asciiTheme="majorBidi" w:hAnsiTheme="majorBidi" w:cstheme="majorBidi"/>
          <w:color w:val="000000"/>
          <w:sz w:val="18"/>
          <w:szCs w:val="18"/>
          <w:lang w:val="en-US"/>
        </w:rPr>
        <w:t xml:space="preserve">treatment / d. inter-prisoner violence, </w:t>
      </w:r>
      <w:hyperlink r:id="rId1" w:anchor="{%22fulltext%22:[%22anal%20rape%22],%22sort%22:[%22CPTDocumentDate%20Descending,CPTDocumentID%20Ascending,CPTSectionNumber%20Ascending%22],%22CPTSectionID%22:[%22p-rom-20180207-en-19%22]}" w:history="1">
        <w:r w:rsidRPr="00804871">
          <w:rPr>
            <w:rStyle w:val="Hyperlink"/>
            <w:rFonts w:asciiTheme="majorBidi" w:hAnsiTheme="majorBidi" w:cstheme="majorBidi"/>
            <w:sz w:val="18"/>
            <w:szCs w:val="18"/>
            <w:lang w:val="en-US"/>
          </w:rPr>
          <w:t xml:space="preserve">II. Facts found during the visit and action proposed / B. Prison establishments / 2. </w:t>
        </w:r>
        <w:r w:rsidRPr="00295582">
          <w:rPr>
            <w:rStyle w:val="Hyperlink"/>
            <w:rFonts w:asciiTheme="majorBidi" w:hAnsiTheme="majorBidi" w:cstheme="majorBidi"/>
            <w:sz w:val="18"/>
            <w:szCs w:val="18"/>
            <w:lang w:val="en-US"/>
          </w:rPr>
          <w:t>Ill-treatment / d. inter-prisoner violence (coe.int)</w:t>
        </w:r>
      </w:hyperlink>
      <w:r w:rsidRPr="00295582">
        <w:rPr>
          <w:rFonts w:asciiTheme="majorBidi" w:hAnsiTheme="majorBidi" w:cstheme="majorBidi"/>
          <w:sz w:val="18"/>
          <w:szCs w:val="18"/>
          <w:lang w:val="en-US"/>
        </w:rPr>
        <w:t xml:space="preserve">. </w:t>
      </w:r>
    </w:p>
  </w:footnote>
  <w:footnote w:id="17">
    <w:p w14:paraId="64302D0F" w14:textId="77EDA02E" w:rsidR="0081779C" w:rsidRPr="00804871" w:rsidRDefault="0081779C" w:rsidP="0081779C">
      <w:pPr>
        <w:pStyle w:val="sf4f42195"/>
        <w:shd w:val="clear" w:color="auto" w:fill="FFFFFF"/>
        <w:spacing w:before="0" w:beforeAutospacing="0" w:after="0" w:afterAutospacing="0"/>
        <w:rPr>
          <w:rFonts w:asciiTheme="majorBidi" w:hAnsiTheme="majorBidi" w:cstheme="majorBidi"/>
          <w:color w:val="000000"/>
          <w:sz w:val="18"/>
          <w:szCs w:val="18"/>
          <w:lang w:val="en-US"/>
        </w:rPr>
      </w:pPr>
      <w:r w:rsidRPr="00804871">
        <w:rPr>
          <w:rStyle w:val="FootnoteReference"/>
          <w:rFonts w:asciiTheme="majorBidi" w:hAnsiTheme="majorBidi" w:cstheme="majorBidi"/>
          <w:sz w:val="18"/>
          <w:szCs w:val="18"/>
        </w:rPr>
        <w:footnoteRef/>
      </w:r>
      <w:r w:rsidRPr="00804871">
        <w:rPr>
          <w:rFonts w:asciiTheme="majorBidi" w:hAnsiTheme="majorBidi" w:cstheme="majorBidi"/>
          <w:sz w:val="18"/>
          <w:szCs w:val="18"/>
          <w:lang w:val="en-US"/>
        </w:rPr>
        <w:t xml:space="preserve"> CPT, </w:t>
      </w:r>
      <w:r w:rsidRPr="00804871">
        <w:rPr>
          <w:rStyle w:val="sa2b98c15"/>
          <w:rFonts w:asciiTheme="majorBidi" w:hAnsiTheme="majorBidi" w:cstheme="majorBidi"/>
          <w:color w:val="000000"/>
          <w:sz w:val="18"/>
          <w:szCs w:val="18"/>
          <w:lang w:val="en-US"/>
        </w:rPr>
        <w:t>Czech Republic: Visit 2006</w:t>
      </w:r>
      <w:r w:rsidRPr="00804871">
        <w:rPr>
          <w:rFonts w:asciiTheme="majorBidi" w:hAnsiTheme="majorBidi" w:cstheme="majorBidi"/>
          <w:color w:val="000000"/>
          <w:sz w:val="18"/>
          <w:szCs w:val="18"/>
          <w:lang w:val="en-US"/>
        </w:rPr>
        <w:t xml:space="preserve">, </w:t>
      </w:r>
      <w:r w:rsidRPr="00804871">
        <w:rPr>
          <w:rStyle w:val="sa2b98c15"/>
          <w:rFonts w:asciiTheme="majorBidi" w:hAnsiTheme="majorBidi" w:cstheme="majorBidi"/>
          <w:color w:val="000000"/>
          <w:sz w:val="18"/>
          <w:szCs w:val="18"/>
          <w:lang w:val="en-US"/>
        </w:rPr>
        <w:t>CPT/Inf (2007) 32 | Section: 19/58 | Date:  02/08/2006</w:t>
      </w:r>
      <w:r w:rsidRPr="00804871">
        <w:rPr>
          <w:rFonts w:asciiTheme="majorBidi" w:hAnsiTheme="majorBidi" w:cstheme="majorBidi"/>
          <w:color w:val="000000"/>
          <w:sz w:val="18"/>
          <w:szCs w:val="18"/>
          <w:lang w:val="en-US"/>
        </w:rPr>
        <w:t xml:space="preserve">, </w:t>
      </w:r>
      <w:r w:rsidRPr="00804871">
        <w:rPr>
          <w:rStyle w:val="sa2b98c15"/>
          <w:rFonts w:asciiTheme="majorBidi" w:hAnsiTheme="majorBidi" w:cstheme="majorBidi"/>
          <w:color w:val="000000"/>
          <w:sz w:val="18"/>
          <w:szCs w:val="18"/>
          <w:lang w:val="en-US"/>
        </w:rPr>
        <w:t xml:space="preserve">C. Prison establishments / 2. Ill-treatment, </w:t>
      </w:r>
      <w:hyperlink r:id="rId2" w:anchor="{%22fulltext%22:[%22anal%20rape%22],%22sort%22:[%22CPTDocumentDate%20Descending,CPTDocumentID%20Ascending,CPTSectionNumber%20Ascending%22],%22CPTSectionID%22:[%22p-cze-20060328-en-19%22]}" w:history="1">
        <w:r w:rsidRPr="00804871">
          <w:rPr>
            <w:rStyle w:val="Hyperlink"/>
            <w:rFonts w:asciiTheme="majorBidi" w:hAnsiTheme="majorBidi" w:cstheme="majorBidi"/>
            <w:sz w:val="18"/>
            <w:szCs w:val="18"/>
            <w:lang w:val="en-US"/>
          </w:rPr>
          <w:t xml:space="preserve">II. FACTS FOUND DURING THE VISIT AND ACTION PROPOSED / C. Prison establishments / 2. </w:t>
        </w:r>
        <w:r w:rsidRPr="009D555E">
          <w:rPr>
            <w:rStyle w:val="Hyperlink"/>
            <w:rFonts w:asciiTheme="majorBidi" w:hAnsiTheme="majorBidi" w:cstheme="majorBidi"/>
            <w:sz w:val="18"/>
            <w:szCs w:val="18"/>
            <w:lang w:val="en-US"/>
          </w:rPr>
          <w:t>Ill-treatment (coe.int)</w:t>
        </w:r>
      </w:hyperlink>
    </w:p>
  </w:footnote>
  <w:footnote w:id="18">
    <w:p w14:paraId="0776BAE4" w14:textId="0830807A" w:rsidR="00804871" w:rsidRPr="00804871" w:rsidRDefault="0081779C" w:rsidP="00804871">
      <w:pPr>
        <w:pStyle w:val="s5891fd46"/>
        <w:shd w:val="clear" w:color="auto" w:fill="FFFFFF"/>
        <w:spacing w:before="0" w:beforeAutospacing="0" w:after="0" w:afterAutospacing="0"/>
        <w:jc w:val="both"/>
        <w:rPr>
          <w:rFonts w:asciiTheme="majorBidi" w:hAnsiTheme="majorBidi" w:cstheme="majorBidi"/>
          <w:color w:val="000000"/>
          <w:sz w:val="18"/>
          <w:szCs w:val="18"/>
          <w:lang w:val="en-US"/>
        </w:rPr>
      </w:pPr>
      <w:r w:rsidRPr="00804871">
        <w:rPr>
          <w:rStyle w:val="FootnoteReference"/>
          <w:rFonts w:asciiTheme="majorBidi" w:hAnsiTheme="majorBidi" w:cstheme="majorBidi"/>
          <w:sz w:val="18"/>
          <w:szCs w:val="18"/>
        </w:rPr>
        <w:footnoteRef/>
      </w:r>
      <w:r w:rsidRPr="00804871">
        <w:rPr>
          <w:rFonts w:asciiTheme="majorBidi" w:hAnsiTheme="majorBidi" w:cstheme="majorBidi"/>
          <w:sz w:val="18"/>
          <w:szCs w:val="18"/>
          <w:lang w:val="en-US"/>
        </w:rPr>
        <w:t xml:space="preserve"> </w:t>
      </w:r>
      <w:r w:rsidR="00804871" w:rsidRPr="00804871">
        <w:rPr>
          <w:rStyle w:val="s7d2086b4"/>
          <w:rFonts w:asciiTheme="majorBidi" w:hAnsiTheme="majorBidi" w:cstheme="majorBidi"/>
          <w:color w:val="000000"/>
          <w:sz w:val="18"/>
          <w:szCs w:val="18"/>
          <w:lang w:val="en-US"/>
        </w:rPr>
        <w:t>Greece: Visit 2009</w:t>
      </w:r>
      <w:r w:rsidR="00804871" w:rsidRPr="00804871">
        <w:rPr>
          <w:rFonts w:asciiTheme="majorBidi" w:hAnsiTheme="majorBidi" w:cstheme="majorBidi"/>
          <w:color w:val="000000"/>
          <w:sz w:val="18"/>
          <w:szCs w:val="18"/>
          <w:lang w:val="en-US"/>
        </w:rPr>
        <w:t xml:space="preserve">, </w:t>
      </w:r>
      <w:r w:rsidR="00804871" w:rsidRPr="00804871">
        <w:rPr>
          <w:rStyle w:val="s7d2086b4"/>
          <w:rFonts w:asciiTheme="majorBidi" w:hAnsiTheme="majorBidi" w:cstheme="majorBidi"/>
          <w:color w:val="000000"/>
          <w:sz w:val="18"/>
          <w:szCs w:val="18"/>
          <w:lang w:val="en-US"/>
        </w:rPr>
        <w:t>CPT/Inf (2010) 33 | Section: 9/51 | Date:  31/03/2010</w:t>
      </w:r>
      <w:r w:rsidR="00804871" w:rsidRPr="00804871">
        <w:rPr>
          <w:rFonts w:asciiTheme="majorBidi" w:hAnsiTheme="majorBidi" w:cstheme="majorBidi"/>
          <w:color w:val="000000"/>
          <w:sz w:val="18"/>
          <w:szCs w:val="18"/>
          <w:lang w:val="en-US"/>
        </w:rPr>
        <w:t xml:space="preserve">, </w:t>
      </w:r>
      <w:r w:rsidR="00804871" w:rsidRPr="00804871">
        <w:rPr>
          <w:rStyle w:val="s7d2086b4"/>
          <w:rFonts w:asciiTheme="majorBidi" w:hAnsiTheme="majorBidi" w:cstheme="majorBidi"/>
          <w:color w:val="000000"/>
          <w:sz w:val="18"/>
          <w:szCs w:val="18"/>
          <w:lang w:val="en-US"/>
        </w:rPr>
        <w:t xml:space="preserve">A. Law enforcement agencies / 2. Torture and other forms of ill-treatment / b., information gathered in the course of the 2009 visit, </w:t>
      </w:r>
      <w:hyperlink r:id="rId3" w:anchor="{%22fulltext%22:[%22anal%20rape%22],%22sort%22:[%22CPTDocumentDate%20Descending,CPTDocumentID%20Ascending,CPTSectionNumber%20Ascending%22],%22CPTSectionID%22:[%22p-grc-20090917-en-9%22]}" w:history="1">
        <w:r w:rsidR="00804871" w:rsidRPr="00804871">
          <w:rPr>
            <w:rStyle w:val="Hyperlink"/>
            <w:rFonts w:asciiTheme="majorBidi" w:hAnsiTheme="majorBidi" w:cstheme="majorBidi"/>
            <w:sz w:val="18"/>
            <w:szCs w:val="18"/>
            <w:lang w:val="en-US"/>
          </w:rPr>
          <w:t>II. facts found during the visit and action proposed / A. Law enforcement agencies / 2. Torture and other forms of ill-treatment / b. information gathered in the course of the 2009 visit (coe.int)</w:t>
        </w:r>
      </w:hyperlink>
      <w:r w:rsidR="00804871" w:rsidRPr="00804871">
        <w:rPr>
          <w:rFonts w:asciiTheme="majorBidi" w:hAnsiTheme="majorBidi" w:cstheme="majorBidi"/>
          <w:sz w:val="18"/>
          <w:szCs w:val="18"/>
          <w:lang w:val="en-US"/>
        </w:rPr>
        <w:t>.</w:t>
      </w:r>
    </w:p>
    <w:p w14:paraId="7E632950" w14:textId="70EC66EF" w:rsidR="0081779C" w:rsidRPr="00804871" w:rsidRDefault="0081779C">
      <w:pPr>
        <w:pStyle w:val="FootnoteText"/>
        <w:rPr>
          <w:lang w:val="en-US"/>
        </w:rPr>
      </w:pPr>
    </w:p>
  </w:footnote>
  <w:footnote w:id="19">
    <w:p w14:paraId="1B0E152A" w14:textId="76010B9F" w:rsidR="00176A05" w:rsidRPr="00176A05" w:rsidRDefault="00176A05">
      <w:pPr>
        <w:pStyle w:val="FootnoteText"/>
        <w:rPr>
          <w:lang w:val="en-US"/>
        </w:rPr>
      </w:pPr>
      <w:r>
        <w:rPr>
          <w:rStyle w:val="FootnoteReference"/>
        </w:rPr>
        <w:footnoteRef/>
      </w:r>
      <w:r w:rsidRPr="00176A05">
        <w:rPr>
          <w:lang w:val="en-US"/>
        </w:rPr>
        <w:t xml:space="preserve"> UN Convention against </w:t>
      </w:r>
      <w:r>
        <w:rPr>
          <w:lang w:val="en-US"/>
        </w:rPr>
        <w:t>Torture and Other Cruel, Inhuman or Degrading Treatment or Punishment, art. 2</w:t>
      </w:r>
      <w:r w:rsidRPr="00176A05">
        <w:rPr>
          <w:lang w:val="en-US"/>
        </w:rPr>
        <w:t>; International Covenant on Civil and Political Righ</w:t>
      </w:r>
      <w:r>
        <w:rPr>
          <w:lang w:val="en-US"/>
        </w:rPr>
        <w:t>ts, art. 7.</w:t>
      </w:r>
    </w:p>
  </w:footnote>
  <w:footnote w:id="20">
    <w:p w14:paraId="467BEB8B" w14:textId="77777777" w:rsidR="00176A05" w:rsidRPr="001E41BF" w:rsidRDefault="00176A05" w:rsidP="00176A05">
      <w:pPr>
        <w:pStyle w:val="FootnoteText"/>
        <w:rPr>
          <w:lang w:val="en-US"/>
        </w:rPr>
      </w:pPr>
      <w:r>
        <w:rPr>
          <w:rStyle w:val="FootnoteReference"/>
        </w:rPr>
        <w:footnoteRef/>
      </w:r>
      <w:r>
        <w:t xml:space="preserve"> UN Committee Against Torture. General comment 2, implementation of article 2 by states parties. CAT/C/GC/2/CRP.1/Rev.4.2007.</w:t>
      </w:r>
    </w:p>
  </w:footnote>
  <w:footnote w:id="21">
    <w:p w14:paraId="1EECBB8A" w14:textId="76874AA2" w:rsidR="00555EB1" w:rsidRPr="00555EB1" w:rsidRDefault="00555EB1">
      <w:pPr>
        <w:pStyle w:val="FootnoteText"/>
        <w:rPr>
          <w:sz w:val="18"/>
          <w:szCs w:val="18"/>
        </w:rPr>
      </w:pPr>
      <w:r w:rsidRPr="00555EB1">
        <w:rPr>
          <w:rStyle w:val="FootnoteReference"/>
          <w:sz w:val="18"/>
          <w:szCs w:val="18"/>
        </w:rPr>
        <w:footnoteRef/>
      </w:r>
      <w:r w:rsidRPr="00555EB1">
        <w:rPr>
          <w:sz w:val="18"/>
          <w:szCs w:val="18"/>
        </w:rPr>
        <w:t xml:space="preserve"> European Court of Human Rights, application No. 39272/98, M.C. v. Bulgaria, judgement of 4 December 2003; Inter-American Court of Human Rights, Ortega et al. vs. Mexico, judgement of 30 August 2010.</w:t>
      </w:r>
    </w:p>
  </w:footnote>
  <w:footnote w:id="22">
    <w:p w14:paraId="169B61C0" w14:textId="295333B5" w:rsidR="00521069" w:rsidRPr="00482564" w:rsidRDefault="00521069" w:rsidP="00521069">
      <w:pPr>
        <w:autoSpaceDE w:val="0"/>
        <w:autoSpaceDN w:val="0"/>
        <w:adjustRightInd w:val="0"/>
        <w:rPr>
          <w:rFonts w:asciiTheme="majorBidi" w:eastAsiaTheme="minorHAnsi" w:hAnsiTheme="majorBidi" w:cstheme="majorBidi"/>
          <w:sz w:val="18"/>
          <w:szCs w:val="18"/>
          <w:lang w:val="en-US"/>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w:t>
      </w:r>
      <w:r w:rsidRPr="0080753B">
        <w:rPr>
          <w:rFonts w:asciiTheme="majorBidi" w:eastAsiaTheme="minorHAnsi" w:hAnsiTheme="majorBidi" w:cstheme="majorBidi"/>
          <w:sz w:val="18"/>
          <w:szCs w:val="18"/>
          <w:lang w:val="en-US"/>
        </w:rPr>
        <w:t>UN Human Rights Council. Report of the Special Rapporteur on torture and other cruel, inhuman or degrading treatment or punishment, 5 January 2016. UN doc A/HRC/31/57.</w:t>
      </w:r>
      <w:r w:rsidR="00482564">
        <w:rPr>
          <w:rFonts w:asciiTheme="majorBidi" w:eastAsiaTheme="minorHAnsi" w:hAnsiTheme="majorBidi" w:cstheme="majorBidi"/>
          <w:sz w:val="18"/>
          <w:szCs w:val="18"/>
          <w:lang w:val="en-US"/>
        </w:rPr>
        <w:t xml:space="preserve"> </w:t>
      </w:r>
      <w:r w:rsidR="00482564">
        <w:rPr>
          <w:rFonts w:asciiTheme="majorBidi" w:eastAsiaTheme="minorHAnsi" w:hAnsiTheme="majorBidi" w:cstheme="majorBidi"/>
          <w:i/>
          <w:iCs/>
          <w:sz w:val="18"/>
          <w:szCs w:val="18"/>
          <w:lang w:val="en-US"/>
        </w:rPr>
        <w:t>See also</w:t>
      </w:r>
      <w:r w:rsidR="00482564">
        <w:rPr>
          <w:rFonts w:asciiTheme="majorBidi" w:eastAsiaTheme="minorHAnsi" w:hAnsiTheme="majorBidi" w:cstheme="majorBidi"/>
          <w:sz w:val="18"/>
          <w:szCs w:val="18"/>
          <w:lang w:val="en-US"/>
        </w:rPr>
        <w:t xml:space="preserve"> </w:t>
      </w:r>
      <w:r w:rsidR="00482564" w:rsidRPr="0080753B">
        <w:rPr>
          <w:rFonts w:asciiTheme="majorBidi" w:eastAsiaTheme="minorHAnsi" w:hAnsiTheme="majorBidi" w:cstheme="majorBidi"/>
          <w:sz w:val="18"/>
          <w:szCs w:val="18"/>
          <w:lang w:val="en-US"/>
        </w:rPr>
        <w:t xml:space="preserve">Office of the United Nations High Commissioner for Human </w:t>
      </w:r>
      <w:r w:rsidR="00482564" w:rsidRPr="00482564">
        <w:rPr>
          <w:rFonts w:asciiTheme="majorBidi" w:eastAsiaTheme="minorHAnsi" w:hAnsiTheme="majorBidi" w:cstheme="majorBidi"/>
          <w:sz w:val="18"/>
          <w:szCs w:val="18"/>
          <w:lang w:val="en-US"/>
        </w:rPr>
        <w:t>Rights</w:t>
      </w:r>
      <w:r w:rsidR="00482564">
        <w:rPr>
          <w:rFonts w:asciiTheme="majorBidi" w:eastAsiaTheme="minorHAnsi" w:hAnsiTheme="majorBidi" w:cstheme="majorBidi"/>
          <w:sz w:val="18"/>
          <w:szCs w:val="18"/>
          <w:lang w:val="en-US"/>
        </w:rPr>
        <w:t xml:space="preserve">, </w:t>
      </w:r>
      <w:r w:rsidR="00482564" w:rsidRPr="00482564">
        <w:rPr>
          <w:rFonts w:asciiTheme="majorBidi" w:eastAsiaTheme="minorHAnsi" w:hAnsiTheme="majorBidi" w:cstheme="majorBidi"/>
          <w:sz w:val="18"/>
          <w:szCs w:val="18"/>
          <w:lang w:val="en-US"/>
        </w:rPr>
        <w:t>Discrimination</w:t>
      </w:r>
      <w:r w:rsidR="00482564" w:rsidRPr="0080753B">
        <w:rPr>
          <w:rFonts w:asciiTheme="majorBidi" w:eastAsiaTheme="minorHAnsi" w:hAnsiTheme="majorBidi" w:cstheme="majorBidi"/>
          <w:sz w:val="18"/>
          <w:szCs w:val="18"/>
          <w:lang w:val="en-US"/>
        </w:rPr>
        <w:t xml:space="preserve"> and violence against individuals based on their sexual orientation and gender identity, 4 May 2015. UN doc A/HRC/19/41, para. 37.</w:t>
      </w:r>
    </w:p>
  </w:footnote>
  <w:footnote w:id="23">
    <w:p w14:paraId="62932E5B" w14:textId="0B750082" w:rsidR="00482564" w:rsidRPr="0080753B" w:rsidRDefault="00482564" w:rsidP="00482564">
      <w:pPr>
        <w:autoSpaceDE w:val="0"/>
        <w:autoSpaceDN w:val="0"/>
        <w:adjustRightInd w:val="0"/>
        <w:rPr>
          <w:rFonts w:asciiTheme="majorBidi" w:eastAsiaTheme="minorHAnsi" w:hAnsiTheme="majorBidi" w:cstheme="majorBidi"/>
          <w:color w:val="000000"/>
          <w:sz w:val="18"/>
          <w:szCs w:val="18"/>
          <w:lang w:val="en-US"/>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w:t>
      </w:r>
      <w:r w:rsidRPr="0080753B">
        <w:rPr>
          <w:rFonts w:asciiTheme="majorBidi" w:eastAsiaTheme="minorHAnsi" w:hAnsiTheme="majorBidi" w:cstheme="majorBidi"/>
          <w:color w:val="000000"/>
          <w:sz w:val="18"/>
          <w:szCs w:val="18"/>
          <w:lang w:val="en-US"/>
        </w:rPr>
        <w:t xml:space="preserve">UN Working Group on Arbitrary Detention, and A/HRC/16/47/Add.1, opinion no. 25/2009 (Egypt), paras. 24, 28‐29, 24 November 2009. Available at: </w:t>
      </w:r>
      <w:r w:rsidRPr="0080753B">
        <w:rPr>
          <w:rFonts w:asciiTheme="majorBidi" w:eastAsiaTheme="minorHAnsi" w:hAnsiTheme="majorBidi" w:cstheme="majorBidi"/>
          <w:color w:val="0000FF"/>
          <w:sz w:val="18"/>
          <w:szCs w:val="18"/>
          <w:lang w:val="en-US"/>
        </w:rPr>
        <w:t>http://www2.ohchr.org/english/bodies/hrcouncil/docs/16session/A.HRC.16.47.Add.1_AEV.pdf.</w:t>
      </w:r>
    </w:p>
  </w:footnote>
  <w:footnote w:id="24">
    <w:p w14:paraId="3E0BAB5D" w14:textId="77777777" w:rsidR="006245AF" w:rsidRPr="0080753B" w:rsidRDefault="006245AF" w:rsidP="006245AF">
      <w:pPr>
        <w:autoSpaceDE w:val="0"/>
        <w:autoSpaceDN w:val="0"/>
        <w:adjustRightInd w:val="0"/>
        <w:rPr>
          <w:rFonts w:asciiTheme="majorBidi" w:eastAsiaTheme="minorHAnsi" w:hAnsiTheme="majorBidi" w:cstheme="majorBidi"/>
          <w:color w:val="000000"/>
          <w:sz w:val="18"/>
          <w:szCs w:val="18"/>
          <w:lang w:val="en-US"/>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w:t>
      </w:r>
      <w:r w:rsidRPr="0080753B">
        <w:rPr>
          <w:rFonts w:asciiTheme="majorBidi" w:eastAsiaTheme="minorHAnsi" w:hAnsiTheme="majorBidi" w:cstheme="majorBidi"/>
          <w:color w:val="000000"/>
          <w:sz w:val="18"/>
          <w:szCs w:val="18"/>
          <w:lang w:val="en-US"/>
        </w:rPr>
        <w:t xml:space="preserve">ILO, OHCHR, UNDP, UNESCO, UNFPA, UNHCR, UNICEF, UNODC, UNWOMEN, WFP, WHO, and UNAIDS, “Ending Violence and Discrimination against Lesbian, Gay, Bisexual, Transgender and Intersex People,” September 2015. Available at: </w:t>
      </w:r>
      <w:r w:rsidRPr="0080753B">
        <w:rPr>
          <w:rFonts w:asciiTheme="majorBidi" w:eastAsiaTheme="minorHAnsi" w:hAnsiTheme="majorBidi" w:cstheme="majorBidi"/>
          <w:color w:val="0000FF"/>
          <w:sz w:val="18"/>
          <w:szCs w:val="18"/>
          <w:lang w:val="en-US"/>
        </w:rPr>
        <w:t>http://www.ohchr.org/Documents/Issues/Discrimination/Joint_LGBTI_Statement_ENG.PDF</w:t>
      </w:r>
    </w:p>
  </w:footnote>
  <w:footnote w:id="25">
    <w:p w14:paraId="75EDD011" w14:textId="6F2D168E" w:rsidR="001E41BF" w:rsidRPr="00AB3D9C" w:rsidRDefault="001E41BF" w:rsidP="001E41BF">
      <w:pPr>
        <w:pStyle w:val="FootnoteText"/>
        <w:rPr>
          <w:rFonts w:asciiTheme="majorBidi" w:hAnsiTheme="majorBidi" w:cstheme="majorBidi"/>
          <w:sz w:val="18"/>
          <w:szCs w:val="18"/>
          <w:lang w:val="en-US"/>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w:t>
      </w:r>
      <w:r w:rsidRPr="00AB3D9C">
        <w:rPr>
          <w:rFonts w:asciiTheme="majorBidi" w:hAnsiTheme="majorBidi" w:cstheme="majorBidi"/>
          <w:sz w:val="18"/>
          <w:szCs w:val="18"/>
        </w:rPr>
        <w:t>Interim Report of the Special Rapporteur on Torture and Other Cruel, Inhuman or Degrading Treatment or Punishment</w:t>
      </w:r>
      <w:r w:rsidR="00AB3D9C">
        <w:rPr>
          <w:rFonts w:asciiTheme="majorBidi" w:hAnsiTheme="majorBidi" w:cstheme="majorBidi"/>
          <w:sz w:val="18"/>
          <w:szCs w:val="18"/>
        </w:rPr>
        <w:t xml:space="preserve"> to the UN General Assembly concerning </w:t>
      </w:r>
      <w:r w:rsidRPr="00AB3D9C">
        <w:rPr>
          <w:rFonts w:asciiTheme="majorBidi" w:hAnsiTheme="majorBidi" w:cstheme="majorBidi"/>
          <w:sz w:val="18"/>
          <w:szCs w:val="18"/>
        </w:rPr>
        <w:t>Relevance of the Prohibition of Torture and Other Cruel, Inhuman or Degrading Treatment or Punishment to the Context of Domestic Violence</w:t>
      </w:r>
      <w:r w:rsidR="00AB3D9C">
        <w:rPr>
          <w:rFonts w:asciiTheme="majorBidi" w:hAnsiTheme="majorBidi" w:cstheme="majorBidi"/>
          <w:sz w:val="18"/>
          <w:szCs w:val="18"/>
        </w:rPr>
        <w:t xml:space="preserve">, U.N. Doc. </w:t>
      </w:r>
      <w:r w:rsidR="00AB3D9C" w:rsidRPr="0080753B">
        <w:rPr>
          <w:rFonts w:asciiTheme="majorBidi" w:hAnsiTheme="majorBidi" w:cstheme="majorBidi"/>
          <w:sz w:val="18"/>
          <w:szCs w:val="18"/>
        </w:rPr>
        <w:t>A/74/148</w:t>
      </w:r>
      <w:r w:rsidR="00AB3D9C">
        <w:rPr>
          <w:rFonts w:asciiTheme="majorBidi" w:hAnsiTheme="majorBidi" w:cstheme="majorBidi"/>
          <w:sz w:val="18"/>
          <w:szCs w:val="18"/>
        </w:rPr>
        <w:t xml:space="preserve">, </w:t>
      </w:r>
      <w:r w:rsidRPr="0080753B">
        <w:rPr>
          <w:rFonts w:asciiTheme="majorBidi" w:hAnsiTheme="majorBidi" w:cstheme="majorBidi"/>
          <w:sz w:val="18"/>
          <w:szCs w:val="18"/>
        </w:rPr>
        <w:t xml:space="preserve">12 July 2019. </w:t>
      </w:r>
      <w:r w:rsidR="00AB3D9C">
        <w:rPr>
          <w:rFonts w:asciiTheme="majorBidi" w:hAnsiTheme="majorBidi" w:cstheme="majorBidi"/>
          <w:i/>
          <w:iCs/>
          <w:sz w:val="18"/>
          <w:szCs w:val="18"/>
        </w:rPr>
        <w:t>See also</w:t>
      </w:r>
      <w:r w:rsidR="00AB3D9C">
        <w:rPr>
          <w:rFonts w:asciiTheme="majorBidi" w:hAnsiTheme="majorBidi" w:cstheme="majorBidi"/>
          <w:sz w:val="18"/>
          <w:szCs w:val="18"/>
        </w:rPr>
        <w:t xml:space="preserve"> Report of the UN Independent Expert on protection against violence and discrimination based on sexual orientation and gender identity concerning practices of so-called “conversion therapy”, U.N. Doc. A/HRC/44/53, 1 May 2020.</w:t>
      </w:r>
    </w:p>
  </w:footnote>
  <w:footnote w:id="26">
    <w:p w14:paraId="62B64373" w14:textId="335EEB7D" w:rsidR="00DF264A" w:rsidRPr="00DF264A" w:rsidRDefault="00DF264A">
      <w:pPr>
        <w:pStyle w:val="FootnoteText"/>
        <w:rPr>
          <w:lang w:val="en-US"/>
        </w:rPr>
      </w:pPr>
      <w:r>
        <w:rPr>
          <w:rStyle w:val="FootnoteReference"/>
        </w:rPr>
        <w:footnoteRef/>
      </w:r>
      <w:r>
        <w:t xml:space="preserve"> </w:t>
      </w:r>
      <w:r w:rsidRPr="00D413E8">
        <w:rPr>
          <w:sz w:val="18"/>
          <w:szCs w:val="18"/>
        </w:rPr>
        <w:t>Independent Forensic Expert Group, Statement on Virginity Testing, Journal of Forensic and Legal Medicine, 33 (2015) 121-124.</w:t>
      </w:r>
    </w:p>
  </w:footnote>
  <w:footnote w:id="27">
    <w:p w14:paraId="1BA4C14E" w14:textId="77777777" w:rsidR="001E41BF" w:rsidRPr="007450F5" w:rsidRDefault="001E41BF" w:rsidP="001E41BF">
      <w:pPr>
        <w:autoSpaceDE w:val="0"/>
        <w:autoSpaceDN w:val="0"/>
        <w:adjustRightInd w:val="0"/>
        <w:rPr>
          <w:rFonts w:asciiTheme="majorBidi" w:eastAsiaTheme="minorHAnsi" w:hAnsiTheme="majorBidi" w:cstheme="majorBidi"/>
          <w:sz w:val="18"/>
          <w:szCs w:val="18"/>
          <w:lang w:val="en-US"/>
        </w:rPr>
      </w:pPr>
      <w:r w:rsidRPr="007450F5">
        <w:rPr>
          <w:rStyle w:val="FootnoteReference"/>
          <w:rFonts w:asciiTheme="majorBidi" w:hAnsiTheme="majorBidi" w:cstheme="majorBidi"/>
          <w:sz w:val="18"/>
          <w:szCs w:val="18"/>
        </w:rPr>
        <w:footnoteRef/>
      </w:r>
      <w:r w:rsidRPr="007450F5">
        <w:rPr>
          <w:rFonts w:asciiTheme="majorBidi" w:hAnsiTheme="majorBidi" w:cstheme="majorBidi"/>
          <w:sz w:val="18"/>
          <w:szCs w:val="18"/>
        </w:rPr>
        <w:t xml:space="preserve"> </w:t>
      </w:r>
      <w:r w:rsidRPr="007450F5">
        <w:rPr>
          <w:rFonts w:asciiTheme="majorBidi" w:eastAsiaTheme="minorHAnsi" w:hAnsiTheme="majorBidi" w:cstheme="majorBidi"/>
          <w:sz w:val="18"/>
          <w:szCs w:val="18"/>
          <w:lang w:val="en-US"/>
        </w:rPr>
        <w:t>World Health Organization. Guidelines for the medico-legal care for victims of sexual violence. World Health Organization; 2003 Jan.</w:t>
      </w:r>
    </w:p>
  </w:footnote>
  <w:footnote w:id="28">
    <w:p w14:paraId="1A989665" w14:textId="77777777" w:rsidR="001E41BF" w:rsidRPr="007450F5" w:rsidRDefault="001E41BF" w:rsidP="001E41BF">
      <w:pPr>
        <w:autoSpaceDE w:val="0"/>
        <w:autoSpaceDN w:val="0"/>
        <w:adjustRightInd w:val="0"/>
        <w:rPr>
          <w:rFonts w:asciiTheme="majorBidi" w:eastAsiaTheme="minorHAnsi" w:hAnsiTheme="majorBidi" w:cstheme="majorBidi"/>
          <w:sz w:val="18"/>
          <w:szCs w:val="18"/>
          <w:lang w:val="en-US"/>
        </w:rPr>
      </w:pPr>
      <w:r w:rsidRPr="007450F5">
        <w:rPr>
          <w:rStyle w:val="FootnoteReference"/>
          <w:rFonts w:asciiTheme="majorBidi" w:hAnsiTheme="majorBidi" w:cstheme="majorBidi"/>
          <w:sz w:val="18"/>
          <w:szCs w:val="18"/>
        </w:rPr>
        <w:footnoteRef/>
      </w:r>
      <w:r w:rsidRPr="007450F5">
        <w:rPr>
          <w:rFonts w:asciiTheme="majorBidi" w:hAnsiTheme="majorBidi" w:cstheme="majorBidi"/>
          <w:sz w:val="18"/>
          <w:szCs w:val="18"/>
        </w:rPr>
        <w:t xml:space="preserve"> </w:t>
      </w:r>
      <w:r w:rsidRPr="007450F5">
        <w:rPr>
          <w:rFonts w:asciiTheme="majorBidi" w:eastAsiaTheme="minorHAnsi" w:hAnsiTheme="majorBidi" w:cstheme="majorBidi"/>
          <w:sz w:val="18"/>
          <w:szCs w:val="18"/>
          <w:lang w:val="en-US"/>
        </w:rPr>
        <w:t>United Nations. Promotion and protection of all human rights, civil, political, economic, social and cultural rights, including the right to development: report of the special rapporteur on torture and other cruel, inhuman or degrading treatment or punishment, Manfred Nowak. United Nations; 2008 Jan. A/HRC/7/3.</w:t>
      </w:r>
    </w:p>
  </w:footnote>
  <w:footnote w:id="29">
    <w:p w14:paraId="6ACE57FC" w14:textId="77777777" w:rsidR="001E41BF" w:rsidRPr="0080753B" w:rsidRDefault="001E41BF" w:rsidP="001E41BF">
      <w:pPr>
        <w:autoSpaceDE w:val="0"/>
        <w:autoSpaceDN w:val="0"/>
        <w:adjustRightInd w:val="0"/>
        <w:rPr>
          <w:rFonts w:asciiTheme="majorBidi" w:eastAsiaTheme="minorHAnsi" w:hAnsiTheme="majorBidi" w:cstheme="majorBidi"/>
          <w:color w:val="2197D2"/>
          <w:sz w:val="18"/>
          <w:szCs w:val="18"/>
          <w:lang w:val="en-US"/>
        </w:rPr>
      </w:pPr>
      <w:r w:rsidRPr="007450F5">
        <w:rPr>
          <w:rStyle w:val="FootnoteReference"/>
          <w:rFonts w:asciiTheme="majorBidi" w:hAnsiTheme="majorBidi" w:cstheme="majorBidi"/>
          <w:sz w:val="18"/>
          <w:szCs w:val="18"/>
        </w:rPr>
        <w:footnoteRef/>
      </w:r>
      <w:r w:rsidRPr="007450F5">
        <w:rPr>
          <w:rFonts w:asciiTheme="majorBidi" w:hAnsiTheme="majorBidi" w:cstheme="majorBidi"/>
          <w:sz w:val="18"/>
          <w:szCs w:val="18"/>
        </w:rPr>
        <w:t xml:space="preserve"> </w:t>
      </w:r>
      <w:r w:rsidRPr="007450F5">
        <w:rPr>
          <w:rFonts w:asciiTheme="majorBidi" w:eastAsiaTheme="minorHAnsi" w:hAnsiTheme="majorBidi" w:cstheme="majorBidi"/>
          <w:sz w:val="18"/>
          <w:szCs w:val="18"/>
          <w:lang w:val="en-US"/>
        </w:rPr>
        <w:t>United Nations. Preliminary report submitted by the special rapporteur on violence against women, its causes and consequences, Radhika Coomaraswamy, in accordance with commission on human rights resolution 1994/45. United Nations; 1994 Nov. E/CN.4/1995/42.</w:t>
      </w:r>
    </w:p>
  </w:footnote>
  <w:footnote w:id="30">
    <w:p w14:paraId="3647F225" w14:textId="6BAD8B6D" w:rsidR="009338F1" w:rsidRPr="0080753B" w:rsidRDefault="009338F1" w:rsidP="009338F1">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w:t>
      </w:r>
      <w:r w:rsidR="00756853">
        <w:rPr>
          <w:rFonts w:asciiTheme="majorBidi" w:hAnsiTheme="majorBidi" w:cstheme="majorBidi"/>
          <w:i/>
          <w:iCs/>
          <w:sz w:val="18"/>
          <w:szCs w:val="18"/>
        </w:rPr>
        <w:t xml:space="preserve">See </w:t>
      </w:r>
      <w:r w:rsidRPr="0080753B">
        <w:rPr>
          <w:rFonts w:asciiTheme="majorBidi" w:hAnsiTheme="majorBidi" w:cstheme="majorBidi"/>
          <w:sz w:val="18"/>
          <w:szCs w:val="18"/>
        </w:rPr>
        <w:t xml:space="preserve">Report of the Special Rapporteur on torture and other cruel, inhuman or degrading treatment or punishment, U.N. Doc. A/HRC/31/57, para. 14, 5 January 2016. </w:t>
      </w:r>
    </w:p>
  </w:footnote>
  <w:footnote w:id="31">
    <w:p w14:paraId="19F852F5" w14:textId="77777777" w:rsidR="00510EC2" w:rsidRPr="0080753B" w:rsidRDefault="00510EC2" w:rsidP="00510EC2">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Gender Perspectives on Torture: Law and Practice, American University – Washington College of the Law, Center on Human Rights and Humanitarian Law - Anti-Torture Initiative, 2016, Therese Rytter &amp; Andrea Huber, Women in the Criminal Justice System and the Bangkok Rules, p. 230.</w:t>
      </w:r>
    </w:p>
  </w:footnote>
  <w:footnote w:id="32">
    <w:p w14:paraId="66935200" w14:textId="77777777" w:rsidR="00510EC2" w:rsidRPr="0080753B" w:rsidRDefault="00510EC2" w:rsidP="00510EC2">
      <w:pPr>
        <w:pStyle w:val="FootnoteText"/>
        <w:rPr>
          <w:rFonts w:asciiTheme="majorBidi" w:hAnsiTheme="majorBidi" w:cstheme="majorBidi"/>
          <w:sz w:val="18"/>
          <w:szCs w:val="18"/>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w:t>
      </w:r>
      <w:r>
        <w:rPr>
          <w:rFonts w:asciiTheme="majorBidi" w:hAnsiTheme="majorBidi" w:cstheme="majorBidi"/>
          <w:i/>
          <w:iCs/>
          <w:sz w:val="18"/>
          <w:szCs w:val="18"/>
        </w:rPr>
        <w:t xml:space="preserve">See </w:t>
      </w:r>
      <w:r w:rsidRPr="0080753B">
        <w:rPr>
          <w:rFonts w:asciiTheme="majorBidi" w:hAnsiTheme="majorBidi" w:cstheme="majorBidi"/>
          <w:sz w:val="18"/>
          <w:szCs w:val="18"/>
        </w:rPr>
        <w:t>Report of the Special Rapporteur on torture and other cruel, inhuman or degrading treatment or punishment, U.N. Doc. A/HRC/31/57, para. 26, 5 January 2016.</w:t>
      </w:r>
    </w:p>
  </w:footnote>
  <w:footnote w:id="33">
    <w:p w14:paraId="3CBDB167" w14:textId="77777777" w:rsidR="00510EC2" w:rsidRPr="002E0F06" w:rsidRDefault="00510EC2" w:rsidP="00510EC2">
      <w:pPr>
        <w:pStyle w:val="FootnoteText"/>
      </w:pPr>
      <w:r>
        <w:rPr>
          <w:rStyle w:val="FootnoteReference"/>
        </w:rPr>
        <w:footnoteRef/>
      </w:r>
      <w:r>
        <w:t xml:space="preserve"> </w:t>
      </w:r>
      <w:r>
        <w:rPr>
          <w:rFonts w:asciiTheme="majorBidi" w:hAnsiTheme="majorBidi" w:cstheme="majorBidi"/>
          <w:i/>
          <w:iCs/>
          <w:sz w:val="18"/>
          <w:szCs w:val="18"/>
        </w:rPr>
        <w:t xml:space="preserve">See </w:t>
      </w:r>
      <w:r w:rsidRPr="0080753B">
        <w:rPr>
          <w:rFonts w:asciiTheme="majorBidi" w:hAnsiTheme="majorBidi" w:cstheme="majorBidi"/>
          <w:sz w:val="18"/>
          <w:szCs w:val="18"/>
        </w:rPr>
        <w:t xml:space="preserve">Report of the Special Rapporteur on torture and other cruel, inhuman or degrading treatment or punishment, U.N. Doc. A/HRC/31/57, para. </w:t>
      </w:r>
      <w:r>
        <w:rPr>
          <w:rFonts w:asciiTheme="majorBidi" w:hAnsiTheme="majorBidi" w:cstheme="majorBidi"/>
          <w:sz w:val="18"/>
          <w:szCs w:val="18"/>
        </w:rPr>
        <w:t>48</w:t>
      </w:r>
      <w:r w:rsidRPr="0080753B">
        <w:rPr>
          <w:rFonts w:asciiTheme="majorBidi" w:hAnsiTheme="majorBidi" w:cstheme="majorBidi"/>
          <w:sz w:val="18"/>
          <w:szCs w:val="18"/>
        </w:rPr>
        <w:t>, 5 January 2016.</w:t>
      </w:r>
    </w:p>
  </w:footnote>
  <w:footnote w:id="34">
    <w:p w14:paraId="544B895E" w14:textId="77777777" w:rsidR="00510EC2" w:rsidRPr="002E0F06" w:rsidRDefault="00510EC2" w:rsidP="00510EC2">
      <w:pPr>
        <w:pStyle w:val="FootnoteText"/>
      </w:pPr>
      <w:r>
        <w:rPr>
          <w:rStyle w:val="FootnoteReference"/>
        </w:rPr>
        <w:footnoteRef/>
      </w:r>
      <w:r>
        <w:t xml:space="preserve"> </w:t>
      </w:r>
      <w:r>
        <w:rPr>
          <w:rFonts w:asciiTheme="majorBidi" w:hAnsiTheme="majorBidi" w:cstheme="majorBidi"/>
          <w:i/>
          <w:iCs/>
          <w:sz w:val="18"/>
          <w:szCs w:val="18"/>
        </w:rPr>
        <w:t xml:space="preserve">See </w:t>
      </w:r>
      <w:r w:rsidRPr="0080753B">
        <w:rPr>
          <w:rFonts w:asciiTheme="majorBidi" w:hAnsiTheme="majorBidi" w:cstheme="majorBidi"/>
          <w:sz w:val="18"/>
          <w:szCs w:val="18"/>
        </w:rPr>
        <w:t xml:space="preserve">Report of the Special Rapporteur on torture and other cruel, inhuman or degrading treatment or punishment, U.N. Doc. A/HRC/31/57, para. </w:t>
      </w:r>
      <w:r>
        <w:rPr>
          <w:rFonts w:asciiTheme="majorBidi" w:hAnsiTheme="majorBidi" w:cstheme="majorBidi"/>
          <w:sz w:val="18"/>
          <w:szCs w:val="18"/>
        </w:rPr>
        <w:t>48</w:t>
      </w:r>
      <w:r w:rsidRPr="0080753B">
        <w:rPr>
          <w:rFonts w:asciiTheme="majorBidi" w:hAnsiTheme="majorBidi" w:cstheme="majorBidi"/>
          <w:sz w:val="18"/>
          <w:szCs w:val="18"/>
        </w:rPr>
        <w:t>, 5 January 2016.</w:t>
      </w:r>
    </w:p>
  </w:footnote>
  <w:footnote w:id="35">
    <w:p w14:paraId="70E1C9E4" w14:textId="77777777" w:rsidR="00510EC2" w:rsidRPr="00D44EAC" w:rsidRDefault="00510EC2" w:rsidP="00510EC2">
      <w:pPr>
        <w:pStyle w:val="FootnoteText"/>
        <w:rPr>
          <w:sz w:val="18"/>
          <w:szCs w:val="18"/>
        </w:rPr>
      </w:pPr>
      <w:r w:rsidRPr="00D44EAC">
        <w:rPr>
          <w:rStyle w:val="FootnoteReference"/>
          <w:sz w:val="18"/>
          <w:szCs w:val="18"/>
        </w:rPr>
        <w:footnoteRef/>
      </w:r>
      <w:r w:rsidRPr="00D44EAC">
        <w:rPr>
          <w:sz w:val="18"/>
          <w:szCs w:val="18"/>
        </w:rPr>
        <w:t xml:space="preserve"> </w:t>
      </w:r>
      <w:r w:rsidRPr="00D44EAC">
        <w:rPr>
          <w:rFonts w:asciiTheme="majorBidi" w:hAnsiTheme="majorBidi" w:cstheme="majorBidi"/>
          <w:sz w:val="18"/>
          <w:szCs w:val="18"/>
          <w:lang w:val="en-US"/>
        </w:rPr>
        <w:t>International Rehabilitation Council for Rehabilitation of Torture Victims, Statement on Anal Examinations in Cases of Alleged Homosexuality, Independent Forensic Expert Group.</w:t>
      </w:r>
    </w:p>
  </w:footnote>
  <w:footnote w:id="36">
    <w:p w14:paraId="210B1B81" w14:textId="77777777" w:rsidR="00510EC2" w:rsidRPr="00D44EAC" w:rsidRDefault="00510EC2" w:rsidP="00510EC2">
      <w:pPr>
        <w:pStyle w:val="FootnoteText"/>
        <w:rPr>
          <w:sz w:val="18"/>
          <w:szCs w:val="18"/>
        </w:rPr>
      </w:pPr>
      <w:r w:rsidRPr="00D44EAC">
        <w:rPr>
          <w:rStyle w:val="FootnoteReference"/>
          <w:sz w:val="18"/>
          <w:szCs w:val="18"/>
        </w:rPr>
        <w:footnoteRef/>
      </w:r>
      <w:r w:rsidRPr="00D44EAC">
        <w:rPr>
          <w:sz w:val="18"/>
          <w:szCs w:val="18"/>
        </w:rPr>
        <w:t xml:space="preserve"> </w:t>
      </w:r>
      <w:r w:rsidRPr="00D44EAC">
        <w:rPr>
          <w:rFonts w:asciiTheme="majorBidi" w:hAnsiTheme="majorBidi" w:cstheme="majorBidi"/>
          <w:sz w:val="18"/>
          <w:szCs w:val="18"/>
          <w:lang w:val="en-US"/>
        </w:rPr>
        <w:t>International Rehabilitation Council for Rehabilitation of Torture Victims, Statement on Anal Examinations in Cases of Alleged Homosexuality, Independent Forensic Expert Group.</w:t>
      </w:r>
    </w:p>
  </w:footnote>
  <w:footnote w:id="37">
    <w:p w14:paraId="422AD817" w14:textId="77777777" w:rsidR="00510EC2" w:rsidRPr="00D44EAC" w:rsidRDefault="00510EC2" w:rsidP="00510EC2">
      <w:pPr>
        <w:pStyle w:val="FootnoteText"/>
        <w:rPr>
          <w:sz w:val="18"/>
          <w:szCs w:val="18"/>
        </w:rPr>
      </w:pPr>
      <w:r w:rsidRPr="00D44EAC">
        <w:rPr>
          <w:rStyle w:val="FootnoteReference"/>
          <w:sz w:val="18"/>
          <w:szCs w:val="18"/>
        </w:rPr>
        <w:footnoteRef/>
      </w:r>
      <w:r w:rsidRPr="00D44EAC">
        <w:rPr>
          <w:sz w:val="18"/>
          <w:szCs w:val="18"/>
        </w:rPr>
        <w:t xml:space="preserve"> </w:t>
      </w:r>
      <w:r w:rsidRPr="00D44EAC">
        <w:rPr>
          <w:rFonts w:asciiTheme="majorBidi" w:hAnsiTheme="majorBidi" w:cstheme="majorBidi"/>
          <w:sz w:val="18"/>
          <w:szCs w:val="18"/>
          <w:lang w:val="en-US"/>
        </w:rPr>
        <w:t>International Rehabilitation Council for Rehabilitation of Torture Victims, Statement on Anal Examinations in Cases of Alleged Homosexuality, Independent Forensic Expert Group.</w:t>
      </w:r>
    </w:p>
  </w:footnote>
  <w:footnote w:id="38">
    <w:p w14:paraId="00B0B4FD" w14:textId="77777777" w:rsidR="00510EC2" w:rsidRPr="0031257B" w:rsidRDefault="00510EC2" w:rsidP="00510EC2">
      <w:pPr>
        <w:pStyle w:val="FootnoteText"/>
        <w:rPr>
          <w:rFonts w:asciiTheme="majorBidi" w:hAnsiTheme="majorBidi" w:cstheme="majorBidi"/>
          <w:sz w:val="18"/>
          <w:szCs w:val="18"/>
        </w:rPr>
      </w:pPr>
      <w:r w:rsidRPr="0031257B">
        <w:rPr>
          <w:rStyle w:val="FootnoteReference"/>
          <w:rFonts w:asciiTheme="majorBidi" w:hAnsiTheme="majorBidi" w:cstheme="majorBidi"/>
          <w:sz w:val="18"/>
          <w:szCs w:val="18"/>
        </w:rPr>
        <w:footnoteRef/>
      </w:r>
      <w:r w:rsidRPr="0031257B">
        <w:rPr>
          <w:rFonts w:asciiTheme="majorBidi" w:hAnsiTheme="majorBidi" w:cstheme="majorBidi"/>
          <w:sz w:val="18"/>
          <w:szCs w:val="18"/>
        </w:rPr>
        <w:t xml:space="preserve"> </w:t>
      </w:r>
      <w:r w:rsidRPr="0031257B">
        <w:rPr>
          <w:rFonts w:asciiTheme="majorBidi" w:eastAsiaTheme="minorHAnsi" w:hAnsiTheme="majorBidi" w:cstheme="majorBidi"/>
          <w:sz w:val="18"/>
          <w:szCs w:val="18"/>
          <w:lang w:val="en-US"/>
        </w:rPr>
        <w:t>Independent Forensic Expert Group, Statement on Conversion Therapy, Journal of Forensic and Legal Medicine, 72 (2020) 101930.</w:t>
      </w:r>
    </w:p>
  </w:footnote>
  <w:footnote w:id="39">
    <w:p w14:paraId="161BFE18" w14:textId="77777777" w:rsidR="00510EC2" w:rsidRPr="0031257B" w:rsidRDefault="00510EC2" w:rsidP="00510EC2">
      <w:pPr>
        <w:pStyle w:val="FootnoteText"/>
        <w:rPr>
          <w:rFonts w:asciiTheme="majorBidi" w:hAnsiTheme="majorBidi" w:cstheme="majorBidi"/>
          <w:sz w:val="18"/>
          <w:szCs w:val="18"/>
        </w:rPr>
      </w:pPr>
      <w:r w:rsidRPr="0031257B">
        <w:rPr>
          <w:rStyle w:val="FootnoteReference"/>
          <w:rFonts w:asciiTheme="majorBidi" w:hAnsiTheme="majorBidi" w:cstheme="majorBidi"/>
          <w:sz w:val="18"/>
          <w:szCs w:val="18"/>
        </w:rPr>
        <w:footnoteRef/>
      </w:r>
      <w:r w:rsidRPr="0031257B">
        <w:rPr>
          <w:rFonts w:asciiTheme="majorBidi" w:hAnsiTheme="majorBidi" w:cstheme="majorBidi"/>
          <w:sz w:val="18"/>
          <w:szCs w:val="18"/>
        </w:rPr>
        <w:t xml:space="preserve"> </w:t>
      </w:r>
      <w:r w:rsidRPr="0031257B">
        <w:rPr>
          <w:rFonts w:asciiTheme="majorBidi" w:eastAsiaTheme="minorHAnsi" w:hAnsiTheme="majorBidi" w:cstheme="majorBidi"/>
          <w:sz w:val="18"/>
          <w:szCs w:val="18"/>
          <w:lang w:val="en-US"/>
        </w:rPr>
        <w:t>Independent Forensic Expert Group, Statement on Conversion Therapy, Journal of Forensic and Legal Medicine, 72 (2020) 101930.</w:t>
      </w:r>
    </w:p>
  </w:footnote>
  <w:footnote w:id="40">
    <w:p w14:paraId="4AEF8A54" w14:textId="77777777" w:rsidR="00510EC2" w:rsidRPr="0031257B" w:rsidRDefault="00510EC2" w:rsidP="00510EC2">
      <w:pPr>
        <w:pStyle w:val="FootnoteText"/>
        <w:rPr>
          <w:rFonts w:asciiTheme="majorBidi" w:hAnsiTheme="majorBidi" w:cstheme="majorBidi"/>
          <w:sz w:val="18"/>
          <w:szCs w:val="18"/>
        </w:rPr>
      </w:pPr>
      <w:r w:rsidRPr="0031257B">
        <w:rPr>
          <w:rStyle w:val="FootnoteReference"/>
          <w:rFonts w:asciiTheme="majorBidi" w:hAnsiTheme="majorBidi" w:cstheme="majorBidi"/>
          <w:sz w:val="18"/>
          <w:szCs w:val="18"/>
        </w:rPr>
        <w:footnoteRef/>
      </w:r>
      <w:r w:rsidRPr="0031257B">
        <w:rPr>
          <w:rFonts w:asciiTheme="majorBidi" w:hAnsiTheme="majorBidi" w:cstheme="majorBidi"/>
          <w:sz w:val="18"/>
          <w:szCs w:val="18"/>
        </w:rPr>
        <w:t xml:space="preserve"> </w:t>
      </w:r>
      <w:r w:rsidRPr="0031257B">
        <w:rPr>
          <w:rFonts w:asciiTheme="majorBidi" w:eastAsiaTheme="minorHAnsi" w:hAnsiTheme="majorBidi" w:cstheme="majorBidi"/>
          <w:sz w:val="18"/>
          <w:szCs w:val="18"/>
          <w:lang w:val="en-US"/>
        </w:rPr>
        <w:t>Independent Forensic Expert Group, Statement on Conversion Therapy, Journal of Forensic and Legal Medicine, 72 (2020) 101930.</w:t>
      </w:r>
    </w:p>
  </w:footnote>
  <w:footnote w:id="41">
    <w:p w14:paraId="629A92EA" w14:textId="77777777" w:rsidR="00510EC2" w:rsidRPr="0031257B" w:rsidRDefault="00510EC2" w:rsidP="00510EC2">
      <w:pPr>
        <w:pStyle w:val="FootnoteText"/>
        <w:rPr>
          <w:rFonts w:asciiTheme="majorBidi" w:hAnsiTheme="majorBidi" w:cstheme="majorBidi"/>
          <w:sz w:val="18"/>
          <w:szCs w:val="18"/>
        </w:rPr>
      </w:pPr>
      <w:r w:rsidRPr="0031257B">
        <w:rPr>
          <w:rStyle w:val="FootnoteReference"/>
          <w:rFonts w:asciiTheme="majorBidi" w:hAnsiTheme="majorBidi" w:cstheme="majorBidi"/>
          <w:sz w:val="18"/>
          <w:szCs w:val="18"/>
        </w:rPr>
        <w:footnoteRef/>
      </w:r>
      <w:r w:rsidRPr="0031257B">
        <w:rPr>
          <w:rFonts w:asciiTheme="majorBidi" w:hAnsiTheme="majorBidi" w:cstheme="majorBidi"/>
          <w:sz w:val="18"/>
          <w:szCs w:val="18"/>
        </w:rPr>
        <w:t xml:space="preserve"> </w:t>
      </w:r>
      <w:r w:rsidRPr="0031257B">
        <w:rPr>
          <w:rFonts w:asciiTheme="majorBidi" w:eastAsiaTheme="minorHAnsi" w:hAnsiTheme="majorBidi" w:cstheme="majorBidi"/>
          <w:sz w:val="18"/>
          <w:szCs w:val="18"/>
          <w:lang w:val="en-US"/>
        </w:rPr>
        <w:t>Independent Forensic Expert Group, Statement on Conversion Therapy, Journal of Forensic and Legal Medicine, 72 (2020) 101930.</w:t>
      </w:r>
    </w:p>
  </w:footnote>
  <w:footnote w:id="42">
    <w:p w14:paraId="5F030DCC" w14:textId="77777777" w:rsidR="00510EC2" w:rsidRPr="0031257B" w:rsidRDefault="00510EC2" w:rsidP="00510EC2">
      <w:pPr>
        <w:pStyle w:val="FootnoteText"/>
        <w:rPr>
          <w:lang w:val="en-US"/>
        </w:rPr>
      </w:pPr>
      <w:r>
        <w:rPr>
          <w:rStyle w:val="FootnoteReference"/>
        </w:rPr>
        <w:footnoteRef/>
      </w:r>
      <w:r>
        <w:t xml:space="preserve"> </w:t>
      </w:r>
      <w:r w:rsidRPr="0031257B">
        <w:rPr>
          <w:sz w:val="18"/>
          <w:szCs w:val="18"/>
        </w:rPr>
        <w:t>Independent Forensic Expert Group, Statement on Virginity Testing, Journal of Forensic and Legal Medicine, 33 (2015) 121-124.</w:t>
      </w:r>
    </w:p>
  </w:footnote>
  <w:footnote w:id="43">
    <w:p w14:paraId="13352F71" w14:textId="77777777" w:rsidR="00510EC2" w:rsidRPr="0031257B" w:rsidRDefault="00510EC2" w:rsidP="00510EC2">
      <w:pPr>
        <w:pStyle w:val="FootnoteText"/>
        <w:rPr>
          <w:lang w:val="en-US"/>
        </w:rPr>
      </w:pPr>
      <w:r>
        <w:rPr>
          <w:rStyle w:val="FootnoteReference"/>
        </w:rPr>
        <w:footnoteRef/>
      </w:r>
      <w:r>
        <w:t xml:space="preserve"> </w:t>
      </w:r>
      <w:r w:rsidRPr="0031257B">
        <w:rPr>
          <w:sz w:val="18"/>
          <w:szCs w:val="18"/>
        </w:rPr>
        <w:t>Independent Forensic Expert Group, Statement on Virginity Testing, Journal of Forensic and Legal Medicine, 33 (2015) 121-124.</w:t>
      </w:r>
    </w:p>
  </w:footnote>
  <w:footnote w:id="44">
    <w:p w14:paraId="7A69BDD7" w14:textId="77777777" w:rsidR="00510EC2" w:rsidRPr="0031257B" w:rsidRDefault="00510EC2" w:rsidP="00510EC2">
      <w:pPr>
        <w:pStyle w:val="FootnoteText"/>
        <w:rPr>
          <w:lang w:val="en-US"/>
        </w:rPr>
      </w:pPr>
      <w:r>
        <w:rPr>
          <w:rStyle w:val="FootnoteReference"/>
        </w:rPr>
        <w:footnoteRef/>
      </w:r>
      <w:r>
        <w:t xml:space="preserve"> </w:t>
      </w:r>
      <w:r w:rsidRPr="0031257B">
        <w:rPr>
          <w:sz w:val="18"/>
          <w:szCs w:val="18"/>
        </w:rPr>
        <w:t>Independent Forensic Expert Group, Statement on Virginity Testing, Journal of Forensic and Legal Medicine, 33 (2015) 121-124.</w:t>
      </w:r>
    </w:p>
  </w:footnote>
  <w:footnote w:id="45">
    <w:p w14:paraId="45A4DF5C" w14:textId="77777777" w:rsidR="00510EC2" w:rsidRPr="0031257B" w:rsidRDefault="00510EC2" w:rsidP="00510EC2">
      <w:pPr>
        <w:pStyle w:val="FootnoteText"/>
        <w:rPr>
          <w:lang w:val="en-US"/>
        </w:rPr>
      </w:pPr>
      <w:r>
        <w:rPr>
          <w:rStyle w:val="FootnoteReference"/>
        </w:rPr>
        <w:footnoteRef/>
      </w:r>
      <w:r>
        <w:t xml:space="preserve"> </w:t>
      </w:r>
      <w:r w:rsidRPr="0031257B">
        <w:rPr>
          <w:sz w:val="18"/>
          <w:szCs w:val="18"/>
        </w:rPr>
        <w:t>Independent Forensic Expert Group, Statement on Virginity Testing, Journal of Forensic and Legal Medicine, 33 (2015) 121-124.</w:t>
      </w:r>
    </w:p>
  </w:footnote>
  <w:footnote w:id="46">
    <w:p w14:paraId="6119A8CF" w14:textId="77777777" w:rsidR="00510EC2" w:rsidRPr="0080753B" w:rsidRDefault="00510EC2" w:rsidP="00510EC2">
      <w:pPr>
        <w:pStyle w:val="FootnoteText"/>
        <w:rPr>
          <w:rFonts w:asciiTheme="majorBidi" w:hAnsiTheme="majorBidi" w:cstheme="majorBidi"/>
          <w:sz w:val="18"/>
          <w:szCs w:val="18"/>
          <w:lang w:val="en-US"/>
        </w:rPr>
      </w:pPr>
      <w:r w:rsidRPr="0080753B">
        <w:rPr>
          <w:rStyle w:val="FootnoteReference"/>
          <w:rFonts w:asciiTheme="majorBidi" w:hAnsiTheme="majorBidi" w:cstheme="majorBidi"/>
          <w:sz w:val="18"/>
          <w:szCs w:val="18"/>
        </w:rPr>
        <w:footnoteRef/>
      </w:r>
      <w:r w:rsidRPr="0080753B">
        <w:rPr>
          <w:rFonts w:asciiTheme="majorBidi" w:hAnsiTheme="majorBidi" w:cstheme="majorBidi"/>
          <w:sz w:val="18"/>
          <w:szCs w:val="18"/>
        </w:rPr>
        <w:t xml:space="preserve"> </w:t>
      </w:r>
      <w:r w:rsidRPr="0080753B">
        <w:rPr>
          <w:rFonts w:asciiTheme="majorBidi" w:eastAsiaTheme="minorHAnsi" w:hAnsiTheme="majorBidi" w:cstheme="majorBidi"/>
          <w:sz w:val="18"/>
          <w:szCs w:val="18"/>
          <w:lang w:val="en-US"/>
        </w:rPr>
        <w:t>Eur. Ct. H.R. Aydin v. Turkey., Judgment 57/1996/676/866. 25 Sept. 1997.</w:t>
      </w:r>
    </w:p>
  </w:footnote>
  <w:footnote w:id="47">
    <w:p w14:paraId="6976F0BF" w14:textId="05F2521A" w:rsidR="00345F9F" w:rsidRPr="000971E3" w:rsidRDefault="00345F9F" w:rsidP="000971E3">
      <w:pPr>
        <w:autoSpaceDE w:val="0"/>
        <w:autoSpaceDN w:val="0"/>
        <w:adjustRightInd w:val="0"/>
        <w:rPr>
          <w:rFonts w:ascii="StoneSansStd-Medium" w:eastAsiaTheme="minorHAnsi" w:hAnsi="StoneSansStd-Medium" w:cs="StoneSansStd-Medium"/>
          <w:sz w:val="18"/>
          <w:szCs w:val="18"/>
          <w:lang w:val="en-US"/>
        </w:rPr>
      </w:pPr>
      <w:r w:rsidRPr="000971E3">
        <w:rPr>
          <w:rStyle w:val="FootnoteReference"/>
          <w:sz w:val="18"/>
          <w:szCs w:val="18"/>
        </w:rPr>
        <w:footnoteRef/>
      </w:r>
      <w:r w:rsidRPr="000971E3">
        <w:rPr>
          <w:sz w:val="18"/>
          <w:szCs w:val="18"/>
        </w:rPr>
        <w:t xml:space="preserve"> </w:t>
      </w:r>
      <w:r w:rsidRPr="000971E3">
        <w:rPr>
          <w:i/>
          <w:iCs/>
          <w:sz w:val="18"/>
          <w:szCs w:val="18"/>
        </w:rPr>
        <w:t xml:space="preserve">See </w:t>
      </w:r>
      <w:r w:rsidRPr="000971E3">
        <w:rPr>
          <w:sz w:val="18"/>
          <w:szCs w:val="18"/>
        </w:rPr>
        <w:t xml:space="preserve">N. Nogapi </w:t>
      </w:r>
      <w:r w:rsidRPr="000971E3">
        <w:rPr>
          <w:i/>
          <w:iCs/>
          <w:sz w:val="18"/>
          <w:szCs w:val="18"/>
        </w:rPr>
        <w:t>et al</w:t>
      </w:r>
      <w:r w:rsidRPr="000971E3">
        <w:rPr>
          <w:sz w:val="18"/>
          <w:szCs w:val="18"/>
        </w:rPr>
        <w:t xml:space="preserve">, Psychosocial models for prevention and wellbeing: addressing authority-based </w:t>
      </w:r>
      <w:r w:rsidRPr="000971E3">
        <w:rPr>
          <w:rFonts w:asciiTheme="majorBidi" w:hAnsiTheme="majorBidi" w:cstheme="majorBidi"/>
          <w:sz w:val="18"/>
          <w:szCs w:val="18"/>
        </w:rPr>
        <w:t xml:space="preserve">violence in urban neighbourhoods, Dignity Publications Series on torture and organized violence, No. 15, 2017; S. Jansen, </w:t>
      </w:r>
      <w:r w:rsidRPr="000971E3">
        <w:rPr>
          <w:rFonts w:asciiTheme="majorBidi" w:hAnsiTheme="majorBidi" w:cstheme="majorBidi"/>
          <w:i/>
          <w:iCs/>
          <w:sz w:val="18"/>
          <w:szCs w:val="18"/>
        </w:rPr>
        <w:t>et al</w:t>
      </w:r>
      <w:r w:rsidRPr="000971E3">
        <w:rPr>
          <w:rFonts w:asciiTheme="majorBidi" w:hAnsiTheme="majorBidi" w:cstheme="majorBidi"/>
          <w:sz w:val="18"/>
          <w:szCs w:val="18"/>
        </w:rPr>
        <w:t>, Torture and ill-treatment under perceived: Human rights documentation and the poor, Human Rights Quarterly</w:t>
      </w:r>
      <w:r w:rsidR="000971E3" w:rsidRPr="000971E3">
        <w:rPr>
          <w:rFonts w:asciiTheme="majorBidi" w:hAnsiTheme="majorBidi" w:cstheme="majorBidi"/>
          <w:sz w:val="18"/>
          <w:szCs w:val="18"/>
        </w:rPr>
        <w:t xml:space="preserve"> 39 (2017) 292-415; </w:t>
      </w:r>
      <w:r w:rsidR="000971E3" w:rsidRPr="000971E3">
        <w:rPr>
          <w:rFonts w:asciiTheme="majorBidi" w:eastAsiaTheme="minorHAnsi" w:hAnsiTheme="majorBidi" w:cstheme="majorBidi"/>
          <w:sz w:val="18"/>
          <w:szCs w:val="18"/>
          <w:lang w:val="en-US"/>
        </w:rPr>
        <w:t xml:space="preserve">Christiansen, S Jansen &amp; T Kelly ‘A predisposed view: State violence, human rights organisations and the invisibility of the poor in Nairobi’ (2019) 19 </w:t>
      </w:r>
      <w:r w:rsidR="000971E3" w:rsidRPr="000971E3">
        <w:rPr>
          <w:rFonts w:asciiTheme="majorBidi" w:eastAsiaTheme="minorHAnsi" w:hAnsiTheme="majorBidi" w:cstheme="majorBidi"/>
          <w:i/>
          <w:iCs/>
          <w:sz w:val="18"/>
          <w:szCs w:val="18"/>
          <w:lang w:val="en-US"/>
        </w:rPr>
        <w:t xml:space="preserve">African Human Rights Law Journal </w:t>
      </w:r>
      <w:r w:rsidR="000971E3" w:rsidRPr="000971E3">
        <w:rPr>
          <w:rFonts w:asciiTheme="majorBidi" w:eastAsiaTheme="minorHAnsi" w:hAnsiTheme="majorBidi" w:cstheme="majorBidi"/>
          <w:sz w:val="18"/>
          <w:szCs w:val="18"/>
          <w:lang w:val="en-US"/>
        </w:rPr>
        <w:t>721-742.</w:t>
      </w:r>
    </w:p>
  </w:footnote>
  <w:footnote w:id="48">
    <w:p w14:paraId="2CB239F4" w14:textId="65DB8192" w:rsidR="00240381" w:rsidRPr="00240381" w:rsidRDefault="00240381">
      <w:pPr>
        <w:pStyle w:val="FootnoteText"/>
      </w:pPr>
      <w:r w:rsidRPr="00240381">
        <w:rPr>
          <w:rStyle w:val="FootnoteReference"/>
        </w:rPr>
        <w:footnoteRef/>
      </w:r>
      <w:r w:rsidRPr="00240381">
        <w:t xml:space="preserve"> See </w:t>
      </w:r>
      <w:hyperlink r:id="rId4" w:history="1">
        <w:r w:rsidRPr="00240381">
          <w:rPr>
            <w:rStyle w:val="Hyperlink"/>
            <w:color w:val="auto"/>
          </w:rPr>
          <w:t>Institute for Family Health - Home (kinghusseinfoundation.org)</w:t>
        </w:r>
      </w:hyperlink>
    </w:p>
  </w:footnote>
  <w:footnote w:id="49">
    <w:p w14:paraId="18301365" w14:textId="724BC728" w:rsidR="00240381" w:rsidRPr="00240381" w:rsidRDefault="00240381">
      <w:pPr>
        <w:pStyle w:val="FootnoteText"/>
      </w:pPr>
      <w:r w:rsidRPr="00240381">
        <w:rPr>
          <w:rStyle w:val="FootnoteReference"/>
        </w:rPr>
        <w:footnoteRef/>
      </w:r>
      <w:r w:rsidRPr="00240381">
        <w:t xml:space="preserve"> See </w:t>
      </w:r>
      <w:r>
        <w:t>www.</w:t>
      </w:r>
      <w:hyperlink r:id="rId5" w:history="1">
        <w:r w:rsidRPr="00240381">
          <w:rPr>
            <w:rStyle w:val="Hyperlink"/>
            <w:color w:val="auto"/>
          </w:rPr>
          <w:t>nebrastunisie.org</w:t>
        </w:r>
      </w:hyperlink>
    </w:p>
  </w:footnote>
  <w:footnote w:id="50">
    <w:p w14:paraId="093D7C96" w14:textId="69884AF0" w:rsidR="007C0561" w:rsidRPr="007C0561" w:rsidRDefault="007C0561">
      <w:pPr>
        <w:pStyle w:val="FootnoteText"/>
      </w:pPr>
      <w:r w:rsidRPr="00240381">
        <w:rPr>
          <w:rStyle w:val="FootnoteReference"/>
        </w:rPr>
        <w:footnoteRef/>
      </w:r>
      <w:r w:rsidRPr="00240381">
        <w:t xml:space="preserve"> See </w:t>
      </w:r>
      <w:r w:rsidRPr="00240381">
        <w:rPr>
          <w:u w:val="single"/>
        </w:rPr>
        <w:t>www.restartcenter.com/restartcenter</w:t>
      </w:r>
    </w:p>
  </w:footnote>
  <w:footnote w:id="51">
    <w:p w14:paraId="50EA385E" w14:textId="7F2533F4" w:rsidR="005E2A64" w:rsidRPr="001728C2" w:rsidRDefault="005E2A64">
      <w:pPr>
        <w:pStyle w:val="FootnoteText"/>
        <w:rPr>
          <w:sz w:val="18"/>
          <w:szCs w:val="18"/>
          <w:lang w:val="es-AR"/>
        </w:rPr>
      </w:pPr>
      <w:r w:rsidRPr="00083C31">
        <w:rPr>
          <w:rStyle w:val="FootnoteReference"/>
          <w:sz w:val="18"/>
          <w:szCs w:val="18"/>
        </w:rPr>
        <w:footnoteRef/>
      </w:r>
      <w:r w:rsidRPr="00083C31">
        <w:rPr>
          <w:sz w:val="18"/>
          <w:szCs w:val="18"/>
        </w:rPr>
        <w:t xml:space="preserve"> Women’s imprisonment: An introduction to the Bangkok Rules. </w:t>
      </w:r>
      <w:r w:rsidRPr="001728C2">
        <w:rPr>
          <w:sz w:val="18"/>
          <w:szCs w:val="18"/>
          <w:lang w:val="es-AR"/>
        </w:rPr>
        <w:t>Revista Critical Penal y Poder, 3, 148–157.</w:t>
      </w:r>
    </w:p>
  </w:footnote>
  <w:footnote w:id="52">
    <w:p w14:paraId="677947EB" w14:textId="5B429B22" w:rsidR="005E2A64" w:rsidRPr="00083C31" w:rsidRDefault="005E2A64" w:rsidP="00083C31">
      <w:pPr>
        <w:shd w:val="clear" w:color="auto" w:fill="FFFFFF"/>
        <w:spacing w:line="259" w:lineRule="auto"/>
        <w:jc w:val="both"/>
        <w:outlineLvl w:val="2"/>
        <w:rPr>
          <w:rFonts w:asciiTheme="majorBidi" w:hAnsiTheme="majorBidi" w:cstheme="majorBidi"/>
          <w:b/>
          <w:bCs/>
          <w:color w:val="000000"/>
          <w:sz w:val="18"/>
          <w:szCs w:val="18"/>
          <w:lang w:val="en-US" w:eastAsia="en-GB"/>
        </w:rPr>
      </w:pPr>
      <w:r w:rsidRPr="00083C31">
        <w:rPr>
          <w:rStyle w:val="FootnoteReference"/>
          <w:sz w:val="18"/>
          <w:szCs w:val="18"/>
        </w:rPr>
        <w:footnoteRef/>
      </w:r>
      <w:r w:rsidRPr="00083C31">
        <w:rPr>
          <w:sz w:val="18"/>
          <w:szCs w:val="18"/>
        </w:rPr>
        <w:t xml:space="preserve"> </w:t>
      </w:r>
      <w:r w:rsidRPr="00083C31">
        <w:rPr>
          <w:rFonts w:asciiTheme="majorBidi" w:hAnsiTheme="majorBidi" w:cstheme="majorBidi"/>
          <w:color w:val="333333"/>
          <w:sz w:val="18"/>
          <w:szCs w:val="18"/>
          <w:shd w:val="clear" w:color="auto" w:fill="FCFCFC"/>
        </w:rPr>
        <w:t>Rules 5, 6, 10–13, 33, 49–52</w:t>
      </w:r>
      <w:r w:rsidR="00083C31" w:rsidRPr="00083C31">
        <w:rPr>
          <w:rFonts w:asciiTheme="majorBidi" w:hAnsiTheme="majorBidi" w:cstheme="majorBidi"/>
          <w:color w:val="333333"/>
          <w:sz w:val="18"/>
          <w:szCs w:val="18"/>
          <w:shd w:val="clear" w:color="auto" w:fill="FCFCFC"/>
        </w:rPr>
        <w:t>; O’Connell, C., Aizpurua, E. &amp; Rogan, M. The European committee for the prevention of torture and the gendered experience of imprisonment. </w:t>
      </w:r>
      <w:r w:rsidR="00083C31" w:rsidRPr="00083C31">
        <w:rPr>
          <w:rFonts w:asciiTheme="majorBidi" w:hAnsiTheme="majorBidi" w:cstheme="majorBidi"/>
          <w:i/>
          <w:iCs/>
          <w:color w:val="333333"/>
          <w:sz w:val="18"/>
          <w:szCs w:val="18"/>
          <w:shd w:val="clear" w:color="auto" w:fill="FCFCFC"/>
        </w:rPr>
        <w:t>Crime Law Soc Change</w:t>
      </w:r>
      <w:r w:rsidR="00083C31" w:rsidRPr="00083C31">
        <w:rPr>
          <w:rFonts w:asciiTheme="majorBidi" w:hAnsiTheme="majorBidi" w:cstheme="majorBidi"/>
          <w:color w:val="333333"/>
          <w:sz w:val="18"/>
          <w:szCs w:val="18"/>
          <w:shd w:val="clear" w:color="auto" w:fill="FCFCFC"/>
        </w:rPr>
        <w:t> 75</w:t>
      </w:r>
      <w:r w:rsidR="00083C31" w:rsidRPr="00083C31">
        <w:rPr>
          <w:rFonts w:asciiTheme="majorBidi" w:hAnsiTheme="majorBidi" w:cstheme="majorBidi"/>
          <w:b/>
          <w:bCs/>
          <w:color w:val="333333"/>
          <w:sz w:val="18"/>
          <w:szCs w:val="18"/>
          <w:shd w:val="clear" w:color="auto" w:fill="FCFCFC"/>
        </w:rPr>
        <w:t>, </w:t>
      </w:r>
      <w:r w:rsidR="00083C31" w:rsidRPr="00083C31">
        <w:rPr>
          <w:rFonts w:asciiTheme="majorBidi" w:hAnsiTheme="majorBidi" w:cstheme="majorBidi"/>
          <w:color w:val="333333"/>
          <w:sz w:val="18"/>
          <w:szCs w:val="18"/>
          <w:shd w:val="clear" w:color="auto" w:fill="FCFCFC"/>
        </w:rPr>
        <w:t xml:space="preserve">445–468, 449 (2021). </w:t>
      </w:r>
    </w:p>
  </w:footnote>
  <w:footnote w:id="53">
    <w:p w14:paraId="347A0CD9" w14:textId="0BD50018" w:rsidR="005E2A64" w:rsidRPr="00083C31" w:rsidRDefault="005E2A64">
      <w:pPr>
        <w:pStyle w:val="FootnoteText"/>
        <w:rPr>
          <w:sz w:val="18"/>
          <w:szCs w:val="18"/>
          <w:lang w:val="en-US"/>
        </w:rPr>
      </w:pPr>
      <w:r w:rsidRPr="00083C31">
        <w:rPr>
          <w:rStyle w:val="FootnoteReference"/>
          <w:sz w:val="18"/>
          <w:szCs w:val="18"/>
        </w:rPr>
        <w:footnoteRef/>
      </w:r>
      <w:r w:rsidRPr="00083C31">
        <w:rPr>
          <w:sz w:val="18"/>
          <w:szCs w:val="18"/>
        </w:rPr>
        <w:t xml:space="preserve"> </w:t>
      </w:r>
      <w:r w:rsidRPr="00083C31">
        <w:rPr>
          <w:rFonts w:asciiTheme="majorBidi" w:hAnsiTheme="majorBidi" w:cstheme="majorBidi"/>
          <w:color w:val="333333"/>
          <w:sz w:val="18"/>
          <w:szCs w:val="18"/>
          <w:shd w:val="clear" w:color="auto" w:fill="FCFCFC"/>
        </w:rPr>
        <w:t>Rules 53–55</w:t>
      </w:r>
      <w:r w:rsidR="005435EE">
        <w:rPr>
          <w:rFonts w:asciiTheme="majorBidi" w:hAnsiTheme="majorBidi" w:cstheme="majorBidi"/>
          <w:color w:val="333333"/>
          <w:sz w:val="18"/>
          <w:szCs w:val="18"/>
          <w:shd w:val="clear" w:color="auto" w:fill="FCFCFC"/>
        </w:rPr>
        <w:t>;</w:t>
      </w:r>
      <w:r w:rsidR="005435EE" w:rsidRPr="00083C31">
        <w:rPr>
          <w:rFonts w:asciiTheme="majorBidi" w:hAnsiTheme="majorBidi" w:cstheme="majorBidi"/>
          <w:color w:val="333333"/>
          <w:sz w:val="18"/>
          <w:szCs w:val="18"/>
          <w:shd w:val="clear" w:color="auto" w:fill="FCFCFC"/>
        </w:rPr>
        <w:t xml:space="preserve"> O’Connell, C., Aizpurua, E. &amp; Rogan, M. The European committee for the prevention of torture and the gendered experience of imprisonment. </w:t>
      </w:r>
      <w:r w:rsidR="005435EE" w:rsidRPr="00083C31">
        <w:rPr>
          <w:rFonts w:asciiTheme="majorBidi" w:hAnsiTheme="majorBidi" w:cstheme="majorBidi"/>
          <w:i/>
          <w:iCs/>
          <w:color w:val="333333"/>
          <w:sz w:val="18"/>
          <w:szCs w:val="18"/>
          <w:shd w:val="clear" w:color="auto" w:fill="FCFCFC"/>
        </w:rPr>
        <w:t>Crime Law Soc Change</w:t>
      </w:r>
      <w:r w:rsidR="005435EE" w:rsidRPr="00083C31">
        <w:rPr>
          <w:rFonts w:asciiTheme="majorBidi" w:hAnsiTheme="majorBidi" w:cstheme="majorBidi"/>
          <w:color w:val="333333"/>
          <w:sz w:val="18"/>
          <w:szCs w:val="18"/>
          <w:shd w:val="clear" w:color="auto" w:fill="FCFCFC"/>
        </w:rPr>
        <w:t> 75</w:t>
      </w:r>
      <w:r w:rsidR="005435EE" w:rsidRPr="00083C31">
        <w:rPr>
          <w:rFonts w:asciiTheme="majorBidi" w:hAnsiTheme="majorBidi" w:cstheme="majorBidi"/>
          <w:b/>
          <w:bCs/>
          <w:color w:val="333333"/>
          <w:sz w:val="18"/>
          <w:szCs w:val="18"/>
          <w:shd w:val="clear" w:color="auto" w:fill="FCFCFC"/>
        </w:rPr>
        <w:t>, </w:t>
      </w:r>
      <w:r w:rsidR="005435EE" w:rsidRPr="00083C31">
        <w:rPr>
          <w:rFonts w:asciiTheme="majorBidi" w:hAnsiTheme="majorBidi" w:cstheme="majorBidi"/>
          <w:color w:val="333333"/>
          <w:sz w:val="18"/>
          <w:szCs w:val="18"/>
          <w:shd w:val="clear" w:color="auto" w:fill="FCFCFC"/>
        </w:rPr>
        <w:t>445–468, 449 (2021).</w:t>
      </w:r>
    </w:p>
  </w:footnote>
  <w:footnote w:id="54">
    <w:p w14:paraId="6A60388B" w14:textId="45739F40" w:rsidR="00DA3780" w:rsidRPr="00DA3780" w:rsidRDefault="00E421D1" w:rsidP="00DA3780">
      <w:pPr>
        <w:pStyle w:val="FootnoteText"/>
        <w:rPr>
          <w:rFonts w:asciiTheme="majorBidi" w:hAnsiTheme="majorBidi" w:cstheme="majorBidi"/>
          <w:color w:val="333333"/>
          <w:sz w:val="18"/>
          <w:szCs w:val="18"/>
          <w:shd w:val="clear" w:color="auto" w:fill="FCFCFC"/>
        </w:rPr>
      </w:pPr>
      <w:r w:rsidRPr="00DA3780">
        <w:rPr>
          <w:rStyle w:val="FootnoteReference"/>
          <w:sz w:val="18"/>
          <w:szCs w:val="18"/>
        </w:rPr>
        <w:footnoteRef/>
      </w:r>
      <w:r w:rsidRPr="00DA3780">
        <w:rPr>
          <w:sz w:val="18"/>
          <w:szCs w:val="18"/>
        </w:rPr>
        <w:t xml:space="preserve"> </w:t>
      </w:r>
      <w:r w:rsidRPr="00DA3780">
        <w:rPr>
          <w:rFonts w:asciiTheme="majorBidi" w:hAnsiTheme="majorBidi" w:cstheme="majorBidi"/>
          <w:color w:val="333333"/>
          <w:sz w:val="18"/>
          <w:szCs w:val="18"/>
          <w:shd w:val="clear" w:color="auto" w:fill="FCFCFC"/>
        </w:rPr>
        <w:t>Recommendations 9 and 10</w:t>
      </w:r>
      <w:r w:rsidR="00DA3780" w:rsidRPr="00DA3780">
        <w:rPr>
          <w:rFonts w:asciiTheme="majorBidi" w:hAnsiTheme="majorBidi" w:cstheme="majorBidi"/>
          <w:color w:val="333333"/>
          <w:sz w:val="18"/>
          <w:szCs w:val="18"/>
          <w:shd w:val="clear" w:color="auto" w:fill="FCFCFC"/>
        </w:rPr>
        <w:t>; O’Connell, C., Aizpurua, E. &amp; Rogan, M. The European committee for the prevention of torture and the gendered experience of imprisonment. </w:t>
      </w:r>
      <w:r w:rsidR="00DA3780" w:rsidRPr="00DA3780">
        <w:rPr>
          <w:rFonts w:asciiTheme="majorBidi" w:hAnsiTheme="majorBidi" w:cstheme="majorBidi"/>
          <w:i/>
          <w:iCs/>
          <w:color w:val="333333"/>
          <w:sz w:val="18"/>
          <w:szCs w:val="18"/>
          <w:shd w:val="clear" w:color="auto" w:fill="FCFCFC"/>
        </w:rPr>
        <w:t>Crime Law Soc Change</w:t>
      </w:r>
      <w:r w:rsidR="00DA3780" w:rsidRPr="00DA3780">
        <w:rPr>
          <w:rFonts w:asciiTheme="majorBidi" w:hAnsiTheme="majorBidi" w:cstheme="majorBidi"/>
          <w:color w:val="333333"/>
          <w:sz w:val="18"/>
          <w:szCs w:val="18"/>
          <w:shd w:val="clear" w:color="auto" w:fill="FCFCFC"/>
        </w:rPr>
        <w:t> 75</w:t>
      </w:r>
      <w:r w:rsidR="00DA3780" w:rsidRPr="00DA3780">
        <w:rPr>
          <w:rFonts w:asciiTheme="majorBidi" w:hAnsiTheme="majorBidi" w:cstheme="majorBidi"/>
          <w:b/>
          <w:bCs/>
          <w:color w:val="333333"/>
          <w:sz w:val="18"/>
          <w:szCs w:val="18"/>
          <w:shd w:val="clear" w:color="auto" w:fill="FCFCFC"/>
        </w:rPr>
        <w:t>, </w:t>
      </w:r>
      <w:r w:rsidR="00DA3780" w:rsidRPr="00DA3780">
        <w:rPr>
          <w:rFonts w:asciiTheme="majorBidi" w:hAnsiTheme="majorBidi" w:cstheme="majorBidi"/>
          <w:color w:val="333333"/>
          <w:sz w:val="18"/>
          <w:szCs w:val="18"/>
          <w:shd w:val="clear" w:color="auto" w:fill="FCFCFC"/>
        </w:rPr>
        <w:t>445–468, 449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A93F3F" w:rsidRDefault="00BD7C90" w:rsidP="000448F9">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38D4"/>
    <w:multiLevelType w:val="hybridMultilevel"/>
    <w:tmpl w:val="C7A0CCE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FC58BA"/>
    <w:multiLevelType w:val="hybridMultilevel"/>
    <w:tmpl w:val="EB0A80B6"/>
    <w:lvl w:ilvl="0" w:tplc="04060003">
      <w:start w:val="1"/>
      <w:numFmt w:val="bullet"/>
      <w:lvlText w:val="o"/>
      <w:lvlJc w:val="left"/>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4B7173"/>
    <w:multiLevelType w:val="hybridMultilevel"/>
    <w:tmpl w:val="0E38C64C"/>
    <w:lvl w:ilvl="0" w:tplc="04060003">
      <w:start w:val="1"/>
      <w:numFmt w:val="bullet"/>
      <w:lvlText w:val="o"/>
      <w:lvlJc w:val="left"/>
      <w:pPr>
        <w:ind w:left="1944" w:hanging="360"/>
      </w:pPr>
      <w:rPr>
        <w:rFonts w:ascii="Courier New" w:hAnsi="Courier New" w:cs="Courier New" w:hint="default"/>
      </w:rPr>
    </w:lvl>
    <w:lvl w:ilvl="1" w:tplc="04060003" w:tentative="1">
      <w:start w:val="1"/>
      <w:numFmt w:val="bullet"/>
      <w:lvlText w:val="o"/>
      <w:lvlJc w:val="left"/>
      <w:pPr>
        <w:ind w:left="2664" w:hanging="360"/>
      </w:pPr>
      <w:rPr>
        <w:rFonts w:ascii="Courier New" w:hAnsi="Courier New" w:cs="Courier New" w:hint="default"/>
      </w:rPr>
    </w:lvl>
    <w:lvl w:ilvl="2" w:tplc="04060005" w:tentative="1">
      <w:start w:val="1"/>
      <w:numFmt w:val="bullet"/>
      <w:lvlText w:val=""/>
      <w:lvlJc w:val="left"/>
      <w:pPr>
        <w:ind w:left="3384" w:hanging="360"/>
      </w:pPr>
      <w:rPr>
        <w:rFonts w:ascii="Wingdings" w:hAnsi="Wingdings" w:hint="default"/>
      </w:rPr>
    </w:lvl>
    <w:lvl w:ilvl="3" w:tplc="04060001" w:tentative="1">
      <w:start w:val="1"/>
      <w:numFmt w:val="bullet"/>
      <w:lvlText w:val=""/>
      <w:lvlJc w:val="left"/>
      <w:pPr>
        <w:ind w:left="4104" w:hanging="360"/>
      </w:pPr>
      <w:rPr>
        <w:rFonts w:ascii="Symbol" w:hAnsi="Symbol" w:hint="default"/>
      </w:rPr>
    </w:lvl>
    <w:lvl w:ilvl="4" w:tplc="04060003" w:tentative="1">
      <w:start w:val="1"/>
      <w:numFmt w:val="bullet"/>
      <w:lvlText w:val="o"/>
      <w:lvlJc w:val="left"/>
      <w:pPr>
        <w:ind w:left="4824" w:hanging="360"/>
      </w:pPr>
      <w:rPr>
        <w:rFonts w:ascii="Courier New" w:hAnsi="Courier New" w:cs="Courier New" w:hint="default"/>
      </w:rPr>
    </w:lvl>
    <w:lvl w:ilvl="5" w:tplc="04060005" w:tentative="1">
      <w:start w:val="1"/>
      <w:numFmt w:val="bullet"/>
      <w:lvlText w:val=""/>
      <w:lvlJc w:val="left"/>
      <w:pPr>
        <w:ind w:left="5544" w:hanging="360"/>
      </w:pPr>
      <w:rPr>
        <w:rFonts w:ascii="Wingdings" w:hAnsi="Wingdings" w:hint="default"/>
      </w:rPr>
    </w:lvl>
    <w:lvl w:ilvl="6" w:tplc="04060001" w:tentative="1">
      <w:start w:val="1"/>
      <w:numFmt w:val="bullet"/>
      <w:lvlText w:val=""/>
      <w:lvlJc w:val="left"/>
      <w:pPr>
        <w:ind w:left="6264" w:hanging="360"/>
      </w:pPr>
      <w:rPr>
        <w:rFonts w:ascii="Symbol" w:hAnsi="Symbol" w:hint="default"/>
      </w:rPr>
    </w:lvl>
    <w:lvl w:ilvl="7" w:tplc="04060003" w:tentative="1">
      <w:start w:val="1"/>
      <w:numFmt w:val="bullet"/>
      <w:lvlText w:val="o"/>
      <w:lvlJc w:val="left"/>
      <w:pPr>
        <w:ind w:left="6984" w:hanging="360"/>
      </w:pPr>
      <w:rPr>
        <w:rFonts w:ascii="Courier New" w:hAnsi="Courier New" w:cs="Courier New" w:hint="default"/>
      </w:rPr>
    </w:lvl>
    <w:lvl w:ilvl="8" w:tplc="04060005" w:tentative="1">
      <w:start w:val="1"/>
      <w:numFmt w:val="bullet"/>
      <w:lvlText w:val=""/>
      <w:lvlJc w:val="left"/>
      <w:pPr>
        <w:ind w:left="7704" w:hanging="360"/>
      </w:pPr>
      <w:rPr>
        <w:rFonts w:ascii="Wingdings" w:hAnsi="Wingdings" w:hint="default"/>
      </w:rPr>
    </w:lvl>
  </w:abstractNum>
  <w:abstractNum w:abstractNumId="4" w15:restartNumberingAfterBreak="0">
    <w:nsid w:val="278F5A37"/>
    <w:multiLevelType w:val="hybridMultilevel"/>
    <w:tmpl w:val="8DC2EBA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5169CE"/>
    <w:multiLevelType w:val="hybridMultilevel"/>
    <w:tmpl w:val="E5BCFE54"/>
    <w:lvl w:ilvl="0" w:tplc="04060003">
      <w:start w:val="1"/>
      <w:numFmt w:val="bullet"/>
      <w:lvlText w:val="o"/>
      <w:lvlJc w:val="left"/>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7CF3701"/>
    <w:multiLevelType w:val="hybridMultilevel"/>
    <w:tmpl w:val="DFE6219E"/>
    <w:lvl w:ilvl="0" w:tplc="04060003">
      <w:start w:val="1"/>
      <w:numFmt w:val="bullet"/>
      <w:lvlText w:val="o"/>
      <w:lvlJc w:val="left"/>
      <w:pPr>
        <w:ind w:left="1778" w:hanging="360"/>
      </w:pPr>
      <w:rPr>
        <w:rFonts w:ascii="Courier New" w:hAnsi="Courier New" w:cs="Courier New"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7" w15:restartNumberingAfterBreak="0">
    <w:nsid w:val="41A755CC"/>
    <w:multiLevelType w:val="hybridMultilevel"/>
    <w:tmpl w:val="84D2088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E55295E"/>
    <w:multiLevelType w:val="hybridMultilevel"/>
    <w:tmpl w:val="4C42CF4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56106AA"/>
    <w:multiLevelType w:val="hybridMultilevel"/>
    <w:tmpl w:val="A1F4AEB8"/>
    <w:lvl w:ilvl="0" w:tplc="04060003">
      <w:start w:val="1"/>
      <w:numFmt w:val="bullet"/>
      <w:lvlText w:val="o"/>
      <w:lvlJc w:val="left"/>
      <w:pPr>
        <w:ind w:left="1495" w:hanging="360"/>
      </w:pPr>
      <w:rPr>
        <w:rFonts w:ascii="Courier New" w:hAnsi="Courier New" w:cs="Courier New" w:hint="default"/>
      </w:rPr>
    </w:lvl>
    <w:lvl w:ilvl="1" w:tplc="04060003" w:tentative="1">
      <w:start w:val="1"/>
      <w:numFmt w:val="bullet"/>
      <w:lvlText w:val="o"/>
      <w:lvlJc w:val="left"/>
      <w:pPr>
        <w:ind w:left="2215" w:hanging="360"/>
      </w:pPr>
      <w:rPr>
        <w:rFonts w:ascii="Courier New" w:hAnsi="Courier New" w:cs="Courier New" w:hint="default"/>
      </w:rPr>
    </w:lvl>
    <w:lvl w:ilvl="2" w:tplc="04060005" w:tentative="1">
      <w:start w:val="1"/>
      <w:numFmt w:val="bullet"/>
      <w:lvlText w:val=""/>
      <w:lvlJc w:val="left"/>
      <w:pPr>
        <w:ind w:left="2935" w:hanging="360"/>
      </w:pPr>
      <w:rPr>
        <w:rFonts w:ascii="Wingdings" w:hAnsi="Wingdings" w:hint="default"/>
      </w:rPr>
    </w:lvl>
    <w:lvl w:ilvl="3" w:tplc="04060001" w:tentative="1">
      <w:start w:val="1"/>
      <w:numFmt w:val="bullet"/>
      <w:lvlText w:val=""/>
      <w:lvlJc w:val="left"/>
      <w:pPr>
        <w:ind w:left="3655" w:hanging="360"/>
      </w:pPr>
      <w:rPr>
        <w:rFonts w:ascii="Symbol" w:hAnsi="Symbol" w:hint="default"/>
      </w:rPr>
    </w:lvl>
    <w:lvl w:ilvl="4" w:tplc="04060003" w:tentative="1">
      <w:start w:val="1"/>
      <w:numFmt w:val="bullet"/>
      <w:lvlText w:val="o"/>
      <w:lvlJc w:val="left"/>
      <w:pPr>
        <w:ind w:left="4375" w:hanging="360"/>
      </w:pPr>
      <w:rPr>
        <w:rFonts w:ascii="Courier New" w:hAnsi="Courier New" w:cs="Courier New" w:hint="default"/>
      </w:rPr>
    </w:lvl>
    <w:lvl w:ilvl="5" w:tplc="04060005" w:tentative="1">
      <w:start w:val="1"/>
      <w:numFmt w:val="bullet"/>
      <w:lvlText w:val=""/>
      <w:lvlJc w:val="left"/>
      <w:pPr>
        <w:ind w:left="5095" w:hanging="360"/>
      </w:pPr>
      <w:rPr>
        <w:rFonts w:ascii="Wingdings" w:hAnsi="Wingdings" w:hint="default"/>
      </w:rPr>
    </w:lvl>
    <w:lvl w:ilvl="6" w:tplc="04060001" w:tentative="1">
      <w:start w:val="1"/>
      <w:numFmt w:val="bullet"/>
      <w:lvlText w:val=""/>
      <w:lvlJc w:val="left"/>
      <w:pPr>
        <w:ind w:left="5815" w:hanging="360"/>
      </w:pPr>
      <w:rPr>
        <w:rFonts w:ascii="Symbol" w:hAnsi="Symbol" w:hint="default"/>
      </w:rPr>
    </w:lvl>
    <w:lvl w:ilvl="7" w:tplc="04060003" w:tentative="1">
      <w:start w:val="1"/>
      <w:numFmt w:val="bullet"/>
      <w:lvlText w:val="o"/>
      <w:lvlJc w:val="left"/>
      <w:pPr>
        <w:ind w:left="6535" w:hanging="360"/>
      </w:pPr>
      <w:rPr>
        <w:rFonts w:ascii="Courier New" w:hAnsi="Courier New" w:cs="Courier New" w:hint="default"/>
      </w:rPr>
    </w:lvl>
    <w:lvl w:ilvl="8" w:tplc="04060005" w:tentative="1">
      <w:start w:val="1"/>
      <w:numFmt w:val="bullet"/>
      <w:lvlText w:val=""/>
      <w:lvlJc w:val="left"/>
      <w:pPr>
        <w:ind w:left="7255" w:hanging="360"/>
      </w:pPr>
      <w:rPr>
        <w:rFonts w:ascii="Wingdings" w:hAnsi="Wingdings" w:hint="default"/>
      </w:rPr>
    </w:lvl>
  </w:abstractNum>
  <w:abstractNum w:abstractNumId="10" w15:restartNumberingAfterBreak="0">
    <w:nsid w:val="67544753"/>
    <w:multiLevelType w:val="multilevel"/>
    <w:tmpl w:val="3A76150C"/>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bullet"/>
      <w:lvlText w:val="o"/>
      <w:lvlJc w:val="left"/>
      <w:rPr>
        <w:rFonts w:ascii="Courier New" w:hAnsi="Courier New" w:cs="Courier New" w:hint="default"/>
      </w:rPr>
    </w:lvl>
    <w:lvl w:ilvl="4">
      <w:start w:val="1"/>
      <w:numFmt w:val="bullet"/>
      <w:lvlText w:val=""/>
      <w:lvlJc w:val="left"/>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10"/>
  </w:num>
  <w:num w:numId="2">
    <w:abstractNumId w:val="2"/>
  </w:num>
  <w:num w:numId="3">
    <w:abstractNumId w:val="11"/>
  </w:num>
  <w:num w:numId="4">
    <w:abstractNumId w:val="1"/>
  </w:num>
  <w:num w:numId="5">
    <w:abstractNumId w:val="4"/>
  </w:num>
  <w:num w:numId="6">
    <w:abstractNumId w:val="7"/>
  </w:num>
  <w:num w:numId="7">
    <w:abstractNumId w:val="8"/>
  </w:num>
  <w:num w:numId="8">
    <w:abstractNumId w:val="9"/>
  </w:num>
  <w:num w:numId="9">
    <w:abstractNumId w:val="0"/>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000F11"/>
    <w:rsid w:val="000659E3"/>
    <w:rsid w:val="00071326"/>
    <w:rsid w:val="0008377B"/>
    <w:rsid w:val="00083C31"/>
    <w:rsid w:val="00094BA9"/>
    <w:rsid w:val="000971E3"/>
    <w:rsid w:val="000D0D72"/>
    <w:rsid w:val="000F544C"/>
    <w:rsid w:val="000F7936"/>
    <w:rsid w:val="00127C27"/>
    <w:rsid w:val="001350BD"/>
    <w:rsid w:val="001429E1"/>
    <w:rsid w:val="001431B1"/>
    <w:rsid w:val="001504D9"/>
    <w:rsid w:val="00151A0F"/>
    <w:rsid w:val="001673AA"/>
    <w:rsid w:val="001728C2"/>
    <w:rsid w:val="00176A05"/>
    <w:rsid w:val="0019627D"/>
    <w:rsid w:val="00197C8B"/>
    <w:rsid w:val="001C151C"/>
    <w:rsid w:val="001D2C04"/>
    <w:rsid w:val="001E41BF"/>
    <w:rsid w:val="0020032F"/>
    <w:rsid w:val="00205ED4"/>
    <w:rsid w:val="002128B4"/>
    <w:rsid w:val="00212F6D"/>
    <w:rsid w:val="00225B63"/>
    <w:rsid w:val="00240381"/>
    <w:rsid w:val="00241992"/>
    <w:rsid w:val="0025390D"/>
    <w:rsid w:val="002656F6"/>
    <w:rsid w:val="00270206"/>
    <w:rsid w:val="00280CB3"/>
    <w:rsid w:val="00282A0E"/>
    <w:rsid w:val="002834C4"/>
    <w:rsid w:val="00295582"/>
    <w:rsid w:val="002E0F06"/>
    <w:rsid w:val="00310CB4"/>
    <w:rsid w:val="0031257B"/>
    <w:rsid w:val="00312D60"/>
    <w:rsid w:val="00314F99"/>
    <w:rsid w:val="00345F9F"/>
    <w:rsid w:val="00346BC0"/>
    <w:rsid w:val="00355220"/>
    <w:rsid w:val="003642BA"/>
    <w:rsid w:val="00373FE3"/>
    <w:rsid w:val="00380F95"/>
    <w:rsid w:val="003830AB"/>
    <w:rsid w:val="00385795"/>
    <w:rsid w:val="003959D3"/>
    <w:rsid w:val="003C7C85"/>
    <w:rsid w:val="003E6EF4"/>
    <w:rsid w:val="00403A5D"/>
    <w:rsid w:val="00423E66"/>
    <w:rsid w:val="00432756"/>
    <w:rsid w:val="004528DF"/>
    <w:rsid w:val="004734DB"/>
    <w:rsid w:val="004766AC"/>
    <w:rsid w:val="00482564"/>
    <w:rsid w:val="0049379E"/>
    <w:rsid w:val="004D12E0"/>
    <w:rsid w:val="004D6EC2"/>
    <w:rsid w:val="004E388A"/>
    <w:rsid w:val="00510EC2"/>
    <w:rsid w:val="00513298"/>
    <w:rsid w:val="00521069"/>
    <w:rsid w:val="005351DA"/>
    <w:rsid w:val="005435EE"/>
    <w:rsid w:val="00543F82"/>
    <w:rsid w:val="00555EB1"/>
    <w:rsid w:val="00567379"/>
    <w:rsid w:val="005D0036"/>
    <w:rsid w:val="005D63EA"/>
    <w:rsid w:val="005E2A64"/>
    <w:rsid w:val="005F7412"/>
    <w:rsid w:val="005F7B42"/>
    <w:rsid w:val="006245AF"/>
    <w:rsid w:val="00630C7B"/>
    <w:rsid w:val="00656CAA"/>
    <w:rsid w:val="00674C80"/>
    <w:rsid w:val="006878D1"/>
    <w:rsid w:val="006B1DDE"/>
    <w:rsid w:val="006C3A4C"/>
    <w:rsid w:val="006D3BCE"/>
    <w:rsid w:val="006D4782"/>
    <w:rsid w:val="006F3AEB"/>
    <w:rsid w:val="006F7F8C"/>
    <w:rsid w:val="0071573E"/>
    <w:rsid w:val="00716777"/>
    <w:rsid w:val="007172F9"/>
    <w:rsid w:val="00726C9F"/>
    <w:rsid w:val="00741EC7"/>
    <w:rsid w:val="007450F5"/>
    <w:rsid w:val="00756853"/>
    <w:rsid w:val="00787110"/>
    <w:rsid w:val="007A79F3"/>
    <w:rsid w:val="007C0561"/>
    <w:rsid w:val="007D6F54"/>
    <w:rsid w:val="007E0F9A"/>
    <w:rsid w:val="00801682"/>
    <w:rsid w:val="00804871"/>
    <w:rsid w:val="0080753B"/>
    <w:rsid w:val="0081779C"/>
    <w:rsid w:val="008220D7"/>
    <w:rsid w:val="008269CB"/>
    <w:rsid w:val="00830520"/>
    <w:rsid w:val="00835651"/>
    <w:rsid w:val="008360A2"/>
    <w:rsid w:val="008457D4"/>
    <w:rsid w:val="00861310"/>
    <w:rsid w:val="0087345E"/>
    <w:rsid w:val="00875C91"/>
    <w:rsid w:val="008A3DDD"/>
    <w:rsid w:val="008A7265"/>
    <w:rsid w:val="008B2B66"/>
    <w:rsid w:val="008B5DBA"/>
    <w:rsid w:val="008C7A2D"/>
    <w:rsid w:val="008D08B3"/>
    <w:rsid w:val="008E64B4"/>
    <w:rsid w:val="008F3F08"/>
    <w:rsid w:val="00920E8F"/>
    <w:rsid w:val="009242E0"/>
    <w:rsid w:val="00925962"/>
    <w:rsid w:val="009338F1"/>
    <w:rsid w:val="0094613A"/>
    <w:rsid w:val="009538C8"/>
    <w:rsid w:val="00956F56"/>
    <w:rsid w:val="00957E22"/>
    <w:rsid w:val="009727F8"/>
    <w:rsid w:val="00987063"/>
    <w:rsid w:val="009A4CA3"/>
    <w:rsid w:val="009B2AD0"/>
    <w:rsid w:val="009D555E"/>
    <w:rsid w:val="009F00AF"/>
    <w:rsid w:val="00A11532"/>
    <w:rsid w:val="00A1228C"/>
    <w:rsid w:val="00A266E9"/>
    <w:rsid w:val="00A41F70"/>
    <w:rsid w:val="00A53464"/>
    <w:rsid w:val="00AA0BC4"/>
    <w:rsid w:val="00AA5C96"/>
    <w:rsid w:val="00AB3D9C"/>
    <w:rsid w:val="00AB5B6F"/>
    <w:rsid w:val="00AC42E7"/>
    <w:rsid w:val="00AD2FF5"/>
    <w:rsid w:val="00AD4287"/>
    <w:rsid w:val="00AE3C39"/>
    <w:rsid w:val="00AF56DF"/>
    <w:rsid w:val="00B16233"/>
    <w:rsid w:val="00B35340"/>
    <w:rsid w:val="00B361CD"/>
    <w:rsid w:val="00B37055"/>
    <w:rsid w:val="00B84755"/>
    <w:rsid w:val="00B92D21"/>
    <w:rsid w:val="00BD7C90"/>
    <w:rsid w:val="00BF723A"/>
    <w:rsid w:val="00C03509"/>
    <w:rsid w:val="00C3481B"/>
    <w:rsid w:val="00C37628"/>
    <w:rsid w:val="00C470EC"/>
    <w:rsid w:val="00C51247"/>
    <w:rsid w:val="00C861A7"/>
    <w:rsid w:val="00C86EEC"/>
    <w:rsid w:val="00CD0ABD"/>
    <w:rsid w:val="00D00443"/>
    <w:rsid w:val="00D019C0"/>
    <w:rsid w:val="00D020CE"/>
    <w:rsid w:val="00D06468"/>
    <w:rsid w:val="00D108AE"/>
    <w:rsid w:val="00D11247"/>
    <w:rsid w:val="00D15C18"/>
    <w:rsid w:val="00D23F6A"/>
    <w:rsid w:val="00D3792E"/>
    <w:rsid w:val="00D413E8"/>
    <w:rsid w:val="00D44EAC"/>
    <w:rsid w:val="00D7193C"/>
    <w:rsid w:val="00D72ADE"/>
    <w:rsid w:val="00D963FC"/>
    <w:rsid w:val="00D97DA0"/>
    <w:rsid w:val="00DA3780"/>
    <w:rsid w:val="00DA3A23"/>
    <w:rsid w:val="00DB0B9D"/>
    <w:rsid w:val="00DB6C07"/>
    <w:rsid w:val="00DC520E"/>
    <w:rsid w:val="00DC79E5"/>
    <w:rsid w:val="00DD1A2C"/>
    <w:rsid w:val="00DF264A"/>
    <w:rsid w:val="00DF5308"/>
    <w:rsid w:val="00E12539"/>
    <w:rsid w:val="00E15470"/>
    <w:rsid w:val="00E1794A"/>
    <w:rsid w:val="00E30207"/>
    <w:rsid w:val="00E421D1"/>
    <w:rsid w:val="00E61294"/>
    <w:rsid w:val="00E67FCD"/>
    <w:rsid w:val="00E74352"/>
    <w:rsid w:val="00E74B40"/>
    <w:rsid w:val="00E865A6"/>
    <w:rsid w:val="00EB722F"/>
    <w:rsid w:val="00EC012C"/>
    <w:rsid w:val="00EC5FDB"/>
    <w:rsid w:val="00EC7DF9"/>
    <w:rsid w:val="00ED0ADB"/>
    <w:rsid w:val="00EF4745"/>
    <w:rsid w:val="00EF59EC"/>
    <w:rsid w:val="00F02FA1"/>
    <w:rsid w:val="00F216ED"/>
    <w:rsid w:val="00F22B4A"/>
    <w:rsid w:val="00F96DF6"/>
    <w:rsid w:val="00FA122B"/>
    <w:rsid w:val="00FB01D7"/>
    <w:rsid w:val="00FB2CD5"/>
    <w:rsid w:val="00FD1AF7"/>
    <w:rsid w:val="00FE2B98"/>
    <w:rsid w:val="00FF4D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chartTrackingRefBased/>
  <w15:docId w15:val="{99295A2E-0724-41CD-9951-E99CE03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paragraph" w:styleId="Heading2">
    <w:name w:val="heading 2"/>
    <w:basedOn w:val="Normal"/>
    <w:next w:val="Normal"/>
    <w:link w:val="Heading2Char"/>
    <w:uiPriority w:val="9"/>
    <w:semiHidden/>
    <w:unhideWhenUsed/>
    <w:qFormat/>
    <w:rsid w:val="005D003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Revision">
    <w:name w:val="Revision"/>
    <w:hidden/>
    <w:uiPriority w:val="99"/>
    <w:semiHidden/>
    <w:rsid w:val="006D3BCE"/>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D3BCE"/>
  </w:style>
  <w:style w:type="character" w:customStyle="1" w:styleId="FootnoteTextChar">
    <w:name w:val="Footnote Text Char"/>
    <w:basedOn w:val="DefaultParagraphFont"/>
    <w:link w:val="FootnoteText"/>
    <w:uiPriority w:val="99"/>
    <w:semiHidden/>
    <w:rsid w:val="006D3B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D3BCE"/>
    <w:rPr>
      <w:vertAlign w:val="superscript"/>
    </w:rPr>
  </w:style>
  <w:style w:type="paragraph" w:customStyle="1" w:styleId="lexsitus-msoquotation">
    <w:name w:val="lexsitus-msoquotation"/>
    <w:basedOn w:val="Normal"/>
    <w:rsid w:val="00F22B4A"/>
    <w:pPr>
      <w:spacing w:before="100" w:beforeAutospacing="1" w:after="100" w:afterAutospacing="1"/>
    </w:pPr>
    <w:rPr>
      <w:sz w:val="24"/>
      <w:szCs w:val="24"/>
      <w:lang w:val="da-DK" w:eastAsia="da-DK"/>
    </w:rPr>
  </w:style>
  <w:style w:type="character" w:styleId="CommentReference">
    <w:name w:val="annotation reference"/>
    <w:basedOn w:val="DefaultParagraphFont"/>
    <w:uiPriority w:val="99"/>
    <w:semiHidden/>
    <w:unhideWhenUsed/>
    <w:rsid w:val="004E388A"/>
    <w:rPr>
      <w:sz w:val="16"/>
      <w:szCs w:val="16"/>
    </w:rPr>
  </w:style>
  <w:style w:type="paragraph" w:styleId="CommentText">
    <w:name w:val="annotation text"/>
    <w:basedOn w:val="Normal"/>
    <w:link w:val="CommentTextChar"/>
    <w:uiPriority w:val="99"/>
    <w:unhideWhenUsed/>
    <w:rsid w:val="004E388A"/>
  </w:style>
  <w:style w:type="character" w:customStyle="1" w:styleId="CommentTextChar">
    <w:name w:val="Comment Text Char"/>
    <w:basedOn w:val="DefaultParagraphFont"/>
    <w:link w:val="CommentText"/>
    <w:uiPriority w:val="99"/>
    <w:rsid w:val="004E38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388A"/>
    <w:rPr>
      <w:b/>
      <w:bCs/>
    </w:rPr>
  </w:style>
  <w:style w:type="character" w:customStyle="1" w:styleId="CommentSubjectChar">
    <w:name w:val="Comment Subject Char"/>
    <w:basedOn w:val="CommentTextChar"/>
    <w:link w:val="CommentSubject"/>
    <w:uiPriority w:val="99"/>
    <w:semiHidden/>
    <w:rsid w:val="004E388A"/>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FF4D92"/>
    <w:rPr>
      <w:color w:val="605E5C"/>
      <w:shd w:val="clear" w:color="auto" w:fill="E1DFDD"/>
    </w:rPr>
  </w:style>
  <w:style w:type="character" w:customStyle="1" w:styleId="Heading2Char">
    <w:name w:val="Heading 2 Char"/>
    <w:basedOn w:val="DefaultParagraphFont"/>
    <w:link w:val="Heading2"/>
    <w:uiPriority w:val="9"/>
    <w:semiHidden/>
    <w:rsid w:val="005D0036"/>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B3D9C"/>
    <w:rPr>
      <w:color w:val="954F72" w:themeColor="followedHyperlink"/>
      <w:u w:val="single"/>
    </w:rPr>
  </w:style>
  <w:style w:type="paragraph" w:customStyle="1" w:styleId="s5891fd46">
    <w:name w:val="s5891fd46"/>
    <w:basedOn w:val="Normal"/>
    <w:rsid w:val="0081779C"/>
    <w:pPr>
      <w:spacing w:before="100" w:beforeAutospacing="1" w:after="100" w:afterAutospacing="1"/>
    </w:pPr>
    <w:rPr>
      <w:sz w:val="24"/>
      <w:szCs w:val="24"/>
      <w:lang w:val="da-DK" w:eastAsia="da-DK"/>
    </w:rPr>
  </w:style>
  <w:style w:type="character" w:customStyle="1" w:styleId="s7d2086b4">
    <w:name w:val="s7d2086b4"/>
    <w:basedOn w:val="DefaultParagraphFont"/>
    <w:rsid w:val="0081779C"/>
  </w:style>
  <w:style w:type="paragraph" w:customStyle="1" w:styleId="sf4f42195">
    <w:name w:val="sf4f42195"/>
    <w:basedOn w:val="Normal"/>
    <w:rsid w:val="0081779C"/>
    <w:pPr>
      <w:spacing w:before="100" w:beforeAutospacing="1" w:after="100" w:afterAutospacing="1"/>
    </w:pPr>
    <w:rPr>
      <w:sz w:val="24"/>
      <w:szCs w:val="24"/>
      <w:lang w:val="da-DK" w:eastAsia="da-DK"/>
    </w:rPr>
  </w:style>
  <w:style w:type="character" w:customStyle="1" w:styleId="sa2b98c15">
    <w:name w:val="sa2b98c15"/>
    <w:basedOn w:val="DefaultParagraphFont"/>
    <w:rsid w:val="00817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18720">
      <w:bodyDiv w:val="1"/>
      <w:marLeft w:val="0"/>
      <w:marRight w:val="0"/>
      <w:marTop w:val="0"/>
      <w:marBottom w:val="0"/>
      <w:divBdr>
        <w:top w:val="none" w:sz="0" w:space="0" w:color="auto"/>
        <w:left w:val="none" w:sz="0" w:space="0" w:color="auto"/>
        <w:bottom w:val="none" w:sz="0" w:space="0" w:color="auto"/>
        <w:right w:val="none" w:sz="0" w:space="0" w:color="auto"/>
      </w:divBdr>
    </w:div>
    <w:div w:id="593830518">
      <w:bodyDiv w:val="1"/>
      <w:marLeft w:val="0"/>
      <w:marRight w:val="0"/>
      <w:marTop w:val="0"/>
      <w:marBottom w:val="0"/>
      <w:divBdr>
        <w:top w:val="none" w:sz="0" w:space="0" w:color="auto"/>
        <w:left w:val="none" w:sz="0" w:space="0" w:color="auto"/>
        <w:bottom w:val="none" w:sz="0" w:space="0" w:color="auto"/>
        <w:right w:val="none" w:sz="0" w:space="0" w:color="auto"/>
      </w:divBdr>
    </w:div>
    <w:div w:id="832186059">
      <w:bodyDiv w:val="1"/>
      <w:marLeft w:val="0"/>
      <w:marRight w:val="0"/>
      <w:marTop w:val="0"/>
      <w:marBottom w:val="0"/>
      <w:divBdr>
        <w:top w:val="none" w:sz="0" w:space="0" w:color="auto"/>
        <w:left w:val="none" w:sz="0" w:space="0" w:color="auto"/>
        <w:bottom w:val="none" w:sz="0" w:space="0" w:color="auto"/>
        <w:right w:val="none" w:sz="0" w:space="0" w:color="auto"/>
      </w:divBdr>
    </w:div>
    <w:div w:id="840706141">
      <w:bodyDiv w:val="1"/>
      <w:marLeft w:val="0"/>
      <w:marRight w:val="0"/>
      <w:marTop w:val="0"/>
      <w:marBottom w:val="0"/>
      <w:divBdr>
        <w:top w:val="none" w:sz="0" w:space="0" w:color="auto"/>
        <w:left w:val="none" w:sz="0" w:space="0" w:color="auto"/>
        <w:bottom w:val="none" w:sz="0" w:space="0" w:color="auto"/>
        <w:right w:val="none" w:sz="0" w:space="0" w:color="auto"/>
      </w:divBdr>
    </w:div>
    <w:div w:id="110180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hudoc.cpt.coe.int/eng" TargetMode="External"/><Relationship Id="rId2" Type="http://schemas.openxmlformats.org/officeDocument/2006/relationships/hyperlink" Target="https://hudoc.cpt.coe.int/eng" TargetMode="External"/><Relationship Id="rId1" Type="http://schemas.openxmlformats.org/officeDocument/2006/relationships/hyperlink" Target="https://hudoc.cpt.coe.int/eng" TargetMode="External"/><Relationship Id="rId5" Type="http://schemas.openxmlformats.org/officeDocument/2006/relationships/hyperlink" Target="http://nebrastunisie.org/" TargetMode="External"/><Relationship Id="rId4" Type="http://schemas.openxmlformats.org/officeDocument/2006/relationships/hyperlink" Target="https://www.kinghusseinfoundation.org/en/EntityPage/Institute%20for%20Family%20Health/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449B-CB6F-400B-BA6E-CF449830B8B0}">
  <ds:schemaRef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3.xml><?xml version="1.0" encoding="utf-8"?>
<ds:datastoreItem xmlns:ds="http://schemas.openxmlformats.org/officeDocument/2006/customXml" ds:itemID="{1FEAE344-D909-45E3-91AC-4DAF614D8F70}"/>
</file>

<file path=customXml/itemProps4.xml><?xml version="1.0" encoding="utf-8"?>
<ds:datastoreItem xmlns:ds="http://schemas.openxmlformats.org/officeDocument/2006/customXml" ds:itemID="{9D7BAD4E-310E-41A8-AE4A-8A9871F9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3</cp:revision>
  <cp:lastPrinted>2022-01-19T10:44:00Z</cp:lastPrinted>
  <dcterms:created xsi:type="dcterms:W3CDTF">2022-01-19T16:38:00Z</dcterms:created>
  <dcterms:modified xsi:type="dcterms:W3CDTF">2022-01-27T13:35:00Z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