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03CC0" w14:textId="0FCBACB2" w:rsidR="00A936FA" w:rsidRDefault="00A936FA" w:rsidP="009A5978">
      <w:pPr>
        <w:shd w:val="clear" w:color="auto" w:fill="FFFFFF"/>
        <w:spacing w:afterLines="150" w:after="360"/>
        <w:jc w:val="center"/>
        <w:rPr>
          <w:rFonts w:ascii="Times New Roman" w:eastAsia="Times New Roman" w:hAnsi="Times New Roman" w:cs="Times New Roman"/>
          <w:b/>
          <w:bCs/>
          <w:color w:val="000000"/>
          <w:lang w:eastAsia="en-GB"/>
        </w:rPr>
      </w:pPr>
      <w:bookmarkStart w:id="0" w:name="_GoBack"/>
      <w:bookmarkEnd w:id="0"/>
      <w:r>
        <w:rPr>
          <w:rFonts w:ascii="Cambria" w:hAnsi="Cambria" w:cs="Times New Roman"/>
          <w:b/>
          <w:bCs/>
          <w:iCs/>
          <w:noProof/>
          <w:lang w:eastAsia="en-GB"/>
        </w:rPr>
        <w:drawing>
          <wp:anchor distT="0" distB="0" distL="114300" distR="114300" simplePos="0" relativeHeight="251658240" behindDoc="0" locked="0" layoutInCell="1" allowOverlap="1" wp14:anchorId="4705C341" wp14:editId="62E86B21">
            <wp:simplePos x="0" y="0"/>
            <wp:positionH relativeFrom="column">
              <wp:posOffset>2323465</wp:posOffset>
            </wp:positionH>
            <wp:positionV relativeFrom="paragraph">
              <wp:posOffset>-200025</wp:posOffset>
            </wp:positionV>
            <wp:extent cx="1038225" cy="1437543"/>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GA logo.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437543"/>
                    </a:xfrm>
                    <a:prstGeom prst="rect">
                      <a:avLst/>
                    </a:prstGeom>
                  </pic:spPr>
                </pic:pic>
              </a:graphicData>
            </a:graphic>
            <wp14:sizeRelH relativeFrom="page">
              <wp14:pctWidth>0</wp14:pctWidth>
            </wp14:sizeRelH>
            <wp14:sizeRelV relativeFrom="page">
              <wp14:pctHeight>0</wp14:pctHeight>
            </wp14:sizeRelV>
          </wp:anchor>
        </w:drawing>
      </w:r>
    </w:p>
    <w:p w14:paraId="2F38101F" w14:textId="041BB92F" w:rsidR="00A936FA" w:rsidRDefault="00A936FA" w:rsidP="009A5978">
      <w:pPr>
        <w:shd w:val="clear" w:color="auto" w:fill="FFFFFF"/>
        <w:spacing w:afterLines="150" w:after="360"/>
        <w:jc w:val="center"/>
        <w:rPr>
          <w:rFonts w:ascii="Times New Roman" w:eastAsia="Times New Roman" w:hAnsi="Times New Roman" w:cs="Times New Roman"/>
          <w:b/>
          <w:bCs/>
          <w:color w:val="000000"/>
          <w:lang w:eastAsia="en-GB"/>
        </w:rPr>
      </w:pPr>
    </w:p>
    <w:p w14:paraId="702C8B5A" w14:textId="5B3EA9DF" w:rsidR="00A936FA" w:rsidRDefault="00A936FA" w:rsidP="009A5978">
      <w:pPr>
        <w:shd w:val="clear" w:color="auto" w:fill="FFFFFF"/>
        <w:spacing w:afterLines="150" w:after="360"/>
        <w:jc w:val="center"/>
        <w:rPr>
          <w:rFonts w:ascii="Times New Roman" w:eastAsia="Times New Roman" w:hAnsi="Times New Roman" w:cs="Times New Roman"/>
          <w:b/>
          <w:bCs/>
          <w:color w:val="000000"/>
          <w:lang w:eastAsia="en-GB"/>
        </w:rPr>
      </w:pPr>
    </w:p>
    <w:p w14:paraId="1858DDA2" w14:textId="77777777" w:rsidR="00683BD8" w:rsidRDefault="00683BD8" w:rsidP="009A5978">
      <w:pPr>
        <w:shd w:val="clear" w:color="auto" w:fill="FFFFFF"/>
        <w:spacing w:afterLines="150" w:after="360"/>
        <w:jc w:val="center"/>
        <w:rPr>
          <w:rFonts w:ascii="Times New Roman" w:eastAsia="Times New Roman" w:hAnsi="Times New Roman" w:cs="Times New Roman"/>
          <w:b/>
          <w:bCs/>
          <w:color w:val="000000"/>
          <w:lang w:eastAsia="en-GB"/>
        </w:rPr>
      </w:pPr>
    </w:p>
    <w:p w14:paraId="10038695" w14:textId="03094CFA" w:rsidR="00A936FA" w:rsidRDefault="00510CAB" w:rsidP="0062241D">
      <w:pPr>
        <w:shd w:val="clear" w:color="auto" w:fill="FFFFFF"/>
        <w:spacing w:after="0"/>
        <w:jc w:val="center"/>
        <w:rPr>
          <w:rFonts w:ascii="Lato" w:eastAsia="Times New Roman" w:hAnsi="Lato" w:cs="Times New Roman"/>
          <w:b/>
          <w:bCs/>
          <w:color w:val="000000"/>
          <w:sz w:val="40"/>
          <w:szCs w:val="40"/>
          <w:lang w:eastAsia="en-GB"/>
        </w:rPr>
      </w:pPr>
      <w:r>
        <w:rPr>
          <w:rFonts w:ascii="Lato" w:eastAsia="Times New Roman" w:hAnsi="Lato" w:cs="Times New Roman"/>
          <w:b/>
          <w:bCs/>
          <w:color w:val="000000"/>
          <w:sz w:val="40"/>
          <w:szCs w:val="40"/>
          <w:lang w:eastAsia="en-GB"/>
        </w:rPr>
        <w:t>Violence and its</w:t>
      </w:r>
      <w:r w:rsidR="0057071D">
        <w:rPr>
          <w:rFonts w:ascii="Lato" w:eastAsia="Times New Roman" w:hAnsi="Lato" w:cs="Times New Roman"/>
          <w:b/>
          <w:bCs/>
          <w:color w:val="000000"/>
          <w:sz w:val="40"/>
          <w:szCs w:val="40"/>
          <w:lang w:eastAsia="en-GB"/>
        </w:rPr>
        <w:t xml:space="preserve"> impact on LGBTI people’s right</w:t>
      </w:r>
      <w:r>
        <w:rPr>
          <w:rFonts w:ascii="Lato" w:eastAsia="Times New Roman" w:hAnsi="Lato" w:cs="Times New Roman"/>
          <w:b/>
          <w:bCs/>
          <w:color w:val="000000"/>
          <w:sz w:val="40"/>
          <w:szCs w:val="40"/>
          <w:lang w:eastAsia="en-GB"/>
        </w:rPr>
        <w:t xml:space="preserve"> to physical and mental health. </w:t>
      </w:r>
    </w:p>
    <w:p w14:paraId="70F7068B" w14:textId="77777777" w:rsidR="00510CAB" w:rsidRPr="00A936FA" w:rsidRDefault="00510CAB" w:rsidP="0062241D">
      <w:pPr>
        <w:shd w:val="clear" w:color="auto" w:fill="FFFFFF"/>
        <w:spacing w:after="0"/>
        <w:jc w:val="center"/>
        <w:rPr>
          <w:rFonts w:ascii="Lato" w:eastAsia="Times New Roman" w:hAnsi="Lato" w:cs="Times New Roman"/>
          <w:b/>
          <w:bCs/>
          <w:color w:val="000000"/>
          <w:sz w:val="40"/>
          <w:szCs w:val="40"/>
          <w:lang w:eastAsia="en-GB"/>
        </w:rPr>
      </w:pPr>
    </w:p>
    <w:p w14:paraId="512B2D71" w14:textId="499EED00" w:rsidR="00A936FA" w:rsidRPr="00A936FA" w:rsidRDefault="00A936FA" w:rsidP="00A936FA">
      <w:pPr>
        <w:shd w:val="clear" w:color="auto" w:fill="FFFFFF"/>
        <w:spacing w:afterLines="150" w:after="360"/>
        <w:jc w:val="center"/>
        <w:rPr>
          <w:rFonts w:ascii="Lato" w:eastAsia="Times New Roman" w:hAnsi="Lato" w:cs="Times New Roman"/>
          <w:i/>
          <w:iCs/>
          <w:color w:val="000000"/>
          <w:sz w:val="24"/>
          <w:szCs w:val="24"/>
          <w:lang w:eastAsia="en-GB"/>
        </w:rPr>
      </w:pPr>
      <w:r w:rsidRPr="00A936FA">
        <w:rPr>
          <w:rFonts w:ascii="Lato" w:eastAsia="Times New Roman" w:hAnsi="Lato" w:cs="Times New Roman"/>
          <w:i/>
          <w:iCs/>
          <w:color w:val="000000"/>
          <w:sz w:val="24"/>
          <w:szCs w:val="24"/>
          <w:lang w:eastAsia="en-GB"/>
        </w:rPr>
        <w:t>Submissi</w:t>
      </w:r>
      <w:r w:rsidR="00510CAB">
        <w:rPr>
          <w:rFonts w:ascii="Lato" w:eastAsia="Times New Roman" w:hAnsi="Lato" w:cs="Times New Roman"/>
          <w:i/>
          <w:iCs/>
          <w:color w:val="000000"/>
          <w:sz w:val="24"/>
          <w:szCs w:val="24"/>
          <w:lang w:eastAsia="en-GB"/>
        </w:rPr>
        <w:t xml:space="preserve">on to the Special Rapporteur on </w:t>
      </w:r>
      <w:r w:rsidR="00510CAB" w:rsidRPr="00510CAB">
        <w:rPr>
          <w:rFonts w:ascii="Lato" w:eastAsia="Times New Roman" w:hAnsi="Lato" w:cs="Times New Roman"/>
          <w:i/>
          <w:iCs/>
          <w:color w:val="000000"/>
          <w:sz w:val="24"/>
          <w:szCs w:val="24"/>
          <w:lang w:eastAsia="en-GB"/>
        </w:rPr>
        <w:t>the right of everyone to the enjoyment of the highest attainable standard of physical and mental health</w:t>
      </w:r>
    </w:p>
    <w:p w14:paraId="75E90A2E" w14:textId="2C767F6A" w:rsidR="0062241D" w:rsidRPr="00133CF1" w:rsidRDefault="00D1773A" w:rsidP="0062241D">
      <w:pPr>
        <w:shd w:val="clear" w:color="auto" w:fill="FFFFFF"/>
        <w:spacing w:after="0" w:line="240" w:lineRule="auto"/>
        <w:jc w:val="center"/>
        <w:rPr>
          <w:rFonts w:ascii="Lato" w:eastAsia="Times New Roman" w:hAnsi="Lato" w:cs="Times New Roman"/>
          <w:color w:val="000000"/>
          <w:sz w:val="24"/>
          <w:szCs w:val="24"/>
          <w:lang w:eastAsia="en-GB"/>
        </w:rPr>
      </w:pPr>
      <w:r w:rsidRPr="00133CF1">
        <w:rPr>
          <w:rFonts w:ascii="Lato" w:eastAsia="Times New Roman" w:hAnsi="Lato" w:cs="Times New Roman"/>
          <w:color w:val="000000"/>
          <w:sz w:val="24"/>
          <w:szCs w:val="24"/>
          <w:lang w:eastAsia="en-GB"/>
        </w:rPr>
        <w:t>18</w:t>
      </w:r>
      <w:r w:rsidR="00510CAB" w:rsidRPr="00133CF1">
        <w:rPr>
          <w:rFonts w:ascii="Lato" w:eastAsia="Times New Roman" w:hAnsi="Lato" w:cs="Times New Roman"/>
          <w:color w:val="000000"/>
          <w:sz w:val="24"/>
          <w:szCs w:val="24"/>
          <w:lang w:eastAsia="en-GB"/>
        </w:rPr>
        <w:t xml:space="preserve"> January 2022</w:t>
      </w:r>
    </w:p>
    <w:p w14:paraId="007B17C7" w14:textId="7A5E692E" w:rsidR="00A936FA" w:rsidRPr="00683BD8" w:rsidRDefault="00A936FA" w:rsidP="00A936FA">
      <w:pPr>
        <w:shd w:val="clear" w:color="auto" w:fill="FFFFFF"/>
        <w:spacing w:after="0" w:line="240" w:lineRule="auto"/>
        <w:jc w:val="center"/>
        <w:rPr>
          <w:rFonts w:ascii="Lato" w:eastAsia="Times New Roman" w:hAnsi="Lato" w:cs="Times New Roman"/>
          <w:b/>
          <w:bCs/>
          <w:color w:val="000000"/>
          <w:lang w:eastAsia="en-GB"/>
        </w:rPr>
      </w:pPr>
    </w:p>
    <w:p w14:paraId="0D4BEAF6" w14:textId="77777777" w:rsidR="00A936FA" w:rsidRPr="00683BD8" w:rsidRDefault="00A936FA" w:rsidP="00A936FA">
      <w:pPr>
        <w:shd w:val="clear" w:color="auto" w:fill="FFFFFF"/>
        <w:spacing w:after="0" w:line="240" w:lineRule="auto"/>
        <w:jc w:val="center"/>
        <w:rPr>
          <w:rFonts w:ascii="Lato" w:eastAsia="Times New Roman" w:hAnsi="Lato" w:cs="Times New Roman"/>
          <w:b/>
          <w:bCs/>
          <w:color w:val="000000"/>
          <w:lang w:eastAsia="en-GB"/>
        </w:rPr>
      </w:pPr>
    </w:p>
    <w:p w14:paraId="3481A5A7" w14:textId="5B55B4F8" w:rsidR="00A936FA" w:rsidRPr="00133CF1" w:rsidRDefault="00A936FA" w:rsidP="00A936FA">
      <w:pPr>
        <w:shd w:val="clear" w:color="auto" w:fill="FFFFFF"/>
        <w:spacing w:after="0" w:line="240" w:lineRule="auto"/>
        <w:jc w:val="center"/>
        <w:rPr>
          <w:rFonts w:ascii="Lato" w:eastAsia="Times New Roman" w:hAnsi="Lato" w:cs="Times New Roman"/>
          <w:b/>
          <w:bCs/>
          <w:color w:val="000000"/>
          <w:sz w:val="24"/>
          <w:szCs w:val="24"/>
          <w:lang w:eastAsia="en-GB"/>
        </w:rPr>
      </w:pPr>
      <w:r w:rsidRPr="00133CF1">
        <w:rPr>
          <w:rFonts w:ascii="Lato" w:eastAsia="Times New Roman" w:hAnsi="Lato" w:cs="Times New Roman"/>
          <w:b/>
          <w:bCs/>
          <w:color w:val="000000"/>
          <w:sz w:val="24"/>
          <w:szCs w:val="24"/>
          <w:lang w:eastAsia="en-GB"/>
        </w:rPr>
        <w:t>Report submitted by:</w:t>
      </w:r>
    </w:p>
    <w:p w14:paraId="6CBCC52E" w14:textId="33FE59D0" w:rsidR="00A936FA" w:rsidRPr="00133CF1" w:rsidRDefault="00A936FA" w:rsidP="00A936FA">
      <w:pPr>
        <w:shd w:val="clear" w:color="auto" w:fill="FFFFFF"/>
        <w:spacing w:after="0" w:line="240" w:lineRule="auto"/>
        <w:jc w:val="center"/>
        <w:rPr>
          <w:rFonts w:ascii="Lato" w:eastAsia="Times New Roman" w:hAnsi="Lato" w:cs="Times New Roman"/>
          <w:color w:val="000000"/>
          <w:sz w:val="24"/>
          <w:szCs w:val="24"/>
          <w:lang w:eastAsia="en-GB"/>
        </w:rPr>
      </w:pPr>
      <w:r w:rsidRPr="00133CF1">
        <w:rPr>
          <w:rFonts w:ascii="Lato" w:eastAsia="Times New Roman" w:hAnsi="Lato" w:cs="Times New Roman"/>
          <w:color w:val="000000"/>
          <w:sz w:val="24"/>
          <w:szCs w:val="24"/>
          <w:lang w:eastAsia="en-GB"/>
        </w:rPr>
        <w:t>International Lesbian, Gay, Bisexual, Trans and Intersex Association (ILGA World)</w:t>
      </w:r>
    </w:p>
    <w:p w14:paraId="40C2F08E" w14:textId="77777777" w:rsidR="0062241D" w:rsidRPr="00683BD8" w:rsidRDefault="0062241D" w:rsidP="008F48D2">
      <w:pPr>
        <w:shd w:val="clear" w:color="auto" w:fill="FFFFFF"/>
        <w:spacing w:afterLines="150" w:after="360" w:line="240" w:lineRule="auto"/>
        <w:jc w:val="both"/>
        <w:rPr>
          <w:rFonts w:ascii="Lato" w:eastAsia="Times New Roman" w:hAnsi="Lato" w:cs="Times New Roman"/>
          <w:b/>
          <w:bCs/>
          <w:color w:val="000000"/>
          <w:lang w:eastAsia="en-GB"/>
        </w:rPr>
      </w:pPr>
    </w:p>
    <w:tbl>
      <w:tblPr>
        <w:tblStyle w:val="TableGrid"/>
        <w:tblW w:w="9271" w:type="dxa"/>
        <w:tblLook w:val="04A0" w:firstRow="1" w:lastRow="0" w:firstColumn="1" w:lastColumn="0" w:noHBand="0" w:noVBand="1"/>
      </w:tblPr>
      <w:tblGrid>
        <w:gridCol w:w="9271"/>
      </w:tblGrid>
      <w:tr w:rsidR="00A936FA" w:rsidRPr="00683BD8" w14:paraId="5F2307DB" w14:textId="77777777" w:rsidTr="00F52D61">
        <w:trPr>
          <w:trHeight w:val="2838"/>
        </w:trPr>
        <w:tc>
          <w:tcPr>
            <w:tcW w:w="9271" w:type="dxa"/>
          </w:tcPr>
          <w:tbl>
            <w:tblPr>
              <w:tblW w:w="0" w:type="auto"/>
              <w:tblBorders>
                <w:top w:val="nil"/>
                <w:left w:val="nil"/>
                <w:bottom w:val="nil"/>
                <w:right w:val="nil"/>
              </w:tblBorders>
              <w:tblLook w:val="0000" w:firstRow="0" w:lastRow="0" w:firstColumn="0" w:lastColumn="0" w:noHBand="0" w:noVBand="0"/>
            </w:tblPr>
            <w:tblGrid>
              <w:gridCol w:w="9055"/>
            </w:tblGrid>
            <w:tr w:rsidR="00655D34" w:rsidRPr="00655D34" w14:paraId="708A5B40" w14:textId="77777777">
              <w:trPr>
                <w:trHeight w:val="1590"/>
              </w:trPr>
              <w:tc>
                <w:tcPr>
                  <w:tcW w:w="0" w:type="auto"/>
                </w:tcPr>
                <w:p w14:paraId="7E7F3111" w14:textId="1D4AC8AC" w:rsidR="00655D34" w:rsidRPr="00655D34" w:rsidRDefault="00655D34" w:rsidP="00655D34">
                  <w:pPr>
                    <w:shd w:val="clear" w:color="auto" w:fill="FFFFFF"/>
                    <w:spacing w:before="240" w:after="240" w:line="240" w:lineRule="auto"/>
                    <w:ind w:right="284"/>
                    <w:jc w:val="both"/>
                    <w:rPr>
                      <w:rFonts w:ascii="Lato" w:hAnsi="Lato" w:cs="Times New Roman"/>
                      <w:sz w:val="24"/>
                      <w:szCs w:val="24"/>
                      <w:lang w:val="en-US"/>
                    </w:rPr>
                  </w:pPr>
                  <w:r w:rsidRPr="00655D34">
                    <w:rPr>
                      <w:rFonts w:ascii="Lato" w:hAnsi="Lato" w:cs="Times New Roman"/>
                      <w:sz w:val="24"/>
                      <w:szCs w:val="24"/>
                      <w:lang w:val="en-US"/>
                    </w:rPr>
                    <w:t xml:space="preserve">The purpose of this document is to provide inputs on the effects of violence against LGBTI persons on their enjoyment of the right to health. Particularly, it focuses on global challenges for LGBTI persons regarding the COVID-19 pandemic, mental health outcomes due to prejudices and stigmatization based on sexual orientation, gender identity, and expression and/or sex characteristics (SOGIESC), and the specific barriers faced by trans and intersex persons in accessing health care. Moreover, this submission makes a general overview of the situation of LGBTI persons in different regions concerning the right to physical and mental health by providing statistics, case examples, testimonies, and academic research on the matter. Lastly, the report employs an intersectional approach considering the nexus between SOGIESC, and other factors such as age and HIV status. </w:t>
                  </w:r>
                </w:p>
              </w:tc>
            </w:tr>
          </w:tbl>
          <w:p w14:paraId="0D75113D" w14:textId="24C350F5" w:rsidR="00A936FA" w:rsidRPr="00133CF1" w:rsidRDefault="00A936FA" w:rsidP="008852D6">
            <w:pPr>
              <w:shd w:val="clear" w:color="auto" w:fill="FFFFFF"/>
              <w:spacing w:before="240" w:after="240"/>
              <w:ind w:left="284" w:right="284"/>
              <w:jc w:val="both"/>
              <w:rPr>
                <w:rFonts w:ascii="Lato" w:hAnsi="Lato" w:cs="Times New Roman"/>
                <w:sz w:val="24"/>
                <w:szCs w:val="24"/>
              </w:rPr>
            </w:pPr>
          </w:p>
        </w:tc>
      </w:tr>
    </w:tbl>
    <w:sdt>
      <w:sdtPr>
        <w:rPr>
          <w:rFonts w:ascii="Lato" w:eastAsiaTheme="minorHAnsi" w:hAnsi="Lato" w:cstheme="minorBidi"/>
          <w:b w:val="0"/>
          <w:bCs w:val="0"/>
          <w:color w:val="auto"/>
          <w:sz w:val="22"/>
          <w:szCs w:val="22"/>
          <w:lang w:val="en-GB"/>
        </w:rPr>
        <w:id w:val="-118680444"/>
        <w:docPartObj>
          <w:docPartGallery w:val="Table of Contents"/>
          <w:docPartUnique/>
        </w:docPartObj>
      </w:sdtPr>
      <w:sdtEndPr>
        <w:rPr>
          <w:noProof/>
          <w:sz w:val="24"/>
          <w:szCs w:val="24"/>
        </w:rPr>
      </w:sdtEndPr>
      <w:sdtContent>
        <w:p w14:paraId="78A66174" w14:textId="3989BEB2" w:rsidR="00133CF1" w:rsidRDefault="00133CF1" w:rsidP="00133CF1">
          <w:pPr>
            <w:pStyle w:val="TOCHeading"/>
            <w:tabs>
              <w:tab w:val="center" w:pos="4513"/>
              <w:tab w:val="left" w:pos="6090"/>
            </w:tabs>
            <w:rPr>
              <w:rFonts w:ascii="Lato" w:eastAsiaTheme="minorHAnsi" w:hAnsi="Lato" w:cstheme="minorBidi"/>
              <w:b w:val="0"/>
              <w:bCs w:val="0"/>
              <w:color w:val="auto"/>
              <w:sz w:val="22"/>
              <w:szCs w:val="22"/>
              <w:lang w:val="en-GB"/>
            </w:rPr>
          </w:pPr>
          <w:r>
            <w:rPr>
              <w:rFonts w:ascii="Lato" w:eastAsiaTheme="minorHAnsi" w:hAnsi="Lato" w:cstheme="minorBidi"/>
              <w:b w:val="0"/>
              <w:bCs w:val="0"/>
              <w:color w:val="auto"/>
              <w:sz w:val="22"/>
              <w:szCs w:val="22"/>
              <w:lang w:val="en-GB"/>
            </w:rPr>
            <w:tab/>
          </w:r>
        </w:p>
        <w:p w14:paraId="3BB8570A" w14:textId="77777777" w:rsidR="00133CF1" w:rsidRDefault="00133CF1" w:rsidP="00133CF1"/>
        <w:p w14:paraId="29EFEE8E" w14:textId="77777777" w:rsidR="00133CF1" w:rsidRPr="00133CF1" w:rsidRDefault="00133CF1" w:rsidP="00133CF1"/>
        <w:p w14:paraId="2E9F9F2C" w14:textId="77777777" w:rsidR="00133CF1" w:rsidRDefault="00133CF1" w:rsidP="00133CF1">
          <w:pPr>
            <w:pStyle w:val="TOCHeading"/>
            <w:tabs>
              <w:tab w:val="center" w:pos="4513"/>
              <w:tab w:val="left" w:pos="6090"/>
            </w:tabs>
            <w:rPr>
              <w:rFonts w:ascii="Lato" w:eastAsiaTheme="minorHAnsi" w:hAnsi="Lato" w:cstheme="minorBidi"/>
              <w:b w:val="0"/>
              <w:bCs w:val="0"/>
              <w:color w:val="auto"/>
              <w:sz w:val="22"/>
              <w:szCs w:val="22"/>
              <w:lang w:val="en-GB"/>
            </w:rPr>
          </w:pPr>
        </w:p>
        <w:p w14:paraId="0EBF6AD8" w14:textId="0DC7E039" w:rsidR="00683BD8" w:rsidRPr="00247E41" w:rsidRDefault="00683BD8" w:rsidP="00133CF1">
          <w:pPr>
            <w:pStyle w:val="TOCHeading"/>
            <w:tabs>
              <w:tab w:val="center" w:pos="4513"/>
              <w:tab w:val="left" w:pos="6090"/>
            </w:tabs>
            <w:jc w:val="center"/>
            <w:rPr>
              <w:rFonts w:ascii="Lato" w:hAnsi="Lato"/>
              <w:color w:val="000000" w:themeColor="text1"/>
              <w:sz w:val="22"/>
              <w:szCs w:val="22"/>
            </w:rPr>
          </w:pPr>
          <w:r w:rsidRPr="00247E41">
            <w:rPr>
              <w:rFonts w:ascii="Lato" w:hAnsi="Lato"/>
              <w:color w:val="000000" w:themeColor="text1"/>
              <w:sz w:val="22"/>
              <w:szCs w:val="22"/>
            </w:rPr>
            <w:t>Table of Contents</w:t>
          </w:r>
        </w:p>
        <w:p w14:paraId="4D1A5109" w14:textId="77777777" w:rsidR="00A054C7" w:rsidRPr="00A054C7" w:rsidRDefault="00683BD8">
          <w:pPr>
            <w:pStyle w:val="TOC1"/>
            <w:tabs>
              <w:tab w:val="left" w:pos="440"/>
              <w:tab w:val="right" w:leader="dot" w:pos="9016"/>
            </w:tabs>
            <w:rPr>
              <w:rFonts w:eastAsiaTheme="minorEastAsia" w:cstheme="minorBidi"/>
              <w:b w:val="0"/>
              <w:bCs w:val="0"/>
              <w:i w:val="0"/>
              <w:iCs w:val="0"/>
              <w:noProof/>
              <w:sz w:val="22"/>
              <w:szCs w:val="22"/>
              <w:lang w:val="es-MX" w:eastAsia="es-MX"/>
            </w:rPr>
          </w:pPr>
          <w:r w:rsidRPr="00A054C7">
            <w:rPr>
              <w:rFonts w:ascii="Lato" w:hAnsi="Lato"/>
              <w:b w:val="0"/>
              <w:bCs w:val="0"/>
              <w:i w:val="0"/>
              <w:iCs w:val="0"/>
            </w:rPr>
            <w:fldChar w:fldCharType="begin"/>
          </w:r>
          <w:r w:rsidRPr="00A054C7">
            <w:rPr>
              <w:rFonts w:ascii="Lato" w:hAnsi="Lato"/>
              <w:b w:val="0"/>
              <w:bCs w:val="0"/>
              <w:i w:val="0"/>
              <w:iCs w:val="0"/>
            </w:rPr>
            <w:instrText xml:space="preserve"> TOC \o "1-3" \h \z \u </w:instrText>
          </w:r>
          <w:r w:rsidRPr="00A054C7">
            <w:rPr>
              <w:rFonts w:ascii="Lato" w:hAnsi="Lato"/>
              <w:b w:val="0"/>
              <w:bCs w:val="0"/>
              <w:i w:val="0"/>
              <w:iCs w:val="0"/>
            </w:rPr>
            <w:fldChar w:fldCharType="separate"/>
          </w:r>
          <w:hyperlink w:anchor="_Toc94093972" w:history="1">
            <w:r w:rsidR="00A054C7" w:rsidRPr="00A054C7">
              <w:rPr>
                <w:rStyle w:val="Hyperlink"/>
                <w:rFonts w:ascii="Lato" w:eastAsia="Times New Roman" w:hAnsi="Lato"/>
                <w:b w:val="0"/>
                <w:i w:val="0"/>
                <w:noProof/>
                <w:lang w:eastAsia="en-GB"/>
              </w:rPr>
              <w:t>I.</w:t>
            </w:r>
            <w:r w:rsidR="00A054C7" w:rsidRPr="00A054C7">
              <w:rPr>
                <w:rFonts w:eastAsiaTheme="minorEastAsia" w:cstheme="minorBidi"/>
                <w:b w:val="0"/>
                <w:bCs w:val="0"/>
                <w:i w:val="0"/>
                <w:iCs w:val="0"/>
                <w:noProof/>
                <w:sz w:val="22"/>
                <w:szCs w:val="22"/>
                <w:lang w:val="es-MX" w:eastAsia="es-MX"/>
              </w:rPr>
              <w:tab/>
            </w:r>
            <w:r w:rsidR="00A054C7" w:rsidRPr="00A054C7">
              <w:rPr>
                <w:rStyle w:val="Hyperlink"/>
                <w:rFonts w:ascii="Lato" w:eastAsia="Times New Roman" w:hAnsi="Lato"/>
                <w:b w:val="0"/>
                <w:i w:val="0"/>
                <w:noProof/>
                <w:lang w:eastAsia="en-GB"/>
              </w:rPr>
              <w:t>Introduction</w:t>
            </w:r>
            <w:r w:rsidR="00A054C7" w:rsidRPr="00A054C7">
              <w:rPr>
                <w:b w:val="0"/>
                <w:i w:val="0"/>
                <w:noProof/>
                <w:webHidden/>
              </w:rPr>
              <w:tab/>
            </w:r>
            <w:r w:rsidR="00A054C7" w:rsidRPr="00A054C7">
              <w:rPr>
                <w:b w:val="0"/>
                <w:i w:val="0"/>
                <w:noProof/>
                <w:webHidden/>
              </w:rPr>
              <w:fldChar w:fldCharType="begin"/>
            </w:r>
            <w:r w:rsidR="00A054C7" w:rsidRPr="00A054C7">
              <w:rPr>
                <w:b w:val="0"/>
                <w:i w:val="0"/>
                <w:noProof/>
                <w:webHidden/>
              </w:rPr>
              <w:instrText xml:space="preserve"> PAGEREF _Toc94093972 \h </w:instrText>
            </w:r>
            <w:r w:rsidR="00A054C7" w:rsidRPr="00A054C7">
              <w:rPr>
                <w:b w:val="0"/>
                <w:i w:val="0"/>
                <w:noProof/>
                <w:webHidden/>
              </w:rPr>
            </w:r>
            <w:r w:rsidR="00A054C7" w:rsidRPr="00A054C7">
              <w:rPr>
                <w:b w:val="0"/>
                <w:i w:val="0"/>
                <w:noProof/>
                <w:webHidden/>
              </w:rPr>
              <w:fldChar w:fldCharType="separate"/>
            </w:r>
            <w:r w:rsidR="00A054C7" w:rsidRPr="00A054C7">
              <w:rPr>
                <w:b w:val="0"/>
                <w:i w:val="0"/>
                <w:noProof/>
                <w:webHidden/>
              </w:rPr>
              <w:t>3</w:t>
            </w:r>
            <w:r w:rsidR="00A054C7" w:rsidRPr="00A054C7">
              <w:rPr>
                <w:b w:val="0"/>
                <w:i w:val="0"/>
                <w:noProof/>
                <w:webHidden/>
              </w:rPr>
              <w:fldChar w:fldCharType="end"/>
            </w:r>
          </w:hyperlink>
        </w:p>
        <w:p w14:paraId="05A3B312" w14:textId="77777777" w:rsidR="00A054C7" w:rsidRPr="00A054C7" w:rsidRDefault="005A595A">
          <w:pPr>
            <w:pStyle w:val="TOC1"/>
            <w:tabs>
              <w:tab w:val="left" w:pos="440"/>
              <w:tab w:val="right" w:leader="dot" w:pos="9016"/>
            </w:tabs>
            <w:rPr>
              <w:rFonts w:eastAsiaTheme="minorEastAsia" w:cstheme="minorBidi"/>
              <w:b w:val="0"/>
              <w:bCs w:val="0"/>
              <w:i w:val="0"/>
              <w:iCs w:val="0"/>
              <w:noProof/>
              <w:sz w:val="22"/>
              <w:szCs w:val="22"/>
              <w:lang w:val="es-MX" w:eastAsia="es-MX"/>
            </w:rPr>
          </w:pPr>
          <w:hyperlink w:anchor="_Toc94093973" w:history="1">
            <w:r w:rsidR="00A054C7" w:rsidRPr="00A054C7">
              <w:rPr>
                <w:rStyle w:val="Hyperlink"/>
                <w:rFonts w:ascii="Lato" w:eastAsia="Times New Roman" w:hAnsi="Lato"/>
                <w:b w:val="0"/>
                <w:i w:val="0"/>
                <w:noProof/>
                <w:lang w:val="en-US" w:eastAsia="en-GB"/>
              </w:rPr>
              <w:t>II.</w:t>
            </w:r>
            <w:r w:rsidR="00A054C7" w:rsidRPr="00A054C7">
              <w:rPr>
                <w:rFonts w:eastAsiaTheme="minorEastAsia" w:cstheme="minorBidi"/>
                <w:b w:val="0"/>
                <w:bCs w:val="0"/>
                <w:i w:val="0"/>
                <w:iCs w:val="0"/>
                <w:noProof/>
                <w:sz w:val="22"/>
                <w:szCs w:val="22"/>
                <w:lang w:val="es-MX" w:eastAsia="es-MX"/>
              </w:rPr>
              <w:tab/>
            </w:r>
            <w:r w:rsidR="00A054C7" w:rsidRPr="00A054C7">
              <w:rPr>
                <w:rStyle w:val="Hyperlink"/>
                <w:rFonts w:ascii="Lato" w:eastAsia="Times New Roman" w:hAnsi="Lato"/>
                <w:b w:val="0"/>
                <w:i w:val="0"/>
                <w:noProof/>
                <w:lang w:eastAsia="en-GB"/>
              </w:rPr>
              <w:t>G</w:t>
            </w:r>
            <w:r w:rsidR="00A054C7" w:rsidRPr="00A054C7">
              <w:rPr>
                <w:rStyle w:val="Hyperlink"/>
                <w:rFonts w:ascii="Lato" w:eastAsia="Times New Roman" w:hAnsi="Lato"/>
                <w:b w:val="0"/>
                <w:i w:val="0"/>
                <w:noProof/>
                <w:lang w:val="en-US" w:eastAsia="en-GB"/>
              </w:rPr>
              <w:t>ender based violence against LGBTI persons and its impact on the right to health: Statistics and country examples. (Question 1.3)</w:t>
            </w:r>
            <w:r w:rsidR="00A054C7" w:rsidRPr="00A054C7">
              <w:rPr>
                <w:b w:val="0"/>
                <w:i w:val="0"/>
                <w:noProof/>
                <w:webHidden/>
              </w:rPr>
              <w:tab/>
            </w:r>
            <w:r w:rsidR="00A054C7" w:rsidRPr="00A054C7">
              <w:rPr>
                <w:b w:val="0"/>
                <w:i w:val="0"/>
                <w:noProof/>
                <w:webHidden/>
              </w:rPr>
              <w:fldChar w:fldCharType="begin"/>
            </w:r>
            <w:r w:rsidR="00A054C7" w:rsidRPr="00A054C7">
              <w:rPr>
                <w:b w:val="0"/>
                <w:i w:val="0"/>
                <w:noProof/>
                <w:webHidden/>
              </w:rPr>
              <w:instrText xml:space="preserve"> PAGEREF _Toc94093973 \h </w:instrText>
            </w:r>
            <w:r w:rsidR="00A054C7" w:rsidRPr="00A054C7">
              <w:rPr>
                <w:b w:val="0"/>
                <w:i w:val="0"/>
                <w:noProof/>
                <w:webHidden/>
              </w:rPr>
            </w:r>
            <w:r w:rsidR="00A054C7" w:rsidRPr="00A054C7">
              <w:rPr>
                <w:b w:val="0"/>
                <w:i w:val="0"/>
                <w:noProof/>
                <w:webHidden/>
              </w:rPr>
              <w:fldChar w:fldCharType="separate"/>
            </w:r>
            <w:r w:rsidR="00A054C7" w:rsidRPr="00A054C7">
              <w:rPr>
                <w:b w:val="0"/>
                <w:i w:val="0"/>
                <w:noProof/>
                <w:webHidden/>
              </w:rPr>
              <w:t>3</w:t>
            </w:r>
            <w:r w:rsidR="00A054C7" w:rsidRPr="00A054C7">
              <w:rPr>
                <w:b w:val="0"/>
                <w:i w:val="0"/>
                <w:noProof/>
                <w:webHidden/>
              </w:rPr>
              <w:fldChar w:fldCharType="end"/>
            </w:r>
          </w:hyperlink>
        </w:p>
        <w:p w14:paraId="7419631F" w14:textId="30947741" w:rsidR="00A054C7" w:rsidRPr="00A054C7" w:rsidRDefault="005A595A">
          <w:pPr>
            <w:pStyle w:val="TOC1"/>
            <w:tabs>
              <w:tab w:val="left" w:pos="660"/>
              <w:tab w:val="right" w:leader="dot" w:pos="9016"/>
            </w:tabs>
            <w:rPr>
              <w:rFonts w:eastAsiaTheme="minorEastAsia" w:cstheme="minorBidi"/>
              <w:b w:val="0"/>
              <w:bCs w:val="0"/>
              <w:i w:val="0"/>
              <w:iCs w:val="0"/>
              <w:noProof/>
              <w:sz w:val="22"/>
              <w:szCs w:val="22"/>
              <w:lang w:val="es-MX" w:eastAsia="es-MX"/>
            </w:rPr>
          </w:pPr>
          <w:hyperlink w:anchor="_Toc94093974" w:history="1">
            <w:r w:rsidR="00A054C7" w:rsidRPr="00A054C7">
              <w:rPr>
                <w:rStyle w:val="Hyperlink"/>
                <w:rFonts w:ascii="Lato" w:eastAsia="Times New Roman" w:hAnsi="Lato"/>
                <w:b w:val="0"/>
                <w:i w:val="0"/>
                <w:noProof/>
                <w:lang w:eastAsia="en-GB"/>
              </w:rPr>
              <w:t>III.</w:t>
            </w:r>
            <w:r w:rsidR="00A054C7" w:rsidRPr="00A054C7">
              <w:rPr>
                <w:rFonts w:eastAsiaTheme="minorEastAsia" w:cstheme="minorBidi"/>
                <w:b w:val="0"/>
                <w:bCs w:val="0"/>
                <w:i w:val="0"/>
                <w:iCs w:val="0"/>
                <w:noProof/>
                <w:sz w:val="22"/>
                <w:szCs w:val="22"/>
                <w:lang w:val="es-MX" w:eastAsia="es-MX"/>
              </w:rPr>
              <w:tab/>
            </w:r>
            <w:r w:rsidR="00A054C7" w:rsidRPr="00A054C7">
              <w:rPr>
                <w:rStyle w:val="Hyperlink"/>
                <w:rFonts w:ascii="Lato" w:eastAsia="Times New Roman" w:hAnsi="Lato"/>
                <w:b w:val="0"/>
                <w:i w:val="0"/>
                <w:noProof/>
                <w:lang w:eastAsia="en-GB"/>
              </w:rPr>
              <w:t xml:space="preserve">Structural and institutional violence based on SOGIESC in medical </w:t>
            </w:r>
            <w:r w:rsidR="00777C62">
              <w:rPr>
                <w:rStyle w:val="Hyperlink"/>
                <w:rFonts w:ascii="Lato" w:eastAsia="Times New Roman" w:hAnsi="Lato"/>
                <w:b w:val="0"/>
                <w:i w:val="0"/>
                <w:noProof/>
                <w:lang w:eastAsia="en-GB"/>
              </w:rPr>
              <w:t>settings: Country examples and s</w:t>
            </w:r>
            <w:r w:rsidR="00A054C7" w:rsidRPr="00A054C7">
              <w:rPr>
                <w:rStyle w:val="Hyperlink"/>
                <w:rFonts w:ascii="Lato" w:eastAsia="Times New Roman" w:hAnsi="Lato"/>
                <w:b w:val="0"/>
                <w:i w:val="0"/>
                <w:noProof/>
                <w:lang w:eastAsia="en-GB"/>
              </w:rPr>
              <w:t>tate responses (Questions 3 and 8)</w:t>
            </w:r>
            <w:r w:rsidR="00A054C7" w:rsidRPr="00A054C7">
              <w:rPr>
                <w:b w:val="0"/>
                <w:i w:val="0"/>
                <w:noProof/>
                <w:webHidden/>
              </w:rPr>
              <w:tab/>
            </w:r>
            <w:r w:rsidR="00A054C7" w:rsidRPr="00A054C7">
              <w:rPr>
                <w:b w:val="0"/>
                <w:i w:val="0"/>
                <w:noProof/>
                <w:webHidden/>
              </w:rPr>
              <w:fldChar w:fldCharType="begin"/>
            </w:r>
            <w:r w:rsidR="00A054C7" w:rsidRPr="00A054C7">
              <w:rPr>
                <w:b w:val="0"/>
                <w:i w:val="0"/>
                <w:noProof/>
                <w:webHidden/>
              </w:rPr>
              <w:instrText xml:space="preserve"> PAGEREF _Toc94093974 \h </w:instrText>
            </w:r>
            <w:r w:rsidR="00A054C7" w:rsidRPr="00A054C7">
              <w:rPr>
                <w:b w:val="0"/>
                <w:i w:val="0"/>
                <w:noProof/>
                <w:webHidden/>
              </w:rPr>
            </w:r>
            <w:r w:rsidR="00A054C7" w:rsidRPr="00A054C7">
              <w:rPr>
                <w:b w:val="0"/>
                <w:i w:val="0"/>
                <w:noProof/>
                <w:webHidden/>
              </w:rPr>
              <w:fldChar w:fldCharType="separate"/>
            </w:r>
            <w:r w:rsidR="00A054C7" w:rsidRPr="00A054C7">
              <w:rPr>
                <w:b w:val="0"/>
                <w:i w:val="0"/>
                <w:noProof/>
                <w:webHidden/>
              </w:rPr>
              <w:t>5</w:t>
            </w:r>
            <w:r w:rsidR="00A054C7" w:rsidRPr="00A054C7">
              <w:rPr>
                <w:b w:val="0"/>
                <w:i w:val="0"/>
                <w:noProof/>
                <w:webHidden/>
              </w:rPr>
              <w:fldChar w:fldCharType="end"/>
            </w:r>
          </w:hyperlink>
        </w:p>
        <w:p w14:paraId="0CFC9533"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75" w:history="1">
            <w:r w:rsidR="00A054C7" w:rsidRPr="00A054C7">
              <w:rPr>
                <w:rStyle w:val="Hyperlink"/>
                <w:rFonts w:ascii="Lato" w:hAnsi="Lato"/>
                <w:b w:val="0"/>
                <w:noProof/>
                <w:lang w:val="en-US"/>
              </w:rPr>
              <w:t>Covid-19 pandemic effects</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_Toc94093975 \h </w:instrText>
            </w:r>
            <w:r w:rsidR="00A054C7" w:rsidRPr="00A054C7">
              <w:rPr>
                <w:b w:val="0"/>
                <w:noProof/>
                <w:webHidden/>
              </w:rPr>
            </w:r>
            <w:r w:rsidR="00A054C7" w:rsidRPr="00A054C7">
              <w:rPr>
                <w:b w:val="0"/>
                <w:noProof/>
                <w:webHidden/>
              </w:rPr>
              <w:fldChar w:fldCharType="separate"/>
            </w:r>
            <w:r w:rsidR="00A054C7" w:rsidRPr="00A054C7">
              <w:rPr>
                <w:b w:val="0"/>
                <w:noProof/>
                <w:webHidden/>
              </w:rPr>
              <w:t>5</w:t>
            </w:r>
            <w:r w:rsidR="00A054C7" w:rsidRPr="00A054C7">
              <w:rPr>
                <w:b w:val="0"/>
                <w:noProof/>
                <w:webHidden/>
              </w:rPr>
              <w:fldChar w:fldCharType="end"/>
            </w:r>
          </w:hyperlink>
        </w:p>
        <w:p w14:paraId="50F47F99"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76" w:history="1">
            <w:r w:rsidR="00A054C7" w:rsidRPr="00A054C7">
              <w:rPr>
                <w:rStyle w:val="Hyperlink"/>
                <w:b w:val="0"/>
                <w:noProof/>
                <w:lang w:val="en-US"/>
              </w:rPr>
              <w:t>‘Conversion therapies’</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_Toc94093976 \h </w:instrText>
            </w:r>
            <w:r w:rsidR="00A054C7" w:rsidRPr="00A054C7">
              <w:rPr>
                <w:b w:val="0"/>
                <w:noProof/>
                <w:webHidden/>
              </w:rPr>
            </w:r>
            <w:r w:rsidR="00A054C7" w:rsidRPr="00A054C7">
              <w:rPr>
                <w:b w:val="0"/>
                <w:noProof/>
                <w:webHidden/>
              </w:rPr>
              <w:fldChar w:fldCharType="separate"/>
            </w:r>
            <w:r w:rsidR="00A054C7" w:rsidRPr="00A054C7">
              <w:rPr>
                <w:b w:val="0"/>
                <w:noProof/>
                <w:webHidden/>
              </w:rPr>
              <w:t>5</w:t>
            </w:r>
            <w:r w:rsidR="00A054C7" w:rsidRPr="00A054C7">
              <w:rPr>
                <w:b w:val="0"/>
                <w:noProof/>
                <w:webHidden/>
              </w:rPr>
              <w:fldChar w:fldCharType="end"/>
            </w:r>
          </w:hyperlink>
        </w:p>
        <w:p w14:paraId="4ECFE1A7"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77" w:history="1">
            <w:r w:rsidR="00A054C7" w:rsidRPr="00A054C7">
              <w:rPr>
                <w:rStyle w:val="Hyperlink"/>
                <w:rFonts w:ascii="Lato" w:hAnsi="Lato"/>
                <w:b w:val="0"/>
                <w:noProof/>
                <w:lang w:val="en-US"/>
              </w:rPr>
              <w:t>Trans and intersex health-related issues</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_Toc94093977 \h </w:instrText>
            </w:r>
            <w:r w:rsidR="00A054C7" w:rsidRPr="00A054C7">
              <w:rPr>
                <w:b w:val="0"/>
                <w:noProof/>
                <w:webHidden/>
              </w:rPr>
            </w:r>
            <w:r w:rsidR="00A054C7" w:rsidRPr="00A054C7">
              <w:rPr>
                <w:b w:val="0"/>
                <w:noProof/>
                <w:webHidden/>
              </w:rPr>
              <w:fldChar w:fldCharType="separate"/>
            </w:r>
            <w:r w:rsidR="00A054C7" w:rsidRPr="00A054C7">
              <w:rPr>
                <w:b w:val="0"/>
                <w:noProof/>
                <w:webHidden/>
              </w:rPr>
              <w:t>6</w:t>
            </w:r>
            <w:r w:rsidR="00A054C7" w:rsidRPr="00A054C7">
              <w:rPr>
                <w:b w:val="0"/>
                <w:noProof/>
                <w:webHidden/>
              </w:rPr>
              <w:fldChar w:fldCharType="end"/>
            </w:r>
          </w:hyperlink>
        </w:p>
        <w:p w14:paraId="1810B20A" w14:textId="77777777" w:rsidR="00A054C7" w:rsidRPr="00A054C7" w:rsidRDefault="005A595A">
          <w:pPr>
            <w:pStyle w:val="TOC1"/>
            <w:tabs>
              <w:tab w:val="left" w:pos="660"/>
              <w:tab w:val="right" w:leader="dot" w:pos="9016"/>
            </w:tabs>
            <w:rPr>
              <w:rFonts w:eastAsiaTheme="minorEastAsia" w:cstheme="minorBidi"/>
              <w:b w:val="0"/>
              <w:bCs w:val="0"/>
              <w:i w:val="0"/>
              <w:iCs w:val="0"/>
              <w:noProof/>
              <w:sz w:val="22"/>
              <w:szCs w:val="22"/>
              <w:lang w:val="es-MX" w:eastAsia="es-MX"/>
            </w:rPr>
          </w:pPr>
          <w:hyperlink w:anchor="_Toc94093978" w:history="1">
            <w:r w:rsidR="00A054C7" w:rsidRPr="00A054C7">
              <w:rPr>
                <w:rStyle w:val="Hyperlink"/>
                <w:rFonts w:ascii="Lato" w:eastAsia="Times New Roman" w:hAnsi="Lato"/>
                <w:b w:val="0"/>
                <w:i w:val="0"/>
                <w:noProof/>
                <w:lang w:eastAsia="en-GB"/>
              </w:rPr>
              <w:t>IV.</w:t>
            </w:r>
            <w:r w:rsidR="00A054C7" w:rsidRPr="00A054C7">
              <w:rPr>
                <w:rFonts w:eastAsiaTheme="minorEastAsia" w:cstheme="minorBidi"/>
                <w:b w:val="0"/>
                <w:bCs w:val="0"/>
                <w:i w:val="0"/>
                <w:iCs w:val="0"/>
                <w:noProof/>
                <w:sz w:val="22"/>
                <w:szCs w:val="22"/>
                <w:lang w:val="es-MX" w:eastAsia="es-MX"/>
              </w:rPr>
              <w:tab/>
            </w:r>
            <w:r w:rsidR="00A054C7" w:rsidRPr="00A054C7">
              <w:rPr>
                <w:rStyle w:val="Hyperlink"/>
                <w:rFonts w:ascii="Lato" w:eastAsia="Times New Roman" w:hAnsi="Lato"/>
                <w:b w:val="0"/>
                <w:i w:val="0"/>
                <w:noProof/>
                <w:lang w:eastAsia="en-GB"/>
              </w:rPr>
              <w:t>The effect of same-sex relations criminalization and intersex-related harmful practices on LGBTI person’s enjoyment of the right to health. (Question 4)</w:t>
            </w:r>
            <w:r w:rsidR="00A054C7" w:rsidRPr="00A054C7">
              <w:rPr>
                <w:b w:val="0"/>
                <w:i w:val="0"/>
                <w:noProof/>
                <w:webHidden/>
              </w:rPr>
              <w:tab/>
            </w:r>
            <w:r w:rsidR="00A054C7" w:rsidRPr="00A054C7">
              <w:rPr>
                <w:b w:val="0"/>
                <w:i w:val="0"/>
                <w:noProof/>
                <w:webHidden/>
              </w:rPr>
              <w:fldChar w:fldCharType="begin"/>
            </w:r>
            <w:r w:rsidR="00A054C7" w:rsidRPr="00A054C7">
              <w:rPr>
                <w:b w:val="0"/>
                <w:i w:val="0"/>
                <w:noProof/>
                <w:webHidden/>
              </w:rPr>
              <w:instrText xml:space="preserve"> PAGEREF _Toc94093978 \h </w:instrText>
            </w:r>
            <w:r w:rsidR="00A054C7" w:rsidRPr="00A054C7">
              <w:rPr>
                <w:b w:val="0"/>
                <w:i w:val="0"/>
                <w:noProof/>
                <w:webHidden/>
              </w:rPr>
            </w:r>
            <w:r w:rsidR="00A054C7" w:rsidRPr="00A054C7">
              <w:rPr>
                <w:b w:val="0"/>
                <w:i w:val="0"/>
                <w:noProof/>
                <w:webHidden/>
              </w:rPr>
              <w:fldChar w:fldCharType="separate"/>
            </w:r>
            <w:r w:rsidR="00A054C7" w:rsidRPr="00A054C7">
              <w:rPr>
                <w:b w:val="0"/>
                <w:i w:val="0"/>
                <w:noProof/>
                <w:webHidden/>
              </w:rPr>
              <w:t>8</w:t>
            </w:r>
            <w:r w:rsidR="00A054C7" w:rsidRPr="00A054C7">
              <w:rPr>
                <w:b w:val="0"/>
                <w:i w:val="0"/>
                <w:noProof/>
                <w:webHidden/>
              </w:rPr>
              <w:fldChar w:fldCharType="end"/>
            </w:r>
          </w:hyperlink>
        </w:p>
        <w:p w14:paraId="538AF276"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79" w:history="1">
            <w:r w:rsidR="00A054C7" w:rsidRPr="00A054C7">
              <w:rPr>
                <w:rStyle w:val="Hyperlink"/>
                <w:rFonts w:ascii="Lato" w:hAnsi="Lato"/>
                <w:b w:val="0"/>
                <w:noProof/>
              </w:rPr>
              <w:t>Same-sex relations criminalization</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_Toc94093979 \h </w:instrText>
            </w:r>
            <w:r w:rsidR="00A054C7" w:rsidRPr="00A054C7">
              <w:rPr>
                <w:b w:val="0"/>
                <w:noProof/>
                <w:webHidden/>
              </w:rPr>
            </w:r>
            <w:r w:rsidR="00A054C7" w:rsidRPr="00A054C7">
              <w:rPr>
                <w:b w:val="0"/>
                <w:noProof/>
                <w:webHidden/>
              </w:rPr>
              <w:fldChar w:fldCharType="separate"/>
            </w:r>
            <w:r w:rsidR="00A054C7" w:rsidRPr="00A054C7">
              <w:rPr>
                <w:b w:val="0"/>
                <w:noProof/>
                <w:webHidden/>
              </w:rPr>
              <w:t>8</w:t>
            </w:r>
            <w:r w:rsidR="00A054C7" w:rsidRPr="00A054C7">
              <w:rPr>
                <w:b w:val="0"/>
                <w:noProof/>
                <w:webHidden/>
              </w:rPr>
              <w:fldChar w:fldCharType="end"/>
            </w:r>
          </w:hyperlink>
        </w:p>
        <w:p w14:paraId="148487FD" w14:textId="61ACD392" w:rsidR="00A054C7" w:rsidRPr="00A054C7" w:rsidRDefault="005A595A">
          <w:pPr>
            <w:pStyle w:val="TOC2"/>
            <w:tabs>
              <w:tab w:val="right" w:leader="dot" w:pos="9016"/>
            </w:tabs>
            <w:rPr>
              <w:rFonts w:eastAsiaTheme="minorEastAsia" w:cstheme="minorBidi"/>
              <w:b w:val="0"/>
              <w:bCs w:val="0"/>
              <w:noProof/>
              <w:lang w:val="es-MX" w:eastAsia="es-MX"/>
            </w:rPr>
          </w:pPr>
          <w:hyperlink w:anchor="_Toc94093980" w:history="1">
            <w:r w:rsidR="00A054C7">
              <w:rPr>
                <w:rStyle w:val="Hyperlink"/>
                <w:rFonts w:ascii="Lato" w:hAnsi="Lato"/>
                <w:b w:val="0"/>
                <w:noProof/>
                <w:lang w:val="en-US"/>
              </w:rPr>
              <w:t>Harmful p</w:t>
            </w:r>
            <w:r w:rsidR="00A054C7" w:rsidRPr="00A054C7">
              <w:rPr>
                <w:rStyle w:val="Hyperlink"/>
                <w:rFonts w:ascii="Lato" w:hAnsi="Lato"/>
                <w:b w:val="0"/>
                <w:noProof/>
                <w:lang w:val="en-US"/>
              </w:rPr>
              <w:t>ractices against intersex persons and their consequences</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_Toc94093980 \h </w:instrText>
            </w:r>
            <w:r w:rsidR="00A054C7" w:rsidRPr="00A054C7">
              <w:rPr>
                <w:b w:val="0"/>
                <w:noProof/>
                <w:webHidden/>
              </w:rPr>
            </w:r>
            <w:r w:rsidR="00A054C7" w:rsidRPr="00A054C7">
              <w:rPr>
                <w:b w:val="0"/>
                <w:noProof/>
                <w:webHidden/>
              </w:rPr>
              <w:fldChar w:fldCharType="separate"/>
            </w:r>
            <w:r w:rsidR="00A054C7" w:rsidRPr="00A054C7">
              <w:rPr>
                <w:b w:val="0"/>
                <w:noProof/>
                <w:webHidden/>
              </w:rPr>
              <w:t>8</w:t>
            </w:r>
            <w:r w:rsidR="00A054C7" w:rsidRPr="00A054C7">
              <w:rPr>
                <w:b w:val="0"/>
                <w:noProof/>
                <w:webHidden/>
              </w:rPr>
              <w:fldChar w:fldCharType="end"/>
            </w:r>
          </w:hyperlink>
        </w:p>
        <w:p w14:paraId="3B61B6B3" w14:textId="77777777" w:rsidR="00A054C7" w:rsidRPr="00A054C7" w:rsidRDefault="005A595A">
          <w:pPr>
            <w:pStyle w:val="TOC1"/>
            <w:tabs>
              <w:tab w:val="left" w:pos="440"/>
              <w:tab w:val="right" w:leader="dot" w:pos="9016"/>
            </w:tabs>
            <w:rPr>
              <w:rFonts w:eastAsiaTheme="minorEastAsia" w:cstheme="minorBidi"/>
              <w:b w:val="0"/>
              <w:bCs w:val="0"/>
              <w:i w:val="0"/>
              <w:iCs w:val="0"/>
              <w:noProof/>
              <w:sz w:val="22"/>
              <w:szCs w:val="22"/>
              <w:lang w:val="es-MX" w:eastAsia="es-MX"/>
            </w:rPr>
          </w:pPr>
          <w:hyperlink w:anchor="_Toc94093981" w:history="1">
            <w:r w:rsidR="00A054C7" w:rsidRPr="00A054C7">
              <w:rPr>
                <w:rStyle w:val="Hyperlink"/>
                <w:rFonts w:ascii="Lato" w:eastAsia="Times New Roman" w:hAnsi="Lato"/>
                <w:b w:val="0"/>
                <w:i w:val="0"/>
                <w:noProof/>
                <w:lang w:eastAsia="en-GB"/>
              </w:rPr>
              <w:t>V.</w:t>
            </w:r>
            <w:r w:rsidR="00A054C7" w:rsidRPr="00A054C7">
              <w:rPr>
                <w:rFonts w:eastAsiaTheme="minorEastAsia" w:cstheme="minorBidi"/>
                <w:b w:val="0"/>
                <w:bCs w:val="0"/>
                <w:i w:val="0"/>
                <w:iCs w:val="0"/>
                <w:noProof/>
                <w:sz w:val="22"/>
                <w:szCs w:val="22"/>
                <w:lang w:val="es-MX" w:eastAsia="es-MX"/>
              </w:rPr>
              <w:tab/>
            </w:r>
            <w:r w:rsidR="00A054C7" w:rsidRPr="00A054C7">
              <w:rPr>
                <w:rStyle w:val="Hyperlink"/>
                <w:rFonts w:ascii="Lato" w:eastAsia="Times New Roman" w:hAnsi="Lato"/>
                <w:b w:val="0"/>
                <w:i w:val="0"/>
                <w:noProof/>
                <w:lang w:eastAsia="en-GB"/>
              </w:rPr>
              <w:t>Specific medical and healthcare needs for LGBTI survivors from violence (Question 7)</w:t>
            </w:r>
            <w:r w:rsidR="00A054C7" w:rsidRPr="00A054C7">
              <w:rPr>
                <w:b w:val="0"/>
                <w:i w:val="0"/>
                <w:noProof/>
                <w:webHidden/>
              </w:rPr>
              <w:tab/>
            </w:r>
            <w:r w:rsidR="00A054C7" w:rsidRPr="00A054C7">
              <w:rPr>
                <w:b w:val="0"/>
                <w:i w:val="0"/>
                <w:noProof/>
                <w:webHidden/>
              </w:rPr>
              <w:fldChar w:fldCharType="begin"/>
            </w:r>
            <w:r w:rsidR="00A054C7" w:rsidRPr="00A054C7">
              <w:rPr>
                <w:b w:val="0"/>
                <w:i w:val="0"/>
                <w:noProof/>
                <w:webHidden/>
              </w:rPr>
              <w:instrText xml:space="preserve"> PAGEREF _Toc94093981 \h </w:instrText>
            </w:r>
            <w:r w:rsidR="00A054C7" w:rsidRPr="00A054C7">
              <w:rPr>
                <w:b w:val="0"/>
                <w:i w:val="0"/>
                <w:noProof/>
                <w:webHidden/>
              </w:rPr>
            </w:r>
            <w:r w:rsidR="00A054C7" w:rsidRPr="00A054C7">
              <w:rPr>
                <w:b w:val="0"/>
                <w:i w:val="0"/>
                <w:noProof/>
                <w:webHidden/>
              </w:rPr>
              <w:fldChar w:fldCharType="separate"/>
            </w:r>
            <w:r w:rsidR="00A054C7" w:rsidRPr="00A054C7">
              <w:rPr>
                <w:b w:val="0"/>
                <w:i w:val="0"/>
                <w:noProof/>
                <w:webHidden/>
              </w:rPr>
              <w:t>9</w:t>
            </w:r>
            <w:r w:rsidR="00A054C7" w:rsidRPr="00A054C7">
              <w:rPr>
                <w:b w:val="0"/>
                <w:i w:val="0"/>
                <w:noProof/>
                <w:webHidden/>
              </w:rPr>
              <w:fldChar w:fldCharType="end"/>
            </w:r>
          </w:hyperlink>
        </w:p>
        <w:p w14:paraId="2EAAB6F0"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82" w:history="1">
            <w:r w:rsidR="00A054C7" w:rsidRPr="00A054C7">
              <w:rPr>
                <w:rStyle w:val="Hyperlink"/>
                <w:rFonts w:ascii="Lato" w:hAnsi="Lato"/>
                <w:b w:val="0"/>
                <w:noProof/>
              </w:rPr>
              <w:t>LBTI Women</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_Toc94093982 \h </w:instrText>
            </w:r>
            <w:r w:rsidR="00A054C7" w:rsidRPr="00A054C7">
              <w:rPr>
                <w:b w:val="0"/>
                <w:noProof/>
                <w:webHidden/>
              </w:rPr>
            </w:r>
            <w:r w:rsidR="00A054C7" w:rsidRPr="00A054C7">
              <w:rPr>
                <w:b w:val="0"/>
                <w:noProof/>
                <w:webHidden/>
              </w:rPr>
              <w:fldChar w:fldCharType="separate"/>
            </w:r>
            <w:r w:rsidR="00A054C7" w:rsidRPr="00A054C7">
              <w:rPr>
                <w:b w:val="0"/>
                <w:noProof/>
                <w:webHidden/>
              </w:rPr>
              <w:t>9</w:t>
            </w:r>
            <w:r w:rsidR="00A054C7" w:rsidRPr="00A054C7">
              <w:rPr>
                <w:b w:val="0"/>
                <w:noProof/>
                <w:webHidden/>
              </w:rPr>
              <w:fldChar w:fldCharType="end"/>
            </w:r>
          </w:hyperlink>
        </w:p>
        <w:p w14:paraId="6638DAB8"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83" w:history="1">
            <w:r w:rsidR="00A054C7" w:rsidRPr="00A054C7">
              <w:rPr>
                <w:rStyle w:val="Hyperlink"/>
                <w:rFonts w:ascii="Lato" w:hAnsi="Lato"/>
                <w:b w:val="0"/>
                <w:noProof/>
              </w:rPr>
              <w:t>Intersex persons</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_Toc94093983 \h </w:instrText>
            </w:r>
            <w:r w:rsidR="00A054C7" w:rsidRPr="00A054C7">
              <w:rPr>
                <w:b w:val="0"/>
                <w:noProof/>
                <w:webHidden/>
              </w:rPr>
            </w:r>
            <w:r w:rsidR="00A054C7" w:rsidRPr="00A054C7">
              <w:rPr>
                <w:b w:val="0"/>
                <w:noProof/>
                <w:webHidden/>
              </w:rPr>
              <w:fldChar w:fldCharType="separate"/>
            </w:r>
            <w:r w:rsidR="00A054C7" w:rsidRPr="00A054C7">
              <w:rPr>
                <w:b w:val="0"/>
                <w:noProof/>
                <w:webHidden/>
              </w:rPr>
              <w:t>9</w:t>
            </w:r>
            <w:r w:rsidR="00A054C7" w:rsidRPr="00A054C7">
              <w:rPr>
                <w:b w:val="0"/>
                <w:noProof/>
                <w:webHidden/>
              </w:rPr>
              <w:fldChar w:fldCharType="end"/>
            </w:r>
          </w:hyperlink>
        </w:p>
        <w:p w14:paraId="2E2BB443" w14:textId="77777777" w:rsidR="00A054C7" w:rsidRPr="00A054C7" w:rsidRDefault="005A595A">
          <w:pPr>
            <w:pStyle w:val="TOC2"/>
            <w:tabs>
              <w:tab w:val="right" w:leader="dot" w:pos="9016"/>
            </w:tabs>
            <w:rPr>
              <w:rFonts w:eastAsiaTheme="minorEastAsia" w:cstheme="minorBidi"/>
              <w:b w:val="0"/>
              <w:bCs w:val="0"/>
              <w:noProof/>
              <w:lang w:val="es-MX" w:eastAsia="es-MX"/>
            </w:rPr>
          </w:pPr>
          <w:hyperlink w:anchor="_Toc94093984" w:history="1">
            <w:r w:rsidR="00A054C7" w:rsidRPr="00A054C7">
              <w:rPr>
                <w:rStyle w:val="Hyperlink"/>
                <w:rFonts w:ascii="Lato" w:hAnsi="Lato"/>
                <w:b w:val="0"/>
                <w:noProof/>
              </w:rPr>
              <w:t>Trans persons</w:t>
            </w:r>
            <w:r w:rsidR="00A054C7" w:rsidRPr="00A054C7">
              <w:rPr>
                <w:b w:val="0"/>
                <w:noProof/>
                <w:webHidden/>
              </w:rPr>
              <w:tab/>
            </w:r>
            <w:r w:rsidR="00A054C7" w:rsidRPr="00A054C7">
              <w:rPr>
                <w:b w:val="0"/>
                <w:noProof/>
                <w:webHidden/>
              </w:rPr>
              <w:fldChar w:fldCharType="begin"/>
            </w:r>
            <w:r w:rsidR="00A054C7" w:rsidRPr="00A054C7">
              <w:rPr>
                <w:b w:val="0"/>
                <w:noProof/>
                <w:webHidden/>
              </w:rPr>
              <w:instrText xml:space="preserve"> PAGEREF _Toc94093984 \h </w:instrText>
            </w:r>
            <w:r w:rsidR="00A054C7" w:rsidRPr="00A054C7">
              <w:rPr>
                <w:b w:val="0"/>
                <w:noProof/>
                <w:webHidden/>
              </w:rPr>
            </w:r>
            <w:r w:rsidR="00A054C7" w:rsidRPr="00A054C7">
              <w:rPr>
                <w:b w:val="0"/>
                <w:noProof/>
                <w:webHidden/>
              </w:rPr>
              <w:fldChar w:fldCharType="separate"/>
            </w:r>
            <w:r w:rsidR="00A054C7" w:rsidRPr="00A054C7">
              <w:rPr>
                <w:b w:val="0"/>
                <w:noProof/>
                <w:webHidden/>
              </w:rPr>
              <w:t>10</w:t>
            </w:r>
            <w:r w:rsidR="00A054C7" w:rsidRPr="00A054C7">
              <w:rPr>
                <w:b w:val="0"/>
                <w:noProof/>
                <w:webHidden/>
              </w:rPr>
              <w:fldChar w:fldCharType="end"/>
            </w:r>
          </w:hyperlink>
        </w:p>
        <w:p w14:paraId="6072A4CD" w14:textId="3E3D6F4A" w:rsidR="00683BD8" w:rsidRPr="00A054C7" w:rsidRDefault="00683BD8">
          <w:pPr>
            <w:rPr>
              <w:rFonts w:ascii="Lato" w:hAnsi="Lato"/>
              <w:sz w:val="24"/>
              <w:szCs w:val="24"/>
            </w:rPr>
          </w:pPr>
          <w:r w:rsidRPr="00A054C7">
            <w:rPr>
              <w:rFonts w:ascii="Lato" w:hAnsi="Lato"/>
              <w:noProof/>
              <w:sz w:val="24"/>
              <w:szCs w:val="24"/>
            </w:rPr>
            <w:fldChar w:fldCharType="end"/>
          </w:r>
        </w:p>
      </w:sdtContent>
    </w:sdt>
    <w:p w14:paraId="1C0811BC" w14:textId="7FA63D48" w:rsidR="00343DED" w:rsidRPr="00247E41" w:rsidRDefault="00343DED" w:rsidP="00366DBC">
      <w:pPr>
        <w:pStyle w:val="Heading1"/>
        <w:pageBreakBefore/>
        <w:numPr>
          <w:ilvl w:val="0"/>
          <w:numId w:val="9"/>
        </w:numPr>
        <w:spacing w:before="480" w:after="240"/>
        <w:ind w:left="714" w:hanging="357"/>
        <w:rPr>
          <w:rFonts w:ascii="Lato" w:eastAsia="Times New Roman" w:hAnsi="Lato"/>
          <w:color w:val="2E74B5" w:themeColor="accent5" w:themeShade="BF"/>
          <w:sz w:val="28"/>
          <w:szCs w:val="28"/>
          <w:lang w:eastAsia="en-GB"/>
        </w:rPr>
      </w:pPr>
      <w:bookmarkStart w:id="1" w:name="_Toc94093972"/>
      <w:r w:rsidRPr="00247E41">
        <w:rPr>
          <w:rFonts w:ascii="Lato" w:eastAsia="Times New Roman" w:hAnsi="Lato"/>
          <w:color w:val="2E74B5" w:themeColor="accent5" w:themeShade="BF"/>
          <w:sz w:val="28"/>
          <w:szCs w:val="28"/>
          <w:lang w:eastAsia="en-GB"/>
        </w:rPr>
        <w:t>Introduction</w:t>
      </w:r>
      <w:bookmarkEnd w:id="1"/>
    </w:p>
    <w:p w14:paraId="3DE58F69" w14:textId="485DEECE" w:rsidR="00CE3577" w:rsidRPr="00B72F57" w:rsidRDefault="00B72F57" w:rsidP="00366DBC">
      <w:pPr>
        <w:jc w:val="both"/>
        <w:rPr>
          <w:sz w:val="24"/>
          <w:szCs w:val="24"/>
          <w:lang w:eastAsia="en-GB"/>
        </w:rPr>
      </w:pPr>
      <w:r w:rsidRPr="00B72F57">
        <w:rPr>
          <w:rFonts w:ascii="Lato" w:hAnsi="Lato" w:cs="Times New Roman"/>
          <w:sz w:val="24"/>
          <w:szCs w:val="24"/>
          <w:lang w:val="en-US"/>
        </w:rPr>
        <w:t>Although many lesbian, gay, bisexual, trans and intersex people (hereafter LGBTI) live healthy and happy lives, research has demonstrated that a disproportionate number experience poorer physical and mental health outcomes and have a high risk of suicidal and self-harming behaviors. These health outcomes are directly related to experiences of stigma, discrimination, violence and abuse based on their SOGIESC.</w:t>
      </w:r>
      <w:r w:rsidRPr="00B72F57">
        <w:rPr>
          <w:rFonts w:ascii="Lato" w:hAnsi="Lato" w:cs="Times New Roman"/>
          <w:sz w:val="24"/>
          <w:szCs w:val="24"/>
          <w:vertAlign w:val="superscript"/>
          <w:lang w:val="en-US"/>
        </w:rPr>
        <w:footnoteReference w:id="1"/>
      </w:r>
      <w:r w:rsidRPr="00B72F57">
        <w:rPr>
          <w:rFonts w:ascii="Lato" w:hAnsi="Lato" w:cs="Times New Roman"/>
          <w:sz w:val="24"/>
          <w:szCs w:val="24"/>
          <w:lang w:val="en-US"/>
        </w:rPr>
        <w:t xml:space="preserve"> For instance, the issue of systemic gender based violence (GBV) is present in different regions of the world and keeps currently affecting LGBTI communities.</w:t>
      </w:r>
      <w:r w:rsidRPr="00B72F57">
        <w:rPr>
          <w:rFonts w:ascii="Lato" w:hAnsi="Lato" w:cs="Times New Roman"/>
          <w:sz w:val="24"/>
          <w:szCs w:val="24"/>
        </w:rPr>
        <w:t xml:space="preserve"> GBV is often exacerbated due to additional factors both external (COVID 19 pandemic) or specific for these populations, such as hatred towards different forms of sexual orientation and gender expression (e.g. Homophobia, transphobia) embedded in many societies.</w:t>
      </w:r>
      <w:r w:rsidRPr="00B72F57">
        <w:rPr>
          <w:rFonts w:ascii="Lato" w:hAnsi="Lato" w:cs="Times New Roman"/>
          <w:sz w:val="24"/>
          <w:szCs w:val="24"/>
          <w:lang w:val="en-US"/>
        </w:rPr>
        <w:t xml:space="preserve"> Particularly, GBV directed towards trans and lesbian women and harmful practices inflicted on intersex persons have severe consequences on their well-being and their access to healthcare services</w:t>
      </w:r>
      <w:r>
        <w:rPr>
          <w:rFonts w:ascii="Lato" w:hAnsi="Lato" w:cs="Times New Roman"/>
          <w:sz w:val="24"/>
          <w:szCs w:val="24"/>
          <w:lang w:val="en-US"/>
        </w:rPr>
        <w:t xml:space="preserve">. </w:t>
      </w:r>
      <w:r w:rsidR="008B3D32" w:rsidRPr="00247E41">
        <w:rPr>
          <w:sz w:val="24"/>
          <w:szCs w:val="24"/>
          <w:lang w:val="en-US" w:eastAsia="en-GB"/>
        </w:rPr>
        <w:t>Due to the mentioned reasons</w:t>
      </w:r>
      <w:r w:rsidR="004944F6" w:rsidRPr="00247E41">
        <w:rPr>
          <w:sz w:val="24"/>
          <w:szCs w:val="24"/>
          <w:lang w:val="en-US" w:eastAsia="en-GB"/>
        </w:rPr>
        <w:t xml:space="preserve">, this </w:t>
      </w:r>
      <w:r w:rsidR="004944F6" w:rsidRPr="00247E41">
        <w:rPr>
          <w:rFonts w:ascii="Lato" w:hAnsi="Lato" w:cs="Times New Roman"/>
          <w:sz w:val="24"/>
          <w:szCs w:val="24"/>
        </w:rPr>
        <w:t>submission</w:t>
      </w:r>
      <w:r w:rsidR="00CE3577" w:rsidRPr="00247E41">
        <w:rPr>
          <w:rFonts w:ascii="Lato" w:hAnsi="Lato" w:cs="Times New Roman"/>
          <w:sz w:val="24"/>
          <w:szCs w:val="24"/>
        </w:rPr>
        <w:t xml:space="preserve"> provides a general overview of </w:t>
      </w:r>
      <w:r w:rsidR="008852D6">
        <w:rPr>
          <w:rFonts w:ascii="Lato" w:hAnsi="Lato" w:cs="Times New Roman"/>
          <w:sz w:val="24"/>
          <w:szCs w:val="24"/>
        </w:rPr>
        <w:t xml:space="preserve">the implications of violence and discrimination on </w:t>
      </w:r>
      <w:r w:rsidR="00CE3577" w:rsidRPr="00247E41">
        <w:rPr>
          <w:rFonts w:ascii="Lato" w:hAnsi="Lato" w:cs="Times New Roman"/>
          <w:sz w:val="24"/>
          <w:szCs w:val="24"/>
        </w:rPr>
        <w:t>LGBTI people’s h</w:t>
      </w:r>
      <w:r w:rsidR="004944F6" w:rsidRPr="00247E41">
        <w:rPr>
          <w:rFonts w:ascii="Lato" w:hAnsi="Lato" w:cs="Times New Roman"/>
          <w:sz w:val="24"/>
          <w:szCs w:val="24"/>
        </w:rPr>
        <w:t>ealth rights</w:t>
      </w:r>
      <w:r w:rsidR="008852D6">
        <w:rPr>
          <w:rFonts w:ascii="Lato" w:hAnsi="Lato" w:cs="Times New Roman"/>
          <w:sz w:val="24"/>
          <w:szCs w:val="24"/>
        </w:rPr>
        <w:t xml:space="preserve"> </w:t>
      </w:r>
      <w:r w:rsidR="004944F6" w:rsidRPr="00247E41">
        <w:rPr>
          <w:rFonts w:ascii="Lato" w:hAnsi="Lato" w:cs="Times New Roman"/>
          <w:sz w:val="24"/>
          <w:szCs w:val="24"/>
        </w:rPr>
        <w:t xml:space="preserve">worldwide. The gathering of the information was possible thanks </w:t>
      </w:r>
      <w:r w:rsidR="00CE3577" w:rsidRPr="00247E41">
        <w:rPr>
          <w:rFonts w:ascii="Lato" w:hAnsi="Lato" w:cs="Times New Roman"/>
          <w:sz w:val="24"/>
          <w:szCs w:val="24"/>
        </w:rPr>
        <w:t>to the collaboration of different organisations working on the ground</w:t>
      </w:r>
      <w:r w:rsidR="000D5025">
        <w:rPr>
          <w:rStyle w:val="FootnoteReference"/>
          <w:rFonts w:ascii="Lato" w:hAnsi="Lato" w:cs="Times New Roman"/>
          <w:sz w:val="24"/>
          <w:szCs w:val="24"/>
        </w:rPr>
        <w:footnoteReference w:id="2"/>
      </w:r>
      <w:r w:rsidR="00CE3577" w:rsidRPr="00247E41">
        <w:rPr>
          <w:rFonts w:ascii="Lato" w:hAnsi="Lato" w:cs="Times New Roman"/>
          <w:sz w:val="24"/>
          <w:szCs w:val="24"/>
        </w:rPr>
        <w:t>. However, it must</w:t>
      </w:r>
      <w:r w:rsidR="004944F6" w:rsidRPr="00247E41">
        <w:rPr>
          <w:rFonts w:ascii="Lato" w:hAnsi="Lato" w:cs="Times New Roman"/>
          <w:sz w:val="24"/>
          <w:szCs w:val="24"/>
        </w:rPr>
        <w:t xml:space="preserve"> be noted that the data</w:t>
      </w:r>
      <w:r w:rsidR="00CE3577" w:rsidRPr="00247E41">
        <w:rPr>
          <w:rFonts w:ascii="Lato" w:hAnsi="Lato" w:cs="Times New Roman"/>
          <w:sz w:val="24"/>
          <w:szCs w:val="24"/>
        </w:rPr>
        <w:t xml:space="preserve"> presented in this document does no</w:t>
      </w:r>
      <w:r w:rsidR="004944F6" w:rsidRPr="00247E41">
        <w:rPr>
          <w:rFonts w:ascii="Lato" w:hAnsi="Lato" w:cs="Times New Roman"/>
          <w:sz w:val="24"/>
          <w:szCs w:val="24"/>
        </w:rPr>
        <w:t>t represent all the challenges faced by LGBTI survivors of violence in the health sector, and further research shall be implemented in this regard.</w:t>
      </w:r>
    </w:p>
    <w:p w14:paraId="09C124BB" w14:textId="2E62A20A" w:rsidR="008B3D32" w:rsidRPr="00133CF1" w:rsidRDefault="00316350" w:rsidP="008B3D32">
      <w:pPr>
        <w:pStyle w:val="Heading1"/>
        <w:numPr>
          <w:ilvl w:val="0"/>
          <w:numId w:val="9"/>
        </w:numPr>
        <w:spacing w:before="480" w:after="240"/>
        <w:ind w:left="714" w:hanging="357"/>
        <w:rPr>
          <w:rFonts w:ascii="Lato" w:eastAsia="Times New Roman" w:hAnsi="Lato"/>
          <w:color w:val="000000" w:themeColor="text1"/>
          <w:sz w:val="28"/>
          <w:szCs w:val="28"/>
          <w:lang w:val="en-US" w:eastAsia="en-GB"/>
        </w:rPr>
      </w:pPr>
      <w:bookmarkStart w:id="2" w:name="_Toc94093973"/>
      <w:r w:rsidRPr="00133CF1">
        <w:rPr>
          <w:rFonts w:ascii="Lato" w:eastAsia="Times New Roman" w:hAnsi="Lato"/>
          <w:color w:val="2E74B5" w:themeColor="accent5" w:themeShade="BF"/>
          <w:sz w:val="28"/>
          <w:szCs w:val="28"/>
          <w:lang w:eastAsia="en-GB"/>
        </w:rPr>
        <w:t>G</w:t>
      </w:r>
      <w:r w:rsidRPr="00133CF1">
        <w:rPr>
          <w:rFonts w:ascii="Lato" w:eastAsia="Times New Roman" w:hAnsi="Lato"/>
          <w:color w:val="2E74B5" w:themeColor="accent5" w:themeShade="BF"/>
          <w:sz w:val="28"/>
          <w:szCs w:val="28"/>
          <w:lang w:val="en-US" w:eastAsia="en-GB"/>
        </w:rPr>
        <w:t xml:space="preserve">ender based violence against LGBTI persons and its impact on the right to health: Statistics and country examples. </w:t>
      </w:r>
      <w:r w:rsidR="003A552B">
        <w:rPr>
          <w:rFonts w:ascii="Lato" w:eastAsia="Times New Roman" w:hAnsi="Lato"/>
          <w:color w:val="2E74B5" w:themeColor="accent5" w:themeShade="BF"/>
          <w:sz w:val="28"/>
          <w:szCs w:val="28"/>
          <w:lang w:val="en-US" w:eastAsia="en-GB"/>
        </w:rPr>
        <w:t>(Question 1.3)</w:t>
      </w:r>
      <w:bookmarkEnd w:id="2"/>
    </w:p>
    <w:p w14:paraId="6B770BD1" w14:textId="57C18055" w:rsidR="00F50C1C" w:rsidRPr="00925BF4" w:rsidRDefault="00925BF4" w:rsidP="00925BF4">
      <w:pPr>
        <w:pStyle w:val="ListParagraph"/>
        <w:numPr>
          <w:ilvl w:val="0"/>
          <w:numId w:val="11"/>
        </w:numPr>
        <w:jc w:val="both"/>
        <w:rPr>
          <w:rFonts w:ascii="Lato" w:hAnsi="Lato" w:cs="Times New Roman"/>
          <w:lang w:val="en-US"/>
        </w:rPr>
      </w:pPr>
      <w:r w:rsidRPr="00925BF4">
        <w:rPr>
          <w:rFonts w:ascii="Lato" w:hAnsi="Lato" w:cs="Times New Roman"/>
          <w:lang w:val="en-US"/>
        </w:rPr>
        <w:t xml:space="preserve">A 2020’s survey made by the </w:t>
      </w:r>
      <w:r w:rsidRPr="00925BF4">
        <w:rPr>
          <w:rFonts w:ascii="Lato" w:hAnsi="Lato" w:cs="Times New Roman"/>
          <w:b/>
          <w:bCs/>
          <w:lang w:val="en-US"/>
        </w:rPr>
        <w:t xml:space="preserve">EU </w:t>
      </w:r>
      <w:r w:rsidRPr="00925BF4">
        <w:rPr>
          <w:rFonts w:ascii="Lato" w:hAnsi="Lato" w:cs="Times New Roman"/>
          <w:lang w:val="en-US"/>
        </w:rPr>
        <w:t xml:space="preserve">Agency for Fundamental Rights (FRA) in the EU countries, North Macedonia and Serbia, showed that the highest rates of physical or sexual attacks motivated by the victim being LGBTI were observed in </w:t>
      </w:r>
      <w:r w:rsidRPr="00925BF4">
        <w:rPr>
          <w:rFonts w:ascii="Lato" w:hAnsi="Lato" w:cs="Times New Roman"/>
          <w:b/>
          <w:bCs/>
          <w:lang w:val="en-US"/>
        </w:rPr>
        <w:t xml:space="preserve">Poland </w:t>
      </w:r>
      <w:r w:rsidRPr="00925BF4">
        <w:rPr>
          <w:rFonts w:ascii="Lato" w:hAnsi="Lato" w:cs="Times New Roman"/>
          <w:lang w:val="en-US"/>
        </w:rPr>
        <w:t xml:space="preserve">(15 %), </w:t>
      </w:r>
      <w:r w:rsidRPr="00925BF4">
        <w:rPr>
          <w:rFonts w:ascii="Lato" w:hAnsi="Lato" w:cs="Times New Roman"/>
          <w:b/>
          <w:bCs/>
          <w:lang w:val="en-US"/>
        </w:rPr>
        <w:t xml:space="preserve">Romania </w:t>
      </w:r>
      <w:r w:rsidRPr="00925BF4">
        <w:rPr>
          <w:rFonts w:ascii="Lato" w:hAnsi="Lato" w:cs="Times New Roman"/>
          <w:lang w:val="en-US"/>
        </w:rPr>
        <w:t xml:space="preserve">(15 %), </w:t>
      </w:r>
      <w:r w:rsidRPr="00925BF4">
        <w:rPr>
          <w:rFonts w:ascii="Lato" w:hAnsi="Lato" w:cs="Times New Roman"/>
          <w:b/>
          <w:bCs/>
          <w:lang w:val="en-US"/>
        </w:rPr>
        <w:t xml:space="preserve">Belgium </w:t>
      </w:r>
      <w:r w:rsidRPr="00925BF4">
        <w:rPr>
          <w:rFonts w:ascii="Lato" w:hAnsi="Lato" w:cs="Times New Roman"/>
          <w:lang w:val="en-US"/>
        </w:rPr>
        <w:t xml:space="preserve">(14 %) and </w:t>
      </w:r>
      <w:r w:rsidRPr="00925BF4">
        <w:rPr>
          <w:rFonts w:ascii="Lato" w:hAnsi="Lato" w:cs="Times New Roman"/>
          <w:b/>
          <w:bCs/>
          <w:lang w:val="en-US"/>
        </w:rPr>
        <w:t xml:space="preserve">France </w:t>
      </w:r>
      <w:r w:rsidRPr="00925BF4">
        <w:rPr>
          <w:rFonts w:ascii="Lato" w:hAnsi="Lato" w:cs="Times New Roman"/>
          <w:lang w:val="en-US"/>
        </w:rPr>
        <w:t xml:space="preserve">(14 %). The lowest rates were found in </w:t>
      </w:r>
      <w:r w:rsidRPr="00925BF4">
        <w:rPr>
          <w:rFonts w:ascii="Lato" w:hAnsi="Lato" w:cs="Times New Roman"/>
          <w:b/>
          <w:bCs/>
          <w:lang w:val="en-US"/>
        </w:rPr>
        <w:t xml:space="preserve">Portugal </w:t>
      </w:r>
      <w:r w:rsidRPr="00925BF4">
        <w:rPr>
          <w:rFonts w:ascii="Lato" w:hAnsi="Lato" w:cs="Times New Roman"/>
          <w:lang w:val="en-US"/>
        </w:rPr>
        <w:t xml:space="preserve">(5 %) and </w:t>
      </w:r>
      <w:r w:rsidRPr="00925BF4">
        <w:rPr>
          <w:rFonts w:ascii="Lato" w:hAnsi="Lato" w:cs="Times New Roman"/>
          <w:b/>
          <w:bCs/>
          <w:lang w:val="en-US"/>
        </w:rPr>
        <w:t xml:space="preserve">Malta </w:t>
      </w:r>
      <w:r w:rsidRPr="00925BF4">
        <w:rPr>
          <w:rFonts w:ascii="Lato" w:hAnsi="Lato" w:cs="Times New Roman"/>
          <w:lang w:val="en-US"/>
        </w:rPr>
        <w:t xml:space="preserve">(6 %). The rates were higher in other European countries such as </w:t>
      </w:r>
      <w:r w:rsidRPr="00925BF4">
        <w:rPr>
          <w:rFonts w:ascii="Lato" w:hAnsi="Lato" w:cs="Times New Roman"/>
          <w:b/>
          <w:bCs/>
          <w:lang w:val="en-US"/>
        </w:rPr>
        <w:t xml:space="preserve">North Macedonia </w:t>
      </w:r>
      <w:r w:rsidRPr="00925BF4">
        <w:rPr>
          <w:rFonts w:ascii="Lato" w:hAnsi="Lato" w:cs="Times New Roman"/>
          <w:lang w:val="en-US"/>
        </w:rPr>
        <w:t xml:space="preserve">(19 %) and </w:t>
      </w:r>
      <w:r w:rsidRPr="00925BF4">
        <w:rPr>
          <w:rFonts w:ascii="Lato" w:hAnsi="Lato" w:cs="Times New Roman"/>
          <w:b/>
          <w:bCs/>
          <w:lang w:val="en-US"/>
        </w:rPr>
        <w:t xml:space="preserve">Serbia </w:t>
      </w:r>
      <w:r w:rsidRPr="00925BF4">
        <w:rPr>
          <w:rFonts w:ascii="Lato" w:hAnsi="Lato" w:cs="Times New Roman"/>
          <w:lang w:val="en-US"/>
        </w:rPr>
        <w:t xml:space="preserve">(17 %). </w:t>
      </w:r>
      <w:r w:rsidRPr="00247E41">
        <w:rPr>
          <w:vertAlign w:val="superscript"/>
          <w:lang w:val="en-US"/>
        </w:rPr>
        <w:footnoteReference w:id="3"/>
      </w:r>
      <w:r w:rsidRPr="00247E41">
        <w:rPr>
          <w:rFonts w:ascii="Lato" w:hAnsi="Lato" w:cs="Times New Roman"/>
          <w:lang w:val="en-US"/>
        </w:rPr>
        <w:t xml:space="preserve"> </w:t>
      </w:r>
      <w:r w:rsidRPr="00925BF4">
        <w:rPr>
          <w:rFonts w:ascii="Lato" w:hAnsi="Lato" w:cs="Times New Roman"/>
          <w:lang w:val="en-US"/>
        </w:rPr>
        <w:t xml:space="preserve"> Many victims of physical or sexual attacks pointed out that the incident implied mental health consequences, such as depression or anxiety. Moreover, most of the trans and intersex respondents indicated negative consequences related to psychological problems and fear to go out</w:t>
      </w:r>
      <w:r>
        <w:rPr>
          <w:rFonts w:ascii="Lato" w:hAnsi="Lato" w:cs="Times New Roman"/>
          <w:lang w:val="en-US"/>
        </w:rPr>
        <w:t>.</w:t>
      </w:r>
      <w:r w:rsidRPr="00925BF4">
        <w:rPr>
          <w:rStyle w:val="FootnoteReference"/>
          <w:rFonts w:ascii="Lato" w:hAnsi="Lato" w:cs="Times New Roman"/>
          <w:lang w:val="en-US"/>
        </w:rPr>
        <w:t xml:space="preserve"> </w:t>
      </w:r>
      <w:r w:rsidRPr="00247E41">
        <w:rPr>
          <w:rStyle w:val="FootnoteReference"/>
          <w:rFonts w:ascii="Lato" w:hAnsi="Lato" w:cs="Times New Roman"/>
          <w:lang w:val="en-US"/>
        </w:rPr>
        <w:footnoteReference w:id="4"/>
      </w:r>
    </w:p>
    <w:p w14:paraId="008F2554" w14:textId="401FF685" w:rsidR="00352130" w:rsidRPr="00247E41" w:rsidRDefault="00F50C1C" w:rsidP="00D025B4">
      <w:pPr>
        <w:pStyle w:val="ListParagraph"/>
        <w:numPr>
          <w:ilvl w:val="0"/>
          <w:numId w:val="11"/>
        </w:numPr>
        <w:jc w:val="both"/>
        <w:rPr>
          <w:rFonts w:ascii="Lato" w:hAnsi="Lato" w:cs="Times New Roman"/>
          <w:lang w:val="en-US"/>
        </w:rPr>
      </w:pPr>
      <w:r w:rsidRPr="00247E41">
        <w:rPr>
          <w:rFonts w:ascii="Lato" w:hAnsi="Lato" w:cs="Times New Roman"/>
          <w:lang w:val="en-US"/>
        </w:rPr>
        <w:t xml:space="preserve">In </w:t>
      </w:r>
      <w:r w:rsidRPr="00247E41">
        <w:rPr>
          <w:rFonts w:ascii="Lato" w:hAnsi="Lato" w:cs="Times New Roman"/>
          <w:b/>
          <w:lang w:val="en-US"/>
        </w:rPr>
        <w:t>Australia</w:t>
      </w:r>
      <w:r w:rsidRPr="00247E41">
        <w:rPr>
          <w:rFonts w:ascii="Lato" w:hAnsi="Lato" w:cs="Times New Roman"/>
          <w:lang w:val="en-US"/>
        </w:rPr>
        <w:t>, a 202</w:t>
      </w:r>
      <w:r w:rsidR="00366DBC" w:rsidRPr="00247E41">
        <w:rPr>
          <w:rFonts w:ascii="Lato" w:hAnsi="Lato" w:cs="Times New Roman"/>
          <w:lang w:val="en-US"/>
        </w:rPr>
        <w:t xml:space="preserve">1’s study showed that the most </w:t>
      </w:r>
      <w:r w:rsidRPr="00247E41">
        <w:rPr>
          <w:rFonts w:ascii="Lato" w:hAnsi="Lato" w:cs="Times New Roman"/>
          <w:lang w:val="en-US"/>
        </w:rPr>
        <w:t xml:space="preserve">common consequences on LGBTI </w:t>
      </w:r>
      <w:r w:rsidR="00D025B4" w:rsidRPr="00247E41">
        <w:rPr>
          <w:rFonts w:ascii="Lato" w:hAnsi="Lato" w:cs="Times New Roman"/>
          <w:lang w:val="en-US"/>
        </w:rPr>
        <w:t>person’s</w:t>
      </w:r>
      <w:r w:rsidRPr="00247E41">
        <w:rPr>
          <w:rFonts w:ascii="Lato" w:hAnsi="Lato" w:cs="Times New Roman"/>
          <w:lang w:val="en-US"/>
        </w:rPr>
        <w:t xml:space="preserve"> mental health provoked by discrimination and </w:t>
      </w:r>
      <w:r w:rsidR="009C3001">
        <w:rPr>
          <w:rFonts w:ascii="Lato" w:hAnsi="Lato" w:cs="Times New Roman"/>
          <w:lang w:val="en-US"/>
        </w:rPr>
        <w:t>violence are: Suicide attempts</w:t>
      </w:r>
      <w:r w:rsidRPr="00247E41">
        <w:rPr>
          <w:rFonts w:ascii="Lato" w:hAnsi="Lato" w:cs="Times New Roman"/>
          <w:lang w:val="en-US"/>
        </w:rPr>
        <w:t xml:space="preserve">, depression, anxiety, psychological distress </w:t>
      </w:r>
      <w:r w:rsidR="009C3001">
        <w:rPr>
          <w:rFonts w:ascii="Lato" w:hAnsi="Lato" w:cs="Times New Roman"/>
          <w:lang w:val="en-US"/>
        </w:rPr>
        <w:t>and mental disorders. For instance</w:t>
      </w:r>
      <w:r w:rsidR="009C3001" w:rsidRPr="00247E41">
        <w:rPr>
          <w:rFonts w:ascii="Lato" w:hAnsi="Lato" w:cs="Times New Roman"/>
          <w:lang w:val="en-US"/>
        </w:rPr>
        <w:t>,</w:t>
      </w:r>
      <w:r w:rsidR="009C3001">
        <w:rPr>
          <w:rFonts w:ascii="Lato" w:hAnsi="Lato" w:cs="Times New Roman"/>
          <w:lang w:val="en-US"/>
        </w:rPr>
        <w:t xml:space="preserve"> </w:t>
      </w:r>
      <w:r w:rsidR="009C3001" w:rsidRPr="00247E41">
        <w:rPr>
          <w:rFonts w:ascii="Lato" w:hAnsi="Lato" w:cs="Times New Roman"/>
          <w:lang w:val="en-US"/>
        </w:rPr>
        <w:t>LGBTIQ</w:t>
      </w:r>
      <w:r w:rsidR="00D025B4" w:rsidRPr="00247E41">
        <w:rPr>
          <w:rFonts w:ascii="Lato" w:hAnsi="Lato" w:cs="Times New Roman"/>
          <w:lang w:val="en-US"/>
        </w:rPr>
        <w:t>+</w:t>
      </w:r>
      <w:r w:rsidR="00E72770" w:rsidRPr="00247E41">
        <w:rPr>
          <w:rFonts w:ascii="Lato" w:hAnsi="Lato" w:cs="Times New Roman"/>
          <w:vertAlign w:val="superscript"/>
          <w:lang w:val="en-US"/>
        </w:rPr>
        <w:footnoteReference w:id="5"/>
      </w:r>
      <w:r w:rsidR="00E72770" w:rsidRPr="00247E41">
        <w:rPr>
          <w:rFonts w:ascii="Lato" w:hAnsi="Lato" w:cs="Times New Roman"/>
          <w:lang w:val="en-US"/>
        </w:rPr>
        <w:t xml:space="preserve"> </w:t>
      </w:r>
      <w:r w:rsidR="00D025B4" w:rsidRPr="00247E41">
        <w:rPr>
          <w:rFonts w:ascii="Lato" w:hAnsi="Lato" w:cs="Times New Roman"/>
          <w:lang w:val="en-US"/>
        </w:rPr>
        <w:t>people</w:t>
      </w:r>
      <w:r w:rsidR="002E0260" w:rsidRPr="00247E41">
        <w:rPr>
          <w:rFonts w:ascii="Lato" w:hAnsi="Lato" w:cs="Times New Roman"/>
          <w:lang w:val="en-US"/>
        </w:rPr>
        <w:t xml:space="preserve"> are two and a half times more likely to have been diagnosed or treated for a mental</w:t>
      </w:r>
      <w:r w:rsidRPr="00247E41">
        <w:rPr>
          <w:rFonts w:ascii="Lato" w:hAnsi="Lato" w:cs="Times New Roman"/>
          <w:lang w:val="en-US"/>
        </w:rPr>
        <w:t xml:space="preserve"> </w:t>
      </w:r>
      <w:r w:rsidR="002F5D1A" w:rsidRPr="00247E41">
        <w:rPr>
          <w:rFonts w:ascii="Lato" w:hAnsi="Lato" w:cs="Times New Roman"/>
          <w:lang w:val="en-US"/>
        </w:rPr>
        <w:t xml:space="preserve">health condition. It is relevant to highlight that </w:t>
      </w:r>
      <w:r w:rsidR="00D025B4" w:rsidRPr="00247E41">
        <w:rPr>
          <w:rFonts w:ascii="Lato" w:hAnsi="Lato" w:cs="Times New Roman"/>
          <w:lang w:val="en-US"/>
        </w:rPr>
        <w:t xml:space="preserve">the study </w:t>
      </w:r>
      <w:r w:rsidR="003A552B">
        <w:rPr>
          <w:rFonts w:ascii="Lato" w:hAnsi="Lato" w:cs="Times New Roman"/>
          <w:lang w:val="en-US"/>
        </w:rPr>
        <w:t xml:space="preserve">considered </w:t>
      </w:r>
      <w:r w:rsidR="00D025B4" w:rsidRPr="00247E41">
        <w:rPr>
          <w:rFonts w:ascii="Lato" w:hAnsi="Lato" w:cs="Times New Roman"/>
          <w:lang w:val="en-US"/>
        </w:rPr>
        <w:t>specific r</w:t>
      </w:r>
      <w:r w:rsidR="009C3001">
        <w:rPr>
          <w:rFonts w:ascii="Lato" w:hAnsi="Lato" w:cs="Times New Roman"/>
          <w:lang w:val="en-US"/>
        </w:rPr>
        <w:t xml:space="preserve">ates for groups such as lesbians </w:t>
      </w:r>
      <w:r w:rsidR="00D025B4" w:rsidRPr="00247E41">
        <w:rPr>
          <w:rFonts w:ascii="Lato" w:hAnsi="Lato" w:cs="Times New Roman"/>
          <w:lang w:val="en-US"/>
        </w:rPr>
        <w:t xml:space="preserve">or LGBTIQ+ youth. In the last case, it was found that </w:t>
      </w:r>
      <w:r w:rsidR="00366DBC" w:rsidRPr="00247E41">
        <w:rPr>
          <w:rFonts w:ascii="Lato" w:hAnsi="Lato" w:cs="Times New Roman"/>
          <w:lang w:val="en-US"/>
        </w:rPr>
        <w:t>LGBTIQ</w:t>
      </w:r>
      <w:r w:rsidR="00D025B4" w:rsidRPr="00247E41">
        <w:rPr>
          <w:rFonts w:ascii="Lato" w:hAnsi="Lato" w:cs="Times New Roman"/>
          <w:lang w:val="en-US"/>
        </w:rPr>
        <w:t>+ young people aged 16 to 17 were almost five times more likely to have attempted suicide in their lifetime and</w:t>
      </w:r>
      <w:r w:rsidR="00D025B4" w:rsidRPr="00247E41">
        <w:rPr>
          <w:rFonts w:ascii="MyriadPro-Regular" w:hAnsi="MyriadPro-Regular" w:cs="MyriadPro-Regular"/>
          <w:lang w:val="en-US"/>
        </w:rPr>
        <w:t xml:space="preserve"> </w:t>
      </w:r>
      <w:r w:rsidR="00366DBC" w:rsidRPr="00247E41">
        <w:rPr>
          <w:rFonts w:ascii="Lato" w:hAnsi="Lato" w:cs="Times New Roman"/>
          <w:lang w:val="en-US"/>
        </w:rPr>
        <w:t>63.8% of LGBTIQ</w:t>
      </w:r>
      <w:r w:rsidR="00D025B4" w:rsidRPr="00247E41">
        <w:rPr>
          <w:rFonts w:ascii="Lato" w:hAnsi="Lato" w:cs="Times New Roman"/>
          <w:lang w:val="en-US"/>
        </w:rPr>
        <w:t>+ young people aged 14 to 21 reported having ever been diagnosed with a mental</w:t>
      </w:r>
      <w:r w:rsidR="002F5D1A" w:rsidRPr="00247E41">
        <w:rPr>
          <w:rFonts w:ascii="Lato" w:hAnsi="Lato" w:cs="Times New Roman"/>
          <w:lang w:val="en-US"/>
        </w:rPr>
        <w:t xml:space="preserve"> disorder</w:t>
      </w:r>
      <w:r w:rsidR="00D025B4" w:rsidRPr="00247E41">
        <w:rPr>
          <w:rFonts w:ascii="Lato" w:hAnsi="Lato" w:cs="Times New Roman"/>
          <w:lang w:val="en-US"/>
        </w:rPr>
        <w:t>. Another example is that 83.3% of lesbian women aged 14 to 21 reported experiencing high levels of psychological distress</w:t>
      </w:r>
      <w:r w:rsidR="002F5D1A" w:rsidRPr="00247E41">
        <w:rPr>
          <w:rFonts w:ascii="Lato" w:hAnsi="Lato" w:cs="Times New Roman"/>
          <w:lang w:val="en-US"/>
        </w:rPr>
        <w:t>.</w:t>
      </w:r>
      <w:r w:rsidR="002F5D1A" w:rsidRPr="00247E41">
        <w:rPr>
          <w:rStyle w:val="FootnoteReference"/>
          <w:rFonts w:ascii="Lato" w:hAnsi="Lato" w:cs="Times New Roman"/>
          <w:lang w:val="en-US"/>
        </w:rPr>
        <w:footnoteReference w:id="6"/>
      </w:r>
    </w:p>
    <w:p w14:paraId="53FD6A90" w14:textId="77777777" w:rsidR="002F5D1A" w:rsidRPr="00247E41" w:rsidRDefault="002F5D1A" w:rsidP="002F5D1A">
      <w:pPr>
        <w:pStyle w:val="ListParagraph"/>
        <w:rPr>
          <w:rFonts w:ascii="Lato" w:hAnsi="Lato" w:cs="Times New Roman"/>
          <w:lang w:val="en-US"/>
        </w:rPr>
      </w:pPr>
    </w:p>
    <w:p w14:paraId="23E94269" w14:textId="5BFDA7AE" w:rsidR="00CF1BEC" w:rsidRPr="001706A4" w:rsidRDefault="001706A4" w:rsidP="001706A4">
      <w:pPr>
        <w:pStyle w:val="ListParagraph"/>
        <w:numPr>
          <w:ilvl w:val="0"/>
          <w:numId w:val="11"/>
        </w:numPr>
        <w:jc w:val="both"/>
        <w:rPr>
          <w:rFonts w:ascii="Lato" w:hAnsi="Lato"/>
          <w:lang w:val="en-US"/>
        </w:rPr>
      </w:pPr>
      <w:r w:rsidRPr="001706A4">
        <w:rPr>
          <w:rFonts w:ascii="Lato" w:hAnsi="Lato"/>
          <w:lang w:val="en-US"/>
        </w:rPr>
        <w:t xml:space="preserve">In </w:t>
      </w:r>
      <w:r w:rsidRPr="001706A4">
        <w:rPr>
          <w:rFonts w:ascii="Lato" w:hAnsi="Lato"/>
          <w:b/>
          <w:bCs/>
          <w:lang w:val="en-US"/>
        </w:rPr>
        <w:t>Mauritius</w:t>
      </w:r>
      <w:r w:rsidRPr="001706A4">
        <w:rPr>
          <w:rFonts w:ascii="Lato" w:hAnsi="Lato"/>
          <w:lang w:val="en-US"/>
        </w:rPr>
        <w:t>, a 2021’s survey showed that only 7.84% of respondents reported approaching health institutions or doctors due to, among others, lack of confidence in the healthcare system and lack of support or perceived lack of support from healthcare providers.</w:t>
      </w:r>
      <w:r w:rsidRPr="001706A4">
        <w:rPr>
          <w:rStyle w:val="FootnoteReference"/>
          <w:rFonts w:ascii="Lato" w:hAnsi="Lato"/>
          <w:lang w:val="en-US"/>
        </w:rPr>
        <w:t xml:space="preserve"> </w:t>
      </w:r>
      <w:r w:rsidRPr="00247E41">
        <w:rPr>
          <w:rStyle w:val="FootnoteReference"/>
          <w:rFonts w:ascii="Lato" w:hAnsi="Lato"/>
          <w:lang w:val="en-US"/>
        </w:rPr>
        <w:footnoteReference w:id="7"/>
      </w:r>
      <w:r w:rsidRPr="001706A4">
        <w:rPr>
          <w:rFonts w:ascii="Lato" w:hAnsi="Lato"/>
          <w:lang w:val="en-US"/>
        </w:rPr>
        <w:t xml:space="preserve"> Similarly, another survey carried out in 2017 demonstrated that stigma, discrimination, and physical and sexual abuse against trans people contributed to depression and other mental health issues, as 33% of respondents were found to have attempted suicide due to their trans identity.</w:t>
      </w:r>
      <w:r w:rsidR="00F36B85" w:rsidRPr="00247E41">
        <w:rPr>
          <w:rStyle w:val="FootnoteReference"/>
          <w:rFonts w:ascii="Lato" w:hAnsi="Lato"/>
          <w:lang w:val="en-US"/>
        </w:rPr>
        <w:footnoteReference w:id="8"/>
      </w:r>
    </w:p>
    <w:p w14:paraId="57DBCFE0" w14:textId="77777777" w:rsidR="0029752A" w:rsidRPr="00247E41" w:rsidRDefault="0029752A" w:rsidP="0029752A">
      <w:pPr>
        <w:pStyle w:val="ListParagraph"/>
        <w:rPr>
          <w:rFonts w:ascii="Lato" w:hAnsi="Lato"/>
          <w:lang w:val="en-US"/>
        </w:rPr>
      </w:pPr>
    </w:p>
    <w:p w14:paraId="6B7C490A" w14:textId="2499217F" w:rsidR="00BA3FED" w:rsidRPr="00247E41" w:rsidRDefault="00493D0F" w:rsidP="00BA3FED">
      <w:pPr>
        <w:pStyle w:val="ListParagraph"/>
        <w:numPr>
          <w:ilvl w:val="0"/>
          <w:numId w:val="11"/>
        </w:numPr>
        <w:jc w:val="both"/>
        <w:rPr>
          <w:rFonts w:ascii="Lato" w:hAnsi="Lato"/>
          <w:b/>
          <w:lang w:val="en-US"/>
        </w:rPr>
      </w:pPr>
      <w:r w:rsidRPr="00247E41">
        <w:rPr>
          <w:rFonts w:ascii="Lato" w:hAnsi="Lato"/>
          <w:lang w:val="en-US"/>
        </w:rPr>
        <w:t>Likewise, a</w:t>
      </w:r>
      <w:r w:rsidR="001860D5" w:rsidRPr="00247E41">
        <w:rPr>
          <w:rFonts w:ascii="Lato" w:hAnsi="Lato"/>
          <w:lang w:val="en-US"/>
        </w:rPr>
        <w:t xml:space="preserve"> study on LBQ women and trans masculine persons</w:t>
      </w:r>
      <w:r w:rsidRPr="00247E41">
        <w:rPr>
          <w:rFonts w:ascii="Lato" w:hAnsi="Lato"/>
          <w:lang w:val="en-US"/>
        </w:rPr>
        <w:t xml:space="preserve"> in </w:t>
      </w:r>
      <w:r w:rsidRPr="00247E41">
        <w:rPr>
          <w:rFonts w:ascii="Lato" w:hAnsi="Lato"/>
          <w:b/>
          <w:lang w:val="en-US"/>
        </w:rPr>
        <w:t>Haiti</w:t>
      </w:r>
      <w:r w:rsidR="001860D5" w:rsidRPr="00247E41">
        <w:rPr>
          <w:rFonts w:ascii="Lato" w:hAnsi="Lato"/>
          <w:lang w:val="en-US"/>
        </w:rPr>
        <w:t xml:space="preserve"> </w:t>
      </w:r>
      <w:r w:rsidR="001860D5" w:rsidRPr="00247E41">
        <w:rPr>
          <w:rFonts w:ascii="Lato" w:hAnsi="Lato"/>
        </w:rPr>
        <w:t xml:space="preserve">revealed that </w:t>
      </w:r>
      <w:r w:rsidR="0029752A" w:rsidRPr="00247E41">
        <w:rPr>
          <w:rFonts w:ascii="Lato" w:hAnsi="Lato"/>
          <w:lang w:val="en-US"/>
        </w:rPr>
        <w:t>while 42% access health services when feeling sick, only 3% accessed health care after sexual assau</w:t>
      </w:r>
      <w:r w:rsidRPr="00247E41">
        <w:rPr>
          <w:rFonts w:ascii="Lato" w:hAnsi="Lato"/>
          <w:lang w:val="en-US"/>
        </w:rPr>
        <w:t>lts</w:t>
      </w:r>
      <w:r w:rsidR="0029752A" w:rsidRPr="00247E41">
        <w:rPr>
          <w:rFonts w:ascii="Lato" w:hAnsi="Lato"/>
          <w:lang w:val="en-US"/>
        </w:rPr>
        <w:t xml:space="preserve"> and 6% after</w:t>
      </w:r>
      <w:r w:rsidRPr="00247E41">
        <w:rPr>
          <w:rFonts w:ascii="Lato" w:hAnsi="Lato"/>
          <w:lang w:val="en-US"/>
        </w:rPr>
        <w:t xml:space="preserve"> a</w:t>
      </w:r>
      <w:r w:rsidR="0029752A" w:rsidRPr="00247E41">
        <w:rPr>
          <w:rFonts w:ascii="Lato" w:hAnsi="Lato"/>
          <w:lang w:val="en-US"/>
        </w:rPr>
        <w:t xml:space="preserve"> physical assault.</w:t>
      </w:r>
      <w:r w:rsidR="0029752A" w:rsidRPr="00247E41">
        <w:rPr>
          <w:rFonts w:ascii="AvenirLTStd-Light" w:hAnsi="AvenirLTStd-Light" w:cs="AvenirLTStd-Light"/>
          <w:color w:val="414142"/>
          <w:lang w:val="en-US"/>
        </w:rPr>
        <w:t xml:space="preserve"> </w:t>
      </w:r>
      <w:r w:rsidR="0029752A" w:rsidRPr="00247E41">
        <w:rPr>
          <w:rFonts w:ascii="Lato" w:hAnsi="Lato"/>
          <w:lang w:val="en-US"/>
        </w:rPr>
        <w:t xml:space="preserve">Lastly, 32% of the LGBTI respondents felt that they received poorer </w:t>
      </w:r>
      <w:r w:rsidR="00060D7B" w:rsidRPr="00247E41">
        <w:rPr>
          <w:rFonts w:ascii="Lato" w:hAnsi="Lato"/>
          <w:lang w:val="en-US"/>
        </w:rPr>
        <w:t>health</w:t>
      </w:r>
      <w:r w:rsidR="0029752A" w:rsidRPr="00247E41">
        <w:rPr>
          <w:rFonts w:ascii="Lato" w:hAnsi="Lato"/>
          <w:lang w:val="en-US"/>
        </w:rPr>
        <w:t>care services and</w:t>
      </w:r>
      <w:r w:rsidRPr="00247E41">
        <w:rPr>
          <w:rFonts w:ascii="Lato" w:hAnsi="Lato"/>
          <w:lang w:val="en-US"/>
        </w:rPr>
        <w:t>,</w:t>
      </w:r>
      <w:r w:rsidR="0029752A" w:rsidRPr="00247E41">
        <w:rPr>
          <w:rFonts w:ascii="Lato" w:hAnsi="Lato"/>
          <w:lang w:val="en-US"/>
        </w:rPr>
        <w:t xml:space="preserve"> 27% mentioned they were </w:t>
      </w:r>
      <w:r w:rsidR="00E72770">
        <w:rPr>
          <w:rFonts w:ascii="Lato" w:hAnsi="Lato"/>
          <w:lang w:val="en-US"/>
        </w:rPr>
        <w:t xml:space="preserve">insulted </w:t>
      </w:r>
      <w:r w:rsidR="0029752A" w:rsidRPr="00247E41">
        <w:rPr>
          <w:rFonts w:ascii="Lato" w:hAnsi="Lato"/>
          <w:lang w:val="en-US"/>
        </w:rPr>
        <w:t>or denied service because of their sexual orientation, gender identity</w:t>
      </w:r>
      <w:r w:rsidR="00247E41" w:rsidRPr="00247E41">
        <w:rPr>
          <w:rFonts w:ascii="Lato" w:hAnsi="Lato"/>
          <w:lang w:val="en-US"/>
        </w:rPr>
        <w:t>, or</w:t>
      </w:r>
      <w:r w:rsidR="0029752A" w:rsidRPr="00247E41">
        <w:rPr>
          <w:rFonts w:ascii="Lato" w:hAnsi="Lato"/>
          <w:lang w:val="en-US"/>
        </w:rPr>
        <w:t xml:space="preserve"> gender expression (SOGIE).</w:t>
      </w:r>
      <w:r w:rsidR="0029752A" w:rsidRPr="00247E41">
        <w:rPr>
          <w:rFonts w:ascii="Lato" w:hAnsi="Lato"/>
          <w:b/>
          <w:lang w:val="en-US"/>
        </w:rPr>
        <w:t xml:space="preserve"> </w:t>
      </w:r>
      <w:r w:rsidR="0029752A" w:rsidRPr="00247E41">
        <w:rPr>
          <w:rStyle w:val="FootnoteReference"/>
          <w:rFonts w:ascii="Lato" w:hAnsi="Lato"/>
          <w:b/>
          <w:lang w:val="en-US"/>
        </w:rPr>
        <w:footnoteReference w:id="9"/>
      </w:r>
    </w:p>
    <w:p w14:paraId="32F0A10F" w14:textId="77777777" w:rsidR="00BA3FED" w:rsidRPr="00247E41" w:rsidRDefault="00BA3FED" w:rsidP="00BA3FED">
      <w:pPr>
        <w:pStyle w:val="ListParagraph"/>
        <w:rPr>
          <w:lang w:val="en-US" w:eastAsia="en-GB"/>
        </w:rPr>
      </w:pPr>
    </w:p>
    <w:p w14:paraId="395D0D8F" w14:textId="524BA372" w:rsidR="005B23E0" w:rsidRPr="005B23E0" w:rsidRDefault="00BA3FED" w:rsidP="003A552B">
      <w:pPr>
        <w:pStyle w:val="ListParagraph"/>
        <w:numPr>
          <w:ilvl w:val="0"/>
          <w:numId w:val="11"/>
        </w:numPr>
        <w:jc w:val="both"/>
        <w:rPr>
          <w:rFonts w:ascii="Lato" w:hAnsi="Lato"/>
          <w:i/>
          <w:lang w:val="en-US" w:eastAsia="en-GB"/>
        </w:rPr>
      </w:pPr>
      <w:r w:rsidRPr="005B23E0">
        <w:rPr>
          <w:lang w:val="en-US" w:eastAsia="en-GB"/>
        </w:rPr>
        <w:t xml:space="preserve"> </w:t>
      </w:r>
      <w:r w:rsidRPr="005B23E0">
        <w:rPr>
          <w:rFonts w:ascii="Lato" w:hAnsi="Lato"/>
          <w:lang w:val="en-US"/>
        </w:rPr>
        <w:t xml:space="preserve">In the case of </w:t>
      </w:r>
      <w:r w:rsidRPr="005B23E0">
        <w:rPr>
          <w:rFonts w:ascii="Lato" w:hAnsi="Lato"/>
          <w:b/>
          <w:lang w:val="en-US"/>
        </w:rPr>
        <w:t>Argentina</w:t>
      </w:r>
      <w:r w:rsidRPr="005B23E0">
        <w:rPr>
          <w:rFonts w:ascii="Lato" w:hAnsi="Lato"/>
          <w:lang w:val="en-US"/>
        </w:rPr>
        <w:t xml:space="preserve">, a nationwide study </w:t>
      </w:r>
      <w:r w:rsidR="003A552B">
        <w:rPr>
          <w:rFonts w:ascii="Lato" w:hAnsi="Lato"/>
          <w:lang w:val="en-US"/>
        </w:rPr>
        <w:t xml:space="preserve">on </w:t>
      </w:r>
      <w:r w:rsidRPr="005B23E0">
        <w:rPr>
          <w:rFonts w:ascii="Lato" w:hAnsi="Lato"/>
          <w:lang w:val="en-US"/>
        </w:rPr>
        <w:t xml:space="preserve">trans masculinities and non-binary people found high indicators of mental health problems. In this regard, 47% reported having received </w:t>
      </w:r>
      <w:r w:rsidR="00060D7B" w:rsidRPr="005B23E0">
        <w:rPr>
          <w:rFonts w:ascii="Lato" w:hAnsi="Lato"/>
          <w:lang w:val="en-US"/>
        </w:rPr>
        <w:t xml:space="preserve">a </w:t>
      </w:r>
      <w:r w:rsidRPr="005B23E0">
        <w:rPr>
          <w:rFonts w:ascii="Lato" w:hAnsi="Lato"/>
          <w:lang w:val="en-US"/>
        </w:rPr>
        <w:t>diagnosis</w:t>
      </w:r>
      <w:r w:rsidR="009C3001">
        <w:rPr>
          <w:rFonts w:ascii="Lato" w:hAnsi="Lato"/>
          <w:lang w:val="en-US"/>
        </w:rPr>
        <w:t xml:space="preserve"> related to their mental health, </w:t>
      </w:r>
      <w:r w:rsidRPr="005B23E0">
        <w:rPr>
          <w:rFonts w:ascii="Lato" w:hAnsi="Lato"/>
          <w:lang w:val="en-US"/>
        </w:rPr>
        <w:t xml:space="preserve">the most frequent being depression (37%), anxiety (34.8%), post-traumatic stress disorder (10.6%), and borderline personality disorder (5.7%). Likewise, more than half (58%) reported </w:t>
      </w:r>
      <w:r w:rsidR="00E72770">
        <w:rPr>
          <w:rFonts w:ascii="Lato" w:hAnsi="Lato"/>
          <w:lang w:val="en-US"/>
        </w:rPr>
        <w:t xml:space="preserve">to have attempted committing </w:t>
      </w:r>
      <w:r w:rsidRPr="005B23E0">
        <w:rPr>
          <w:rFonts w:ascii="Lato" w:hAnsi="Lato"/>
          <w:lang w:val="en-US"/>
        </w:rPr>
        <w:t xml:space="preserve">suicide </w:t>
      </w:r>
      <w:r w:rsidR="00E72770">
        <w:rPr>
          <w:rFonts w:ascii="Lato" w:hAnsi="Lato"/>
          <w:lang w:val="en-US"/>
        </w:rPr>
        <w:t>at least one time in their lives</w:t>
      </w:r>
      <w:r w:rsidRPr="005B23E0">
        <w:rPr>
          <w:rFonts w:ascii="Lato" w:hAnsi="Lato"/>
          <w:lang w:val="en-US"/>
        </w:rPr>
        <w:t>.</w:t>
      </w:r>
      <w:r w:rsidRPr="00247E41">
        <w:rPr>
          <w:rFonts w:ascii="Lato" w:hAnsi="Lato"/>
          <w:vertAlign w:val="superscript"/>
          <w:lang w:val="en-US"/>
        </w:rPr>
        <w:footnoteReference w:id="10"/>
      </w:r>
      <w:r w:rsidR="005B23E0" w:rsidRPr="005B23E0">
        <w:rPr>
          <w:i/>
          <w:lang w:val="en-US" w:eastAsia="en-GB"/>
        </w:rPr>
        <w:t xml:space="preserve"> </w:t>
      </w:r>
      <w:r w:rsidR="005B23E0">
        <w:rPr>
          <w:i/>
          <w:lang w:val="en-US" w:eastAsia="en-GB"/>
        </w:rPr>
        <w:t xml:space="preserve"> </w:t>
      </w:r>
    </w:p>
    <w:p w14:paraId="5F7D8CBE" w14:textId="484EDE1C" w:rsidR="008E679E" w:rsidRPr="005B23E0" w:rsidRDefault="008E679E" w:rsidP="005B23E0">
      <w:pPr>
        <w:pStyle w:val="ListParagraph"/>
        <w:jc w:val="both"/>
        <w:rPr>
          <w:rFonts w:ascii="Lato" w:hAnsi="Lato"/>
          <w:i/>
          <w:lang w:val="en-US"/>
        </w:rPr>
      </w:pPr>
    </w:p>
    <w:p w14:paraId="2F781843" w14:textId="5BE47C05" w:rsidR="005B23E0" w:rsidRPr="005B23E0" w:rsidRDefault="009A076D" w:rsidP="005B23E0">
      <w:pPr>
        <w:pStyle w:val="Heading1"/>
        <w:numPr>
          <w:ilvl w:val="0"/>
          <w:numId w:val="9"/>
        </w:numPr>
        <w:spacing w:before="480" w:after="240"/>
        <w:ind w:left="714" w:hanging="357"/>
        <w:rPr>
          <w:rFonts w:ascii="Lato" w:eastAsia="Times New Roman" w:hAnsi="Lato"/>
          <w:color w:val="2E74B5" w:themeColor="accent5" w:themeShade="BF"/>
          <w:sz w:val="28"/>
          <w:szCs w:val="28"/>
          <w:lang w:eastAsia="en-GB"/>
        </w:rPr>
      </w:pPr>
      <w:bookmarkStart w:id="3" w:name="_Toc94093974"/>
      <w:r w:rsidRPr="00247E41">
        <w:rPr>
          <w:rFonts w:ascii="Lato" w:eastAsia="Times New Roman" w:hAnsi="Lato"/>
          <w:color w:val="2E74B5" w:themeColor="accent5" w:themeShade="BF"/>
          <w:sz w:val="28"/>
          <w:szCs w:val="28"/>
          <w:lang w:eastAsia="en-GB"/>
        </w:rPr>
        <w:t>Structural and institutional violence based on SOGIESC in medical settings</w:t>
      </w:r>
      <w:r w:rsidR="000D5025">
        <w:rPr>
          <w:rFonts w:ascii="Lato" w:eastAsia="Times New Roman" w:hAnsi="Lato"/>
          <w:color w:val="2E74B5" w:themeColor="accent5" w:themeShade="BF"/>
          <w:sz w:val="28"/>
          <w:szCs w:val="28"/>
          <w:lang w:eastAsia="en-GB"/>
        </w:rPr>
        <w:t xml:space="preserve">: Country examples and </w:t>
      </w:r>
      <w:r w:rsidR="001724CC">
        <w:rPr>
          <w:rFonts w:ascii="Lato" w:eastAsia="Times New Roman" w:hAnsi="Lato"/>
          <w:color w:val="2E74B5" w:themeColor="accent5" w:themeShade="BF"/>
          <w:sz w:val="28"/>
          <w:szCs w:val="28"/>
          <w:lang w:eastAsia="en-GB"/>
        </w:rPr>
        <w:t>s</w:t>
      </w:r>
      <w:r w:rsidR="000D5025">
        <w:rPr>
          <w:rFonts w:ascii="Lato" w:eastAsia="Times New Roman" w:hAnsi="Lato"/>
          <w:color w:val="2E74B5" w:themeColor="accent5" w:themeShade="BF"/>
          <w:sz w:val="28"/>
          <w:szCs w:val="28"/>
          <w:lang w:eastAsia="en-GB"/>
        </w:rPr>
        <w:t>tate responses (Questions 3 and 8</w:t>
      </w:r>
      <w:r w:rsidR="00570722">
        <w:rPr>
          <w:rFonts w:ascii="Lato" w:eastAsia="Times New Roman" w:hAnsi="Lato"/>
          <w:color w:val="2E74B5" w:themeColor="accent5" w:themeShade="BF"/>
          <w:sz w:val="28"/>
          <w:szCs w:val="28"/>
          <w:lang w:eastAsia="en-GB"/>
        </w:rPr>
        <w:t>)</w:t>
      </w:r>
      <w:bookmarkEnd w:id="3"/>
    </w:p>
    <w:p w14:paraId="2F91ADB6" w14:textId="1FDD2042" w:rsidR="008234A7" w:rsidRPr="00133CF1" w:rsidRDefault="00133CF1" w:rsidP="00133CF1">
      <w:pPr>
        <w:pStyle w:val="Heading2"/>
        <w:rPr>
          <w:rFonts w:ascii="Lato" w:eastAsiaTheme="minorHAnsi" w:hAnsi="Lato" w:cstheme="minorBidi"/>
          <w:i/>
          <w:color w:val="auto"/>
          <w:sz w:val="24"/>
          <w:szCs w:val="24"/>
        </w:rPr>
      </w:pPr>
      <w:bookmarkStart w:id="4" w:name="_Toc94093975"/>
      <w:r w:rsidRPr="00133CF1">
        <w:rPr>
          <w:rFonts w:ascii="Lato" w:eastAsiaTheme="minorHAnsi" w:hAnsi="Lato" w:cstheme="minorBidi"/>
          <w:i/>
          <w:color w:val="auto"/>
          <w:sz w:val="24"/>
          <w:szCs w:val="24"/>
          <w:lang w:val="en-US"/>
        </w:rPr>
        <w:t>Covid-19 pandemic effects</w:t>
      </w:r>
      <w:bookmarkEnd w:id="4"/>
      <w:r w:rsidRPr="00133CF1">
        <w:rPr>
          <w:i/>
          <w:lang w:val="en-US"/>
        </w:rPr>
        <w:t xml:space="preserve"> </w:t>
      </w:r>
    </w:p>
    <w:p w14:paraId="264A6AF6" w14:textId="77777777" w:rsidR="00133CF1" w:rsidRPr="00133CF1" w:rsidRDefault="00133CF1" w:rsidP="00133CF1">
      <w:pPr>
        <w:rPr>
          <w:lang w:val="en-US"/>
        </w:rPr>
      </w:pPr>
    </w:p>
    <w:p w14:paraId="36147F45" w14:textId="3868C495" w:rsidR="0080676D" w:rsidRPr="00133CF1" w:rsidRDefault="005B23E0" w:rsidP="00133CF1">
      <w:pPr>
        <w:numPr>
          <w:ilvl w:val="0"/>
          <w:numId w:val="11"/>
        </w:numPr>
        <w:jc w:val="both"/>
        <w:rPr>
          <w:rFonts w:ascii="Lato" w:hAnsi="Lato"/>
          <w:i/>
          <w:sz w:val="24"/>
          <w:szCs w:val="24"/>
          <w:lang w:val="en-US"/>
        </w:rPr>
      </w:pPr>
      <w:r w:rsidRPr="005B23E0">
        <w:rPr>
          <w:rFonts w:ascii="Lato" w:hAnsi="Lato"/>
          <w:sz w:val="24"/>
          <w:szCs w:val="24"/>
          <w:lang w:val="en-US"/>
        </w:rPr>
        <w:t xml:space="preserve">During the pandemic, Human Rights Watch has documented health care discrimination based on sexual orientation and gender identity in countries including the </w:t>
      </w:r>
      <w:r w:rsidRPr="005B23E0">
        <w:rPr>
          <w:rFonts w:ascii="Lato" w:hAnsi="Lato"/>
          <w:b/>
          <w:sz w:val="24"/>
          <w:szCs w:val="24"/>
          <w:lang w:val="en-US"/>
        </w:rPr>
        <w:t>United States, Tanzania, Japan, Indonesia, Bangladesh, Russia, and Lebanon</w:t>
      </w:r>
      <w:r w:rsidRPr="005B23E0">
        <w:rPr>
          <w:rFonts w:ascii="Lato" w:hAnsi="Lato"/>
          <w:sz w:val="24"/>
          <w:szCs w:val="24"/>
          <w:lang w:val="en-US"/>
        </w:rPr>
        <w:t xml:space="preserve">. </w:t>
      </w:r>
      <w:r w:rsidRPr="005B23E0">
        <w:rPr>
          <w:rFonts w:ascii="Lato" w:hAnsi="Lato"/>
          <w:sz w:val="24"/>
          <w:szCs w:val="24"/>
          <w:vertAlign w:val="superscript"/>
          <w:lang w:val="en-US"/>
        </w:rPr>
        <w:footnoteReference w:id="11"/>
      </w:r>
      <w:r w:rsidR="00133CF1" w:rsidRPr="00133CF1">
        <w:rPr>
          <w:i/>
          <w:lang w:val="en-US"/>
        </w:rPr>
        <w:t xml:space="preserve"> </w:t>
      </w:r>
    </w:p>
    <w:p w14:paraId="67B68564" w14:textId="0339471C" w:rsidR="000D5025" w:rsidRPr="000D5025" w:rsidRDefault="0080676D" w:rsidP="000D5025">
      <w:pPr>
        <w:numPr>
          <w:ilvl w:val="0"/>
          <w:numId w:val="11"/>
        </w:numPr>
        <w:jc w:val="both"/>
        <w:rPr>
          <w:rFonts w:ascii="Lato" w:hAnsi="Lato"/>
          <w:sz w:val="24"/>
          <w:szCs w:val="24"/>
          <w:lang w:val="en-US"/>
        </w:rPr>
      </w:pPr>
      <w:r w:rsidRPr="0080676D">
        <w:rPr>
          <w:rFonts w:ascii="Lato" w:hAnsi="Lato"/>
          <w:sz w:val="24"/>
          <w:szCs w:val="24"/>
          <w:lang w:val="en-US"/>
        </w:rPr>
        <w:t xml:space="preserve">A study conducted in </w:t>
      </w:r>
      <w:r w:rsidRPr="0080676D">
        <w:rPr>
          <w:rFonts w:ascii="Lato" w:hAnsi="Lato"/>
          <w:b/>
          <w:sz w:val="24"/>
          <w:szCs w:val="24"/>
          <w:lang w:val="en-US"/>
        </w:rPr>
        <w:t>Argentina</w:t>
      </w:r>
      <w:r w:rsidRPr="0080676D">
        <w:rPr>
          <w:rFonts w:ascii="Lato" w:hAnsi="Lato"/>
          <w:sz w:val="24"/>
          <w:szCs w:val="24"/>
          <w:lang w:val="en-US"/>
        </w:rPr>
        <w:t>, two months after the beginning of the mandatory isolation to control the spread of the virus, has shown the negative impact of the pandemic on access to health services.</w:t>
      </w:r>
      <w:r w:rsidRPr="0080676D">
        <w:rPr>
          <w:rFonts w:ascii="Lato" w:hAnsi="Lato"/>
          <w:sz w:val="24"/>
          <w:szCs w:val="24"/>
        </w:rPr>
        <w:t xml:space="preserve"> </w:t>
      </w:r>
      <w:r w:rsidRPr="0080676D">
        <w:rPr>
          <w:rFonts w:ascii="Lato" w:hAnsi="Lato"/>
          <w:sz w:val="24"/>
          <w:szCs w:val="24"/>
          <w:lang w:val="en-US"/>
        </w:rPr>
        <w:t>In a sample of 72 transgender femininities,</w:t>
      </w:r>
      <w:r w:rsidRPr="0080676D">
        <w:rPr>
          <w:rFonts w:ascii="Lato" w:hAnsi="Lato"/>
          <w:sz w:val="24"/>
          <w:szCs w:val="24"/>
        </w:rPr>
        <w:t xml:space="preserve"> </w:t>
      </w:r>
      <w:r w:rsidRPr="0080676D">
        <w:rPr>
          <w:rFonts w:ascii="Lato" w:hAnsi="Lato"/>
          <w:sz w:val="24"/>
          <w:szCs w:val="24"/>
          <w:lang w:val="en-US"/>
        </w:rPr>
        <w:t>50% experienced barriers in accessing hormone treatment, 24.6% in accessing general medical care, 18.8% in accessing mental health care, 11.3% in accessing antiretroviral treatment, and 10.1% in accessing substance abuse treatment. They also avoided a sexual and reproductive health consultation for fear of experiencing discrimination, rejection or stigma because of their gender identity.</w:t>
      </w:r>
      <w:r w:rsidRPr="0080676D">
        <w:rPr>
          <w:rFonts w:ascii="Lato" w:hAnsi="Lato"/>
          <w:sz w:val="24"/>
          <w:szCs w:val="24"/>
          <w:vertAlign w:val="superscript"/>
          <w:lang w:val="en-US"/>
        </w:rPr>
        <w:footnoteReference w:id="12"/>
      </w:r>
      <w:r w:rsidRPr="0080676D">
        <w:rPr>
          <w:rFonts w:ascii="Lato" w:hAnsi="Lato"/>
          <w:sz w:val="24"/>
          <w:szCs w:val="24"/>
          <w:lang w:val="en-US"/>
        </w:rPr>
        <w:t xml:space="preserve"> </w:t>
      </w:r>
    </w:p>
    <w:p w14:paraId="5CE06E4C" w14:textId="77777777" w:rsidR="005353CB" w:rsidRPr="005353CB" w:rsidRDefault="000D5025" w:rsidP="005353CB">
      <w:pPr>
        <w:numPr>
          <w:ilvl w:val="0"/>
          <w:numId w:val="11"/>
        </w:numPr>
        <w:jc w:val="both"/>
        <w:rPr>
          <w:rFonts w:ascii="Lato" w:hAnsi="Lato"/>
          <w:sz w:val="24"/>
          <w:szCs w:val="24"/>
          <w:lang w:val="es-MX"/>
        </w:rPr>
      </w:pPr>
      <w:r w:rsidRPr="000D5025">
        <w:rPr>
          <w:rFonts w:ascii="Lato" w:hAnsi="Lato"/>
          <w:sz w:val="24"/>
          <w:szCs w:val="24"/>
          <w:lang w:val="en-US"/>
        </w:rPr>
        <w:t>LGBTI human rights defenders and activists face risks of violence and mental health issues. According to a recent report by the Council of Europe Commissioner for Human Rights, ‘the current context, ongoing attacks and hatred, as well as the decreased opportunities to meet for community support during the pandemic have had damaging effects on LGBTI human rights defenders’ well-being and mental health. Many activists work on a volunteer basis, combining their activism with a day-job, and working around the clock. It was reported that many defenders experience burnout. Some activists leave their country or stop their activism in the face of the hardships experienced.’</w:t>
      </w:r>
      <w:r>
        <w:rPr>
          <w:rStyle w:val="FootnoteReference"/>
          <w:rFonts w:ascii="Lato" w:hAnsi="Lato"/>
          <w:sz w:val="24"/>
          <w:szCs w:val="24"/>
          <w:lang w:val="en-US"/>
        </w:rPr>
        <w:footnoteReference w:id="13"/>
      </w:r>
      <w:r w:rsidR="005353CB" w:rsidRPr="005353CB">
        <w:rPr>
          <w:rFonts w:ascii="Calibri" w:hAnsi="Calibri" w:cs="Calibri"/>
          <w:i/>
          <w:iCs/>
          <w:color w:val="000000"/>
          <w:sz w:val="23"/>
          <w:szCs w:val="23"/>
          <w:lang w:val="en-US"/>
        </w:rPr>
        <w:t xml:space="preserve"> </w:t>
      </w:r>
    </w:p>
    <w:p w14:paraId="280821CE" w14:textId="77777777" w:rsidR="005353CB" w:rsidRPr="005353CB" w:rsidRDefault="005353CB" w:rsidP="005353CB">
      <w:pPr>
        <w:ind w:left="720"/>
        <w:jc w:val="both"/>
        <w:rPr>
          <w:rFonts w:ascii="Lato" w:hAnsi="Lato"/>
          <w:sz w:val="24"/>
          <w:szCs w:val="24"/>
          <w:lang w:val="es-MX"/>
        </w:rPr>
      </w:pPr>
    </w:p>
    <w:p w14:paraId="09710A86" w14:textId="0CA81962" w:rsidR="005353CB" w:rsidRPr="005353CB" w:rsidRDefault="005353CB" w:rsidP="005353CB">
      <w:pPr>
        <w:pStyle w:val="Heading2"/>
        <w:rPr>
          <w:i/>
          <w:color w:val="000000" w:themeColor="text1"/>
          <w:sz w:val="24"/>
          <w:szCs w:val="24"/>
        </w:rPr>
      </w:pPr>
      <w:bookmarkStart w:id="5" w:name="_Toc94093976"/>
      <w:r>
        <w:rPr>
          <w:i/>
          <w:color w:val="000000" w:themeColor="text1"/>
          <w:sz w:val="24"/>
          <w:szCs w:val="24"/>
          <w:lang w:val="en-US"/>
        </w:rPr>
        <w:t>‘</w:t>
      </w:r>
      <w:r w:rsidRPr="005353CB">
        <w:rPr>
          <w:i/>
          <w:color w:val="000000" w:themeColor="text1"/>
          <w:sz w:val="24"/>
          <w:szCs w:val="24"/>
          <w:lang w:val="en-US"/>
        </w:rPr>
        <w:t>Conversion therapies</w:t>
      </w:r>
      <w:r>
        <w:rPr>
          <w:i/>
          <w:color w:val="000000" w:themeColor="text1"/>
          <w:sz w:val="24"/>
          <w:szCs w:val="24"/>
          <w:lang w:val="en-US"/>
        </w:rPr>
        <w:t>’</w:t>
      </w:r>
      <w:bookmarkEnd w:id="5"/>
    </w:p>
    <w:p w14:paraId="624D9456" w14:textId="28F447C1" w:rsidR="005353CB" w:rsidRPr="005353CB" w:rsidRDefault="005353CB" w:rsidP="005353CB">
      <w:pPr>
        <w:pStyle w:val="Heading2"/>
        <w:rPr>
          <w:sz w:val="24"/>
          <w:szCs w:val="24"/>
          <w:lang w:val="en-US"/>
        </w:rPr>
      </w:pPr>
    </w:p>
    <w:p w14:paraId="55409DB4" w14:textId="25E3F18A" w:rsidR="005353CB" w:rsidRPr="005353CB" w:rsidRDefault="005353CB" w:rsidP="005353CB">
      <w:pPr>
        <w:numPr>
          <w:ilvl w:val="0"/>
          <w:numId w:val="11"/>
        </w:numPr>
        <w:jc w:val="both"/>
        <w:rPr>
          <w:rFonts w:ascii="Lato" w:hAnsi="Lato"/>
          <w:sz w:val="24"/>
          <w:szCs w:val="24"/>
          <w:lang w:val="en-US"/>
        </w:rPr>
      </w:pPr>
      <w:r w:rsidRPr="005353CB">
        <w:rPr>
          <w:rFonts w:ascii="Lato" w:hAnsi="Lato"/>
          <w:sz w:val="24"/>
          <w:szCs w:val="24"/>
          <w:lang w:val="en-US"/>
        </w:rPr>
        <w:t xml:space="preserve">‘Conversion therapy’ is a term describing pseudo-scientific and harmful practices used to attempt altering a person’s gender expression, gender identity or sexual orientation. </w:t>
      </w:r>
    </w:p>
    <w:p w14:paraId="51D9900B" w14:textId="4D7E4035" w:rsidR="005353CB" w:rsidRPr="005353CB" w:rsidRDefault="005353CB" w:rsidP="005353CB">
      <w:pPr>
        <w:numPr>
          <w:ilvl w:val="0"/>
          <w:numId w:val="11"/>
        </w:numPr>
        <w:jc w:val="both"/>
        <w:rPr>
          <w:rFonts w:ascii="Lato" w:hAnsi="Lato"/>
          <w:sz w:val="24"/>
          <w:szCs w:val="24"/>
          <w:lang w:val="en-US"/>
        </w:rPr>
      </w:pPr>
      <w:r w:rsidRPr="005353CB">
        <w:rPr>
          <w:rFonts w:ascii="Lato" w:hAnsi="Lato"/>
          <w:sz w:val="24"/>
          <w:szCs w:val="24"/>
          <w:lang w:val="en-US"/>
        </w:rPr>
        <w:t>Experimentation and abuse have long taken place under the legitimizing cloak of medicine, psychology, and science. According to ILGA World, gruesome practices – including electroshock ‘therapies’, forced internments in ‘clinics’, and exorcisms – are still applied in numerous countries, pushing people of diverse sexual orientations, gender identities, and expressions to living self-loathing lives, up to the extreme conseq</w:t>
      </w:r>
      <w:r>
        <w:rPr>
          <w:rFonts w:ascii="Lato" w:hAnsi="Lato"/>
          <w:sz w:val="24"/>
          <w:szCs w:val="24"/>
          <w:lang w:val="en-US"/>
        </w:rPr>
        <w:t>uences of committing suicide.</w:t>
      </w:r>
      <w:r>
        <w:rPr>
          <w:rStyle w:val="FootnoteReference"/>
          <w:rFonts w:ascii="Lato" w:hAnsi="Lato"/>
          <w:sz w:val="24"/>
          <w:szCs w:val="24"/>
          <w:lang w:val="en-US"/>
        </w:rPr>
        <w:footnoteReference w:id="14"/>
      </w:r>
    </w:p>
    <w:p w14:paraId="5C2612E1" w14:textId="1910B7DD" w:rsidR="005353CB" w:rsidRPr="005353CB" w:rsidRDefault="005353CB" w:rsidP="005353CB">
      <w:pPr>
        <w:numPr>
          <w:ilvl w:val="0"/>
          <w:numId w:val="11"/>
        </w:numPr>
        <w:jc w:val="both"/>
        <w:rPr>
          <w:rFonts w:ascii="Lato" w:hAnsi="Lato"/>
          <w:sz w:val="24"/>
          <w:szCs w:val="24"/>
          <w:lang w:val="en-US"/>
        </w:rPr>
      </w:pPr>
      <w:r w:rsidRPr="005353CB">
        <w:rPr>
          <w:rFonts w:ascii="Lato" w:hAnsi="Lato"/>
          <w:sz w:val="24"/>
          <w:szCs w:val="24"/>
          <w:lang w:val="en-US"/>
        </w:rPr>
        <w:t>The UN Independent Expert on sexual orientation and gender identity has called for a global ban on practices of ‘conversion therapy’, a process that must include: clearly defining the prohibited practices; ensuring public funds are not used to support them; banning advertisements; establishing punishments for non-compliance and investigating respective claims; creating mechanisms to provide access to all forms of reparation to victims, including the right to rehabilitation.</w:t>
      </w:r>
      <w:r>
        <w:rPr>
          <w:rStyle w:val="FootnoteReference"/>
          <w:rFonts w:ascii="Lato" w:hAnsi="Lato"/>
          <w:sz w:val="24"/>
          <w:szCs w:val="24"/>
          <w:lang w:val="en-US"/>
        </w:rPr>
        <w:footnoteReference w:id="15"/>
      </w:r>
    </w:p>
    <w:p w14:paraId="0A2C6B48" w14:textId="77777777" w:rsidR="0080676D" w:rsidRPr="0080676D" w:rsidRDefault="0080676D" w:rsidP="00133CF1">
      <w:pPr>
        <w:pStyle w:val="Heading2"/>
        <w:rPr>
          <w:lang w:val="en-US"/>
        </w:rPr>
      </w:pPr>
    </w:p>
    <w:p w14:paraId="30F8C944" w14:textId="7EA5AD6C" w:rsidR="00133CF1" w:rsidRPr="00133CF1" w:rsidRDefault="00133CF1" w:rsidP="00133CF1">
      <w:pPr>
        <w:pStyle w:val="Heading2"/>
        <w:rPr>
          <w:rFonts w:ascii="Lato" w:eastAsiaTheme="minorHAnsi" w:hAnsi="Lato" w:cstheme="minorBidi"/>
          <w:i/>
          <w:color w:val="auto"/>
          <w:sz w:val="24"/>
          <w:szCs w:val="24"/>
          <w:lang w:val="en-US"/>
        </w:rPr>
      </w:pPr>
      <w:bookmarkStart w:id="6" w:name="_Toc94093977"/>
      <w:r w:rsidRPr="00133CF1">
        <w:rPr>
          <w:rFonts w:ascii="Lato" w:eastAsiaTheme="minorHAnsi" w:hAnsi="Lato" w:cstheme="minorBidi"/>
          <w:i/>
          <w:color w:val="auto"/>
          <w:sz w:val="24"/>
          <w:szCs w:val="24"/>
          <w:lang w:val="en-US"/>
        </w:rPr>
        <w:t>Trans and intersex health-related issues</w:t>
      </w:r>
      <w:bookmarkEnd w:id="6"/>
      <w:r w:rsidRPr="00133CF1">
        <w:t xml:space="preserve"> </w:t>
      </w:r>
    </w:p>
    <w:p w14:paraId="0DEC34AF" w14:textId="77777777" w:rsidR="005353CB" w:rsidRPr="005353CB" w:rsidRDefault="005353CB" w:rsidP="005353CB">
      <w:pPr>
        <w:jc w:val="both"/>
        <w:rPr>
          <w:rFonts w:ascii="Lato" w:hAnsi="Lato"/>
          <w:lang w:val="en-CA"/>
        </w:rPr>
      </w:pPr>
    </w:p>
    <w:p w14:paraId="75CF8FDE" w14:textId="5FA75E1C" w:rsidR="00E90CC4" w:rsidRPr="005353CB" w:rsidRDefault="005353CB" w:rsidP="005353CB">
      <w:pPr>
        <w:pStyle w:val="ListParagraph"/>
        <w:numPr>
          <w:ilvl w:val="0"/>
          <w:numId w:val="17"/>
        </w:numPr>
        <w:jc w:val="both"/>
        <w:rPr>
          <w:rFonts w:ascii="Lato" w:hAnsi="Lato"/>
          <w:lang w:val="en-US"/>
        </w:rPr>
      </w:pPr>
      <w:r w:rsidRPr="005353CB">
        <w:rPr>
          <w:rFonts w:ascii="Lato" w:hAnsi="Lato"/>
          <w:lang w:val="en-US"/>
        </w:rPr>
        <w:t>Pathologisation of trans and intersex persons remains a key factor preventing their access to health care across the world. This has even aggravated with the rise of anti-gender rhetorics and actions in many countries. In most places in the world, comprehensive informational resources</w:t>
      </w:r>
      <w:r>
        <w:rPr>
          <w:rStyle w:val="FootnoteReference"/>
          <w:rFonts w:ascii="Lato" w:hAnsi="Lato"/>
        </w:rPr>
        <w:footnoteReference w:id="16"/>
      </w:r>
      <w:r w:rsidRPr="005353CB">
        <w:rPr>
          <w:rFonts w:ascii="Lato" w:hAnsi="Lato"/>
          <w:lang w:val="en-US"/>
        </w:rPr>
        <w:t xml:space="preserve"> on trans-related health care are non-existent. Besides, even in countries with ‘trans health’ structures that are functional, the implementation of comprehensive and holistic approaches to the health and wellbeing of trans people continues to be a global objective to be achieved. </w:t>
      </w:r>
    </w:p>
    <w:p w14:paraId="5B8BA706" w14:textId="77777777" w:rsidR="00490FE3" w:rsidRPr="00490FE3" w:rsidRDefault="00490FE3" w:rsidP="00490FE3">
      <w:pPr>
        <w:pStyle w:val="ListParagraph"/>
        <w:jc w:val="both"/>
        <w:rPr>
          <w:rFonts w:ascii="Lato" w:hAnsi="Lato"/>
        </w:rPr>
      </w:pPr>
    </w:p>
    <w:p w14:paraId="6F6B4462" w14:textId="671472EA" w:rsidR="00E90CC4" w:rsidRPr="005353CB" w:rsidRDefault="0080676D" w:rsidP="005353CB">
      <w:pPr>
        <w:numPr>
          <w:ilvl w:val="0"/>
          <w:numId w:val="11"/>
        </w:numPr>
        <w:jc w:val="both"/>
        <w:rPr>
          <w:rFonts w:ascii="Lato" w:hAnsi="Lato"/>
          <w:sz w:val="24"/>
          <w:szCs w:val="24"/>
          <w:lang w:val="en-US"/>
        </w:rPr>
      </w:pPr>
      <w:r w:rsidRPr="0080676D">
        <w:rPr>
          <w:rFonts w:ascii="Lato" w:hAnsi="Lato"/>
          <w:sz w:val="24"/>
          <w:szCs w:val="24"/>
        </w:rPr>
        <w:t xml:space="preserve">In </w:t>
      </w:r>
      <w:r w:rsidRPr="0080676D">
        <w:rPr>
          <w:rFonts w:ascii="Lato" w:hAnsi="Lato"/>
          <w:b/>
          <w:sz w:val="24"/>
          <w:szCs w:val="24"/>
        </w:rPr>
        <w:t>East Africa</w:t>
      </w:r>
      <w:r w:rsidRPr="0080676D">
        <w:rPr>
          <w:rFonts w:ascii="Lato" w:hAnsi="Lato"/>
          <w:sz w:val="24"/>
          <w:szCs w:val="24"/>
        </w:rPr>
        <w:t xml:space="preserve">, </w:t>
      </w:r>
      <w:r w:rsidRPr="0080676D">
        <w:rPr>
          <w:rFonts w:ascii="Lato" w:hAnsi="Lato"/>
          <w:sz w:val="24"/>
          <w:szCs w:val="24"/>
          <w:lang w:val="en-US"/>
        </w:rPr>
        <w:t>many intersex and trans people face significant barriers in accessing gender-affirming</w:t>
      </w:r>
      <w:r>
        <w:rPr>
          <w:rFonts w:ascii="Lato" w:hAnsi="Lato"/>
          <w:sz w:val="24"/>
          <w:szCs w:val="24"/>
          <w:lang w:val="en-US"/>
        </w:rPr>
        <w:t xml:space="preserve"> health care. </w:t>
      </w:r>
      <w:r w:rsidRPr="0080676D">
        <w:rPr>
          <w:rFonts w:ascii="Lato" w:hAnsi="Lato"/>
          <w:sz w:val="24"/>
          <w:szCs w:val="24"/>
          <w:lang w:val="en-US"/>
        </w:rPr>
        <w:t>Health services for gender and sex</w:t>
      </w:r>
      <w:r>
        <w:rPr>
          <w:rFonts w:ascii="Lato" w:hAnsi="Lato"/>
          <w:sz w:val="24"/>
          <w:szCs w:val="24"/>
          <w:lang w:val="en-US"/>
        </w:rPr>
        <w:t xml:space="preserve">ually </w:t>
      </w:r>
      <w:r w:rsidRPr="0080676D">
        <w:rPr>
          <w:rFonts w:ascii="Lato" w:hAnsi="Lato"/>
          <w:sz w:val="24"/>
          <w:szCs w:val="24"/>
          <w:lang w:val="en-US"/>
        </w:rPr>
        <w:t xml:space="preserve">diverse persons are </w:t>
      </w:r>
      <w:r>
        <w:rPr>
          <w:rFonts w:ascii="Lato" w:hAnsi="Lato"/>
          <w:sz w:val="24"/>
          <w:szCs w:val="24"/>
          <w:lang w:val="en-US"/>
        </w:rPr>
        <w:t>lumped under HIV-</w:t>
      </w:r>
      <w:r w:rsidRPr="0080676D">
        <w:rPr>
          <w:rFonts w:ascii="Lato" w:hAnsi="Lato"/>
          <w:sz w:val="24"/>
          <w:szCs w:val="24"/>
          <w:lang w:val="en-US"/>
        </w:rPr>
        <w:t xml:space="preserve">related clinical services for “Key Populations”. This poses a </w:t>
      </w:r>
      <w:r>
        <w:rPr>
          <w:rFonts w:ascii="Lato" w:hAnsi="Lato"/>
          <w:sz w:val="24"/>
          <w:szCs w:val="24"/>
          <w:lang w:val="en-US"/>
        </w:rPr>
        <w:t xml:space="preserve">significant </w:t>
      </w:r>
      <w:r w:rsidRPr="0080676D">
        <w:rPr>
          <w:rFonts w:ascii="Lato" w:hAnsi="Lato"/>
          <w:sz w:val="24"/>
          <w:szCs w:val="24"/>
          <w:lang w:val="en-US"/>
        </w:rPr>
        <w:t>challenge for intersex and trans persons as the health and HIV/AIDS prevention, care and support interventions have largely focused on cisgender</w:t>
      </w:r>
      <w:r w:rsidR="005353CB">
        <w:rPr>
          <w:rStyle w:val="FootnoteReference"/>
          <w:rFonts w:ascii="Lato" w:hAnsi="Lato"/>
          <w:sz w:val="24"/>
          <w:szCs w:val="24"/>
          <w:lang w:val="en-US"/>
        </w:rPr>
        <w:footnoteReference w:id="17"/>
      </w:r>
      <w:r w:rsidRPr="0080676D">
        <w:rPr>
          <w:rFonts w:ascii="Lato" w:hAnsi="Lato"/>
          <w:sz w:val="24"/>
          <w:szCs w:val="24"/>
          <w:lang w:val="en-US"/>
        </w:rPr>
        <w:t xml:space="preserve"> sex workers and men who have sex with men (MSM). Th</w:t>
      </w:r>
      <w:r>
        <w:rPr>
          <w:rFonts w:ascii="Lato" w:hAnsi="Lato"/>
          <w:sz w:val="24"/>
          <w:szCs w:val="24"/>
          <w:lang w:val="en-US"/>
        </w:rPr>
        <w:t>e</w:t>
      </w:r>
      <w:r w:rsidRPr="0080676D">
        <w:rPr>
          <w:rFonts w:ascii="Lato" w:hAnsi="Lato"/>
          <w:sz w:val="24"/>
          <w:szCs w:val="24"/>
          <w:lang w:val="en-US"/>
        </w:rPr>
        <w:t xml:space="preserve"> systematic exclusion of intersex and trans persons from tailored health services has resulted in limiting the health outcomes for them in the region.</w:t>
      </w:r>
      <w:r w:rsidRPr="0080676D">
        <w:rPr>
          <w:rFonts w:ascii="Lato" w:hAnsi="Lato"/>
          <w:sz w:val="24"/>
          <w:szCs w:val="24"/>
          <w:vertAlign w:val="superscript"/>
          <w:lang w:val="en-US"/>
        </w:rPr>
        <w:footnoteReference w:id="18"/>
      </w:r>
    </w:p>
    <w:p w14:paraId="7B159F80" w14:textId="77777777" w:rsidR="005353CB" w:rsidRPr="005353CB" w:rsidRDefault="00493D0F" w:rsidP="005353CB">
      <w:pPr>
        <w:pStyle w:val="ListParagraph"/>
        <w:numPr>
          <w:ilvl w:val="0"/>
          <w:numId w:val="12"/>
        </w:numPr>
        <w:jc w:val="both"/>
        <w:rPr>
          <w:lang w:val="en-US" w:eastAsia="en-GB"/>
        </w:rPr>
      </w:pPr>
      <w:r w:rsidRPr="0080676D">
        <w:rPr>
          <w:rFonts w:ascii="Lato" w:hAnsi="Lato"/>
          <w:lang w:val="en-US"/>
        </w:rPr>
        <w:t xml:space="preserve">Similarly, in </w:t>
      </w:r>
      <w:r w:rsidR="0080676D" w:rsidRPr="0080676D">
        <w:rPr>
          <w:rFonts w:ascii="Lato" w:hAnsi="Lato"/>
          <w:b/>
          <w:lang w:val="en-US"/>
        </w:rPr>
        <w:t>Haiti and other Caribbean countries</w:t>
      </w:r>
      <w:r w:rsidR="0080676D" w:rsidRPr="0080676D">
        <w:rPr>
          <w:rFonts w:ascii="Lato" w:hAnsi="Lato"/>
          <w:lang w:val="en-US"/>
        </w:rPr>
        <w:t>,</w:t>
      </w:r>
      <w:r w:rsidR="0080676D" w:rsidRPr="0080676D">
        <w:rPr>
          <w:rFonts w:ascii="Lato" w:hAnsi="Lato"/>
          <w:b/>
          <w:lang w:val="en-US"/>
        </w:rPr>
        <w:t xml:space="preserve"> </w:t>
      </w:r>
      <w:r w:rsidRPr="0080676D">
        <w:rPr>
          <w:rFonts w:ascii="Lato" w:hAnsi="Lato"/>
          <w:lang w:val="en-US"/>
        </w:rPr>
        <w:t>very few trans men access medical (hormones) or transitioning options as many attain it outside of any formal health provider (private or public) due to the lack of</w:t>
      </w:r>
      <w:r w:rsidR="0080676D">
        <w:rPr>
          <w:rFonts w:ascii="Lato" w:hAnsi="Lato"/>
          <w:lang w:val="en-US"/>
        </w:rPr>
        <w:t xml:space="preserve"> availability of these services.</w:t>
      </w:r>
      <w:r w:rsidR="0080676D">
        <w:rPr>
          <w:rStyle w:val="FootnoteReference"/>
          <w:rFonts w:ascii="Lato" w:hAnsi="Lato"/>
          <w:lang w:val="en-US"/>
        </w:rPr>
        <w:footnoteReference w:id="19"/>
      </w:r>
      <w:r w:rsidR="008234A7" w:rsidRPr="008234A7">
        <w:rPr>
          <w:lang w:val="en-US" w:eastAsia="en-GB"/>
        </w:rPr>
        <w:t xml:space="preserve"> </w:t>
      </w:r>
    </w:p>
    <w:p w14:paraId="3C446FD3" w14:textId="77777777" w:rsidR="005353CB" w:rsidRPr="005353CB" w:rsidRDefault="005353CB" w:rsidP="005353CB">
      <w:pPr>
        <w:pStyle w:val="ListParagraph"/>
        <w:jc w:val="both"/>
        <w:rPr>
          <w:lang w:val="en-US" w:eastAsia="en-GB"/>
        </w:rPr>
      </w:pPr>
    </w:p>
    <w:p w14:paraId="0794F5FA" w14:textId="779EC9CA" w:rsidR="005353CB" w:rsidRPr="005353CB" w:rsidRDefault="005353CB" w:rsidP="005353CB">
      <w:pPr>
        <w:pStyle w:val="ListParagraph"/>
        <w:numPr>
          <w:ilvl w:val="0"/>
          <w:numId w:val="12"/>
        </w:numPr>
        <w:jc w:val="both"/>
        <w:rPr>
          <w:lang w:val="es-MX" w:eastAsia="en-GB"/>
        </w:rPr>
      </w:pPr>
      <w:r w:rsidRPr="005353CB">
        <w:rPr>
          <w:lang w:val="en-US" w:eastAsia="en-GB"/>
        </w:rPr>
        <w:t xml:space="preserve">In </w:t>
      </w:r>
      <w:r w:rsidRPr="005353CB">
        <w:rPr>
          <w:b/>
          <w:bCs/>
          <w:lang w:val="en-US" w:eastAsia="en-GB"/>
        </w:rPr>
        <w:t>Sweden</w:t>
      </w:r>
      <w:r w:rsidRPr="005353CB">
        <w:rPr>
          <w:lang w:val="en-US" w:eastAsia="en-GB"/>
        </w:rPr>
        <w:t>, there are reported cases of ‘conversion therapy’ and medical experimentation conducted by health care providers on trans patients without their full and informed consent. Trans people who have certain mental health conditions, such as autism, are prevented from accessing gender affirmative health care.</w:t>
      </w:r>
      <w:r>
        <w:rPr>
          <w:rStyle w:val="FootnoteReference"/>
          <w:lang w:val="en-US" w:eastAsia="en-GB"/>
        </w:rPr>
        <w:footnoteReference w:id="20"/>
      </w:r>
    </w:p>
    <w:p w14:paraId="77E7BF6F" w14:textId="77777777" w:rsidR="008234A7" w:rsidRPr="005353CB" w:rsidRDefault="008234A7" w:rsidP="005353CB">
      <w:pPr>
        <w:jc w:val="both"/>
        <w:rPr>
          <w:rFonts w:ascii="Lato" w:hAnsi="Lato"/>
          <w:lang w:val="en-US"/>
        </w:rPr>
      </w:pPr>
    </w:p>
    <w:p w14:paraId="41319114" w14:textId="4B62552C" w:rsidR="008234A7" w:rsidRPr="008234A7" w:rsidRDefault="00570722" w:rsidP="008234A7">
      <w:pPr>
        <w:pStyle w:val="ListParagraph"/>
        <w:numPr>
          <w:ilvl w:val="0"/>
          <w:numId w:val="12"/>
        </w:numPr>
        <w:jc w:val="both"/>
        <w:rPr>
          <w:rFonts w:ascii="Lato" w:hAnsi="Lato"/>
          <w:lang w:val="en-US"/>
        </w:rPr>
      </w:pPr>
      <w:r>
        <w:rPr>
          <w:rFonts w:ascii="Lato" w:hAnsi="Lato"/>
          <w:lang w:val="en-US"/>
        </w:rPr>
        <w:t>Concerning intersex issues, in</w:t>
      </w:r>
      <w:r w:rsidR="008234A7" w:rsidRPr="008234A7">
        <w:rPr>
          <w:rFonts w:ascii="Lato" w:hAnsi="Lato"/>
          <w:lang w:val="en-US"/>
        </w:rPr>
        <w:t xml:space="preserve"> most countries around the world, intersex children and adolescents are subjected to medically unnecessary surgeries, hormonal treatment and other procedures in an attempt to forcibly modify their appearance or physical development to be </w:t>
      </w:r>
      <w:r w:rsidR="00692D50">
        <w:rPr>
          <w:rFonts w:ascii="Lato" w:hAnsi="Lato"/>
          <w:lang w:val="en-US"/>
        </w:rPr>
        <w:t xml:space="preserve">aligned </w:t>
      </w:r>
      <w:r w:rsidR="008234A7" w:rsidRPr="008234A7">
        <w:rPr>
          <w:rFonts w:ascii="Lato" w:hAnsi="Lato"/>
          <w:lang w:val="en-US"/>
        </w:rPr>
        <w:t>with societal expectations of female and male bodies without their prior</w:t>
      </w:r>
      <w:r w:rsidR="00692D50">
        <w:rPr>
          <w:rFonts w:ascii="Lato" w:hAnsi="Lato"/>
          <w:lang w:val="en-US"/>
        </w:rPr>
        <w:t>, personal and informed consent</w:t>
      </w:r>
      <w:r w:rsidR="008234A7" w:rsidRPr="008234A7">
        <w:rPr>
          <w:rFonts w:ascii="Lato" w:hAnsi="Lato"/>
          <w:lang w:val="en-US"/>
        </w:rPr>
        <w:t>.</w:t>
      </w:r>
      <w:r w:rsidR="008234A7" w:rsidRPr="008234A7">
        <w:rPr>
          <w:rFonts w:ascii="Lato" w:hAnsi="Lato"/>
          <w:vertAlign w:val="superscript"/>
          <w:lang w:val="en-US"/>
        </w:rPr>
        <w:footnoteReference w:id="21"/>
      </w:r>
      <w:r w:rsidR="008234A7" w:rsidRPr="008234A7">
        <w:rPr>
          <w:rFonts w:ascii="Lato" w:hAnsi="Lato"/>
          <w:lang w:val="en-US"/>
        </w:rPr>
        <w:t xml:space="preserve"> </w:t>
      </w:r>
      <w:r w:rsidR="00692D50">
        <w:rPr>
          <w:rFonts w:ascii="Lato" w:hAnsi="Lato"/>
          <w:lang w:val="en-US"/>
        </w:rPr>
        <w:t>Thus, i</w:t>
      </w:r>
      <w:r w:rsidR="008234A7" w:rsidRPr="008234A7">
        <w:rPr>
          <w:rFonts w:ascii="Lato" w:hAnsi="Lato"/>
          <w:lang w:val="en-US"/>
        </w:rPr>
        <w:t xml:space="preserve">ntersex people are more likely to experience higher levels of ‘minority’ stress because of discrimination and </w:t>
      </w:r>
      <w:r w:rsidR="008234A7">
        <w:rPr>
          <w:rFonts w:ascii="Lato" w:hAnsi="Lato"/>
          <w:lang w:val="en-US"/>
        </w:rPr>
        <w:t>stigmatization,</w:t>
      </w:r>
      <w:r w:rsidR="008234A7" w:rsidRPr="008234A7">
        <w:rPr>
          <w:rFonts w:ascii="Lato" w:hAnsi="Lato"/>
          <w:lang w:val="en-US"/>
        </w:rPr>
        <w:t xml:space="preserve"> leading to social isolation and limited understanding of their bodies by others</w:t>
      </w:r>
      <w:r w:rsidR="008234A7" w:rsidRPr="008234A7">
        <w:rPr>
          <w:rFonts w:ascii="Lato" w:hAnsi="Lato"/>
          <w:vertAlign w:val="superscript"/>
          <w:lang w:val="es-MX"/>
        </w:rPr>
        <w:footnoteReference w:id="22"/>
      </w:r>
      <w:r w:rsidR="008234A7" w:rsidRPr="008234A7">
        <w:rPr>
          <w:rFonts w:ascii="Lato" w:hAnsi="Lato"/>
          <w:lang w:val="en-US"/>
        </w:rPr>
        <w:t xml:space="preserve">. These factors can act as significant barriers </w:t>
      </w:r>
      <w:r w:rsidR="00692D50">
        <w:rPr>
          <w:rFonts w:ascii="Lato" w:hAnsi="Lato"/>
          <w:lang w:val="en-US"/>
        </w:rPr>
        <w:t xml:space="preserve">for </w:t>
      </w:r>
      <w:r w:rsidR="008234A7" w:rsidRPr="008234A7">
        <w:rPr>
          <w:rFonts w:ascii="Lato" w:hAnsi="Lato"/>
          <w:lang w:val="en-US"/>
        </w:rPr>
        <w:t xml:space="preserve">intersex </w:t>
      </w:r>
      <w:r w:rsidR="008234A7">
        <w:rPr>
          <w:rFonts w:ascii="Lato" w:hAnsi="Lato"/>
          <w:lang w:val="en-US"/>
        </w:rPr>
        <w:t xml:space="preserve">persons </w:t>
      </w:r>
      <w:r w:rsidR="00692D50">
        <w:rPr>
          <w:rFonts w:ascii="Lato" w:hAnsi="Lato"/>
          <w:lang w:val="en-US"/>
        </w:rPr>
        <w:t xml:space="preserve">to </w:t>
      </w:r>
      <w:r w:rsidR="008234A7" w:rsidRPr="008234A7">
        <w:rPr>
          <w:rFonts w:ascii="Lato" w:hAnsi="Lato"/>
          <w:lang w:val="en-US"/>
        </w:rPr>
        <w:t xml:space="preserve">access health care services. </w:t>
      </w:r>
      <w:r w:rsidR="00692D50">
        <w:rPr>
          <w:rFonts w:ascii="Lato" w:hAnsi="Lato"/>
          <w:lang w:val="en-US"/>
        </w:rPr>
        <w:t xml:space="preserve">In addition, </w:t>
      </w:r>
      <w:r w:rsidR="008234A7">
        <w:rPr>
          <w:rFonts w:ascii="Lato" w:hAnsi="Lato"/>
          <w:lang w:val="en-US"/>
        </w:rPr>
        <w:t>Intersex communities</w:t>
      </w:r>
      <w:r w:rsidR="008234A7" w:rsidRPr="008234A7">
        <w:rPr>
          <w:rFonts w:ascii="Lato" w:hAnsi="Lato"/>
          <w:lang w:val="en-US"/>
        </w:rPr>
        <w:t xml:space="preserve"> face </w:t>
      </w:r>
      <w:r w:rsidR="00692D50">
        <w:rPr>
          <w:rFonts w:ascii="Lato" w:hAnsi="Lato"/>
          <w:lang w:val="en-US"/>
        </w:rPr>
        <w:t>communication difficulties with</w:t>
      </w:r>
      <w:r w:rsidR="008234A7" w:rsidRPr="008234A7">
        <w:rPr>
          <w:rFonts w:ascii="Lato" w:hAnsi="Lato"/>
          <w:lang w:val="en-US"/>
        </w:rPr>
        <w:t xml:space="preserve"> health professionals and dissatisfaction with the treatment and care received, including trauma caused by surgeries during childhood or adolescence</w:t>
      </w:r>
      <w:r w:rsidR="00692D50">
        <w:rPr>
          <w:rFonts w:ascii="Lato" w:hAnsi="Lato"/>
          <w:lang w:val="en-US"/>
        </w:rPr>
        <w:t>.</w:t>
      </w:r>
      <w:r w:rsidR="008234A7" w:rsidRPr="008234A7">
        <w:rPr>
          <w:rFonts w:ascii="Lato" w:hAnsi="Lato"/>
          <w:lang w:val="en-US"/>
        </w:rPr>
        <w:t xml:space="preserve"> </w:t>
      </w:r>
      <w:r w:rsidR="008234A7" w:rsidRPr="008234A7">
        <w:rPr>
          <w:rFonts w:ascii="Lato" w:hAnsi="Lato"/>
          <w:vertAlign w:val="superscript"/>
          <w:lang w:val="es-MX"/>
        </w:rPr>
        <w:footnoteReference w:id="23"/>
      </w:r>
      <w:r w:rsidR="008234A7" w:rsidRPr="008234A7">
        <w:rPr>
          <w:lang w:val="en-US" w:eastAsia="en-GB"/>
        </w:rPr>
        <w:t xml:space="preserve"> </w:t>
      </w:r>
    </w:p>
    <w:p w14:paraId="4179460D" w14:textId="77777777" w:rsidR="008234A7" w:rsidRPr="008234A7" w:rsidRDefault="008234A7" w:rsidP="008234A7">
      <w:pPr>
        <w:pStyle w:val="ListParagraph"/>
        <w:rPr>
          <w:rFonts w:ascii="Lato" w:hAnsi="Lato"/>
          <w:lang w:val="en-US"/>
        </w:rPr>
      </w:pPr>
    </w:p>
    <w:p w14:paraId="19CAEFB6" w14:textId="77777777" w:rsidR="005353CB" w:rsidRDefault="008234A7" w:rsidP="00655D34">
      <w:pPr>
        <w:pStyle w:val="ListParagraph"/>
        <w:numPr>
          <w:ilvl w:val="0"/>
          <w:numId w:val="12"/>
        </w:numPr>
        <w:jc w:val="both"/>
        <w:rPr>
          <w:rFonts w:cstheme="minorHAnsi"/>
          <w:lang w:val="en-US"/>
        </w:rPr>
      </w:pPr>
      <w:r w:rsidRPr="008234A7">
        <w:rPr>
          <w:rFonts w:ascii="Lato" w:hAnsi="Lato"/>
          <w:lang w:val="en-US"/>
        </w:rPr>
        <w:t xml:space="preserve">For instance, in </w:t>
      </w:r>
      <w:r w:rsidRPr="008234A7">
        <w:rPr>
          <w:rFonts w:ascii="Lato" w:hAnsi="Lato"/>
          <w:b/>
          <w:lang w:val="en-US"/>
        </w:rPr>
        <w:t>Mexico</w:t>
      </w:r>
      <w:r w:rsidRPr="008234A7">
        <w:rPr>
          <w:rFonts w:ascii="Lato" w:hAnsi="Lato"/>
          <w:lang w:val="en-US"/>
        </w:rPr>
        <w:t xml:space="preserve"> harmful practices such as </w:t>
      </w:r>
      <w:r w:rsidRPr="008234A7">
        <w:rPr>
          <w:rFonts w:ascii="Lato" w:hAnsi="Lato"/>
          <w:u w:val="single"/>
          <w:lang w:val="en-US"/>
        </w:rPr>
        <w:t>sterilization procedures</w:t>
      </w:r>
      <w:r w:rsidRPr="008234A7">
        <w:rPr>
          <w:rFonts w:ascii="Lato" w:hAnsi="Lato"/>
          <w:lang w:val="en-US"/>
        </w:rPr>
        <w:t xml:space="preserve">: castration, gonadectomy, hysterectomy, removal of "discordant reproductive structures", (secondary) sterilization and imposition of hormone treatments; </w:t>
      </w:r>
      <w:r w:rsidRPr="008234A7">
        <w:rPr>
          <w:rFonts w:ascii="Lato" w:hAnsi="Lato"/>
          <w:u w:val="single"/>
          <w:lang w:val="en-US"/>
        </w:rPr>
        <w:t>feminization procedures</w:t>
      </w:r>
      <w:r w:rsidRPr="008234A7">
        <w:rPr>
          <w:rFonts w:ascii="Lato" w:hAnsi="Lato"/>
          <w:lang w:val="en-US"/>
        </w:rPr>
        <w:t xml:space="preserve">: clitoral amputation/reduction, vaginoplasty and/or dilatations; and </w:t>
      </w:r>
      <w:r w:rsidRPr="008234A7">
        <w:rPr>
          <w:rFonts w:ascii="Lato" w:hAnsi="Lato"/>
          <w:u w:val="single"/>
          <w:lang w:val="en-US"/>
        </w:rPr>
        <w:t>masculinizing surgeries</w:t>
      </w:r>
      <w:r w:rsidRPr="008234A7">
        <w:rPr>
          <w:rFonts w:ascii="Lato" w:hAnsi="Lato"/>
          <w:lang w:val="en-US"/>
        </w:rPr>
        <w:t>: hypospadias "repair", are imposed on intersex people in an arbitrary manner.</w:t>
      </w:r>
      <w:r w:rsidRPr="008234A7">
        <w:rPr>
          <w:rFonts w:ascii="Lato" w:hAnsi="Lato"/>
        </w:rPr>
        <w:t xml:space="preserve"> </w:t>
      </w:r>
      <w:r w:rsidRPr="008234A7">
        <w:rPr>
          <w:rFonts w:ascii="Lato" w:hAnsi="Lato"/>
          <w:lang w:val="en-US"/>
        </w:rPr>
        <w:t>In addition, in the Mexican public health system, in some cases coverage for intersex-related treatment is subject to age limits, resulting in the denial of necessary medical care to intersex adolescents or adults.</w:t>
      </w:r>
      <w:r w:rsidRPr="008234A7">
        <w:rPr>
          <w:rFonts w:ascii="Lato" w:hAnsi="Lato"/>
          <w:vertAlign w:val="superscript"/>
          <w:lang w:val="en-US"/>
        </w:rPr>
        <w:footnoteReference w:id="24"/>
      </w:r>
      <w:r w:rsidRPr="008234A7">
        <w:rPr>
          <w:rFonts w:cstheme="minorHAnsi"/>
          <w:lang w:val="en-US"/>
        </w:rPr>
        <w:t xml:space="preserve"> </w:t>
      </w:r>
    </w:p>
    <w:p w14:paraId="4C64A982" w14:textId="77777777" w:rsidR="005353CB" w:rsidRPr="005353CB" w:rsidRDefault="005353CB" w:rsidP="005353CB">
      <w:pPr>
        <w:pStyle w:val="ListParagraph"/>
        <w:rPr>
          <w:rFonts w:cstheme="minorHAnsi"/>
        </w:rPr>
      </w:pPr>
    </w:p>
    <w:p w14:paraId="01320E55" w14:textId="67044CEB" w:rsidR="005353CB" w:rsidRPr="005353CB" w:rsidRDefault="005353CB" w:rsidP="005353CB">
      <w:pPr>
        <w:pStyle w:val="ListParagraph"/>
        <w:numPr>
          <w:ilvl w:val="0"/>
          <w:numId w:val="12"/>
        </w:numPr>
        <w:rPr>
          <w:rFonts w:cstheme="minorHAnsi"/>
          <w:lang w:val="en-US"/>
        </w:rPr>
      </w:pPr>
      <w:r w:rsidRPr="005353CB">
        <w:rPr>
          <w:rFonts w:cstheme="minorHAnsi"/>
        </w:rPr>
        <w:t xml:space="preserve">Multiple statements delivered by several intersex civil society organizations around the world have made a call for an end to these flagrant human rights violations, including: the </w:t>
      </w:r>
      <w:hyperlink r:id="rId9">
        <w:r w:rsidRPr="005353CB">
          <w:rPr>
            <w:rStyle w:val="Hyperlink"/>
            <w:rFonts w:cstheme="minorHAnsi"/>
            <w:b/>
          </w:rPr>
          <w:t>Malta Declaration</w:t>
        </w:r>
      </w:hyperlink>
      <w:r w:rsidRPr="005353CB">
        <w:rPr>
          <w:rFonts w:cstheme="minorHAnsi"/>
          <w:b/>
        </w:rPr>
        <w:t xml:space="preserve"> </w:t>
      </w:r>
      <w:r w:rsidRPr="005353CB">
        <w:rPr>
          <w:rFonts w:cstheme="minorHAnsi"/>
        </w:rPr>
        <w:t>2013, the</w:t>
      </w:r>
      <w:r w:rsidRPr="005353CB">
        <w:rPr>
          <w:rFonts w:cstheme="minorHAnsi"/>
          <w:b/>
        </w:rPr>
        <w:t xml:space="preserve"> </w:t>
      </w:r>
      <w:hyperlink r:id="rId10">
        <w:r w:rsidRPr="005353CB">
          <w:rPr>
            <w:rStyle w:val="Hyperlink"/>
            <w:rFonts w:cstheme="minorHAnsi"/>
            <w:b/>
          </w:rPr>
          <w:t>Darlington Statement</w:t>
        </w:r>
      </w:hyperlink>
      <w:r w:rsidRPr="005353CB">
        <w:rPr>
          <w:rFonts w:cstheme="minorHAnsi"/>
          <w:b/>
        </w:rPr>
        <w:t xml:space="preserve"> </w:t>
      </w:r>
      <w:r w:rsidRPr="005353CB">
        <w:rPr>
          <w:rFonts w:cstheme="minorHAnsi"/>
        </w:rPr>
        <w:t xml:space="preserve">2017, the </w:t>
      </w:r>
      <w:hyperlink r:id="rId11">
        <w:r w:rsidRPr="005353CB">
          <w:rPr>
            <w:rStyle w:val="Hyperlink"/>
            <w:rFonts w:cstheme="minorHAnsi"/>
            <w:b/>
          </w:rPr>
          <w:t>Vienna Statement</w:t>
        </w:r>
      </w:hyperlink>
      <w:r w:rsidRPr="005353CB">
        <w:rPr>
          <w:rFonts w:cstheme="minorHAnsi"/>
          <w:b/>
        </w:rPr>
        <w:t xml:space="preserve"> </w:t>
      </w:r>
      <w:r w:rsidRPr="005353CB">
        <w:rPr>
          <w:rFonts w:cstheme="minorHAnsi"/>
        </w:rPr>
        <w:t xml:space="preserve">2017, the </w:t>
      </w:r>
      <w:hyperlink r:id="rId12">
        <w:r w:rsidRPr="005353CB">
          <w:rPr>
            <w:rStyle w:val="Hyperlink"/>
            <w:rFonts w:cstheme="minorHAnsi"/>
            <w:b/>
          </w:rPr>
          <w:t>African Intersex Statement</w:t>
        </w:r>
      </w:hyperlink>
      <w:r w:rsidRPr="005353CB">
        <w:rPr>
          <w:rFonts w:cstheme="minorHAnsi"/>
          <w:b/>
        </w:rPr>
        <w:t xml:space="preserve"> </w:t>
      </w:r>
      <w:r w:rsidRPr="005353CB">
        <w:rPr>
          <w:rFonts w:cstheme="minorHAnsi"/>
        </w:rPr>
        <w:t xml:space="preserve">2017, the </w:t>
      </w:r>
      <w:hyperlink r:id="rId13">
        <w:r w:rsidRPr="005353CB">
          <w:rPr>
            <w:rStyle w:val="Hyperlink"/>
            <w:rFonts w:cstheme="minorHAnsi"/>
            <w:b/>
          </w:rPr>
          <w:t>Statement of</w:t>
        </w:r>
      </w:hyperlink>
      <w:hyperlink r:id="rId14">
        <w:r w:rsidRPr="005353CB">
          <w:rPr>
            <w:rStyle w:val="Hyperlink"/>
            <w:rFonts w:cstheme="minorHAnsi"/>
          </w:rPr>
          <w:t xml:space="preserve"> </w:t>
        </w:r>
      </w:hyperlink>
      <w:hyperlink r:id="rId15">
        <w:r w:rsidRPr="005353CB">
          <w:rPr>
            <w:rStyle w:val="Hyperlink"/>
            <w:rFonts w:cstheme="minorHAnsi"/>
            <w:b/>
          </w:rPr>
          <w:t>San Jose de Costa Rica</w:t>
        </w:r>
      </w:hyperlink>
      <w:r w:rsidRPr="005353CB">
        <w:rPr>
          <w:rFonts w:cstheme="minorHAnsi"/>
          <w:b/>
        </w:rPr>
        <w:t xml:space="preserve"> </w:t>
      </w:r>
      <w:r w:rsidRPr="005353CB">
        <w:rPr>
          <w:rFonts w:cstheme="minorHAnsi"/>
        </w:rPr>
        <w:t xml:space="preserve">2018, and the </w:t>
      </w:r>
      <w:hyperlink r:id="rId16">
        <w:r w:rsidRPr="005353CB">
          <w:rPr>
            <w:rStyle w:val="Hyperlink"/>
            <w:rFonts w:cstheme="minorHAnsi"/>
            <w:b/>
          </w:rPr>
          <w:t>Asian Intersex Statement</w:t>
        </w:r>
      </w:hyperlink>
      <w:r w:rsidRPr="005353CB">
        <w:rPr>
          <w:rFonts w:cstheme="minorHAnsi"/>
          <w:b/>
        </w:rPr>
        <w:t xml:space="preserve"> </w:t>
      </w:r>
      <w:r w:rsidRPr="005353CB">
        <w:rPr>
          <w:rFonts w:cstheme="minorHAnsi"/>
        </w:rPr>
        <w:t xml:space="preserve">2018. </w:t>
      </w:r>
    </w:p>
    <w:p w14:paraId="4FC43897" w14:textId="35BAD9C3" w:rsidR="00E90CC4" w:rsidRDefault="00E90CC4" w:rsidP="008234A7">
      <w:pPr>
        <w:pStyle w:val="ListParagraph"/>
        <w:jc w:val="both"/>
        <w:rPr>
          <w:rFonts w:ascii="Lato" w:hAnsi="Lato"/>
          <w:lang w:val="en-US"/>
        </w:rPr>
      </w:pPr>
    </w:p>
    <w:p w14:paraId="001A04AD" w14:textId="77777777" w:rsidR="005353CB" w:rsidRPr="008234A7" w:rsidRDefault="005353CB" w:rsidP="008234A7">
      <w:pPr>
        <w:pStyle w:val="ListParagraph"/>
        <w:jc w:val="both"/>
        <w:rPr>
          <w:rFonts w:ascii="Lato" w:hAnsi="Lato"/>
          <w:lang w:val="en-US"/>
        </w:rPr>
      </w:pPr>
    </w:p>
    <w:p w14:paraId="0ABFF0A2" w14:textId="77777777" w:rsidR="00C526BA" w:rsidRPr="00265904" w:rsidRDefault="00C526BA" w:rsidP="00265904">
      <w:pPr>
        <w:rPr>
          <w:lang w:val="en-US" w:eastAsia="en-GB"/>
        </w:rPr>
      </w:pPr>
    </w:p>
    <w:p w14:paraId="260B1388" w14:textId="06A16AA9" w:rsidR="00A9289E" w:rsidRPr="00247E41" w:rsidRDefault="009A076D" w:rsidP="00A9289E">
      <w:pPr>
        <w:pStyle w:val="Heading1"/>
        <w:numPr>
          <w:ilvl w:val="0"/>
          <w:numId w:val="9"/>
        </w:numPr>
        <w:spacing w:before="480" w:after="240"/>
        <w:ind w:left="714" w:hanging="357"/>
        <w:rPr>
          <w:rFonts w:ascii="Lato" w:eastAsia="Times New Roman" w:hAnsi="Lato"/>
          <w:color w:val="2E74B5" w:themeColor="accent5" w:themeShade="BF"/>
          <w:sz w:val="28"/>
          <w:szCs w:val="28"/>
          <w:lang w:eastAsia="en-GB"/>
        </w:rPr>
      </w:pPr>
      <w:bookmarkStart w:id="7" w:name="_Toc94093978"/>
      <w:r w:rsidRPr="00247E41">
        <w:rPr>
          <w:rFonts w:ascii="Lato" w:eastAsia="Times New Roman" w:hAnsi="Lato"/>
          <w:color w:val="2E74B5" w:themeColor="accent5" w:themeShade="BF"/>
          <w:sz w:val="28"/>
          <w:szCs w:val="28"/>
          <w:lang w:eastAsia="en-GB"/>
        </w:rPr>
        <w:t>The effect of same</w:t>
      </w:r>
      <w:r w:rsidR="00D303CF">
        <w:rPr>
          <w:rFonts w:ascii="Lato" w:eastAsia="Times New Roman" w:hAnsi="Lato"/>
          <w:color w:val="2E74B5" w:themeColor="accent5" w:themeShade="BF"/>
          <w:sz w:val="28"/>
          <w:szCs w:val="28"/>
          <w:lang w:eastAsia="en-GB"/>
        </w:rPr>
        <w:t xml:space="preserve">-sex relations criminalization and intersex-related </w:t>
      </w:r>
      <w:r w:rsidRPr="00247E41">
        <w:rPr>
          <w:rFonts w:ascii="Lato" w:eastAsia="Times New Roman" w:hAnsi="Lato"/>
          <w:color w:val="2E74B5" w:themeColor="accent5" w:themeShade="BF"/>
          <w:sz w:val="28"/>
          <w:szCs w:val="28"/>
          <w:lang w:eastAsia="en-GB"/>
        </w:rPr>
        <w:t xml:space="preserve">harmful practices </w:t>
      </w:r>
      <w:r w:rsidR="00D303CF">
        <w:rPr>
          <w:rFonts w:ascii="Lato" w:eastAsia="Times New Roman" w:hAnsi="Lato"/>
          <w:color w:val="2E74B5" w:themeColor="accent5" w:themeShade="BF"/>
          <w:sz w:val="28"/>
          <w:szCs w:val="28"/>
          <w:lang w:eastAsia="en-GB"/>
        </w:rPr>
        <w:t xml:space="preserve">on LGBTI </w:t>
      </w:r>
      <w:r w:rsidR="00457457">
        <w:rPr>
          <w:rFonts w:ascii="Lato" w:eastAsia="Times New Roman" w:hAnsi="Lato"/>
          <w:color w:val="2E74B5" w:themeColor="accent5" w:themeShade="BF"/>
          <w:sz w:val="28"/>
          <w:szCs w:val="28"/>
          <w:lang w:eastAsia="en-GB"/>
        </w:rPr>
        <w:t>person’s</w:t>
      </w:r>
      <w:r w:rsidRPr="00247E41">
        <w:rPr>
          <w:rFonts w:ascii="Lato" w:eastAsia="Times New Roman" w:hAnsi="Lato"/>
          <w:color w:val="2E74B5" w:themeColor="accent5" w:themeShade="BF"/>
          <w:sz w:val="28"/>
          <w:szCs w:val="28"/>
          <w:lang w:eastAsia="en-GB"/>
        </w:rPr>
        <w:t xml:space="preserve"> enjoyment of the right to health. </w:t>
      </w:r>
      <w:r w:rsidR="00815E9A">
        <w:rPr>
          <w:rFonts w:ascii="Lato" w:eastAsia="Times New Roman" w:hAnsi="Lato"/>
          <w:color w:val="2E74B5" w:themeColor="accent5" w:themeShade="BF"/>
          <w:sz w:val="28"/>
          <w:szCs w:val="28"/>
          <w:lang w:eastAsia="en-GB"/>
        </w:rPr>
        <w:t>(Question 4)</w:t>
      </w:r>
      <w:bookmarkEnd w:id="7"/>
    </w:p>
    <w:p w14:paraId="3582E1DF" w14:textId="35E998A8" w:rsidR="005B1924" w:rsidRPr="00133CF1" w:rsidRDefault="00133CF1" w:rsidP="00133CF1">
      <w:pPr>
        <w:pStyle w:val="Heading2"/>
        <w:rPr>
          <w:rFonts w:ascii="Lato" w:eastAsiaTheme="minorHAnsi" w:hAnsi="Lato" w:cstheme="minorBidi"/>
          <w:i/>
          <w:color w:val="auto"/>
          <w:sz w:val="24"/>
          <w:szCs w:val="24"/>
        </w:rPr>
      </w:pPr>
      <w:bookmarkStart w:id="8" w:name="_Toc94093979"/>
      <w:r w:rsidRPr="00133CF1">
        <w:rPr>
          <w:rFonts w:ascii="Lato" w:eastAsiaTheme="minorHAnsi" w:hAnsi="Lato" w:cstheme="minorBidi"/>
          <w:i/>
          <w:color w:val="auto"/>
          <w:sz w:val="24"/>
          <w:szCs w:val="24"/>
        </w:rPr>
        <w:t>Same-sex relations criminalization</w:t>
      </w:r>
      <w:bookmarkEnd w:id="8"/>
      <w:r w:rsidRPr="00133CF1">
        <w:rPr>
          <w:i/>
          <w:sz w:val="24"/>
          <w:szCs w:val="24"/>
          <w:lang w:val="en-US"/>
        </w:rPr>
        <w:t xml:space="preserve"> </w:t>
      </w:r>
    </w:p>
    <w:p w14:paraId="06DC02DD" w14:textId="77777777" w:rsidR="00133CF1" w:rsidRPr="00133CF1" w:rsidRDefault="00133CF1" w:rsidP="00133CF1">
      <w:pPr>
        <w:rPr>
          <w:lang w:val="en-US" w:eastAsia="en-GB"/>
        </w:rPr>
      </w:pPr>
    </w:p>
    <w:p w14:paraId="4BB58719" w14:textId="6CCB7A53" w:rsidR="008234A7" w:rsidRPr="001706A4" w:rsidRDefault="001706A4" w:rsidP="001706A4">
      <w:pPr>
        <w:pStyle w:val="ListParagraph"/>
        <w:numPr>
          <w:ilvl w:val="0"/>
          <w:numId w:val="12"/>
        </w:numPr>
        <w:jc w:val="both"/>
        <w:rPr>
          <w:rFonts w:ascii="Lato" w:hAnsi="Lato"/>
          <w:lang w:val="en-US"/>
        </w:rPr>
      </w:pPr>
      <w:r w:rsidRPr="001706A4">
        <w:rPr>
          <w:rFonts w:ascii="Lato" w:hAnsi="Lato"/>
          <w:lang w:val="en-US"/>
        </w:rPr>
        <w:t xml:space="preserve">In </w:t>
      </w:r>
      <w:r w:rsidRPr="001706A4">
        <w:rPr>
          <w:rFonts w:ascii="Lato" w:hAnsi="Lato"/>
          <w:b/>
          <w:bCs/>
          <w:lang w:val="en-US"/>
        </w:rPr>
        <w:t>Mauritius</w:t>
      </w:r>
      <w:r w:rsidRPr="001706A4">
        <w:rPr>
          <w:rFonts w:ascii="Lato" w:hAnsi="Lato"/>
          <w:lang w:val="en-US"/>
        </w:rPr>
        <w:t>, since 2019, there have been three cases in the Supreme Court involving six gay adults challenging the constitutionality of criminalization of consensual same-sex sexual acts. Such criminalization has prevented LGB persons from effectively accessing the plethora of free healthcare provided by the state owing to legal and structural barriers. This also contributed to the disproportionate and high infection rate of HIV (around 20%) and STIs among gay and bisexual men and boys, and other men having sex with men (MSM) and trans people (28% HIV, 47% Syphilis and 18% HCV) as compared to the population in gen</w:t>
      </w:r>
      <w:r>
        <w:rPr>
          <w:rFonts w:ascii="Lato" w:hAnsi="Lato"/>
          <w:lang w:val="en-US"/>
        </w:rPr>
        <w:t xml:space="preserve">eral </w:t>
      </w:r>
      <w:r w:rsidR="008234A7" w:rsidRPr="001706A4">
        <w:rPr>
          <w:rFonts w:ascii="Lato" w:hAnsi="Lato"/>
          <w:lang w:val="en-US"/>
        </w:rPr>
        <w:t>(around 1% HIV prevalence).</w:t>
      </w:r>
      <w:r w:rsidR="008234A7" w:rsidRPr="008234A7">
        <w:rPr>
          <w:vertAlign w:val="superscript"/>
          <w:lang w:val="en-US"/>
        </w:rPr>
        <w:footnoteReference w:id="25"/>
      </w:r>
      <w:r w:rsidR="008234A7" w:rsidRPr="001706A4">
        <w:rPr>
          <w:rFonts w:cstheme="minorHAnsi"/>
          <w:lang w:val="en-US"/>
        </w:rPr>
        <w:t xml:space="preserve"> </w:t>
      </w:r>
    </w:p>
    <w:p w14:paraId="18498BC5" w14:textId="77777777" w:rsidR="008234A7" w:rsidRPr="008234A7" w:rsidRDefault="008234A7" w:rsidP="008234A7">
      <w:pPr>
        <w:pStyle w:val="ListParagraph"/>
        <w:jc w:val="both"/>
        <w:rPr>
          <w:rFonts w:ascii="Lato" w:hAnsi="Lato"/>
          <w:lang w:val="en-US"/>
        </w:rPr>
      </w:pPr>
    </w:p>
    <w:p w14:paraId="12E72BFF" w14:textId="659F0D33" w:rsidR="001706A4" w:rsidRPr="00655D34" w:rsidRDefault="005B1924" w:rsidP="00655D34">
      <w:pPr>
        <w:pStyle w:val="ListParagraph"/>
        <w:numPr>
          <w:ilvl w:val="0"/>
          <w:numId w:val="12"/>
        </w:numPr>
        <w:jc w:val="both"/>
        <w:rPr>
          <w:rFonts w:ascii="Lato" w:hAnsi="Lato"/>
          <w:lang w:val="en-US"/>
        </w:rPr>
      </w:pPr>
      <w:r>
        <w:rPr>
          <w:rFonts w:ascii="Lato" w:hAnsi="Lato"/>
          <w:lang w:val="en-US"/>
        </w:rPr>
        <w:t>Same-</w:t>
      </w:r>
      <w:r w:rsidR="008234A7" w:rsidRPr="008234A7">
        <w:rPr>
          <w:rFonts w:ascii="Lato" w:hAnsi="Lato"/>
          <w:lang w:val="en-US"/>
        </w:rPr>
        <w:t xml:space="preserve">sex sexual acts and relations are criminalized in </w:t>
      </w:r>
      <w:r w:rsidR="008234A7" w:rsidRPr="008234A7">
        <w:rPr>
          <w:rFonts w:ascii="Lato" w:hAnsi="Lato"/>
          <w:b/>
          <w:lang w:val="en-US"/>
        </w:rPr>
        <w:t>Tanzania</w:t>
      </w:r>
      <w:r w:rsidR="008234A7" w:rsidRPr="008234A7">
        <w:rPr>
          <w:rFonts w:ascii="Lato" w:hAnsi="Lato"/>
          <w:lang w:val="en-US"/>
        </w:rPr>
        <w:t>. Sex</w:t>
      </w:r>
      <w:r>
        <w:rPr>
          <w:rFonts w:ascii="Lato" w:hAnsi="Lato"/>
          <w:lang w:val="en-US"/>
        </w:rPr>
        <w:t>ually and gender-</w:t>
      </w:r>
      <w:r w:rsidR="008234A7" w:rsidRPr="008234A7">
        <w:rPr>
          <w:rFonts w:ascii="Lato" w:hAnsi="Lato"/>
          <w:lang w:val="en-US"/>
        </w:rPr>
        <w:t xml:space="preserve">diverse </w:t>
      </w:r>
      <w:r>
        <w:rPr>
          <w:rFonts w:ascii="Lato" w:hAnsi="Lato"/>
          <w:lang w:val="en-US"/>
        </w:rPr>
        <w:t>persons are also considered</w:t>
      </w:r>
      <w:r w:rsidR="008234A7" w:rsidRPr="008234A7">
        <w:rPr>
          <w:rFonts w:ascii="Lato" w:hAnsi="Lato"/>
          <w:lang w:val="en-US"/>
        </w:rPr>
        <w:t xml:space="preserve"> taboo by society in general. Further, intersex people are considered</w:t>
      </w:r>
      <w:r>
        <w:rPr>
          <w:rFonts w:ascii="Lato" w:hAnsi="Lato"/>
          <w:lang w:val="en-US"/>
        </w:rPr>
        <w:t xml:space="preserve"> to be an abnormality</w:t>
      </w:r>
      <w:r w:rsidR="00692D50">
        <w:rPr>
          <w:rFonts w:ascii="Lato" w:hAnsi="Lato"/>
          <w:lang w:val="en-US"/>
        </w:rPr>
        <w:t>. T</w:t>
      </w:r>
      <w:r w:rsidR="008234A7" w:rsidRPr="008234A7">
        <w:rPr>
          <w:rFonts w:ascii="Lato" w:hAnsi="Lato"/>
          <w:lang w:val="en-US"/>
        </w:rPr>
        <w:t>he government of Tanzania has introduced health policies that deny sexual</w:t>
      </w:r>
      <w:r>
        <w:rPr>
          <w:rFonts w:ascii="Lato" w:hAnsi="Lato"/>
          <w:lang w:val="en-US"/>
        </w:rPr>
        <w:t xml:space="preserve"> and gender</w:t>
      </w:r>
      <w:r w:rsidR="008234A7" w:rsidRPr="008234A7">
        <w:rPr>
          <w:rFonts w:ascii="Lato" w:hAnsi="Lato"/>
          <w:lang w:val="en-US"/>
        </w:rPr>
        <w:t xml:space="preserve"> </w:t>
      </w:r>
      <w:r>
        <w:rPr>
          <w:rFonts w:ascii="Lato" w:hAnsi="Lato"/>
          <w:lang w:val="en-US"/>
        </w:rPr>
        <w:t>minorities</w:t>
      </w:r>
      <w:r w:rsidR="008234A7" w:rsidRPr="008234A7">
        <w:rPr>
          <w:rFonts w:ascii="Lato" w:hAnsi="Lato"/>
          <w:lang w:val="en-US"/>
        </w:rPr>
        <w:t xml:space="preserve"> access to health services, which has resulted in adverse effects such as </w:t>
      </w:r>
      <w:r>
        <w:rPr>
          <w:rFonts w:ascii="Lato" w:hAnsi="Lato"/>
          <w:lang w:val="en-US"/>
        </w:rPr>
        <w:t xml:space="preserve">LGBTI persons </w:t>
      </w:r>
      <w:r w:rsidR="008234A7" w:rsidRPr="008234A7">
        <w:rPr>
          <w:rFonts w:ascii="Lato" w:hAnsi="Lato"/>
          <w:lang w:val="en-US"/>
        </w:rPr>
        <w:t>living with HIV not being able to pick up their medication from public health centers. Lastly, LGBTI persons do not access basic health services for fear of stigma, discrimination and even arrests if they attempt to seek</w:t>
      </w:r>
      <w:r>
        <w:rPr>
          <w:rFonts w:ascii="Lato" w:hAnsi="Lato"/>
          <w:lang w:val="en-US"/>
        </w:rPr>
        <w:t xml:space="preserve"> them</w:t>
      </w:r>
      <w:r w:rsidR="008234A7" w:rsidRPr="008234A7">
        <w:rPr>
          <w:rFonts w:ascii="Lato" w:hAnsi="Lato"/>
          <w:lang w:val="en-US"/>
        </w:rPr>
        <w:t xml:space="preserve">. </w:t>
      </w:r>
      <w:r w:rsidR="008234A7" w:rsidRPr="008234A7">
        <w:rPr>
          <w:rFonts w:ascii="Lato" w:hAnsi="Lato"/>
          <w:vertAlign w:val="superscript"/>
          <w:lang w:val="en-US"/>
        </w:rPr>
        <w:footnoteReference w:id="26"/>
      </w:r>
      <w:r w:rsidR="008234A7" w:rsidRPr="008234A7">
        <w:rPr>
          <w:lang w:val="en-US" w:eastAsia="en-GB"/>
        </w:rPr>
        <w:t xml:space="preserve"> </w:t>
      </w:r>
    </w:p>
    <w:p w14:paraId="21CA581D" w14:textId="77777777" w:rsidR="00655D34" w:rsidRPr="00655D34" w:rsidRDefault="00655D34" w:rsidP="00655D34">
      <w:pPr>
        <w:jc w:val="both"/>
        <w:rPr>
          <w:rFonts w:ascii="Lato" w:hAnsi="Lato"/>
          <w:lang w:val="en-US"/>
        </w:rPr>
      </w:pPr>
    </w:p>
    <w:p w14:paraId="0D474FE7" w14:textId="61F36221" w:rsidR="008234A7" w:rsidRPr="001706A4" w:rsidRDefault="001706A4" w:rsidP="001706A4">
      <w:pPr>
        <w:pStyle w:val="ListParagraph"/>
        <w:numPr>
          <w:ilvl w:val="0"/>
          <w:numId w:val="12"/>
        </w:numPr>
        <w:jc w:val="both"/>
        <w:rPr>
          <w:lang w:val="en-US" w:eastAsia="en-GB"/>
        </w:rPr>
      </w:pPr>
      <w:r w:rsidRPr="001706A4">
        <w:rPr>
          <w:lang w:val="en-US" w:eastAsia="en-GB"/>
        </w:rPr>
        <w:t xml:space="preserve">In </w:t>
      </w:r>
      <w:r w:rsidRPr="001706A4">
        <w:rPr>
          <w:b/>
          <w:bCs/>
          <w:lang w:val="en-US" w:eastAsia="en-GB"/>
        </w:rPr>
        <w:t xml:space="preserve">Egypt, </w:t>
      </w:r>
      <w:r w:rsidRPr="001706A4">
        <w:rPr>
          <w:lang w:val="en-US" w:eastAsia="en-GB"/>
        </w:rPr>
        <w:t>access to healthcare for LBTI women is particularly challenging, as same-sex sexual acts are repressed through charges of debauchery, and trans and intersex people’s identities are pathologized. This results in institutional violence, torture, discrimination and arbitrary detentions, and therefore LBTI women/persons might not even seek medical and psychological assistance, which puts them at a higher risk of illness and mental health conditions. Moreover, neither official nor private sectors in Egypt offer safe sexual and reproductive health services desi</w:t>
      </w:r>
      <w:r>
        <w:rPr>
          <w:lang w:val="en-US" w:eastAsia="en-GB"/>
        </w:rPr>
        <w:t>gned explicitly for LBTI women</w:t>
      </w:r>
      <w:r w:rsidR="008234A7" w:rsidRPr="001706A4">
        <w:rPr>
          <w:rFonts w:ascii="Lato" w:hAnsi="Lato"/>
          <w:lang w:val="en-US"/>
        </w:rPr>
        <w:t xml:space="preserve">. </w:t>
      </w:r>
      <w:r w:rsidR="008234A7" w:rsidRPr="008234A7">
        <w:rPr>
          <w:vertAlign w:val="superscript"/>
          <w:lang w:val="en-US"/>
        </w:rPr>
        <w:footnoteReference w:id="27"/>
      </w:r>
      <w:r w:rsidR="008234A7" w:rsidRPr="001706A4">
        <w:rPr>
          <w:lang w:val="en-US" w:eastAsia="en-GB"/>
        </w:rPr>
        <w:t xml:space="preserve"> </w:t>
      </w:r>
    </w:p>
    <w:p w14:paraId="40231A31" w14:textId="77777777" w:rsidR="008234A7" w:rsidRPr="008234A7" w:rsidRDefault="008234A7" w:rsidP="00133CF1">
      <w:pPr>
        <w:pStyle w:val="Heading2"/>
        <w:rPr>
          <w:lang w:val="en-US"/>
        </w:rPr>
      </w:pPr>
    </w:p>
    <w:p w14:paraId="22DFCB14" w14:textId="5A02CAD9" w:rsidR="00133CF1" w:rsidRPr="00133CF1" w:rsidRDefault="00133CF1" w:rsidP="00133CF1">
      <w:pPr>
        <w:pStyle w:val="Heading2"/>
        <w:rPr>
          <w:rFonts w:ascii="Lato" w:hAnsi="Lato"/>
          <w:i/>
          <w:sz w:val="24"/>
          <w:szCs w:val="24"/>
        </w:rPr>
      </w:pPr>
      <w:bookmarkStart w:id="9" w:name="_Toc94093980"/>
      <w:r w:rsidRPr="00133CF1">
        <w:rPr>
          <w:rFonts w:ascii="Lato" w:eastAsiaTheme="minorHAnsi" w:hAnsi="Lato" w:cstheme="minorBidi"/>
          <w:i/>
          <w:color w:val="auto"/>
          <w:sz w:val="24"/>
          <w:szCs w:val="24"/>
          <w:lang w:val="en-US"/>
        </w:rPr>
        <w:t>Harmful Practices against intersex persons and their consequences</w:t>
      </w:r>
      <w:bookmarkEnd w:id="9"/>
      <w:r w:rsidRPr="00133CF1">
        <w:rPr>
          <w:rFonts w:ascii="Lato" w:hAnsi="Lato"/>
          <w:i/>
          <w:sz w:val="24"/>
          <w:szCs w:val="24"/>
        </w:rPr>
        <w:t xml:space="preserve"> </w:t>
      </w:r>
    </w:p>
    <w:p w14:paraId="22A79D6B" w14:textId="382CD294" w:rsidR="005B1924" w:rsidRPr="005B1924" w:rsidRDefault="005B1924" w:rsidP="00133CF1">
      <w:pPr>
        <w:pStyle w:val="Heading2"/>
        <w:rPr>
          <w:rFonts w:ascii="Lato" w:hAnsi="Lato"/>
          <w:i/>
          <w:sz w:val="24"/>
          <w:szCs w:val="24"/>
        </w:rPr>
      </w:pPr>
    </w:p>
    <w:p w14:paraId="1F1F98BD" w14:textId="679CE2B4" w:rsidR="008234A7" w:rsidRPr="008234A7" w:rsidRDefault="008234A7" w:rsidP="008234A7">
      <w:pPr>
        <w:pStyle w:val="ListParagraph"/>
        <w:numPr>
          <w:ilvl w:val="0"/>
          <w:numId w:val="12"/>
        </w:numPr>
        <w:jc w:val="both"/>
        <w:rPr>
          <w:rFonts w:ascii="Lato" w:hAnsi="Lato"/>
          <w:lang w:val="en-US"/>
        </w:rPr>
      </w:pPr>
      <w:r w:rsidRPr="008234A7">
        <w:rPr>
          <w:rFonts w:ascii="Lato" w:hAnsi="Lato"/>
          <w:lang w:val="en-US"/>
        </w:rPr>
        <w:t xml:space="preserve">Many people born with variations of sex characteristics continue </w:t>
      </w:r>
      <w:r w:rsidR="005B1924">
        <w:rPr>
          <w:rFonts w:ascii="Lato" w:hAnsi="Lato"/>
          <w:lang w:val="en-US"/>
        </w:rPr>
        <w:t xml:space="preserve">describing </w:t>
      </w:r>
      <w:r w:rsidRPr="008234A7">
        <w:rPr>
          <w:rFonts w:ascii="Lato" w:hAnsi="Lato"/>
          <w:lang w:val="en-US"/>
        </w:rPr>
        <w:t>negative experiences in their interactions with health</w:t>
      </w:r>
      <w:r w:rsidR="005B1924">
        <w:rPr>
          <w:rFonts w:ascii="Lato" w:hAnsi="Lato"/>
          <w:lang w:val="en-US"/>
        </w:rPr>
        <w:t xml:space="preserve"> services and staff</w:t>
      </w:r>
      <w:r w:rsidRPr="008234A7">
        <w:rPr>
          <w:rFonts w:ascii="Lato" w:hAnsi="Lato"/>
          <w:lang w:val="en-US"/>
        </w:rPr>
        <w:t xml:space="preserve"> as they become adults. These experiences lead to poorer physical and mental health outcomes for people with intersex variations, and their families, and have been the focus of continuing efforts by intersex advocates to change medical systems.</w:t>
      </w:r>
      <w:r w:rsidRPr="008234A7">
        <w:rPr>
          <w:rFonts w:ascii="Lato" w:hAnsi="Lato"/>
          <w:vertAlign w:val="superscript"/>
          <w:lang w:val="en-US"/>
        </w:rPr>
        <w:t xml:space="preserve"> </w:t>
      </w:r>
      <w:r w:rsidRPr="008234A7">
        <w:rPr>
          <w:rFonts w:ascii="Lato" w:hAnsi="Lato"/>
          <w:vertAlign w:val="superscript"/>
          <w:lang w:val="es-MX"/>
        </w:rPr>
        <w:footnoteReference w:id="28"/>
      </w:r>
    </w:p>
    <w:p w14:paraId="1DB680C3" w14:textId="77777777" w:rsidR="00565A4B" w:rsidRPr="00565A4B" w:rsidRDefault="00565A4B" w:rsidP="00565A4B">
      <w:pPr>
        <w:pStyle w:val="ListParagraph"/>
        <w:rPr>
          <w:lang w:val="en-US" w:eastAsia="en-GB"/>
        </w:rPr>
      </w:pPr>
    </w:p>
    <w:p w14:paraId="4738C8BD" w14:textId="39A86171" w:rsidR="008234A7" w:rsidRPr="008234A7" w:rsidRDefault="008234A7" w:rsidP="008234A7">
      <w:pPr>
        <w:pStyle w:val="ListParagraph"/>
        <w:numPr>
          <w:ilvl w:val="0"/>
          <w:numId w:val="12"/>
        </w:numPr>
        <w:jc w:val="both"/>
        <w:rPr>
          <w:rFonts w:ascii="Lato" w:hAnsi="Lato"/>
          <w:lang w:val="en-US"/>
        </w:rPr>
      </w:pPr>
      <w:r w:rsidRPr="008234A7">
        <w:rPr>
          <w:rFonts w:ascii="Lato" w:hAnsi="Lato"/>
          <w:lang w:val="en-US"/>
        </w:rPr>
        <w:t>Testimonies have docu</w:t>
      </w:r>
      <w:r w:rsidR="005B1924">
        <w:rPr>
          <w:rFonts w:ascii="Lato" w:hAnsi="Lato"/>
          <w:lang w:val="en-US"/>
        </w:rPr>
        <w:t>mented profound negative consequences</w:t>
      </w:r>
      <w:r w:rsidRPr="008234A7">
        <w:rPr>
          <w:rFonts w:ascii="Lato" w:hAnsi="Lato"/>
          <w:lang w:val="en-US"/>
        </w:rPr>
        <w:t xml:space="preserve"> of </w:t>
      </w:r>
      <w:r w:rsidR="005B1924">
        <w:rPr>
          <w:rFonts w:ascii="Lato" w:hAnsi="Lato"/>
          <w:lang w:val="en-US"/>
        </w:rPr>
        <w:t xml:space="preserve">the </w:t>
      </w:r>
      <w:r w:rsidRPr="008234A7">
        <w:rPr>
          <w:rFonts w:ascii="Lato" w:hAnsi="Lato"/>
          <w:lang w:val="en-US"/>
        </w:rPr>
        <w:t>often-irreversible procedures</w:t>
      </w:r>
      <w:r w:rsidR="005B1924">
        <w:rPr>
          <w:rFonts w:ascii="Lato" w:hAnsi="Lato"/>
          <w:lang w:val="en-US"/>
        </w:rPr>
        <w:t xml:space="preserve"> employed on intersex persons</w:t>
      </w:r>
      <w:r w:rsidRPr="008234A7">
        <w:rPr>
          <w:rFonts w:ascii="Lato" w:hAnsi="Lato"/>
          <w:lang w:val="en-US"/>
        </w:rPr>
        <w:t>, including permanent infertility/sterilization, incontinence, loss of sexual function and sensation, and experiences tantamount to rape (such as dilation, the repeated insertion of a device into a newly opened vaginal cavity), causing life-long pain and severe psychological suffering, including depression and shame linked to attempts to hide and erase intersex traits.</w:t>
      </w:r>
      <w:r w:rsidRPr="008234A7">
        <w:rPr>
          <w:i/>
          <w:iCs/>
          <w:lang w:val="en-US" w:eastAsia="en-GB"/>
        </w:rPr>
        <w:t xml:space="preserve"> </w:t>
      </w:r>
    </w:p>
    <w:p w14:paraId="2464297A" w14:textId="77777777" w:rsidR="008234A7" w:rsidRPr="008234A7" w:rsidRDefault="008234A7" w:rsidP="008234A7">
      <w:pPr>
        <w:pStyle w:val="ListParagraph"/>
        <w:rPr>
          <w:rFonts w:ascii="Lato" w:hAnsi="Lato"/>
          <w:i/>
          <w:iCs/>
          <w:lang w:val="en-US"/>
        </w:rPr>
      </w:pPr>
    </w:p>
    <w:p w14:paraId="01E9D42F" w14:textId="1D4C9759" w:rsidR="00565A4B" w:rsidRPr="00655D34" w:rsidRDefault="008234A7" w:rsidP="00655D34">
      <w:pPr>
        <w:rPr>
          <w:rFonts w:ascii="Lato" w:hAnsi="Lato"/>
        </w:rPr>
      </w:pPr>
      <w:r w:rsidRPr="008234A7">
        <w:rPr>
          <w:rFonts w:ascii="Lato" w:hAnsi="Lato"/>
          <w:i/>
          <w:iCs/>
          <w:sz w:val="24"/>
          <w:szCs w:val="24"/>
          <w:lang w:val="en-US"/>
        </w:rPr>
        <w:t>“Medical care for my health needs is hard to find without discrimination. Therefore, I go to the doctor only in ex</w:t>
      </w:r>
      <w:r w:rsidRPr="008234A7">
        <w:rPr>
          <w:rFonts w:ascii="Lato" w:hAnsi="Lato"/>
          <w:i/>
          <w:iCs/>
          <w:sz w:val="24"/>
          <w:szCs w:val="24"/>
          <w:lang w:val="en-US"/>
        </w:rPr>
        <w:softHyphen/>
        <w:t xml:space="preserve">treme emergencies.” </w:t>
      </w:r>
      <w:r w:rsidRPr="008234A7">
        <w:rPr>
          <w:rFonts w:ascii="Lato" w:hAnsi="Lato"/>
          <w:sz w:val="24"/>
          <w:szCs w:val="24"/>
          <w:lang w:val="en-US"/>
        </w:rPr>
        <w:t>(</w:t>
      </w:r>
      <w:r w:rsidRPr="008234A7">
        <w:rPr>
          <w:rFonts w:ascii="Lato" w:hAnsi="Lato"/>
          <w:b/>
          <w:sz w:val="24"/>
          <w:szCs w:val="24"/>
          <w:lang w:val="en-US"/>
        </w:rPr>
        <w:t>Germany</w:t>
      </w:r>
      <w:r w:rsidRPr="008234A7">
        <w:rPr>
          <w:rFonts w:ascii="Lato" w:hAnsi="Lato"/>
          <w:sz w:val="24"/>
          <w:szCs w:val="24"/>
          <w:lang w:val="en-US"/>
        </w:rPr>
        <w:t>, Intersex person)</w:t>
      </w:r>
      <w:r w:rsidRPr="008234A7">
        <w:rPr>
          <w:sz w:val="24"/>
          <w:szCs w:val="24"/>
          <w:vertAlign w:val="superscript"/>
          <w:lang w:val="en-US"/>
        </w:rPr>
        <w:footnoteReference w:id="29"/>
      </w:r>
      <w:r w:rsidRPr="008234A7">
        <w:rPr>
          <w:rFonts w:eastAsia="Times New Roman" w:cstheme="minorHAnsi"/>
        </w:rPr>
        <w:t xml:space="preserve"> </w:t>
      </w:r>
    </w:p>
    <w:p w14:paraId="310B7077" w14:textId="5D3DC3BE" w:rsidR="00A9289E" w:rsidRPr="00133CF1" w:rsidRDefault="00A9289E" w:rsidP="00A9289E">
      <w:pPr>
        <w:pStyle w:val="Heading1"/>
        <w:numPr>
          <w:ilvl w:val="0"/>
          <w:numId w:val="9"/>
        </w:numPr>
        <w:spacing w:before="480" w:after="240"/>
        <w:ind w:left="714" w:hanging="357"/>
        <w:rPr>
          <w:rFonts w:ascii="Lato" w:eastAsia="Times New Roman" w:hAnsi="Lato"/>
          <w:color w:val="000000" w:themeColor="text1"/>
          <w:sz w:val="28"/>
          <w:szCs w:val="28"/>
          <w:lang w:eastAsia="en-GB"/>
        </w:rPr>
      </w:pPr>
      <w:bookmarkStart w:id="10" w:name="_Toc94093981"/>
      <w:r w:rsidRPr="00133CF1">
        <w:rPr>
          <w:rFonts w:ascii="Lato" w:eastAsia="Times New Roman" w:hAnsi="Lato"/>
          <w:color w:val="2E74B5" w:themeColor="accent5" w:themeShade="BF"/>
          <w:sz w:val="28"/>
          <w:szCs w:val="28"/>
          <w:lang w:eastAsia="en-GB"/>
        </w:rPr>
        <w:t xml:space="preserve">Specific medical and healthcare needs </w:t>
      </w:r>
      <w:r w:rsidR="00D303CF">
        <w:rPr>
          <w:rFonts w:ascii="Lato" w:eastAsia="Times New Roman" w:hAnsi="Lato"/>
          <w:color w:val="2E74B5" w:themeColor="accent5" w:themeShade="BF"/>
          <w:sz w:val="28"/>
          <w:szCs w:val="28"/>
          <w:lang w:eastAsia="en-GB"/>
        </w:rPr>
        <w:t xml:space="preserve">for LGBTI </w:t>
      </w:r>
      <w:r w:rsidRPr="00133CF1">
        <w:rPr>
          <w:rFonts w:ascii="Lato" w:eastAsia="Times New Roman" w:hAnsi="Lato"/>
          <w:color w:val="2E74B5" w:themeColor="accent5" w:themeShade="BF"/>
          <w:sz w:val="28"/>
          <w:szCs w:val="28"/>
          <w:lang w:eastAsia="en-GB"/>
        </w:rPr>
        <w:t xml:space="preserve">survivors from violence </w:t>
      </w:r>
      <w:r w:rsidR="00815E9A">
        <w:rPr>
          <w:rFonts w:ascii="Lato" w:eastAsia="Times New Roman" w:hAnsi="Lato"/>
          <w:color w:val="2E74B5" w:themeColor="accent5" w:themeShade="BF"/>
          <w:sz w:val="28"/>
          <w:szCs w:val="28"/>
          <w:lang w:eastAsia="en-GB"/>
        </w:rPr>
        <w:t>(Question 7)</w:t>
      </w:r>
      <w:bookmarkEnd w:id="10"/>
    </w:p>
    <w:p w14:paraId="491EE197" w14:textId="77777777" w:rsidR="00490FE3" w:rsidRPr="00490FE3" w:rsidRDefault="00490FE3" w:rsidP="00133CF1">
      <w:pPr>
        <w:pStyle w:val="Heading2"/>
        <w:rPr>
          <w:highlight w:val="yellow"/>
          <w:lang w:eastAsia="en-GB"/>
        </w:rPr>
      </w:pPr>
    </w:p>
    <w:p w14:paraId="0DB9EED1" w14:textId="3A8C5951" w:rsidR="00A9289E" w:rsidRDefault="00133CF1" w:rsidP="00133CF1">
      <w:pPr>
        <w:pStyle w:val="Heading2"/>
        <w:rPr>
          <w:i/>
          <w:sz w:val="24"/>
          <w:szCs w:val="24"/>
          <w:lang w:eastAsia="en-GB"/>
        </w:rPr>
      </w:pPr>
      <w:bookmarkStart w:id="11" w:name="_Toc94093982"/>
      <w:r w:rsidRPr="00133CF1">
        <w:rPr>
          <w:rFonts w:ascii="Lato" w:eastAsiaTheme="minorHAnsi" w:hAnsi="Lato" w:cstheme="minorBidi"/>
          <w:i/>
          <w:color w:val="auto"/>
          <w:sz w:val="24"/>
          <w:szCs w:val="24"/>
        </w:rPr>
        <w:t>LBTI Women</w:t>
      </w:r>
      <w:bookmarkEnd w:id="11"/>
    </w:p>
    <w:p w14:paraId="4A73FD9A" w14:textId="77777777" w:rsidR="00133CF1" w:rsidRPr="00133CF1" w:rsidRDefault="00133CF1" w:rsidP="00133CF1">
      <w:pPr>
        <w:rPr>
          <w:lang w:eastAsia="en-GB"/>
        </w:rPr>
      </w:pPr>
    </w:p>
    <w:p w14:paraId="1393F04C" w14:textId="77777777" w:rsidR="001706A4" w:rsidRDefault="005B1924" w:rsidP="001706A4">
      <w:pPr>
        <w:numPr>
          <w:ilvl w:val="0"/>
          <w:numId w:val="13"/>
        </w:numPr>
        <w:jc w:val="both"/>
        <w:rPr>
          <w:rFonts w:ascii="Lato" w:hAnsi="Lato"/>
          <w:sz w:val="24"/>
          <w:szCs w:val="24"/>
        </w:rPr>
      </w:pPr>
      <w:r w:rsidRPr="00490FE3">
        <w:rPr>
          <w:rFonts w:ascii="Lato" w:hAnsi="Lato"/>
          <w:sz w:val="24"/>
          <w:szCs w:val="24"/>
        </w:rPr>
        <w:t xml:space="preserve">LBTI women need specific medical assistance to provide services focused on sexual health and reproduction. </w:t>
      </w:r>
    </w:p>
    <w:p w14:paraId="7819F0D6" w14:textId="5A94344D" w:rsidR="00B73911" w:rsidRPr="001706A4" w:rsidRDefault="001706A4" w:rsidP="001706A4">
      <w:pPr>
        <w:numPr>
          <w:ilvl w:val="0"/>
          <w:numId w:val="13"/>
        </w:numPr>
        <w:jc w:val="both"/>
        <w:rPr>
          <w:rFonts w:ascii="Lato" w:hAnsi="Lato"/>
          <w:sz w:val="24"/>
          <w:szCs w:val="24"/>
        </w:rPr>
      </w:pPr>
      <w:r w:rsidRPr="001706A4">
        <w:rPr>
          <w:rFonts w:ascii="Lato" w:hAnsi="Lato"/>
          <w:sz w:val="24"/>
          <w:szCs w:val="24"/>
          <w:lang w:val="en-US"/>
        </w:rPr>
        <w:t>There is an imperative need to address stigma and discrimination toward women that are victims of assault particularly when they are part of the LBTI community since many of them are victims of so-called “corrective” rape. In addition, this population req</w:t>
      </w:r>
      <w:r w:rsidR="00777C62">
        <w:rPr>
          <w:rFonts w:ascii="Lato" w:hAnsi="Lato"/>
          <w:sz w:val="24"/>
          <w:szCs w:val="24"/>
          <w:lang w:val="en-US"/>
        </w:rPr>
        <w:t>uires the s</w:t>
      </w:r>
      <w:r w:rsidRPr="001706A4">
        <w:rPr>
          <w:rFonts w:ascii="Lato" w:hAnsi="Lato"/>
          <w:sz w:val="24"/>
          <w:szCs w:val="24"/>
          <w:lang w:val="en-US"/>
        </w:rPr>
        <w:t>tate implementation of continuous and strategic awareness campaigns to demystify uninformed notions of victim blaming and stigma. Campaigns that should also target health care providers, administrative staff at hospitals and clinics as well as law enforcement officers</w:t>
      </w:r>
      <w:r w:rsidR="005B1924" w:rsidRPr="001706A4">
        <w:rPr>
          <w:rFonts w:ascii="Lato" w:hAnsi="Lato"/>
          <w:sz w:val="24"/>
          <w:szCs w:val="24"/>
        </w:rPr>
        <w:t>.</w:t>
      </w:r>
      <w:r w:rsidR="005B1924" w:rsidRPr="00490FE3">
        <w:rPr>
          <w:rFonts w:ascii="Lato" w:hAnsi="Lato"/>
          <w:sz w:val="24"/>
          <w:szCs w:val="24"/>
          <w:vertAlign w:val="superscript"/>
        </w:rPr>
        <w:footnoteReference w:id="30"/>
      </w:r>
      <w:r w:rsidR="005B1924" w:rsidRPr="001706A4">
        <w:rPr>
          <w:sz w:val="24"/>
          <w:szCs w:val="24"/>
          <w:lang w:eastAsia="en-GB"/>
        </w:rPr>
        <w:t xml:space="preserve"> </w:t>
      </w:r>
    </w:p>
    <w:p w14:paraId="02FEC7C7" w14:textId="3A8E069B" w:rsidR="00133CF1" w:rsidRPr="00133CF1" w:rsidRDefault="00133CF1" w:rsidP="00133CF1">
      <w:pPr>
        <w:pStyle w:val="Heading2"/>
        <w:rPr>
          <w:rFonts w:ascii="Lato" w:hAnsi="Lato"/>
          <w:i/>
          <w:color w:val="auto"/>
          <w:sz w:val="24"/>
          <w:szCs w:val="24"/>
        </w:rPr>
      </w:pPr>
      <w:bookmarkStart w:id="12" w:name="_Toc94093983"/>
      <w:r w:rsidRPr="00133CF1">
        <w:rPr>
          <w:rFonts w:ascii="Lato" w:hAnsi="Lato"/>
          <w:i/>
          <w:color w:val="auto"/>
          <w:sz w:val="24"/>
          <w:szCs w:val="24"/>
        </w:rPr>
        <w:t>Intersex persons</w:t>
      </w:r>
      <w:bookmarkEnd w:id="12"/>
      <w:r w:rsidRPr="00133CF1">
        <w:t xml:space="preserve"> </w:t>
      </w:r>
    </w:p>
    <w:p w14:paraId="17901455" w14:textId="77777777" w:rsidR="00133CF1" w:rsidRPr="00133CF1" w:rsidRDefault="00133CF1" w:rsidP="00133CF1">
      <w:pPr>
        <w:rPr>
          <w:lang w:eastAsia="en-GB"/>
        </w:rPr>
      </w:pPr>
    </w:p>
    <w:p w14:paraId="19FF4DEF" w14:textId="2DB45DB5" w:rsidR="003720EA" w:rsidRPr="003720EA" w:rsidRDefault="003720EA" w:rsidP="003720EA">
      <w:pPr>
        <w:numPr>
          <w:ilvl w:val="0"/>
          <w:numId w:val="15"/>
        </w:numPr>
        <w:jc w:val="both"/>
        <w:rPr>
          <w:rFonts w:ascii="Lato" w:hAnsi="Lato"/>
          <w:sz w:val="24"/>
          <w:szCs w:val="24"/>
          <w:lang w:val="en-US"/>
        </w:rPr>
      </w:pPr>
      <w:r w:rsidRPr="003720EA">
        <w:rPr>
          <w:rFonts w:ascii="Lato" w:hAnsi="Lato"/>
          <w:sz w:val="24"/>
          <w:szCs w:val="24"/>
          <w:lang w:val="en-US"/>
        </w:rPr>
        <w:t xml:space="preserve">Intersex survivors of violence need human rights and patient-centred approaches that do not pressure people with intersex variations or their legal guardians to make decisions based primarily on rigid stereotypical sex and gender norms, and rather, support informed decisions about what is best for people with intersex variations in the long term. </w:t>
      </w:r>
    </w:p>
    <w:p w14:paraId="7FB42C12" w14:textId="76938527" w:rsidR="00490FE3" w:rsidRPr="00490FE3" w:rsidRDefault="00490FE3" w:rsidP="00490FE3">
      <w:pPr>
        <w:numPr>
          <w:ilvl w:val="0"/>
          <w:numId w:val="15"/>
        </w:numPr>
        <w:jc w:val="both"/>
        <w:rPr>
          <w:rFonts w:ascii="Lato" w:hAnsi="Lato"/>
          <w:sz w:val="24"/>
          <w:szCs w:val="24"/>
        </w:rPr>
      </w:pPr>
      <w:r w:rsidRPr="00490FE3">
        <w:rPr>
          <w:rFonts w:ascii="Lato" w:hAnsi="Lato"/>
          <w:sz w:val="24"/>
          <w:szCs w:val="24"/>
        </w:rPr>
        <w:t>Intersex person</w:t>
      </w:r>
      <w:r w:rsidR="003720EA">
        <w:rPr>
          <w:rFonts w:ascii="Lato" w:hAnsi="Lato"/>
          <w:sz w:val="24"/>
          <w:szCs w:val="24"/>
        </w:rPr>
        <w:t>s also need s</w:t>
      </w:r>
      <w:r w:rsidRPr="00490FE3">
        <w:rPr>
          <w:rFonts w:ascii="Lato" w:hAnsi="Lato"/>
          <w:sz w:val="24"/>
          <w:szCs w:val="24"/>
        </w:rPr>
        <w:t>tates</w:t>
      </w:r>
      <w:r w:rsidR="003720EA">
        <w:rPr>
          <w:rFonts w:ascii="Lato" w:hAnsi="Lato"/>
          <w:sz w:val="24"/>
          <w:szCs w:val="24"/>
        </w:rPr>
        <w:t xml:space="preserve"> to</w:t>
      </w:r>
      <w:r w:rsidRPr="00490FE3">
        <w:rPr>
          <w:rFonts w:ascii="Lato" w:hAnsi="Lato"/>
          <w:sz w:val="24"/>
          <w:szCs w:val="24"/>
        </w:rPr>
        <w:t xml:space="preserve"> implement national guidelines on medical interventions for people born with variations in sex characteristics clearly outlining the requirements to obtain informed consent medical interventions</w:t>
      </w:r>
    </w:p>
    <w:p w14:paraId="3E0BB410" w14:textId="5575E790" w:rsidR="00490FE3" w:rsidRPr="00490FE3" w:rsidRDefault="00490FE3" w:rsidP="00490FE3">
      <w:pPr>
        <w:numPr>
          <w:ilvl w:val="0"/>
          <w:numId w:val="15"/>
        </w:numPr>
        <w:jc w:val="both"/>
        <w:rPr>
          <w:rFonts w:ascii="Lato" w:hAnsi="Lato"/>
          <w:sz w:val="24"/>
          <w:szCs w:val="24"/>
        </w:rPr>
      </w:pPr>
      <w:r w:rsidRPr="00490FE3">
        <w:rPr>
          <w:rFonts w:ascii="Lato" w:hAnsi="Lato"/>
          <w:sz w:val="24"/>
          <w:szCs w:val="24"/>
        </w:rPr>
        <w:t>In relation to access to reproductive servi</w:t>
      </w:r>
      <w:r>
        <w:rPr>
          <w:rFonts w:ascii="Lato" w:hAnsi="Lato"/>
          <w:sz w:val="24"/>
          <w:szCs w:val="24"/>
        </w:rPr>
        <w:t>ces and fertility counselling, i</w:t>
      </w:r>
      <w:r w:rsidRPr="00490FE3">
        <w:rPr>
          <w:rFonts w:ascii="Lato" w:hAnsi="Lato"/>
          <w:sz w:val="24"/>
          <w:szCs w:val="24"/>
        </w:rPr>
        <w:t>ntersex people</w:t>
      </w:r>
      <w:r>
        <w:rPr>
          <w:rFonts w:ascii="Lato" w:hAnsi="Lato"/>
          <w:sz w:val="24"/>
          <w:szCs w:val="24"/>
        </w:rPr>
        <w:t xml:space="preserve"> should be included assisted and </w:t>
      </w:r>
      <w:r w:rsidRPr="00490FE3">
        <w:rPr>
          <w:rFonts w:ascii="Lato" w:hAnsi="Lato"/>
          <w:sz w:val="24"/>
          <w:szCs w:val="24"/>
        </w:rPr>
        <w:t>guided in all related sexual and reproductive health care programs in line with human rights affirming standards of care.</w:t>
      </w:r>
    </w:p>
    <w:p w14:paraId="6304EAA9" w14:textId="14681345" w:rsidR="00E55D0F" w:rsidRPr="00133CF1" w:rsidRDefault="00490FE3" w:rsidP="003C6121">
      <w:pPr>
        <w:numPr>
          <w:ilvl w:val="0"/>
          <w:numId w:val="15"/>
        </w:numPr>
        <w:jc w:val="both"/>
        <w:rPr>
          <w:rFonts w:ascii="Lato" w:hAnsi="Lato"/>
          <w:sz w:val="24"/>
          <w:szCs w:val="24"/>
        </w:rPr>
      </w:pPr>
      <w:r>
        <w:rPr>
          <w:rFonts w:ascii="Lato" w:hAnsi="Lato"/>
          <w:sz w:val="24"/>
          <w:szCs w:val="24"/>
        </w:rPr>
        <w:t>Furthermore, t</w:t>
      </w:r>
      <w:r w:rsidRPr="00490FE3">
        <w:rPr>
          <w:rFonts w:ascii="Lato" w:hAnsi="Lato"/>
          <w:sz w:val="24"/>
          <w:szCs w:val="24"/>
        </w:rPr>
        <w:t>here is an urgent need of implementing c</w:t>
      </w:r>
      <w:r w:rsidRPr="00490FE3">
        <w:rPr>
          <w:rFonts w:ascii="Lato" w:hAnsi="Lato"/>
          <w:sz w:val="24"/>
          <w:szCs w:val="24"/>
          <w:lang w:val="en-US"/>
        </w:rPr>
        <w:t xml:space="preserve">omprehensive educational </w:t>
      </w:r>
      <w:r>
        <w:rPr>
          <w:rFonts w:ascii="Lato" w:hAnsi="Lato"/>
          <w:sz w:val="24"/>
          <w:szCs w:val="24"/>
          <w:lang w:val="en-US"/>
        </w:rPr>
        <w:t xml:space="preserve">and </w:t>
      </w:r>
      <w:r w:rsidRPr="00490FE3">
        <w:rPr>
          <w:rFonts w:ascii="Lato" w:hAnsi="Lato"/>
          <w:sz w:val="24"/>
          <w:szCs w:val="24"/>
          <w:lang w:val="en-US"/>
        </w:rPr>
        <w:t>training</w:t>
      </w:r>
      <w:r>
        <w:rPr>
          <w:rFonts w:ascii="Lato" w:hAnsi="Lato"/>
          <w:sz w:val="24"/>
          <w:szCs w:val="24"/>
          <w:lang w:val="en-US"/>
        </w:rPr>
        <w:t xml:space="preserve"> programmes</w:t>
      </w:r>
      <w:r w:rsidRPr="00490FE3">
        <w:rPr>
          <w:rFonts w:ascii="Lato" w:hAnsi="Lato"/>
          <w:sz w:val="24"/>
          <w:szCs w:val="24"/>
          <w:lang w:val="en-US"/>
        </w:rPr>
        <w:t xml:space="preserve"> in medical institutions, universities and health systems to </w:t>
      </w:r>
      <w:r>
        <w:rPr>
          <w:rFonts w:ascii="Lato" w:hAnsi="Lato"/>
          <w:sz w:val="24"/>
          <w:szCs w:val="24"/>
          <w:lang w:val="en-US"/>
        </w:rPr>
        <w:t xml:space="preserve">inform and educate healthcare providers </w:t>
      </w:r>
      <w:r w:rsidRPr="00490FE3">
        <w:rPr>
          <w:rFonts w:ascii="Lato" w:hAnsi="Lato"/>
          <w:sz w:val="24"/>
          <w:szCs w:val="24"/>
          <w:lang w:val="en-US"/>
        </w:rPr>
        <w:t xml:space="preserve">about the medical needs for intersex people, promoting depathologization of </w:t>
      </w:r>
      <w:r>
        <w:rPr>
          <w:rFonts w:ascii="Lato" w:hAnsi="Lato"/>
          <w:sz w:val="24"/>
          <w:szCs w:val="24"/>
          <w:lang w:val="en-US"/>
        </w:rPr>
        <w:t xml:space="preserve">sex characteristics variations </w:t>
      </w:r>
      <w:r w:rsidRPr="00490FE3">
        <w:rPr>
          <w:rFonts w:ascii="Lato" w:hAnsi="Lato"/>
          <w:sz w:val="24"/>
          <w:szCs w:val="24"/>
          <w:lang w:val="en-US"/>
        </w:rPr>
        <w:t>in medical guidelines, protocols and classifications.</w:t>
      </w:r>
      <w:r w:rsidRPr="00490FE3">
        <w:rPr>
          <w:sz w:val="24"/>
          <w:szCs w:val="24"/>
          <w:lang w:eastAsia="en-GB"/>
        </w:rPr>
        <w:t xml:space="preserve"> </w:t>
      </w:r>
    </w:p>
    <w:p w14:paraId="3D0C3BE7" w14:textId="77777777" w:rsidR="00133CF1" w:rsidRPr="00490FE3" w:rsidRDefault="00133CF1" w:rsidP="00133CF1">
      <w:pPr>
        <w:ind w:left="720"/>
        <w:rPr>
          <w:rFonts w:ascii="Lato" w:hAnsi="Lato"/>
          <w:sz w:val="24"/>
          <w:szCs w:val="24"/>
        </w:rPr>
      </w:pPr>
    </w:p>
    <w:p w14:paraId="5B1A2457" w14:textId="6F3AC7B4" w:rsidR="00E55D0F" w:rsidRDefault="00133CF1" w:rsidP="00133CF1">
      <w:pPr>
        <w:pStyle w:val="Heading2"/>
      </w:pPr>
      <w:bookmarkStart w:id="13" w:name="_Toc94093984"/>
      <w:r w:rsidRPr="00133CF1">
        <w:rPr>
          <w:rFonts w:ascii="Lato" w:hAnsi="Lato"/>
          <w:i/>
          <w:color w:val="auto"/>
          <w:sz w:val="24"/>
          <w:szCs w:val="24"/>
        </w:rPr>
        <w:t>Trans persons</w:t>
      </w:r>
      <w:bookmarkEnd w:id="13"/>
    </w:p>
    <w:p w14:paraId="6972AD75" w14:textId="77777777" w:rsidR="00133CF1" w:rsidRPr="00133CF1" w:rsidRDefault="00133CF1" w:rsidP="00133CF1"/>
    <w:p w14:paraId="209072D6" w14:textId="77777777" w:rsidR="00490FE3" w:rsidRPr="00490FE3" w:rsidRDefault="00490FE3" w:rsidP="00490FE3">
      <w:pPr>
        <w:numPr>
          <w:ilvl w:val="0"/>
          <w:numId w:val="15"/>
        </w:numPr>
        <w:jc w:val="both"/>
        <w:rPr>
          <w:rFonts w:ascii="Lato" w:hAnsi="Lato"/>
          <w:sz w:val="24"/>
          <w:szCs w:val="24"/>
        </w:rPr>
      </w:pPr>
      <w:r w:rsidRPr="00490FE3">
        <w:rPr>
          <w:rFonts w:ascii="Lato" w:hAnsi="Lato"/>
          <w:sz w:val="24"/>
          <w:szCs w:val="24"/>
        </w:rPr>
        <w:t>Trans persons need that their public health services</w:t>
      </w:r>
      <w:r w:rsidRPr="00490FE3">
        <w:rPr>
          <w:rFonts w:ascii="Lato" w:hAnsi="Lato"/>
          <w:sz w:val="24"/>
          <w:szCs w:val="24"/>
          <w:lang w:val="en-US"/>
        </w:rPr>
        <w:t xml:space="preserve"> provide affirmative access to necessary and appropriate medical treatment, including surgeries and hormone treatment, psychosocial, psychosexual and psychological support.</w:t>
      </w:r>
    </w:p>
    <w:p w14:paraId="5520CB3D" w14:textId="77777777" w:rsidR="005353CB" w:rsidRPr="005353CB" w:rsidRDefault="005353CB" w:rsidP="005353CB">
      <w:pPr>
        <w:numPr>
          <w:ilvl w:val="0"/>
          <w:numId w:val="15"/>
        </w:numPr>
        <w:jc w:val="both"/>
        <w:rPr>
          <w:rFonts w:ascii="Lato" w:hAnsi="Lato"/>
          <w:sz w:val="24"/>
          <w:szCs w:val="24"/>
          <w:lang w:val="en-US"/>
        </w:rPr>
      </w:pPr>
      <w:r w:rsidRPr="005353CB">
        <w:rPr>
          <w:rFonts w:ascii="Lato" w:hAnsi="Lato"/>
          <w:sz w:val="24"/>
          <w:szCs w:val="24"/>
          <w:lang w:val="en-US"/>
        </w:rPr>
        <w:t xml:space="preserve">There is an urgent need of implementing comprehensive educational programmes and training in medical institutions, universities, and health systems to inform and educate doctors about the medical needs of trans people promoting depathologization of gender identity in medical guidelines, protocols, and classifications. </w:t>
      </w:r>
    </w:p>
    <w:p w14:paraId="60924DDD" w14:textId="6B22FA6A" w:rsidR="00490FE3" w:rsidRPr="00490FE3" w:rsidRDefault="00490FE3" w:rsidP="005353CB">
      <w:pPr>
        <w:ind w:left="360"/>
        <w:jc w:val="both"/>
        <w:rPr>
          <w:rFonts w:ascii="Lato" w:hAnsi="Lato"/>
          <w:sz w:val="24"/>
          <w:szCs w:val="24"/>
        </w:rPr>
      </w:pPr>
    </w:p>
    <w:p w14:paraId="5A2034A5" w14:textId="77777777" w:rsidR="00490FE3" w:rsidRPr="006F3063" w:rsidRDefault="00490FE3" w:rsidP="00E55D0F">
      <w:pPr>
        <w:jc w:val="both"/>
        <w:rPr>
          <w:i/>
          <w:sz w:val="24"/>
          <w:szCs w:val="24"/>
          <w:lang w:eastAsia="en-GB"/>
        </w:rPr>
      </w:pPr>
    </w:p>
    <w:sectPr w:rsidR="00490FE3" w:rsidRPr="006F3063" w:rsidSect="00683BD8">
      <w:footerReference w:type="even" r:id="rId17"/>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B733" w14:textId="77777777" w:rsidR="00EC1383" w:rsidRDefault="00EC1383" w:rsidP="00AA5EA6">
      <w:pPr>
        <w:spacing w:after="0" w:line="240" w:lineRule="auto"/>
      </w:pPr>
      <w:r>
        <w:separator/>
      </w:r>
    </w:p>
  </w:endnote>
  <w:endnote w:type="continuationSeparator" w:id="0">
    <w:p w14:paraId="26994F5F" w14:textId="77777777" w:rsidR="00EC1383" w:rsidRDefault="00EC1383" w:rsidP="00AA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Calibri"/>
    <w:charset w:val="00"/>
    <w:family w:val="swiss"/>
    <w:pitch w:val="variable"/>
    <w:sig w:usb0="00000001" w:usb1="5000ECFF" w:usb2="0000002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LTStd-Ligh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04694046"/>
      <w:docPartObj>
        <w:docPartGallery w:val="Page Numbers (Bottom of Page)"/>
        <w:docPartUnique/>
      </w:docPartObj>
    </w:sdtPr>
    <w:sdtEndPr>
      <w:rPr>
        <w:rStyle w:val="PageNumber"/>
      </w:rPr>
    </w:sdtEndPr>
    <w:sdtContent>
      <w:p w14:paraId="7723CA22" w14:textId="4E88DF6F" w:rsidR="003A552B" w:rsidRDefault="003A552B" w:rsidP="00101B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1FC05E" w14:textId="77777777" w:rsidR="003A552B" w:rsidRDefault="003A5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6324019"/>
      <w:docPartObj>
        <w:docPartGallery w:val="Page Numbers (Bottom of Page)"/>
        <w:docPartUnique/>
      </w:docPartObj>
    </w:sdtPr>
    <w:sdtEndPr>
      <w:rPr>
        <w:rStyle w:val="PageNumber"/>
      </w:rPr>
    </w:sdtEndPr>
    <w:sdtContent>
      <w:p w14:paraId="31BAFB11" w14:textId="1E36100C" w:rsidR="003A552B" w:rsidRDefault="003A552B" w:rsidP="00101B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7712B">
          <w:rPr>
            <w:rStyle w:val="PageNumber"/>
            <w:noProof/>
          </w:rPr>
          <w:t>10</w:t>
        </w:r>
        <w:r>
          <w:rPr>
            <w:rStyle w:val="PageNumber"/>
          </w:rPr>
          <w:fldChar w:fldCharType="end"/>
        </w:r>
      </w:p>
    </w:sdtContent>
  </w:sdt>
  <w:p w14:paraId="29AB752D" w14:textId="77777777" w:rsidR="003A552B" w:rsidRDefault="003A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DC83" w14:textId="77777777" w:rsidR="00EC1383" w:rsidRDefault="00EC1383" w:rsidP="00AA5EA6">
      <w:pPr>
        <w:spacing w:after="0" w:line="240" w:lineRule="auto"/>
      </w:pPr>
      <w:r>
        <w:separator/>
      </w:r>
    </w:p>
  </w:footnote>
  <w:footnote w:type="continuationSeparator" w:id="0">
    <w:p w14:paraId="175688EE" w14:textId="77777777" w:rsidR="00EC1383" w:rsidRDefault="00EC1383" w:rsidP="00AA5EA6">
      <w:pPr>
        <w:spacing w:after="0" w:line="240" w:lineRule="auto"/>
      </w:pPr>
      <w:r>
        <w:continuationSeparator/>
      </w:r>
    </w:p>
  </w:footnote>
  <w:footnote w:id="1">
    <w:p w14:paraId="0FE61F19" w14:textId="77777777" w:rsidR="00B72F57" w:rsidRPr="00352130" w:rsidRDefault="00B72F57" w:rsidP="00B72F57">
      <w:pPr>
        <w:pStyle w:val="FootnoteText"/>
        <w:rPr>
          <w:sz w:val="18"/>
          <w:szCs w:val="18"/>
          <w:lang w:val="en-US"/>
        </w:rPr>
      </w:pPr>
      <w:r w:rsidRPr="00352130">
        <w:rPr>
          <w:rStyle w:val="FootnoteReference"/>
          <w:sz w:val="18"/>
          <w:szCs w:val="18"/>
        </w:rPr>
        <w:footnoteRef/>
      </w:r>
      <w:r w:rsidRPr="00352130">
        <w:rPr>
          <w:sz w:val="18"/>
          <w:szCs w:val="18"/>
        </w:rPr>
        <w:t xml:space="preserve"> </w:t>
      </w:r>
      <w:r w:rsidRPr="00352130">
        <w:rPr>
          <w:rFonts w:ascii="Lato" w:hAnsi="Lato" w:cs="Times New Roman"/>
          <w:sz w:val="18"/>
          <w:szCs w:val="18"/>
        </w:rPr>
        <w:t>LGBTQI+ Health Australia, (2021), “</w:t>
      </w:r>
      <w:hyperlink r:id="rId1" w:history="1">
        <w:r w:rsidRPr="00352130">
          <w:rPr>
            <w:rStyle w:val="Hyperlink"/>
            <w:rFonts w:ascii="Lato" w:hAnsi="Lato" w:cs="Times New Roman"/>
            <w:sz w:val="18"/>
            <w:szCs w:val="18"/>
          </w:rPr>
          <w:t>Snapshot of Mental Health and Suicide Prevention Statistics for LGBTIQ+ people</w:t>
        </w:r>
      </w:hyperlink>
      <w:r w:rsidRPr="00352130">
        <w:rPr>
          <w:rFonts w:ascii="Lato" w:hAnsi="Lato" w:cs="Times New Roman"/>
          <w:sz w:val="18"/>
          <w:szCs w:val="18"/>
        </w:rPr>
        <w:t>”.</w:t>
      </w:r>
    </w:p>
  </w:footnote>
  <w:footnote w:id="2">
    <w:p w14:paraId="569F2828" w14:textId="3A3FE423" w:rsidR="000D5025" w:rsidRPr="000D5025" w:rsidRDefault="000D5025">
      <w:pPr>
        <w:pStyle w:val="FootnoteText"/>
        <w:rPr>
          <w:sz w:val="18"/>
          <w:szCs w:val="18"/>
          <w:lang w:val="en-US"/>
        </w:rPr>
      </w:pPr>
      <w:r w:rsidRPr="000D5025">
        <w:rPr>
          <w:rStyle w:val="FootnoteReference"/>
          <w:sz w:val="18"/>
          <w:szCs w:val="18"/>
        </w:rPr>
        <w:footnoteRef/>
      </w:r>
      <w:r w:rsidRPr="000D5025">
        <w:rPr>
          <w:sz w:val="18"/>
          <w:szCs w:val="18"/>
        </w:rPr>
        <w:t xml:space="preserve"> </w:t>
      </w:r>
      <w:r w:rsidRPr="000D5025">
        <w:rPr>
          <w:rFonts w:ascii="Lato" w:hAnsi="Lato" w:cs="Times New Roman"/>
          <w:sz w:val="18"/>
          <w:szCs w:val="18"/>
          <w:lang w:val="en-US"/>
        </w:rPr>
        <w:t xml:space="preserve">This submission counted with the collaboration of Fundación Huésped in Argentina, Youth Queer Alliance Mauritius, and feminist and LGBTI independent activists.  </w:t>
      </w:r>
    </w:p>
  </w:footnote>
  <w:footnote w:id="3">
    <w:p w14:paraId="72D72E9A" w14:textId="77777777" w:rsidR="00925BF4" w:rsidRPr="00316350" w:rsidRDefault="00925BF4" w:rsidP="00925BF4">
      <w:pPr>
        <w:pStyle w:val="FootnoteText"/>
      </w:pPr>
      <w:r w:rsidRPr="00352130">
        <w:rPr>
          <w:rStyle w:val="FootnoteReference"/>
          <w:sz w:val="18"/>
          <w:szCs w:val="18"/>
        </w:rPr>
        <w:footnoteRef/>
      </w:r>
      <w:r>
        <w:t xml:space="preserve"> </w:t>
      </w:r>
      <w:r>
        <w:rPr>
          <w:rFonts w:ascii="Lato" w:hAnsi="Lato" w:cs="Times New Roman"/>
          <w:sz w:val="18"/>
          <w:szCs w:val="18"/>
        </w:rPr>
        <w:t xml:space="preserve">European Union Agency for Fundamental Rights (FRA), (2020), </w:t>
      </w:r>
      <w:hyperlink r:id="rId2" w:history="1">
        <w:r w:rsidRPr="00352130">
          <w:rPr>
            <w:rStyle w:val="Hyperlink"/>
            <w:rFonts w:ascii="Lato" w:hAnsi="Lato" w:cs="Times New Roman"/>
            <w:sz w:val="18"/>
            <w:szCs w:val="18"/>
          </w:rPr>
          <w:t>“</w:t>
        </w:r>
        <w:r w:rsidRPr="00352130">
          <w:rPr>
            <w:rStyle w:val="Hyperlink"/>
            <w:rFonts w:ascii="Lato" w:hAnsi="Lato" w:cs="Times New Roman"/>
            <w:sz w:val="18"/>
            <w:szCs w:val="18"/>
            <w:lang w:val="en-US"/>
          </w:rPr>
          <w:t>A long way to go for LGBTI equality”</w:t>
        </w:r>
      </w:hyperlink>
      <w:r>
        <w:rPr>
          <w:rFonts w:ascii="Lato" w:hAnsi="Lato" w:cs="Times New Roman"/>
          <w:sz w:val="18"/>
          <w:szCs w:val="18"/>
        </w:rPr>
        <w:t>. p. 39</w:t>
      </w:r>
    </w:p>
  </w:footnote>
  <w:footnote w:id="4">
    <w:p w14:paraId="38C184B1" w14:textId="77777777" w:rsidR="00925BF4" w:rsidRPr="000E515E" w:rsidRDefault="00925BF4" w:rsidP="00925BF4">
      <w:pPr>
        <w:pStyle w:val="FootnoteText"/>
      </w:pPr>
      <w:r>
        <w:rPr>
          <w:rStyle w:val="FootnoteReference"/>
        </w:rPr>
        <w:footnoteRef/>
      </w:r>
      <w:r>
        <w:t xml:space="preserve"> </w:t>
      </w:r>
      <w:r>
        <w:rPr>
          <w:rFonts w:ascii="Lato" w:hAnsi="Lato" w:cs="Times New Roman"/>
          <w:sz w:val="18"/>
          <w:szCs w:val="18"/>
        </w:rPr>
        <w:t>FRA, (2020), ibid. p. 42</w:t>
      </w:r>
    </w:p>
  </w:footnote>
  <w:footnote w:id="5">
    <w:p w14:paraId="7914975A" w14:textId="77777777" w:rsidR="003A552B" w:rsidRPr="002E0260" w:rsidRDefault="003A552B" w:rsidP="00692D50">
      <w:pPr>
        <w:pStyle w:val="FootnoteText"/>
        <w:jc w:val="both"/>
      </w:pPr>
      <w:r w:rsidRPr="002E0260">
        <w:rPr>
          <w:rStyle w:val="FootnoteReference"/>
        </w:rPr>
        <w:footnoteRef/>
      </w:r>
      <w:r w:rsidRPr="002E0260">
        <w:t xml:space="preserve"> </w:t>
      </w:r>
      <w:r w:rsidRPr="002E0260">
        <w:rPr>
          <w:rFonts w:ascii="Lato" w:eastAsia="Calibri" w:hAnsi="Lato" w:cs="Times New Roman"/>
          <w:sz w:val="18"/>
          <w:szCs w:val="18"/>
          <w:lang w:val="en-US"/>
        </w:rPr>
        <w:t>This submission</w:t>
      </w:r>
      <w:r>
        <w:rPr>
          <w:rFonts w:ascii="Lato" w:eastAsia="Calibri" w:hAnsi="Lato" w:cs="Times New Roman"/>
          <w:sz w:val="18"/>
          <w:szCs w:val="18"/>
          <w:lang w:val="en-US"/>
        </w:rPr>
        <w:t xml:space="preserve"> uses the acronym LGBTI to refer to all groups of people with diverse sexual orientation, gender identity and expression and sex characteristics. </w:t>
      </w:r>
      <w:r w:rsidRPr="002E0260">
        <w:rPr>
          <w:rFonts w:ascii="Lato" w:eastAsia="Calibri" w:hAnsi="Lato" w:cs="Times New Roman"/>
          <w:bCs/>
          <w:sz w:val="18"/>
          <w:szCs w:val="18"/>
          <w:lang w:val="en-GB"/>
        </w:rPr>
        <w:t>However, when a source of information</w:t>
      </w:r>
      <w:r>
        <w:rPr>
          <w:rFonts w:ascii="Lato" w:eastAsia="Calibri" w:hAnsi="Lato" w:cs="Times New Roman"/>
          <w:bCs/>
          <w:sz w:val="18"/>
          <w:szCs w:val="18"/>
          <w:lang w:val="en-GB"/>
        </w:rPr>
        <w:t xml:space="preserve"> uses another acronym for these groups or for referring to a specific</w:t>
      </w:r>
      <w:r w:rsidRPr="002E0260">
        <w:rPr>
          <w:rFonts w:ascii="Lato" w:eastAsia="Calibri" w:hAnsi="Lato" w:cs="Times New Roman"/>
          <w:bCs/>
          <w:sz w:val="18"/>
          <w:szCs w:val="18"/>
          <w:lang w:val="en-GB"/>
        </w:rPr>
        <w:t xml:space="preserve"> composition of populations, we use </w:t>
      </w:r>
      <w:r>
        <w:rPr>
          <w:rFonts w:ascii="Lato" w:eastAsia="Calibri" w:hAnsi="Lato" w:cs="Times New Roman"/>
          <w:bCs/>
          <w:sz w:val="18"/>
          <w:szCs w:val="18"/>
          <w:lang w:val="en-GB"/>
        </w:rPr>
        <w:t xml:space="preserve">the </w:t>
      </w:r>
      <w:r w:rsidRPr="002E0260">
        <w:rPr>
          <w:rFonts w:ascii="Lato" w:eastAsia="Calibri" w:hAnsi="Lato" w:cs="Times New Roman"/>
          <w:bCs/>
          <w:sz w:val="18"/>
          <w:szCs w:val="18"/>
          <w:lang w:val="en-GB"/>
        </w:rPr>
        <w:t>abbreviations</w:t>
      </w:r>
      <w:r>
        <w:rPr>
          <w:rFonts w:ascii="Lato" w:eastAsia="Calibri" w:hAnsi="Lato" w:cs="Calibri"/>
          <w:bCs/>
          <w:sz w:val="18"/>
          <w:szCs w:val="18"/>
          <w:lang w:val="en-US"/>
        </w:rPr>
        <w:t xml:space="preserve"> employed on those sources. E.g. </w:t>
      </w:r>
      <w:r w:rsidRPr="002E0260">
        <w:rPr>
          <w:rFonts w:ascii="Lato" w:eastAsia="Calibri" w:hAnsi="Lato" w:cs="Calibri"/>
          <w:bCs/>
          <w:sz w:val="18"/>
          <w:szCs w:val="18"/>
          <w:lang w:val="en-US"/>
        </w:rPr>
        <w:t xml:space="preserve">LGBT (lesbian, gay, bisexual and trans), LGBTI (lesbian, gay, bisexual, trans and intersex), LGBT+ (lesbian, gay, bisexual, trans and other), LGBTQ (lesbian, gay, bisexual, trans and queer), LGBTIQ (lesbian, gay, bisexual, trans, intersex and queer), LGBTIQ+ (lesbian, gay, bisexual, trans, intersex, queer and other), LBTQ (lesbian, bisexual, trans and queer), </w:t>
      </w:r>
      <w:r w:rsidRPr="002E0260">
        <w:rPr>
          <w:rFonts w:ascii="Lato" w:eastAsia="Calibri" w:hAnsi="Lato" w:cs="Times New Roman"/>
          <w:sz w:val="18"/>
          <w:szCs w:val="18"/>
          <w:lang w:val="en-GB"/>
        </w:rPr>
        <w:t>LGBTQI2S (lesbian, gay, bisexual, trans, queer, intersex and Two-Spirit).</w:t>
      </w:r>
    </w:p>
  </w:footnote>
  <w:footnote w:id="6">
    <w:p w14:paraId="350488A5" w14:textId="74D0FC21" w:rsidR="003A552B" w:rsidRPr="002F5D1A" w:rsidRDefault="003A552B" w:rsidP="00692D50">
      <w:pPr>
        <w:pStyle w:val="FootnoteText"/>
        <w:jc w:val="both"/>
      </w:pPr>
      <w:r w:rsidRPr="002F5D1A">
        <w:rPr>
          <w:rStyle w:val="FootnoteReference"/>
          <w:sz w:val="18"/>
          <w:szCs w:val="18"/>
        </w:rPr>
        <w:footnoteRef/>
      </w:r>
      <w:r w:rsidRPr="002F5D1A">
        <w:rPr>
          <w:sz w:val="18"/>
          <w:szCs w:val="18"/>
        </w:rPr>
        <w:t xml:space="preserve"> </w:t>
      </w:r>
      <w:r w:rsidRPr="00352130">
        <w:rPr>
          <w:rFonts w:ascii="Lato" w:hAnsi="Lato" w:cs="Times New Roman"/>
          <w:sz w:val="18"/>
          <w:szCs w:val="18"/>
        </w:rPr>
        <w:t>LGBTQI+ Health Australia, (2021),</w:t>
      </w:r>
      <w:r>
        <w:rPr>
          <w:rFonts w:ascii="Lato" w:hAnsi="Lato" w:cs="Times New Roman"/>
          <w:sz w:val="18"/>
          <w:szCs w:val="18"/>
        </w:rPr>
        <w:t xml:space="preserve"> Ibid.</w:t>
      </w:r>
    </w:p>
  </w:footnote>
  <w:footnote w:id="7">
    <w:p w14:paraId="691B6BA6" w14:textId="77777777" w:rsidR="001706A4" w:rsidRPr="00E04F27" w:rsidRDefault="001706A4" w:rsidP="001706A4">
      <w:pPr>
        <w:pStyle w:val="FootnoteText"/>
        <w:jc w:val="both"/>
        <w:rPr>
          <w:sz w:val="18"/>
          <w:szCs w:val="18"/>
        </w:rPr>
      </w:pPr>
      <w:r w:rsidRPr="00E04F27">
        <w:rPr>
          <w:rStyle w:val="FootnoteReference"/>
          <w:sz w:val="18"/>
          <w:szCs w:val="18"/>
        </w:rPr>
        <w:footnoteRef/>
      </w:r>
      <w:r w:rsidRPr="00E04F27">
        <w:rPr>
          <w:sz w:val="18"/>
          <w:szCs w:val="18"/>
        </w:rPr>
        <w:t xml:space="preserve"> </w:t>
      </w:r>
      <w:r>
        <w:rPr>
          <w:rFonts w:ascii="Lato" w:hAnsi="Lato" w:cs="Times New Roman"/>
          <w:sz w:val="18"/>
          <w:szCs w:val="18"/>
        </w:rPr>
        <w:t>Information shared by Young Queer Alliance (2021)</w:t>
      </w:r>
    </w:p>
  </w:footnote>
  <w:footnote w:id="8">
    <w:p w14:paraId="3135F02B" w14:textId="78214DA3" w:rsidR="003A552B" w:rsidRPr="00F36B85" w:rsidRDefault="003A552B" w:rsidP="00692D50">
      <w:pPr>
        <w:pStyle w:val="FootnoteText"/>
        <w:jc w:val="both"/>
        <w:rPr>
          <w:sz w:val="18"/>
          <w:szCs w:val="18"/>
        </w:rPr>
      </w:pPr>
      <w:r w:rsidRPr="00F36B85">
        <w:rPr>
          <w:rStyle w:val="FootnoteReference"/>
          <w:sz w:val="18"/>
          <w:szCs w:val="18"/>
        </w:rPr>
        <w:footnoteRef/>
      </w:r>
      <w:r w:rsidRPr="00F36B85">
        <w:rPr>
          <w:sz w:val="18"/>
          <w:szCs w:val="18"/>
        </w:rPr>
        <w:t xml:space="preserve"> </w:t>
      </w:r>
      <w:r w:rsidRPr="00F36B85">
        <w:rPr>
          <w:rFonts w:ascii="Lato" w:hAnsi="Lato" w:cs="Times New Roman"/>
          <w:sz w:val="18"/>
          <w:szCs w:val="18"/>
          <w:lang w:val="en-GB"/>
        </w:rPr>
        <w:t xml:space="preserve">Prevention Information et Lutte contre le sida (PILS) </w:t>
      </w:r>
      <w:r>
        <w:rPr>
          <w:rFonts w:ascii="Lato" w:hAnsi="Lato" w:cs="Times New Roman"/>
          <w:sz w:val="18"/>
          <w:szCs w:val="18"/>
        </w:rPr>
        <w:t>(2017)</w:t>
      </w:r>
      <w:r w:rsidRPr="00F36B85">
        <w:rPr>
          <w:rFonts w:ascii="Segoe UI" w:eastAsiaTheme="minorHAnsi" w:hAnsi="Segoe UI" w:cs="Segoe UI"/>
          <w:b/>
          <w:bCs/>
          <w:i/>
          <w:iCs/>
          <w:color w:val="201F1E"/>
          <w:sz w:val="23"/>
          <w:szCs w:val="23"/>
          <w:lang w:val="en-US"/>
        </w:rPr>
        <w:t xml:space="preserve"> </w:t>
      </w:r>
      <w:hyperlink r:id="rId3" w:history="1">
        <w:r w:rsidRPr="00F36B85">
          <w:rPr>
            <w:rStyle w:val="Hyperlink"/>
            <w:rFonts w:ascii="Lato" w:hAnsi="Lato" w:cs="Times New Roman"/>
            <w:bCs/>
            <w:iCs/>
            <w:sz w:val="18"/>
            <w:szCs w:val="18"/>
            <w:lang w:val="en-US"/>
          </w:rPr>
          <w:t>Integrated Biological and Behavioral Surveillance Survey for Trans people in Mauritius</w:t>
        </w:r>
      </w:hyperlink>
      <w:r>
        <w:rPr>
          <w:rFonts w:ascii="Lato" w:hAnsi="Lato" w:cs="Times New Roman"/>
          <w:bCs/>
          <w:iCs/>
          <w:sz w:val="18"/>
          <w:szCs w:val="18"/>
          <w:lang w:val="en-US"/>
        </w:rPr>
        <w:t>. P. 33</w:t>
      </w:r>
    </w:p>
  </w:footnote>
  <w:footnote w:id="9">
    <w:p w14:paraId="579534AA" w14:textId="44E4EAC8" w:rsidR="003A552B" w:rsidRPr="00D1773A" w:rsidRDefault="003A552B" w:rsidP="00692D50">
      <w:pPr>
        <w:pStyle w:val="FootnoteText"/>
        <w:jc w:val="both"/>
        <w:rPr>
          <w:rFonts w:ascii="Lato" w:hAnsi="Lato" w:cs="Times New Roman"/>
          <w:sz w:val="18"/>
          <w:szCs w:val="18"/>
          <w:lang w:val="es-MX"/>
        </w:rPr>
      </w:pPr>
      <w:r w:rsidRPr="0029752A">
        <w:rPr>
          <w:rStyle w:val="FootnoteReference"/>
          <w:sz w:val="18"/>
          <w:szCs w:val="18"/>
        </w:rPr>
        <w:footnoteRef/>
      </w:r>
      <w:r w:rsidRPr="0029752A">
        <w:rPr>
          <w:sz w:val="18"/>
          <w:szCs w:val="18"/>
        </w:rPr>
        <w:t xml:space="preserve"> </w:t>
      </w:r>
      <w:r w:rsidRPr="0029752A">
        <w:rPr>
          <w:rFonts w:ascii="Lato" w:hAnsi="Lato" w:cs="Times New Roman"/>
          <w:sz w:val="18"/>
          <w:szCs w:val="18"/>
          <w:lang w:val="en-US"/>
        </w:rPr>
        <w:t xml:space="preserve">FACSDIS, OTRAH, St. Vil, D., Theron, L., Carrillo, K., and Joseph, E. (2020) </w:t>
      </w:r>
      <w:hyperlink r:id="rId4" w:history="1">
        <w:r w:rsidRPr="001860D5">
          <w:rPr>
            <w:rStyle w:val="Hyperlink"/>
            <w:rFonts w:ascii="Lato" w:hAnsi="Lato" w:cs="Times New Roman"/>
            <w:sz w:val="18"/>
            <w:szCs w:val="18"/>
            <w:lang w:val="en-US"/>
          </w:rPr>
          <w:t>‘From Fringes to Focus - “A deep dive into the lived-realities of Lesbian, Bisexual and Queer women and Trans Masculine Persons in 8 Caribbean Countries</w:t>
        </w:r>
      </w:hyperlink>
      <w:r w:rsidRPr="0029752A">
        <w:rPr>
          <w:rFonts w:ascii="Lato" w:hAnsi="Lato" w:cs="Times New Roman"/>
          <w:sz w:val="18"/>
          <w:szCs w:val="18"/>
          <w:lang w:val="en-US"/>
        </w:rPr>
        <w:t xml:space="preserve">”. </w:t>
      </w:r>
      <w:r w:rsidRPr="00D1773A">
        <w:rPr>
          <w:rFonts w:ascii="Lato" w:hAnsi="Lato" w:cs="Times New Roman"/>
          <w:sz w:val="18"/>
          <w:szCs w:val="18"/>
          <w:lang w:val="es-MX"/>
        </w:rPr>
        <w:t>Amsterdam: COC Netherlands.</w:t>
      </w:r>
    </w:p>
  </w:footnote>
  <w:footnote w:id="10">
    <w:p w14:paraId="4F5A94E5" w14:textId="4EF47B09" w:rsidR="003A552B" w:rsidRPr="00984794" w:rsidRDefault="003A552B" w:rsidP="00692D50">
      <w:pPr>
        <w:pStyle w:val="FootnoteText"/>
        <w:jc w:val="both"/>
        <w:rPr>
          <w:sz w:val="18"/>
          <w:szCs w:val="18"/>
          <w:lang w:val="en-US"/>
        </w:rPr>
      </w:pPr>
      <w:r w:rsidRPr="00BA3FED">
        <w:rPr>
          <w:rStyle w:val="FootnoteReference"/>
          <w:sz w:val="18"/>
          <w:szCs w:val="18"/>
        </w:rPr>
        <w:footnoteRef/>
      </w:r>
      <w:r w:rsidRPr="00BA3FED">
        <w:rPr>
          <w:sz w:val="18"/>
          <w:szCs w:val="18"/>
          <w:lang w:val="es-MX"/>
        </w:rPr>
        <w:t xml:space="preserve"> </w:t>
      </w:r>
      <w:r w:rsidRPr="00984794">
        <w:rPr>
          <w:rFonts w:ascii="Lato" w:hAnsi="Lato" w:cs="Times New Roman"/>
          <w:sz w:val="18"/>
          <w:szCs w:val="18"/>
          <w:lang w:val="es-MX"/>
        </w:rPr>
        <w:t xml:space="preserve">Aristegui, I., &amp; Radusky, P. (2020). </w:t>
      </w:r>
      <w:hyperlink r:id="rId5" w:history="1">
        <w:r w:rsidRPr="00984794">
          <w:rPr>
            <w:rStyle w:val="Hyperlink"/>
            <w:rFonts w:ascii="Lato" w:hAnsi="Lato" w:cs="Times New Roman"/>
            <w:sz w:val="18"/>
            <w:szCs w:val="18"/>
            <w:lang w:val="es-MX"/>
          </w:rPr>
          <w:t>Salud mental en masculinidades trans y personas no binarias: un estudio descriptivo en Argentina.</w:t>
        </w:r>
      </w:hyperlink>
      <w:r w:rsidRPr="00984794">
        <w:rPr>
          <w:rFonts w:ascii="Lato" w:hAnsi="Lato" w:cs="Times New Roman"/>
          <w:sz w:val="18"/>
          <w:szCs w:val="18"/>
          <w:lang w:val="es-MX"/>
        </w:rPr>
        <w:t xml:space="preserve"> 12do </w:t>
      </w:r>
      <w:r>
        <w:rPr>
          <w:rFonts w:ascii="Lato" w:hAnsi="Lato" w:cs="Times New Roman"/>
          <w:sz w:val="18"/>
          <w:szCs w:val="18"/>
          <w:lang w:val="es-MX"/>
        </w:rPr>
        <w:t>Congreso Internacional de Investi</w:t>
      </w:r>
      <w:r w:rsidRPr="00984794">
        <w:rPr>
          <w:rFonts w:ascii="Lato" w:hAnsi="Lato" w:cs="Times New Roman"/>
          <w:sz w:val="18"/>
          <w:szCs w:val="18"/>
          <w:lang w:val="es-MX"/>
        </w:rPr>
        <w:t xml:space="preserve">gación y </w:t>
      </w:r>
      <w:r>
        <w:rPr>
          <w:rFonts w:ascii="Lato" w:hAnsi="Lato" w:cs="Times New Roman"/>
          <w:sz w:val="18"/>
          <w:szCs w:val="18"/>
          <w:lang w:val="es-MX"/>
        </w:rPr>
        <w:t>Prácti</w:t>
      </w:r>
      <w:r w:rsidRPr="00984794">
        <w:rPr>
          <w:rFonts w:ascii="Lato" w:hAnsi="Lato" w:cs="Times New Roman"/>
          <w:sz w:val="18"/>
          <w:szCs w:val="18"/>
          <w:lang w:val="es-MX"/>
        </w:rPr>
        <w:t>ca Profesional en Psi</w:t>
      </w:r>
      <w:r>
        <w:rPr>
          <w:rFonts w:ascii="Lato" w:hAnsi="Lato" w:cs="Times New Roman"/>
          <w:sz w:val="18"/>
          <w:szCs w:val="18"/>
          <w:lang w:val="es-MX"/>
        </w:rPr>
        <w:t>cología, 27th Jornadas de Investi</w:t>
      </w:r>
      <w:r w:rsidRPr="00984794">
        <w:rPr>
          <w:rFonts w:ascii="Lato" w:hAnsi="Lato" w:cs="Times New Roman"/>
          <w:sz w:val="18"/>
          <w:szCs w:val="18"/>
          <w:lang w:val="es-MX"/>
        </w:rPr>
        <w:t>g</w:t>
      </w:r>
      <w:r>
        <w:rPr>
          <w:rFonts w:ascii="Lato" w:hAnsi="Lato" w:cs="Times New Roman"/>
          <w:sz w:val="18"/>
          <w:szCs w:val="18"/>
          <w:lang w:val="es-MX"/>
        </w:rPr>
        <w:t>ación y 16to Encuentro de Investi</w:t>
      </w:r>
      <w:r w:rsidRPr="00984794">
        <w:rPr>
          <w:rFonts w:ascii="Lato" w:hAnsi="Lato" w:cs="Times New Roman"/>
          <w:sz w:val="18"/>
          <w:szCs w:val="18"/>
          <w:lang w:val="es-MX"/>
        </w:rPr>
        <w:t>gadores en Psicología del MERCOSUR</w:t>
      </w:r>
      <w:r>
        <w:rPr>
          <w:rFonts w:ascii="Lato" w:hAnsi="Lato" w:cs="Times New Roman"/>
          <w:sz w:val="18"/>
          <w:szCs w:val="18"/>
          <w:lang w:val="es-MX"/>
        </w:rPr>
        <w:t xml:space="preserve"> (UBA2020), Buenos Aires, Argentina. </w:t>
      </w:r>
      <w:r w:rsidRPr="00984794">
        <w:rPr>
          <w:rFonts w:ascii="Lato" w:hAnsi="Lato" w:cs="Times New Roman"/>
          <w:sz w:val="18"/>
          <w:szCs w:val="18"/>
          <w:lang w:val="en-US"/>
        </w:rPr>
        <w:t xml:space="preserve">Information shared by Fundación Huésped. </w:t>
      </w:r>
    </w:p>
  </w:footnote>
  <w:footnote w:id="11">
    <w:p w14:paraId="7A73E683" w14:textId="6B36E7CB" w:rsidR="003A552B" w:rsidRPr="00521FDE" w:rsidRDefault="003A552B" w:rsidP="00692D50">
      <w:pPr>
        <w:pStyle w:val="FootnoteText"/>
        <w:jc w:val="both"/>
        <w:rPr>
          <w:sz w:val="18"/>
          <w:szCs w:val="18"/>
        </w:rPr>
      </w:pPr>
      <w:r w:rsidRPr="00521FDE">
        <w:rPr>
          <w:rStyle w:val="FootnoteReference"/>
          <w:sz w:val="18"/>
          <w:szCs w:val="18"/>
        </w:rPr>
        <w:footnoteRef/>
      </w:r>
      <w:r w:rsidR="000D5025">
        <w:rPr>
          <w:sz w:val="18"/>
          <w:szCs w:val="18"/>
        </w:rPr>
        <w:t xml:space="preserve"> </w:t>
      </w:r>
      <w:r w:rsidRPr="00521FDE">
        <w:rPr>
          <w:rFonts w:ascii="Lato" w:hAnsi="Lato"/>
          <w:sz w:val="18"/>
          <w:szCs w:val="18"/>
          <w:lang w:val="en-US"/>
        </w:rPr>
        <w:t xml:space="preserve">Human Rights Watch, </w:t>
      </w:r>
      <w:r w:rsidRPr="00521FDE">
        <w:rPr>
          <w:rFonts w:ascii="Lato" w:hAnsi="Lato"/>
          <w:i/>
          <w:sz w:val="18"/>
          <w:szCs w:val="18"/>
          <w:lang w:val="en-US"/>
        </w:rPr>
        <w:t xml:space="preserve">‘Human Rights Dimensions of COVID-19 Response’ </w:t>
      </w:r>
      <w:r w:rsidRPr="00521FDE">
        <w:rPr>
          <w:rFonts w:ascii="Lato" w:hAnsi="Lato"/>
          <w:sz w:val="18"/>
          <w:szCs w:val="18"/>
          <w:lang w:val="en-US"/>
        </w:rPr>
        <w:t>&lt;</w:t>
      </w:r>
      <w:hyperlink r:id="rId6" w:history="1">
        <w:r w:rsidRPr="00521FDE">
          <w:rPr>
            <w:rStyle w:val="Hyperlink"/>
            <w:rFonts w:ascii="Lato" w:hAnsi="Lato"/>
            <w:sz w:val="18"/>
            <w:szCs w:val="18"/>
            <w:lang w:val="en-US"/>
          </w:rPr>
          <w:t>https://www.hrw.org/news/2020/03/19/human-rights-dimensions-covid-19-response</w:t>
        </w:r>
      </w:hyperlink>
      <w:r w:rsidRPr="00521FDE">
        <w:rPr>
          <w:rFonts w:ascii="Lato" w:hAnsi="Lato"/>
          <w:sz w:val="18"/>
          <w:szCs w:val="18"/>
          <w:lang w:val="en-US"/>
        </w:rPr>
        <w:t>&gt; accessed 29 June 2020.</w:t>
      </w:r>
    </w:p>
  </w:footnote>
  <w:footnote w:id="12">
    <w:p w14:paraId="3BDAA516" w14:textId="77777777" w:rsidR="003A552B" w:rsidRPr="00945D98" w:rsidRDefault="003A552B" w:rsidP="00692D50">
      <w:pPr>
        <w:pStyle w:val="FootnoteText"/>
        <w:jc w:val="both"/>
        <w:rPr>
          <w:sz w:val="18"/>
          <w:szCs w:val="18"/>
          <w:lang w:val="en-US"/>
        </w:rPr>
      </w:pPr>
      <w:r w:rsidRPr="00945D98">
        <w:rPr>
          <w:rStyle w:val="FootnoteReference"/>
          <w:sz w:val="18"/>
          <w:szCs w:val="18"/>
        </w:rPr>
        <w:footnoteRef/>
      </w:r>
      <w:r w:rsidRPr="00D1773A">
        <w:rPr>
          <w:sz w:val="18"/>
          <w:szCs w:val="18"/>
          <w:lang w:val="en-US"/>
        </w:rPr>
        <w:t xml:space="preserve"> </w:t>
      </w:r>
      <w:r w:rsidRPr="00D1773A">
        <w:rPr>
          <w:rFonts w:ascii="Lato" w:hAnsi="Lato" w:cs="Times New Roman"/>
          <w:sz w:val="18"/>
          <w:szCs w:val="18"/>
          <w:lang w:val="en-US"/>
        </w:rPr>
        <w:t xml:space="preserve">Radusky, P. D., Cardozo, N., Duarte, M., Fabian, S., Frontini, E., Sued, O. &amp; Aristegui, I. (2021). </w:t>
      </w:r>
      <w:hyperlink r:id="rId7" w:history="1">
        <w:r w:rsidRPr="00C526BA">
          <w:rPr>
            <w:rStyle w:val="Hyperlink"/>
            <w:rFonts w:ascii="Lato" w:hAnsi="Lato" w:cs="Times New Roman"/>
            <w:sz w:val="18"/>
            <w:szCs w:val="18"/>
            <w:lang w:val="en-US"/>
          </w:rPr>
          <w:t>Mental health, substance use, experiences of violence, and access to health care among transgender and non-binary people during the COVID-19 lockdown in Argentina. International Journal of Transgender Health</w:t>
        </w:r>
      </w:hyperlink>
      <w:r>
        <w:rPr>
          <w:rFonts w:ascii="Lato" w:hAnsi="Lato" w:cs="Times New Roman"/>
          <w:sz w:val="18"/>
          <w:szCs w:val="18"/>
          <w:lang w:val="en-US"/>
        </w:rPr>
        <w:t xml:space="preserve">. </w:t>
      </w:r>
      <w:r w:rsidRPr="00984794">
        <w:rPr>
          <w:rFonts w:ascii="Lato" w:hAnsi="Lato" w:cs="Times New Roman"/>
          <w:sz w:val="18"/>
          <w:szCs w:val="18"/>
          <w:lang w:val="en-US"/>
        </w:rPr>
        <w:t xml:space="preserve">Information shared by Fundación Huésped. </w:t>
      </w:r>
    </w:p>
  </w:footnote>
  <w:footnote w:id="13">
    <w:p w14:paraId="42DCA284" w14:textId="54DA1D3F" w:rsidR="000D5025" w:rsidRPr="000D5025" w:rsidRDefault="000D5025">
      <w:pPr>
        <w:pStyle w:val="FootnoteText"/>
        <w:rPr>
          <w:sz w:val="18"/>
          <w:szCs w:val="18"/>
          <w:lang w:val="en-US"/>
        </w:rPr>
      </w:pPr>
      <w:r w:rsidRPr="000D5025">
        <w:rPr>
          <w:rStyle w:val="FootnoteReference"/>
          <w:sz w:val="18"/>
          <w:szCs w:val="18"/>
        </w:rPr>
        <w:footnoteRef/>
      </w:r>
      <w:r w:rsidRPr="000D5025">
        <w:rPr>
          <w:sz w:val="18"/>
          <w:szCs w:val="18"/>
        </w:rPr>
        <w:t xml:space="preserve"> </w:t>
      </w:r>
      <w:hyperlink r:id="rId8" w:history="1">
        <w:r w:rsidRPr="000D5025">
          <w:rPr>
            <w:rStyle w:val="Hyperlink"/>
            <w:rFonts w:ascii="Lato" w:hAnsi="Lato" w:cs="Times New Roman"/>
            <w:sz w:val="18"/>
            <w:szCs w:val="18"/>
            <w:lang w:val="en-US"/>
          </w:rPr>
          <w:t>Human Rights of LGBTI People in Europe: Current Threats to Equal Rights, Challenges Faced by Defenders, and the Way Forward: Round-table with LGBTI human rights defenders</w:t>
        </w:r>
      </w:hyperlink>
      <w:r w:rsidRPr="000D5025">
        <w:rPr>
          <w:rFonts w:ascii="Lato" w:hAnsi="Lato" w:cs="Times New Roman"/>
          <w:sz w:val="18"/>
          <w:szCs w:val="18"/>
          <w:lang w:val="en-US"/>
        </w:rPr>
        <w:t xml:space="preserve">, Strasbourg, 8 December 2021, CommDH(2021)32 (9 Feb 2021), para 56.  </w:t>
      </w:r>
    </w:p>
  </w:footnote>
  <w:footnote w:id="14">
    <w:p w14:paraId="6BE98E09" w14:textId="3CDCF405" w:rsidR="005353CB" w:rsidRPr="005353CB" w:rsidRDefault="005353CB">
      <w:pPr>
        <w:pStyle w:val="FootnoteText"/>
        <w:rPr>
          <w:sz w:val="18"/>
          <w:szCs w:val="18"/>
          <w:lang w:val="en-US"/>
        </w:rPr>
      </w:pPr>
      <w:r w:rsidRPr="005353CB">
        <w:rPr>
          <w:rStyle w:val="FootnoteReference"/>
          <w:sz w:val="18"/>
          <w:szCs w:val="18"/>
        </w:rPr>
        <w:footnoteRef/>
      </w:r>
      <w:r w:rsidRPr="005353CB">
        <w:rPr>
          <w:sz w:val="18"/>
          <w:szCs w:val="18"/>
        </w:rPr>
        <w:t xml:space="preserve"> </w:t>
      </w:r>
      <w:r w:rsidRPr="005353CB">
        <w:rPr>
          <w:rFonts w:ascii="Lato" w:hAnsi="Lato" w:cs="Times New Roman"/>
          <w:sz w:val="18"/>
          <w:szCs w:val="18"/>
          <w:lang w:val="en-US"/>
        </w:rPr>
        <w:t xml:space="preserve">ILGA World: Lucas Ramon Mendos, </w:t>
      </w:r>
      <w:hyperlink r:id="rId9" w:history="1">
        <w:r w:rsidRPr="005353CB">
          <w:rPr>
            <w:rStyle w:val="Hyperlink"/>
            <w:rFonts w:ascii="Lato" w:hAnsi="Lato" w:cs="Times New Roman"/>
            <w:sz w:val="18"/>
            <w:szCs w:val="18"/>
            <w:lang w:val="en-US"/>
          </w:rPr>
          <w:t>Curbing Deception: A world survey on legal regulation of so-called “conversion therapies”</w:t>
        </w:r>
      </w:hyperlink>
      <w:r w:rsidRPr="005353CB">
        <w:rPr>
          <w:rFonts w:ascii="Lato" w:hAnsi="Lato" w:cs="Times New Roman"/>
          <w:sz w:val="18"/>
          <w:szCs w:val="18"/>
          <w:lang w:val="en-US"/>
        </w:rPr>
        <w:t xml:space="preserve"> (Geneva: ILGA World, 2020).  </w:t>
      </w:r>
    </w:p>
  </w:footnote>
  <w:footnote w:id="15">
    <w:p w14:paraId="531540ED" w14:textId="07C2A432" w:rsidR="005353CB" w:rsidRPr="005353CB" w:rsidRDefault="005353CB">
      <w:pPr>
        <w:pStyle w:val="FootnoteText"/>
        <w:rPr>
          <w:sz w:val="18"/>
          <w:szCs w:val="18"/>
          <w:lang w:val="en-US"/>
        </w:rPr>
      </w:pPr>
      <w:r w:rsidRPr="005353CB">
        <w:rPr>
          <w:rStyle w:val="FootnoteReference"/>
          <w:sz w:val="18"/>
          <w:szCs w:val="18"/>
        </w:rPr>
        <w:footnoteRef/>
      </w:r>
      <w:r w:rsidRPr="005353CB">
        <w:rPr>
          <w:sz w:val="18"/>
          <w:szCs w:val="18"/>
        </w:rPr>
        <w:t xml:space="preserve"> </w:t>
      </w:r>
      <w:hyperlink r:id="rId10" w:history="1">
        <w:r w:rsidRPr="005353CB">
          <w:rPr>
            <w:rStyle w:val="Hyperlink"/>
            <w:rFonts w:ascii="Lato" w:hAnsi="Lato" w:cs="Times New Roman"/>
            <w:sz w:val="18"/>
            <w:szCs w:val="18"/>
            <w:lang w:val="en-US"/>
          </w:rPr>
          <w:t>A/HRC/44/53</w:t>
        </w:r>
      </w:hyperlink>
      <w:r w:rsidRPr="005353CB">
        <w:rPr>
          <w:rFonts w:ascii="Lato" w:hAnsi="Lato" w:cs="Times New Roman"/>
          <w:sz w:val="18"/>
          <w:szCs w:val="18"/>
          <w:lang w:val="en-US"/>
        </w:rPr>
        <w:t xml:space="preserve"> (1 May 2020).  </w:t>
      </w:r>
    </w:p>
  </w:footnote>
  <w:footnote w:id="16">
    <w:p w14:paraId="7A56F014" w14:textId="77777777" w:rsidR="005353CB" w:rsidRPr="00133CF1" w:rsidRDefault="005353CB" w:rsidP="005353CB">
      <w:pPr>
        <w:pStyle w:val="FootnoteText"/>
        <w:jc w:val="both"/>
        <w:rPr>
          <w:sz w:val="18"/>
          <w:szCs w:val="18"/>
        </w:rPr>
      </w:pPr>
      <w:r w:rsidRPr="00133CF1">
        <w:rPr>
          <w:rStyle w:val="FootnoteReference"/>
          <w:sz w:val="18"/>
          <w:szCs w:val="18"/>
        </w:rPr>
        <w:footnoteRef/>
      </w:r>
      <w:r w:rsidRPr="00133CF1">
        <w:rPr>
          <w:sz w:val="18"/>
          <w:szCs w:val="18"/>
        </w:rPr>
        <w:t xml:space="preserve"> </w:t>
      </w:r>
      <w:r>
        <w:rPr>
          <w:rFonts w:ascii="Lato" w:hAnsi="Lato" w:cs="Times New Roman"/>
          <w:sz w:val="18"/>
          <w:szCs w:val="18"/>
        </w:rPr>
        <w:t>Su</w:t>
      </w:r>
      <w:r w:rsidRPr="00133CF1">
        <w:rPr>
          <w:rFonts w:ascii="Lato" w:hAnsi="Lato" w:cs="Times New Roman"/>
          <w:sz w:val="18"/>
          <w:szCs w:val="18"/>
          <w:lang w:val="en-CA"/>
        </w:rPr>
        <w:t xml:space="preserve">ch as the </w:t>
      </w:r>
      <w:hyperlink r:id="rId11" w:history="1">
        <w:r>
          <w:rPr>
            <w:rStyle w:val="Hyperlink"/>
            <w:rFonts w:ascii="Lato" w:hAnsi="Lato" w:cs="Times New Roman"/>
            <w:sz w:val="18"/>
            <w:szCs w:val="18"/>
            <w:lang w:val="en-CA"/>
          </w:rPr>
          <w:t>resources</w:t>
        </w:r>
        <w:r w:rsidRPr="00133CF1">
          <w:rPr>
            <w:rStyle w:val="Hyperlink"/>
            <w:rFonts w:ascii="Lato" w:hAnsi="Lato" w:cs="Times New Roman"/>
            <w:sz w:val="18"/>
            <w:szCs w:val="18"/>
            <w:lang w:val="en-CA"/>
          </w:rPr>
          <w:t xml:space="preserve"> available by the National Centre for Trans Equality</w:t>
        </w:r>
      </w:hyperlink>
    </w:p>
  </w:footnote>
  <w:footnote w:id="17">
    <w:p w14:paraId="2DC2D89A" w14:textId="5B7636CE" w:rsidR="005353CB" w:rsidRPr="005353CB" w:rsidRDefault="005353CB">
      <w:pPr>
        <w:pStyle w:val="FootnoteText"/>
        <w:rPr>
          <w:sz w:val="18"/>
          <w:szCs w:val="18"/>
        </w:rPr>
      </w:pPr>
      <w:r w:rsidRPr="005353CB">
        <w:rPr>
          <w:rStyle w:val="FootnoteReference"/>
          <w:sz w:val="18"/>
          <w:szCs w:val="18"/>
        </w:rPr>
        <w:footnoteRef/>
      </w:r>
      <w:r w:rsidRPr="005353CB">
        <w:rPr>
          <w:sz w:val="18"/>
          <w:szCs w:val="18"/>
        </w:rPr>
        <w:t xml:space="preserve"> </w:t>
      </w:r>
      <w:r w:rsidRPr="005353CB">
        <w:rPr>
          <w:rFonts w:ascii="Lato" w:hAnsi="Lato" w:cs="Times New Roman"/>
          <w:sz w:val="18"/>
          <w:szCs w:val="18"/>
          <w:lang w:val="en-US"/>
        </w:rPr>
        <w:t xml:space="preserve">Cisgender: a term referring to those people whose gender identity and gender expression match the sex they were assigned at birth and the social expectations related to their gender. See </w:t>
      </w:r>
      <w:hyperlink r:id="rId12" w:history="1">
        <w:r w:rsidRPr="005353CB">
          <w:rPr>
            <w:rStyle w:val="Hyperlink"/>
            <w:rFonts w:ascii="Lato" w:hAnsi="Lato" w:cs="Times New Roman"/>
            <w:sz w:val="18"/>
            <w:szCs w:val="18"/>
            <w:lang w:val="en-US"/>
          </w:rPr>
          <w:t xml:space="preserve">ILGA Europe Glossary </w:t>
        </w:r>
      </w:hyperlink>
      <w:r w:rsidRPr="005353CB">
        <w:rPr>
          <w:rFonts w:ascii="Lato" w:hAnsi="Lato" w:cs="Times New Roman"/>
          <w:sz w:val="18"/>
          <w:szCs w:val="18"/>
          <w:lang w:val="en-US"/>
        </w:rPr>
        <w:t xml:space="preserve"> </w:t>
      </w:r>
    </w:p>
  </w:footnote>
  <w:footnote w:id="18">
    <w:p w14:paraId="0737BF83" w14:textId="77777777" w:rsidR="003A552B" w:rsidRPr="00654AAC" w:rsidRDefault="003A552B" w:rsidP="00692D50">
      <w:pPr>
        <w:pStyle w:val="FootnoteText"/>
        <w:jc w:val="both"/>
        <w:rPr>
          <w:sz w:val="18"/>
          <w:szCs w:val="18"/>
          <w:lang w:val="en-US"/>
        </w:rPr>
      </w:pPr>
      <w:r w:rsidRPr="00654AAC">
        <w:rPr>
          <w:rStyle w:val="FootnoteReference"/>
          <w:sz w:val="18"/>
          <w:szCs w:val="18"/>
        </w:rPr>
        <w:footnoteRef/>
      </w:r>
      <w:r w:rsidRPr="00654AAC">
        <w:rPr>
          <w:sz w:val="18"/>
          <w:szCs w:val="18"/>
        </w:rPr>
        <w:t xml:space="preserve"> </w:t>
      </w:r>
      <w:r w:rsidRPr="00654AAC">
        <w:rPr>
          <w:rFonts w:ascii="Lato" w:hAnsi="Lato" w:cs="Times New Roman"/>
          <w:sz w:val="18"/>
          <w:szCs w:val="18"/>
          <w:lang w:val="en-US"/>
        </w:rPr>
        <w:t>Chivuli Ukwimi</w:t>
      </w:r>
      <w:r>
        <w:rPr>
          <w:rFonts w:ascii="Lato" w:hAnsi="Lato" w:cs="Times New Roman"/>
          <w:sz w:val="18"/>
          <w:szCs w:val="18"/>
          <w:lang w:val="en-US"/>
        </w:rPr>
        <w:t>,</w:t>
      </w:r>
      <w:r w:rsidRPr="00654AAC">
        <w:rPr>
          <w:rFonts w:ascii="Candara" w:eastAsiaTheme="minorHAnsi" w:hAnsi="Candara" w:cs="Candara"/>
          <w:color w:val="FFFFFF"/>
          <w:sz w:val="27"/>
          <w:szCs w:val="27"/>
          <w:lang w:val="en-US"/>
        </w:rPr>
        <w:t xml:space="preserve"> </w:t>
      </w:r>
      <w:r w:rsidRPr="00654AAC">
        <w:rPr>
          <w:rFonts w:ascii="Lato" w:hAnsi="Lato" w:cs="Times New Roman"/>
          <w:sz w:val="18"/>
          <w:szCs w:val="18"/>
          <w:lang w:val="en-US"/>
        </w:rPr>
        <w:t>East Africa Trans Health &amp; Advocacy Network</w:t>
      </w:r>
      <w:r>
        <w:rPr>
          <w:rFonts w:ascii="Lato" w:hAnsi="Lato" w:cs="Times New Roman"/>
          <w:sz w:val="18"/>
          <w:szCs w:val="18"/>
          <w:lang w:val="en-US"/>
        </w:rPr>
        <w:t xml:space="preserve">, (2020) </w:t>
      </w:r>
      <w:hyperlink r:id="rId13" w:history="1">
        <w:r w:rsidRPr="002B4D0C">
          <w:rPr>
            <w:rStyle w:val="Hyperlink"/>
            <w:rFonts w:ascii="Lato" w:hAnsi="Lato" w:cs="Times New Roman"/>
            <w:sz w:val="18"/>
            <w:szCs w:val="18"/>
            <w:lang w:val="en-US"/>
          </w:rPr>
          <w:t>Legal Gender Recognition and Access to Trans-Affirming HealthCare in East Africa</w:t>
        </w:r>
      </w:hyperlink>
      <w:r>
        <w:rPr>
          <w:rFonts w:ascii="Lato" w:hAnsi="Lato" w:cs="Times New Roman"/>
          <w:sz w:val="18"/>
          <w:szCs w:val="18"/>
          <w:lang w:val="en-US"/>
        </w:rPr>
        <w:t>. P. 10</w:t>
      </w:r>
    </w:p>
  </w:footnote>
  <w:footnote w:id="19">
    <w:p w14:paraId="09D99B1C" w14:textId="139269E0" w:rsidR="003A552B" w:rsidRPr="0080676D" w:rsidRDefault="003A552B" w:rsidP="00692D50">
      <w:pPr>
        <w:pStyle w:val="FootnoteText"/>
        <w:jc w:val="both"/>
        <w:rPr>
          <w:rFonts w:ascii="Lato" w:hAnsi="Lato" w:cs="Times New Roman"/>
          <w:sz w:val="18"/>
          <w:szCs w:val="18"/>
          <w:lang w:val="en-US"/>
        </w:rPr>
      </w:pPr>
      <w:r w:rsidRPr="0080676D">
        <w:rPr>
          <w:rStyle w:val="FootnoteReference"/>
          <w:sz w:val="18"/>
          <w:szCs w:val="18"/>
        </w:rPr>
        <w:footnoteRef/>
      </w:r>
      <w:r w:rsidRPr="0080676D">
        <w:rPr>
          <w:sz w:val="18"/>
          <w:szCs w:val="18"/>
        </w:rPr>
        <w:t xml:space="preserve"> </w:t>
      </w:r>
      <w:r>
        <w:rPr>
          <w:rFonts w:ascii="Lato" w:hAnsi="Lato" w:cs="Times New Roman"/>
          <w:sz w:val="18"/>
          <w:szCs w:val="18"/>
          <w:lang w:val="en-US"/>
        </w:rPr>
        <w:t xml:space="preserve">FACSDIS, </w:t>
      </w:r>
      <w:r w:rsidRPr="0029752A">
        <w:rPr>
          <w:rFonts w:ascii="Lato" w:hAnsi="Lato" w:cs="Times New Roman"/>
          <w:sz w:val="18"/>
          <w:szCs w:val="18"/>
          <w:lang w:val="en-US"/>
        </w:rPr>
        <w:t xml:space="preserve">(2020) </w:t>
      </w:r>
      <w:r w:rsidRPr="0080676D">
        <w:rPr>
          <w:rFonts w:ascii="Lato" w:hAnsi="Lato" w:cs="Times New Roman"/>
          <w:sz w:val="18"/>
          <w:szCs w:val="18"/>
          <w:lang w:val="en-US"/>
        </w:rPr>
        <w:t>Amsterdam: COC Netherlands.</w:t>
      </w:r>
      <w:r>
        <w:rPr>
          <w:rFonts w:ascii="Lato" w:hAnsi="Lato" w:cs="Times New Roman"/>
          <w:sz w:val="18"/>
          <w:szCs w:val="18"/>
          <w:lang w:val="en-US"/>
        </w:rPr>
        <w:t xml:space="preserve"> Ibid.</w:t>
      </w:r>
    </w:p>
  </w:footnote>
  <w:footnote w:id="20">
    <w:p w14:paraId="21B047F7" w14:textId="52DAB86D" w:rsidR="005353CB" w:rsidRPr="005353CB" w:rsidRDefault="005353CB">
      <w:pPr>
        <w:pStyle w:val="FootnoteText"/>
        <w:rPr>
          <w:sz w:val="18"/>
          <w:szCs w:val="18"/>
          <w:lang w:val="en-US"/>
        </w:rPr>
      </w:pPr>
      <w:r w:rsidRPr="005353CB">
        <w:rPr>
          <w:rStyle w:val="FootnoteReference"/>
          <w:sz w:val="18"/>
          <w:szCs w:val="18"/>
        </w:rPr>
        <w:footnoteRef/>
      </w:r>
      <w:r w:rsidRPr="005353CB">
        <w:rPr>
          <w:sz w:val="18"/>
          <w:szCs w:val="18"/>
        </w:rPr>
        <w:t xml:space="preserve"> </w:t>
      </w:r>
      <w:r w:rsidRPr="005353CB">
        <w:rPr>
          <w:rFonts w:ascii="Lato" w:hAnsi="Lato" w:cs="Times New Roman"/>
          <w:sz w:val="18"/>
          <w:szCs w:val="18"/>
          <w:lang w:val="en-US"/>
        </w:rPr>
        <w:t xml:space="preserve">Transhälsan (2021), Mistreatment of transgender persons in Sweden: submission to the 72nd session of the Committee against Torture (CAT).  </w:t>
      </w:r>
    </w:p>
  </w:footnote>
  <w:footnote w:id="21">
    <w:p w14:paraId="20970021" w14:textId="77777777" w:rsidR="003A552B" w:rsidRPr="00C526BA" w:rsidRDefault="003A552B" w:rsidP="00692D50">
      <w:pPr>
        <w:pStyle w:val="FootnoteText"/>
        <w:jc w:val="both"/>
        <w:rPr>
          <w:sz w:val="18"/>
          <w:szCs w:val="18"/>
          <w:lang w:val="en-US"/>
        </w:rPr>
      </w:pPr>
      <w:r w:rsidRPr="00C526BA">
        <w:rPr>
          <w:rStyle w:val="FootnoteReference"/>
          <w:sz w:val="18"/>
          <w:szCs w:val="18"/>
        </w:rPr>
        <w:footnoteRef/>
      </w:r>
      <w:r w:rsidRPr="00C526BA">
        <w:rPr>
          <w:sz w:val="18"/>
          <w:szCs w:val="18"/>
        </w:rPr>
        <w:t xml:space="preserve"> </w:t>
      </w:r>
      <w:r w:rsidRPr="00C526BA">
        <w:rPr>
          <w:rFonts w:ascii="Lato" w:eastAsia="Lato" w:hAnsi="Lato" w:cs="Lato"/>
          <w:color w:val="7902AB"/>
          <w:sz w:val="12"/>
          <w:szCs w:val="12"/>
          <w:lang w:val="en-US"/>
        </w:rPr>
        <w:t xml:space="preserve"> </w:t>
      </w:r>
      <w:r w:rsidRPr="00C526BA">
        <w:rPr>
          <w:rFonts w:ascii="Lato" w:hAnsi="Lato" w:cs="Times New Roman"/>
          <w:sz w:val="18"/>
          <w:szCs w:val="18"/>
          <w:lang w:val="en-US"/>
        </w:rPr>
        <w:t xml:space="preserve">Nikoletta Pikramenou </w:t>
      </w:r>
      <w:r>
        <w:rPr>
          <w:rFonts w:ascii="Lato" w:hAnsi="Lato" w:cs="Times New Roman"/>
          <w:sz w:val="18"/>
          <w:szCs w:val="18"/>
          <w:lang w:val="en-US"/>
        </w:rPr>
        <w:t>(</w:t>
      </w:r>
      <w:r w:rsidRPr="00C526BA">
        <w:rPr>
          <w:rFonts w:ascii="Lato" w:hAnsi="Lato" w:cs="Times New Roman"/>
          <w:sz w:val="18"/>
          <w:szCs w:val="18"/>
          <w:lang w:val="en-US"/>
        </w:rPr>
        <w:t>2020</w:t>
      </w:r>
      <w:r>
        <w:rPr>
          <w:rFonts w:ascii="Lato" w:hAnsi="Lato" w:cs="Times New Roman"/>
          <w:sz w:val="18"/>
          <w:szCs w:val="18"/>
          <w:lang w:val="en-US"/>
        </w:rPr>
        <w:t xml:space="preserve">) </w:t>
      </w:r>
      <w:hyperlink r:id="rId14" w:history="1">
        <w:r w:rsidRPr="00C526BA">
          <w:rPr>
            <w:rStyle w:val="Hyperlink"/>
            <w:rFonts w:ascii="Lato" w:hAnsi="Lato" w:cs="Times New Roman"/>
            <w:sz w:val="18"/>
            <w:szCs w:val="18"/>
            <w:lang w:val="en-US"/>
          </w:rPr>
          <w:t>Intersex Rights. Living Between Sexes</w:t>
        </w:r>
      </w:hyperlink>
      <w:r w:rsidRPr="00C526BA">
        <w:rPr>
          <w:rFonts w:ascii="Lato" w:hAnsi="Lato" w:cs="Times New Roman"/>
          <w:sz w:val="18"/>
          <w:szCs w:val="18"/>
          <w:lang w:val="en-US"/>
        </w:rPr>
        <w:t>.</w:t>
      </w:r>
      <w:r>
        <w:rPr>
          <w:rFonts w:ascii="Lato" w:hAnsi="Lato" w:cs="Times New Roman"/>
          <w:sz w:val="18"/>
          <w:szCs w:val="18"/>
          <w:lang w:val="en-US"/>
        </w:rPr>
        <w:t xml:space="preserve"> </w:t>
      </w:r>
      <w:r w:rsidRPr="00C526BA">
        <w:rPr>
          <w:rFonts w:ascii="Lato" w:hAnsi="Lato" w:cs="Times New Roman"/>
          <w:sz w:val="18"/>
          <w:szCs w:val="18"/>
          <w:lang w:val="en-US"/>
        </w:rPr>
        <w:t>Chapter 3 and 4.</w:t>
      </w:r>
    </w:p>
  </w:footnote>
  <w:footnote w:id="22">
    <w:p w14:paraId="5BECB0C7" w14:textId="77777777" w:rsidR="003A552B" w:rsidRPr="001C1B41" w:rsidRDefault="003A552B" w:rsidP="00692D50">
      <w:pPr>
        <w:pBdr>
          <w:top w:val="nil"/>
          <w:left w:val="nil"/>
          <w:bottom w:val="nil"/>
          <w:right w:val="nil"/>
          <w:between w:val="nil"/>
        </w:pBdr>
        <w:spacing w:after="40"/>
        <w:ind w:left="340" w:hanging="340"/>
        <w:jc w:val="both"/>
        <w:rPr>
          <w:rFonts w:ascii="Lato" w:eastAsia="Lato" w:hAnsi="Lato" w:cs="Lato"/>
          <w:color w:val="7902AB"/>
          <w:sz w:val="12"/>
          <w:szCs w:val="12"/>
          <w:lang w:val="en-US"/>
        </w:rPr>
      </w:pPr>
      <w:r>
        <w:rPr>
          <w:rStyle w:val="FootnoteReference"/>
        </w:rPr>
        <w:footnoteRef/>
      </w:r>
      <w:r>
        <w:t>J</w:t>
      </w:r>
      <w:r w:rsidRPr="00C526BA">
        <w:rPr>
          <w:rFonts w:ascii="Lato" w:hAnsi="Lato" w:cs="Times New Roman"/>
          <w:sz w:val="18"/>
          <w:szCs w:val="18"/>
          <w:lang w:val="en-US"/>
        </w:rPr>
        <w:t xml:space="preserve">ones T. </w:t>
      </w:r>
      <w:r>
        <w:rPr>
          <w:rFonts w:ascii="Lato" w:hAnsi="Lato" w:cs="Times New Roman"/>
          <w:sz w:val="18"/>
          <w:szCs w:val="18"/>
          <w:lang w:val="en-US"/>
        </w:rPr>
        <w:t xml:space="preserve">(2018) </w:t>
      </w:r>
      <w:r w:rsidRPr="00C526BA">
        <w:rPr>
          <w:rFonts w:ascii="Lato" w:hAnsi="Lato" w:cs="Times New Roman"/>
          <w:sz w:val="18"/>
          <w:szCs w:val="18"/>
          <w:lang w:val="en-US"/>
        </w:rPr>
        <w:t xml:space="preserve">Intersex Studies: </w:t>
      </w:r>
      <w:hyperlink r:id="rId15" w:history="1">
        <w:r w:rsidRPr="00C526BA">
          <w:rPr>
            <w:rStyle w:val="Hyperlink"/>
            <w:rFonts w:ascii="Lato" w:hAnsi="Lato" w:cs="Times New Roman"/>
            <w:sz w:val="18"/>
            <w:szCs w:val="18"/>
            <w:lang w:val="en-US"/>
          </w:rPr>
          <w:t>A systematic review of international health literature</w:t>
        </w:r>
      </w:hyperlink>
      <w:r>
        <w:rPr>
          <w:rFonts w:ascii="Lato" w:hAnsi="Lato" w:cs="Times New Roman"/>
          <w:sz w:val="18"/>
          <w:szCs w:val="18"/>
          <w:lang w:val="en-US"/>
        </w:rPr>
        <w:t>. SAGE Open.</w:t>
      </w:r>
    </w:p>
  </w:footnote>
  <w:footnote w:id="23">
    <w:p w14:paraId="2246A460" w14:textId="77777777" w:rsidR="003A552B" w:rsidRPr="0095253F" w:rsidRDefault="003A552B" w:rsidP="00692D50">
      <w:pPr>
        <w:pBdr>
          <w:top w:val="nil"/>
          <w:left w:val="nil"/>
          <w:bottom w:val="nil"/>
          <w:right w:val="nil"/>
          <w:between w:val="nil"/>
        </w:pBdr>
        <w:spacing w:after="40"/>
        <w:ind w:left="340" w:hanging="340"/>
        <w:jc w:val="both"/>
        <w:rPr>
          <w:rFonts w:ascii="Lato" w:eastAsia="Lato" w:hAnsi="Lato" w:cs="Lato"/>
          <w:color w:val="7902AB"/>
          <w:sz w:val="18"/>
          <w:szCs w:val="18"/>
          <w:lang w:val="es-MX"/>
        </w:rPr>
      </w:pPr>
      <w:r>
        <w:rPr>
          <w:rStyle w:val="FootnoteReference"/>
        </w:rPr>
        <w:footnoteRef/>
      </w:r>
      <w:r w:rsidRPr="001C1B41">
        <w:rPr>
          <w:rFonts w:ascii="Lato" w:eastAsia="Lato" w:hAnsi="Lato" w:cs="Lato"/>
          <w:color w:val="7902AB"/>
          <w:sz w:val="12"/>
          <w:szCs w:val="12"/>
          <w:lang w:val="en-US"/>
        </w:rPr>
        <w:t xml:space="preserve">  </w:t>
      </w:r>
      <w:r w:rsidRPr="00C526BA">
        <w:rPr>
          <w:rFonts w:ascii="Lato" w:eastAsia="Lato" w:hAnsi="Lato" w:cs="Lato"/>
          <w:sz w:val="18"/>
          <w:szCs w:val="18"/>
          <w:lang w:val="en-US"/>
        </w:rPr>
        <w:t xml:space="preserve">Thyen U., Lux A., Jürgensen M., Hiort O., Köhler B. (2014) </w:t>
      </w:r>
      <w:hyperlink r:id="rId16" w:history="1">
        <w:r w:rsidRPr="0095253F">
          <w:rPr>
            <w:rStyle w:val="Hyperlink"/>
            <w:rFonts w:ascii="Lato" w:eastAsia="Lato" w:hAnsi="Lato" w:cs="Lato"/>
            <w:sz w:val="18"/>
            <w:szCs w:val="18"/>
            <w:lang w:val="en-US"/>
          </w:rPr>
          <w:t>Utilization of health care services and satisfaction with care in adults affected by disorders of sex development</w:t>
        </w:r>
      </w:hyperlink>
      <w:r w:rsidRPr="00C526BA">
        <w:rPr>
          <w:rFonts w:ascii="Lato" w:eastAsia="Lato" w:hAnsi="Lato" w:cs="Lato"/>
          <w:sz w:val="18"/>
          <w:szCs w:val="18"/>
          <w:lang w:val="en-US"/>
        </w:rPr>
        <w:t xml:space="preserve"> (DSD) </w:t>
      </w:r>
      <w:r w:rsidRPr="00C526BA">
        <w:rPr>
          <w:rFonts w:ascii="Lato" w:eastAsia="Lato" w:hAnsi="Lato" w:cs="Lato"/>
          <w:i/>
          <w:sz w:val="18"/>
          <w:szCs w:val="18"/>
          <w:lang w:val="en-US"/>
        </w:rPr>
        <w:t xml:space="preserve">J. Gen. Intern. </w:t>
      </w:r>
      <w:r w:rsidRPr="0095253F">
        <w:rPr>
          <w:rFonts w:ascii="Lato" w:eastAsia="Lato" w:hAnsi="Lato" w:cs="Lato"/>
          <w:i/>
          <w:sz w:val="18"/>
          <w:szCs w:val="18"/>
          <w:lang w:val="es-MX"/>
        </w:rPr>
        <w:t>Med</w:t>
      </w:r>
    </w:p>
  </w:footnote>
  <w:footnote w:id="24">
    <w:p w14:paraId="11B12EC3" w14:textId="77777777" w:rsidR="003A552B" w:rsidRPr="0095253F" w:rsidRDefault="003A552B" w:rsidP="00692D50">
      <w:pPr>
        <w:pStyle w:val="FootnoteText"/>
        <w:jc w:val="both"/>
        <w:rPr>
          <w:sz w:val="18"/>
          <w:szCs w:val="18"/>
          <w:lang w:val="es-MX"/>
        </w:rPr>
      </w:pPr>
      <w:r w:rsidRPr="0095253F">
        <w:rPr>
          <w:rStyle w:val="FootnoteReference"/>
          <w:sz w:val="18"/>
          <w:szCs w:val="18"/>
        </w:rPr>
        <w:footnoteRef/>
      </w:r>
      <w:r w:rsidRPr="0095253F">
        <w:rPr>
          <w:sz w:val="18"/>
          <w:szCs w:val="18"/>
          <w:lang w:val="es-MX"/>
        </w:rPr>
        <w:t xml:space="preserve"> </w:t>
      </w:r>
      <w:r w:rsidRPr="0095253F">
        <w:rPr>
          <w:rFonts w:ascii="Lato" w:eastAsia="Lato" w:hAnsi="Lato" w:cs="Lato"/>
          <w:sz w:val="18"/>
          <w:szCs w:val="18"/>
          <w:lang w:val="es-MX"/>
        </w:rPr>
        <w:t xml:space="preserve">Brújula intersexual (2018). </w:t>
      </w:r>
      <w:hyperlink r:id="rId17" w:history="1">
        <w:r w:rsidRPr="0095253F">
          <w:rPr>
            <w:rStyle w:val="Hyperlink"/>
            <w:rFonts w:ascii="Lato" w:eastAsia="Lato" w:hAnsi="Lato" w:cs="Lato"/>
            <w:bCs/>
            <w:sz w:val="18"/>
            <w:szCs w:val="18"/>
            <w:lang w:val="es-MX"/>
          </w:rPr>
          <w:t>Mutilación Genital Intersex Violaciones de los derechos humanos de los niños con variaciones de la anatomía sexual</w:t>
        </w:r>
      </w:hyperlink>
      <w:r>
        <w:rPr>
          <w:rFonts w:ascii="Lato" w:eastAsia="Lato" w:hAnsi="Lato" w:cs="Lato"/>
          <w:bCs/>
          <w:sz w:val="18"/>
          <w:szCs w:val="18"/>
          <w:lang w:val="es-MX"/>
        </w:rPr>
        <w:t xml:space="preserve">. </w:t>
      </w:r>
      <w:r w:rsidRPr="0095253F">
        <w:rPr>
          <w:rFonts w:ascii="Lato" w:eastAsia="Lato" w:hAnsi="Lato" w:cs="Lato"/>
          <w:bCs/>
          <w:sz w:val="18"/>
          <w:szCs w:val="18"/>
          <w:lang w:val="es-MX"/>
        </w:rPr>
        <w:t>Informe de ONG para el 9o informe periódico de México sobre la Convención sobre la eliminación de todas las formas de discriminación contra la mujer (CEDAW)</w:t>
      </w:r>
    </w:p>
  </w:footnote>
  <w:footnote w:id="25">
    <w:p w14:paraId="57CC5D2C" w14:textId="39E2315E" w:rsidR="003A552B" w:rsidRPr="00E01C91" w:rsidRDefault="003A552B" w:rsidP="00692D50">
      <w:pPr>
        <w:pStyle w:val="FootnoteText"/>
        <w:jc w:val="both"/>
        <w:rPr>
          <w:sz w:val="18"/>
          <w:szCs w:val="18"/>
          <w:lang w:val="en-US"/>
        </w:rPr>
      </w:pPr>
      <w:r w:rsidRPr="00E01C91">
        <w:rPr>
          <w:rStyle w:val="FootnoteReference"/>
          <w:sz w:val="18"/>
          <w:szCs w:val="18"/>
        </w:rPr>
        <w:footnoteRef/>
      </w:r>
      <w:r w:rsidRPr="00E01C91">
        <w:rPr>
          <w:sz w:val="18"/>
          <w:szCs w:val="18"/>
        </w:rPr>
        <w:t xml:space="preserve"> </w:t>
      </w:r>
      <w:r>
        <w:rPr>
          <w:rFonts w:ascii="Lato" w:hAnsi="Lato" w:cs="Times New Roman"/>
          <w:sz w:val="18"/>
          <w:szCs w:val="18"/>
        </w:rPr>
        <w:t>Information shared by Young Queer Alliance (2021)</w:t>
      </w:r>
      <w:r w:rsidR="00692D50" w:rsidRPr="00692D50">
        <w:rPr>
          <w:rFonts w:asciiTheme="minorHAnsi" w:eastAsiaTheme="minorHAnsi" w:hAnsiTheme="minorHAnsi" w:cstheme="minorBidi"/>
          <w:sz w:val="18"/>
          <w:szCs w:val="18"/>
          <w:lang w:val="en-US"/>
        </w:rPr>
        <w:t xml:space="preserve"> </w:t>
      </w:r>
    </w:p>
  </w:footnote>
  <w:footnote w:id="26">
    <w:p w14:paraId="5E0893F8" w14:textId="67D41BD3" w:rsidR="003A552B" w:rsidRPr="00D1773A" w:rsidRDefault="003A552B" w:rsidP="00692D50">
      <w:pPr>
        <w:pStyle w:val="FootnoteText"/>
        <w:jc w:val="both"/>
        <w:rPr>
          <w:sz w:val="18"/>
          <w:szCs w:val="18"/>
          <w:lang w:val="en-US"/>
        </w:rPr>
      </w:pPr>
      <w:r w:rsidRPr="00265904">
        <w:rPr>
          <w:rStyle w:val="FootnoteReference"/>
          <w:sz w:val="18"/>
          <w:szCs w:val="18"/>
        </w:rPr>
        <w:footnoteRef/>
      </w:r>
      <w:r w:rsidRPr="00265904">
        <w:rPr>
          <w:sz w:val="18"/>
          <w:szCs w:val="18"/>
        </w:rPr>
        <w:t xml:space="preserve"> </w:t>
      </w:r>
      <w:r w:rsidR="00692D50" w:rsidRPr="00692D50">
        <w:rPr>
          <w:rFonts w:ascii="Lato" w:hAnsi="Lato" w:cs="Times New Roman"/>
          <w:sz w:val="18"/>
          <w:szCs w:val="18"/>
          <w:lang w:val="en-US"/>
        </w:rPr>
        <w:t xml:space="preserve">Chivuli Ukwimi, East Africa Trans Health &amp; Advocacy Network, (2020) </w:t>
      </w:r>
      <w:hyperlink r:id="rId18" w:history="1">
        <w:r w:rsidR="00692D50" w:rsidRPr="00692D50">
          <w:rPr>
            <w:rStyle w:val="Hyperlink"/>
            <w:rFonts w:ascii="Lato" w:hAnsi="Lato" w:cs="Times New Roman"/>
            <w:sz w:val="18"/>
            <w:szCs w:val="18"/>
            <w:lang w:val="en-US"/>
          </w:rPr>
          <w:t>Legal Gender Recognition and Access to Trans-Affirming HealthCare in East Africa</w:t>
        </w:r>
      </w:hyperlink>
      <w:r w:rsidR="00692D50" w:rsidRPr="00692D50">
        <w:rPr>
          <w:rFonts w:ascii="Lato" w:hAnsi="Lato" w:cs="Times New Roman"/>
          <w:sz w:val="18"/>
          <w:szCs w:val="18"/>
          <w:lang w:val="en-US"/>
        </w:rPr>
        <w:t>. P. 15.</w:t>
      </w:r>
      <w:r w:rsidR="00692D50" w:rsidRPr="00692D50">
        <w:rPr>
          <w:rFonts w:asciiTheme="minorHAnsi" w:eastAsiaTheme="minorHAnsi" w:hAnsiTheme="minorHAnsi" w:cstheme="minorBidi"/>
          <w:sz w:val="18"/>
          <w:szCs w:val="18"/>
          <w:lang w:val="en-US"/>
        </w:rPr>
        <w:t xml:space="preserve"> </w:t>
      </w:r>
    </w:p>
  </w:footnote>
  <w:footnote w:id="27">
    <w:p w14:paraId="7F0E1938" w14:textId="77777777" w:rsidR="003A552B" w:rsidRPr="00E90CC4" w:rsidRDefault="003A552B" w:rsidP="00692D50">
      <w:pPr>
        <w:pStyle w:val="FootnoteText"/>
        <w:jc w:val="both"/>
        <w:rPr>
          <w:rFonts w:ascii="Lato" w:eastAsia="Lato" w:hAnsi="Lato" w:cs="Lato"/>
          <w:sz w:val="18"/>
          <w:szCs w:val="18"/>
          <w:lang w:val="en-US"/>
        </w:rPr>
      </w:pPr>
      <w:r w:rsidRPr="00E90CC4">
        <w:rPr>
          <w:rStyle w:val="FootnoteReference"/>
          <w:sz w:val="18"/>
          <w:szCs w:val="18"/>
        </w:rPr>
        <w:footnoteRef/>
      </w:r>
      <w:r w:rsidRPr="00E90CC4">
        <w:rPr>
          <w:sz w:val="18"/>
          <w:szCs w:val="18"/>
        </w:rPr>
        <w:t xml:space="preserve"> </w:t>
      </w:r>
      <w:r w:rsidRPr="00E90CC4">
        <w:rPr>
          <w:rFonts w:ascii="Lato" w:eastAsia="Lato" w:hAnsi="Lato" w:cs="Lato"/>
          <w:sz w:val="18"/>
          <w:szCs w:val="18"/>
          <w:lang w:val="en-US"/>
        </w:rPr>
        <w:t xml:space="preserve">HRW (2020) </w:t>
      </w:r>
      <w:hyperlink r:id="rId19" w:history="1">
        <w:r w:rsidRPr="00E90CC4">
          <w:rPr>
            <w:rStyle w:val="Hyperlink"/>
            <w:rFonts w:ascii="Lato" w:eastAsia="Lato" w:hAnsi="Lato" w:cs="Lato"/>
            <w:sz w:val="18"/>
            <w:szCs w:val="18"/>
            <w:lang w:val="en-US"/>
          </w:rPr>
          <w:t>Egypt: Security Forces Abuse, Torture LGBT People. Arbitrary Arrests, Discrimination, Entrapment, Privacy Violations</w:t>
        </w:r>
      </w:hyperlink>
    </w:p>
  </w:footnote>
  <w:footnote w:id="28">
    <w:p w14:paraId="1A334BC7" w14:textId="4CEC4696" w:rsidR="003A552B" w:rsidRPr="00565A4B" w:rsidRDefault="003A552B" w:rsidP="00655D34">
      <w:pPr>
        <w:pStyle w:val="FootnoteText"/>
        <w:jc w:val="both"/>
        <w:rPr>
          <w:sz w:val="18"/>
          <w:szCs w:val="18"/>
          <w:lang w:val="en-US"/>
        </w:rPr>
      </w:pPr>
      <w:r w:rsidRPr="00692D50">
        <w:rPr>
          <w:rStyle w:val="FootnoteReference"/>
          <w:sz w:val="18"/>
          <w:szCs w:val="18"/>
        </w:rPr>
        <w:footnoteRef/>
      </w:r>
      <w:r w:rsidRPr="00692D50">
        <w:rPr>
          <w:rFonts w:ascii="Lato" w:eastAsia="Lato" w:hAnsi="Lato" w:cs="Lato"/>
          <w:color w:val="7902AB"/>
          <w:sz w:val="18"/>
          <w:szCs w:val="18"/>
          <w:lang w:val="en-US"/>
        </w:rPr>
        <w:t xml:space="preserve"> </w:t>
      </w:r>
      <w:r w:rsidR="00692D50" w:rsidRPr="00692D50">
        <w:rPr>
          <w:rFonts w:ascii="Lato" w:hAnsi="Lato" w:cs="Times New Roman"/>
          <w:sz w:val="18"/>
          <w:szCs w:val="18"/>
          <w:lang w:val="en-US"/>
        </w:rPr>
        <w:t xml:space="preserve">Roen K. (2019) </w:t>
      </w:r>
      <w:hyperlink r:id="rId20" w:history="1">
        <w:r w:rsidR="00692D50" w:rsidRPr="00692D50">
          <w:rPr>
            <w:rStyle w:val="Hyperlink"/>
            <w:rFonts w:ascii="Lato" w:hAnsi="Lato" w:cs="Times New Roman"/>
            <w:sz w:val="18"/>
            <w:szCs w:val="18"/>
            <w:lang w:val="en-US"/>
          </w:rPr>
          <w:t>Intersex or Diverse Sex Development: Critical Review of Psychosocial Health Care Research and Indications for Practice</w:t>
        </w:r>
      </w:hyperlink>
      <w:r w:rsidR="00692D50" w:rsidRPr="00692D50">
        <w:rPr>
          <w:rFonts w:ascii="Lato" w:hAnsi="Lato" w:cs="Times New Roman"/>
          <w:sz w:val="18"/>
          <w:szCs w:val="18"/>
          <w:lang w:val="en-US"/>
        </w:rPr>
        <w:t>. J. Sex. Res. 2019;56:511–528.</w:t>
      </w:r>
    </w:p>
  </w:footnote>
  <w:footnote w:id="29">
    <w:p w14:paraId="4C9D03EA" w14:textId="77777777" w:rsidR="003A552B" w:rsidRPr="00D1773A" w:rsidRDefault="003A552B" w:rsidP="008234A7">
      <w:pPr>
        <w:pStyle w:val="FootnoteText"/>
        <w:rPr>
          <w:lang w:val="en-US"/>
        </w:rPr>
      </w:pPr>
      <w:r>
        <w:rPr>
          <w:rStyle w:val="FootnoteReference"/>
        </w:rPr>
        <w:footnoteRef/>
      </w:r>
      <w:r>
        <w:t xml:space="preserve"> </w:t>
      </w:r>
      <w:r w:rsidRPr="00565A4B">
        <w:rPr>
          <w:rFonts w:ascii="Lato" w:eastAsiaTheme="minorHAnsi" w:hAnsi="Lato" w:cs="Times New Roman"/>
          <w:sz w:val="18"/>
          <w:szCs w:val="18"/>
          <w:lang w:val="en-GB"/>
        </w:rPr>
        <w:t xml:space="preserve"> </w:t>
      </w:r>
      <w:r>
        <w:rPr>
          <w:rFonts w:ascii="Lato" w:eastAsia="Lato" w:hAnsi="Lato" w:cs="Lato"/>
          <w:sz w:val="18"/>
          <w:szCs w:val="18"/>
          <w:lang w:val="en-GB"/>
        </w:rPr>
        <w:t>FRA, (2020), ibid. p. 52</w:t>
      </w:r>
    </w:p>
  </w:footnote>
  <w:footnote w:id="30">
    <w:p w14:paraId="476F4333" w14:textId="77777777" w:rsidR="003A552B" w:rsidRPr="008234A7" w:rsidRDefault="003A552B" w:rsidP="005B1924">
      <w:pPr>
        <w:pStyle w:val="FootnoteText"/>
        <w:rPr>
          <w:lang w:val="en-US"/>
        </w:rPr>
      </w:pPr>
      <w:r>
        <w:rPr>
          <w:rStyle w:val="FootnoteReference"/>
        </w:rPr>
        <w:footnoteRef/>
      </w:r>
      <w:r>
        <w:t xml:space="preserve"> </w:t>
      </w:r>
      <w:r w:rsidRPr="0029752A">
        <w:rPr>
          <w:rFonts w:ascii="Lato" w:hAnsi="Lato" w:cs="Times New Roman"/>
          <w:sz w:val="18"/>
          <w:szCs w:val="18"/>
          <w:lang w:val="en-US"/>
        </w:rPr>
        <w:t xml:space="preserve">FACSDIS, OTRAH, St. Vil, D., Theron, L., Carrillo, K., and Joseph, E. (2020) </w:t>
      </w:r>
      <w:hyperlink r:id="rId21" w:history="1">
        <w:r w:rsidRPr="001860D5">
          <w:rPr>
            <w:rStyle w:val="Hyperlink"/>
            <w:rFonts w:ascii="Lato" w:hAnsi="Lato" w:cs="Times New Roman"/>
            <w:sz w:val="18"/>
            <w:szCs w:val="18"/>
            <w:lang w:val="en-US"/>
          </w:rPr>
          <w:t>‘From Fringes to Focus - “A deep dive into the lived-realities of Lesbian, Bisexual and Queer women and Trans Masculine Persons in 8 Caribbean Countries</w:t>
        </w:r>
      </w:hyperlink>
      <w:r w:rsidRPr="0029752A">
        <w:rPr>
          <w:rFonts w:ascii="Lato" w:hAnsi="Lato" w:cs="Times New Roman"/>
          <w:sz w:val="18"/>
          <w:szCs w:val="18"/>
          <w:lang w:val="en-US"/>
        </w:rPr>
        <w:t>”. Amsterdam: COC Netherlands.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6D5"/>
    <w:multiLevelType w:val="hybridMultilevel"/>
    <w:tmpl w:val="E3F82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904D06"/>
    <w:multiLevelType w:val="hybridMultilevel"/>
    <w:tmpl w:val="850EE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8B6C4F"/>
    <w:multiLevelType w:val="hybridMultilevel"/>
    <w:tmpl w:val="F58C8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5A455C"/>
    <w:multiLevelType w:val="hybridMultilevel"/>
    <w:tmpl w:val="CA768D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8179D"/>
    <w:multiLevelType w:val="hybridMultilevel"/>
    <w:tmpl w:val="EB022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BA4278"/>
    <w:multiLevelType w:val="hybridMultilevel"/>
    <w:tmpl w:val="512EA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8664E8"/>
    <w:multiLevelType w:val="hybridMultilevel"/>
    <w:tmpl w:val="90B0574C"/>
    <w:lvl w:ilvl="0" w:tplc="CB5E75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48029A"/>
    <w:multiLevelType w:val="hybridMultilevel"/>
    <w:tmpl w:val="DF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71143"/>
    <w:multiLevelType w:val="hybridMultilevel"/>
    <w:tmpl w:val="CC94C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2B6F"/>
    <w:multiLevelType w:val="hybridMultilevel"/>
    <w:tmpl w:val="DA00C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900AD"/>
    <w:multiLevelType w:val="hybridMultilevel"/>
    <w:tmpl w:val="2BC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5130D"/>
    <w:multiLevelType w:val="multilevel"/>
    <w:tmpl w:val="F6665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4124790"/>
    <w:multiLevelType w:val="hybridMultilevel"/>
    <w:tmpl w:val="A2DC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82C92"/>
    <w:multiLevelType w:val="hybridMultilevel"/>
    <w:tmpl w:val="913E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4550D"/>
    <w:multiLevelType w:val="hybridMultilevel"/>
    <w:tmpl w:val="1D4E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733CE"/>
    <w:multiLevelType w:val="hybridMultilevel"/>
    <w:tmpl w:val="2EA0FC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0AB1BA9"/>
    <w:multiLevelType w:val="hybridMultilevel"/>
    <w:tmpl w:val="6A9C3E68"/>
    <w:lvl w:ilvl="0" w:tplc="68A4E68E">
      <w:start w:val="1"/>
      <w:numFmt w:val="upperRoman"/>
      <w:lvlText w:val="%1."/>
      <w:lvlJc w:val="right"/>
      <w:pPr>
        <w:ind w:left="785" w:hanging="360"/>
      </w:pPr>
      <w:rPr>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B774B2"/>
    <w:multiLevelType w:val="hybridMultilevel"/>
    <w:tmpl w:val="E4D2CE00"/>
    <w:lvl w:ilvl="0" w:tplc="F92824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7"/>
  </w:num>
  <w:num w:numId="5">
    <w:abstractNumId w:val="14"/>
  </w:num>
  <w:num w:numId="6">
    <w:abstractNumId w:val="6"/>
  </w:num>
  <w:num w:numId="7">
    <w:abstractNumId w:val="17"/>
  </w:num>
  <w:num w:numId="8">
    <w:abstractNumId w:val="15"/>
  </w:num>
  <w:num w:numId="9">
    <w:abstractNumId w:val="16"/>
  </w:num>
  <w:num w:numId="10">
    <w:abstractNumId w:val="3"/>
  </w:num>
  <w:num w:numId="11">
    <w:abstractNumId w:val="1"/>
  </w:num>
  <w:num w:numId="12">
    <w:abstractNumId w:val="2"/>
  </w:num>
  <w:num w:numId="13">
    <w:abstractNumId w:val="4"/>
  </w:num>
  <w:num w:numId="14">
    <w:abstractNumId w:val="9"/>
  </w:num>
  <w:num w:numId="15">
    <w:abstractNumId w:val="0"/>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3E"/>
    <w:rsid w:val="000006BE"/>
    <w:rsid w:val="0001333E"/>
    <w:rsid w:val="00017C88"/>
    <w:rsid w:val="00020A6C"/>
    <w:rsid w:val="00032E3B"/>
    <w:rsid w:val="00036F4F"/>
    <w:rsid w:val="00060D7B"/>
    <w:rsid w:val="00074CAE"/>
    <w:rsid w:val="00093427"/>
    <w:rsid w:val="00096610"/>
    <w:rsid w:val="000A5D84"/>
    <w:rsid w:val="000B1F14"/>
    <w:rsid w:val="000B2F0B"/>
    <w:rsid w:val="000C2E2E"/>
    <w:rsid w:val="000D5025"/>
    <w:rsid w:val="000E0BF6"/>
    <w:rsid w:val="000E515E"/>
    <w:rsid w:val="000F0733"/>
    <w:rsid w:val="00101B9E"/>
    <w:rsid w:val="00104825"/>
    <w:rsid w:val="00121E71"/>
    <w:rsid w:val="00133211"/>
    <w:rsid w:val="00133CF1"/>
    <w:rsid w:val="00170193"/>
    <w:rsid w:val="001706A4"/>
    <w:rsid w:val="001724CC"/>
    <w:rsid w:val="00175ECF"/>
    <w:rsid w:val="00182664"/>
    <w:rsid w:val="00183CF8"/>
    <w:rsid w:val="001860D5"/>
    <w:rsid w:val="001A0238"/>
    <w:rsid w:val="001A77AB"/>
    <w:rsid w:val="001A791B"/>
    <w:rsid w:val="001D21FB"/>
    <w:rsid w:val="001E1269"/>
    <w:rsid w:val="0020709B"/>
    <w:rsid w:val="002255A0"/>
    <w:rsid w:val="00236367"/>
    <w:rsid w:val="00244816"/>
    <w:rsid w:val="00247E41"/>
    <w:rsid w:val="00257ECD"/>
    <w:rsid w:val="00265904"/>
    <w:rsid w:val="0028446E"/>
    <w:rsid w:val="00285985"/>
    <w:rsid w:val="0029752A"/>
    <w:rsid w:val="002A33BF"/>
    <w:rsid w:val="002A451C"/>
    <w:rsid w:val="002B4D0C"/>
    <w:rsid w:val="002C0C11"/>
    <w:rsid w:val="002C52E5"/>
    <w:rsid w:val="002D4356"/>
    <w:rsid w:val="002D5385"/>
    <w:rsid w:val="002E0260"/>
    <w:rsid w:val="002E2F3D"/>
    <w:rsid w:val="002F04B2"/>
    <w:rsid w:val="002F4055"/>
    <w:rsid w:val="002F5D1A"/>
    <w:rsid w:val="00304E83"/>
    <w:rsid w:val="00313752"/>
    <w:rsid w:val="00316350"/>
    <w:rsid w:val="00316424"/>
    <w:rsid w:val="00322E1D"/>
    <w:rsid w:val="00335A5E"/>
    <w:rsid w:val="00343DED"/>
    <w:rsid w:val="00351A88"/>
    <w:rsid w:val="00352130"/>
    <w:rsid w:val="00363ACC"/>
    <w:rsid w:val="00366DBC"/>
    <w:rsid w:val="00367060"/>
    <w:rsid w:val="00371FA5"/>
    <w:rsid w:val="003720EA"/>
    <w:rsid w:val="00373134"/>
    <w:rsid w:val="00393F3B"/>
    <w:rsid w:val="003A53F3"/>
    <w:rsid w:val="003A552B"/>
    <w:rsid w:val="003C6121"/>
    <w:rsid w:val="003D3778"/>
    <w:rsid w:val="00406B66"/>
    <w:rsid w:val="004072A3"/>
    <w:rsid w:val="00446CC7"/>
    <w:rsid w:val="00457457"/>
    <w:rsid w:val="00461BDE"/>
    <w:rsid w:val="004673C5"/>
    <w:rsid w:val="00490FE3"/>
    <w:rsid w:val="00493D0F"/>
    <w:rsid w:val="004944F6"/>
    <w:rsid w:val="00497E4C"/>
    <w:rsid w:val="004A6E1D"/>
    <w:rsid w:val="004C105B"/>
    <w:rsid w:val="004C77B9"/>
    <w:rsid w:val="004D1BA7"/>
    <w:rsid w:val="004D26F2"/>
    <w:rsid w:val="0050389C"/>
    <w:rsid w:val="00510CAB"/>
    <w:rsid w:val="00521FDE"/>
    <w:rsid w:val="0052457B"/>
    <w:rsid w:val="0052564C"/>
    <w:rsid w:val="00525F34"/>
    <w:rsid w:val="005353CB"/>
    <w:rsid w:val="00535E4A"/>
    <w:rsid w:val="00543A22"/>
    <w:rsid w:val="00560455"/>
    <w:rsid w:val="00560462"/>
    <w:rsid w:val="005607F2"/>
    <w:rsid w:val="00565A4B"/>
    <w:rsid w:val="0057071D"/>
    <w:rsid w:val="00570722"/>
    <w:rsid w:val="00574DEF"/>
    <w:rsid w:val="005807BF"/>
    <w:rsid w:val="005A595A"/>
    <w:rsid w:val="005B1924"/>
    <w:rsid w:val="005B23E0"/>
    <w:rsid w:val="005B5429"/>
    <w:rsid w:val="005D5282"/>
    <w:rsid w:val="005D7624"/>
    <w:rsid w:val="005E1CB8"/>
    <w:rsid w:val="005E5AF1"/>
    <w:rsid w:val="0060747D"/>
    <w:rsid w:val="0061464F"/>
    <w:rsid w:val="006157C6"/>
    <w:rsid w:val="00615E4F"/>
    <w:rsid w:val="0062241D"/>
    <w:rsid w:val="00630584"/>
    <w:rsid w:val="00646CD4"/>
    <w:rsid w:val="00654AAC"/>
    <w:rsid w:val="00655D34"/>
    <w:rsid w:val="00665C9A"/>
    <w:rsid w:val="00680041"/>
    <w:rsid w:val="00683BD8"/>
    <w:rsid w:val="00687C1F"/>
    <w:rsid w:val="00692D50"/>
    <w:rsid w:val="006948AD"/>
    <w:rsid w:val="006950A1"/>
    <w:rsid w:val="006C0A3C"/>
    <w:rsid w:val="006E1C33"/>
    <w:rsid w:val="006E40B1"/>
    <w:rsid w:val="006E4C58"/>
    <w:rsid w:val="006F3063"/>
    <w:rsid w:val="0074024D"/>
    <w:rsid w:val="007521ED"/>
    <w:rsid w:val="00753922"/>
    <w:rsid w:val="00764A5E"/>
    <w:rsid w:val="00772401"/>
    <w:rsid w:val="00776F51"/>
    <w:rsid w:val="00777C62"/>
    <w:rsid w:val="00787BF9"/>
    <w:rsid w:val="007909BF"/>
    <w:rsid w:val="007B4C50"/>
    <w:rsid w:val="007D437D"/>
    <w:rsid w:val="007E56E1"/>
    <w:rsid w:val="00804A81"/>
    <w:rsid w:val="0080676D"/>
    <w:rsid w:val="00815E9A"/>
    <w:rsid w:val="008206F8"/>
    <w:rsid w:val="008234A7"/>
    <w:rsid w:val="00825196"/>
    <w:rsid w:val="00846A59"/>
    <w:rsid w:val="00865739"/>
    <w:rsid w:val="00866BFC"/>
    <w:rsid w:val="008852D6"/>
    <w:rsid w:val="008970AD"/>
    <w:rsid w:val="008B3D32"/>
    <w:rsid w:val="008D1B6F"/>
    <w:rsid w:val="008E515D"/>
    <w:rsid w:val="008E679E"/>
    <w:rsid w:val="008F0BB8"/>
    <w:rsid w:val="008F0EAB"/>
    <w:rsid w:val="008F10E9"/>
    <w:rsid w:val="008F15D9"/>
    <w:rsid w:val="008F48D2"/>
    <w:rsid w:val="008F73D9"/>
    <w:rsid w:val="0092430A"/>
    <w:rsid w:val="00925BF4"/>
    <w:rsid w:val="00940FAA"/>
    <w:rsid w:val="00945D98"/>
    <w:rsid w:val="0095253F"/>
    <w:rsid w:val="00967096"/>
    <w:rsid w:val="009764A3"/>
    <w:rsid w:val="0097712B"/>
    <w:rsid w:val="00984794"/>
    <w:rsid w:val="00985A13"/>
    <w:rsid w:val="009A076D"/>
    <w:rsid w:val="009A2349"/>
    <w:rsid w:val="009A33CF"/>
    <w:rsid w:val="009A5978"/>
    <w:rsid w:val="009C3001"/>
    <w:rsid w:val="009F5654"/>
    <w:rsid w:val="00A054C7"/>
    <w:rsid w:val="00A07131"/>
    <w:rsid w:val="00A14EF0"/>
    <w:rsid w:val="00A56FB2"/>
    <w:rsid w:val="00A82167"/>
    <w:rsid w:val="00A84867"/>
    <w:rsid w:val="00A9289E"/>
    <w:rsid w:val="00A936FA"/>
    <w:rsid w:val="00AA0B50"/>
    <w:rsid w:val="00AA5EA6"/>
    <w:rsid w:val="00AB070A"/>
    <w:rsid w:val="00AB3CB8"/>
    <w:rsid w:val="00AC2650"/>
    <w:rsid w:val="00AD3CD3"/>
    <w:rsid w:val="00AF6277"/>
    <w:rsid w:val="00B13247"/>
    <w:rsid w:val="00B2574A"/>
    <w:rsid w:val="00B40085"/>
    <w:rsid w:val="00B72F57"/>
    <w:rsid w:val="00B73911"/>
    <w:rsid w:val="00B75ACF"/>
    <w:rsid w:val="00BA3FED"/>
    <w:rsid w:val="00BB0114"/>
    <w:rsid w:val="00BD26B1"/>
    <w:rsid w:val="00BE092C"/>
    <w:rsid w:val="00BE4D69"/>
    <w:rsid w:val="00BF2798"/>
    <w:rsid w:val="00BF439C"/>
    <w:rsid w:val="00C23E0E"/>
    <w:rsid w:val="00C26B22"/>
    <w:rsid w:val="00C34B4B"/>
    <w:rsid w:val="00C526BA"/>
    <w:rsid w:val="00C55467"/>
    <w:rsid w:val="00C86E77"/>
    <w:rsid w:val="00C90678"/>
    <w:rsid w:val="00CB27F7"/>
    <w:rsid w:val="00CE3577"/>
    <w:rsid w:val="00CE637F"/>
    <w:rsid w:val="00CF1BEC"/>
    <w:rsid w:val="00CF3D54"/>
    <w:rsid w:val="00D025B4"/>
    <w:rsid w:val="00D1773A"/>
    <w:rsid w:val="00D25360"/>
    <w:rsid w:val="00D303CF"/>
    <w:rsid w:val="00D40DA9"/>
    <w:rsid w:val="00D7746E"/>
    <w:rsid w:val="00DC1EEE"/>
    <w:rsid w:val="00DE2ABB"/>
    <w:rsid w:val="00DF0E40"/>
    <w:rsid w:val="00E01C91"/>
    <w:rsid w:val="00E04940"/>
    <w:rsid w:val="00E04F27"/>
    <w:rsid w:val="00E12A24"/>
    <w:rsid w:val="00E26EFF"/>
    <w:rsid w:val="00E40261"/>
    <w:rsid w:val="00E4781D"/>
    <w:rsid w:val="00E55D0F"/>
    <w:rsid w:val="00E55E35"/>
    <w:rsid w:val="00E72770"/>
    <w:rsid w:val="00E76956"/>
    <w:rsid w:val="00E90CC4"/>
    <w:rsid w:val="00E935F4"/>
    <w:rsid w:val="00EA254F"/>
    <w:rsid w:val="00EB2A4A"/>
    <w:rsid w:val="00EB7FE0"/>
    <w:rsid w:val="00EC1383"/>
    <w:rsid w:val="00EC7B74"/>
    <w:rsid w:val="00EE4DF4"/>
    <w:rsid w:val="00F027F9"/>
    <w:rsid w:val="00F2366C"/>
    <w:rsid w:val="00F36B85"/>
    <w:rsid w:val="00F42F84"/>
    <w:rsid w:val="00F50C1C"/>
    <w:rsid w:val="00F52D61"/>
    <w:rsid w:val="00F53264"/>
    <w:rsid w:val="00F5531C"/>
    <w:rsid w:val="00FA346C"/>
    <w:rsid w:val="00FA47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DCBC"/>
  <w15:chartTrackingRefBased/>
  <w15:docId w15:val="{10C99247-9F8A-490B-8855-B6B9AB27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3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3C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32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26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532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3264"/>
    <w:rPr>
      <w:b/>
      <w:bCs/>
    </w:rPr>
  </w:style>
  <w:style w:type="paragraph" w:styleId="FootnoteText">
    <w:name w:val="footnote text"/>
    <w:basedOn w:val="Normal"/>
    <w:link w:val="FootnoteTextChar"/>
    <w:uiPriority w:val="99"/>
    <w:unhideWhenUsed/>
    <w:rsid w:val="00EA254F"/>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EA254F"/>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EA254F"/>
    <w:rPr>
      <w:vertAlign w:val="superscript"/>
    </w:rPr>
  </w:style>
  <w:style w:type="character" w:styleId="Hyperlink">
    <w:name w:val="Hyperlink"/>
    <w:basedOn w:val="DefaultParagraphFont"/>
    <w:uiPriority w:val="99"/>
    <w:unhideWhenUsed/>
    <w:rsid w:val="00EA254F"/>
    <w:rPr>
      <w:color w:val="0563C1" w:themeColor="hyperlink"/>
      <w:u w:val="single"/>
    </w:rPr>
  </w:style>
  <w:style w:type="paragraph" w:styleId="ListParagraph">
    <w:name w:val="List Paragraph"/>
    <w:basedOn w:val="Normal"/>
    <w:uiPriority w:val="34"/>
    <w:qFormat/>
    <w:rsid w:val="00940FAA"/>
    <w:pPr>
      <w:spacing w:after="0" w:line="240" w:lineRule="auto"/>
      <w:ind w:left="720"/>
      <w:contextualSpacing/>
    </w:pPr>
    <w:rPr>
      <w:sz w:val="24"/>
      <w:szCs w:val="24"/>
    </w:rPr>
  </w:style>
  <w:style w:type="paragraph" w:styleId="Header">
    <w:name w:val="header"/>
    <w:basedOn w:val="Normal"/>
    <w:link w:val="HeaderChar"/>
    <w:uiPriority w:val="99"/>
    <w:unhideWhenUsed/>
    <w:rsid w:val="00976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A3"/>
  </w:style>
  <w:style w:type="paragraph" w:styleId="Footer">
    <w:name w:val="footer"/>
    <w:basedOn w:val="Normal"/>
    <w:link w:val="FooterChar"/>
    <w:uiPriority w:val="99"/>
    <w:unhideWhenUsed/>
    <w:rsid w:val="00976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A3"/>
  </w:style>
  <w:style w:type="character" w:customStyle="1" w:styleId="UnresolvedMention">
    <w:name w:val="Unresolved Mention"/>
    <w:basedOn w:val="DefaultParagraphFont"/>
    <w:uiPriority w:val="99"/>
    <w:semiHidden/>
    <w:unhideWhenUsed/>
    <w:rsid w:val="00BE4D69"/>
    <w:rPr>
      <w:color w:val="605E5C"/>
      <w:shd w:val="clear" w:color="auto" w:fill="E1DFDD"/>
    </w:rPr>
  </w:style>
  <w:style w:type="table" w:styleId="TableGrid">
    <w:name w:val="Table Grid"/>
    <w:basedOn w:val="TableNormal"/>
    <w:uiPriority w:val="39"/>
    <w:rsid w:val="00A9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3E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83BD8"/>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83BD8"/>
    <w:pPr>
      <w:spacing w:before="120" w:after="0"/>
    </w:pPr>
    <w:rPr>
      <w:rFonts w:cstheme="minorHAnsi"/>
      <w:b/>
      <w:bCs/>
      <w:i/>
      <w:iCs/>
      <w:sz w:val="24"/>
      <w:szCs w:val="24"/>
    </w:rPr>
  </w:style>
  <w:style w:type="paragraph" w:styleId="TOC2">
    <w:name w:val="toc 2"/>
    <w:basedOn w:val="Normal"/>
    <w:next w:val="Normal"/>
    <w:autoRedefine/>
    <w:uiPriority w:val="39"/>
    <w:unhideWhenUsed/>
    <w:rsid w:val="00683BD8"/>
    <w:pPr>
      <w:spacing w:before="120" w:after="0"/>
      <w:ind w:left="220"/>
    </w:pPr>
    <w:rPr>
      <w:rFonts w:cstheme="minorHAnsi"/>
      <w:b/>
      <w:bCs/>
    </w:rPr>
  </w:style>
  <w:style w:type="paragraph" w:styleId="TOC3">
    <w:name w:val="toc 3"/>
    <w:basedOn w:val="Normal"/>
    <w:next w:val="Normal"/>
    <w:autoRedefine/>
    <w:uiPriority w:val="39"/>
    <w:semiHidden/>
    <w:unhideWhenUsed/>
    <w:rsid w:val="00683BD8"/>
    <w:pPr>
      <w:spacing w:after="0"/>
      <w:ind w:left="440"/>
    </w:pPr>
    <w:rPr>
      <w:rFonts w:cstheme="minorHAnsi"/>
      <w:sz w:val="20"/>
      <w:szCs w:val="20"/>
    </w:rPr>
  </w:style>
  <w:style w:type="paragraph" w:styleId="TOC4">
    <w:name w:val="toc 4"/>
    <w:basedOn w:val="Normal"/>
    <w:next w:val="Normal"/>
    <w:autoRedefine/>
    <w:uiPriority w:val="39"/>
    <w:semiHidden/>
    <w:unhideWhenUsed/>
    <w:rsid w:val="00683BD8"/>
    <w:pPr>
      <w:spacing w:after="0"/>
      <w:ind w:left="660"/>
    </w:pPr>
    <w:rPr>
      <w:rFonts w:cstheme="minorHAnsi"/>
      <w:sz w:val="20"/>
      <w:szCs w:val="20"/>
    </w:rPr>
  </w:style>
  <w:style w:type="paragraph" w:styleId="TOC5">
    <w:name w:val="toc 5"/>
    <w:basedOn w:val="Normal"/>
    <w:next w:val="Normal"/>
    <w:autoRedefine/>
    <w:uiPriority w:val="39"/>
    <w:semiHidden/>
    <w:unhideWhenUsed/>
    <w:rsid w:val="00683BD8"/>
    <w:pPr>
      <w:spacing w:after="0"/>
      <w:ind w:left="880"/>
    </w:pPr>
    <w:rPr>
      <w:rFonts w:cstheme="minorHAnsi"/>
      <w:sz w:val="20"/>
      <w:szCs w:val="20"/>
    </w:rPr>
  </w:style>
  <w:style w:type="paragraph" w:styleId="TOC6">
    <w:name w:val="toc 6"/>
    <w:basedOn w:val="Normal"/>
    <w:next w:val="Normal"/>
    <w:autoRedefine/>
    <w:uiPriority w:val="39"/>
    <w:semiHidden/>
    <w:unhideWhenUsed/>
    <w:rsid w:val="00683BD8"/>
    <w:pPr>
      <w:spacing w:after="0"/>
      <w:ind w:left="1100"/>
    </w:pPr>
    <w:rPr>
      <w:rFonts w:cstheme="minorHAnsi"/>
      <w:sz w:val="20"/>
      <w:szCs w:val="20"/>
    </w:rPr>
  </w:style>
  <w:style w:type="paragraph" w:styleId="TOC7">
    <w:name w:val="toc 7"/>
    <w:basedOn w:val="Normal"/>
    <w:next w:val="Normal"/>
    <w:autoRedefine/>
    <w:uiPriority w:val="39"/>
    <w:semiHidden/>
    <w:unhideWhenUsed/>
    <w:rsid w:val="00683BD8"/>
    <w:pPr>
      <w:spacing w:after="0"/>
      <w:ind w:left="1320"/>
    </w:pPr>
    <w:rPr>
      <w:rFonts w:cstheme="minorHAnsi"/>
      <w:sz w:val="20"/>
      <w:szCs w:val="20"/>
    </w:rPr>
  </w:style>
  <w:style w:type="paragraph" w:styleId="TOC8">
    <w:name w:val="toc 8"/>
    <w:basedOn w:val="Normal"/>
    <w:next w:val="Normal"/>
    <w:autoRedefine/>
    <w:uiPriority w:val="39"/>
    <w:semiHidden/>
    <w:unhideWhenUsed/>
    <w:rsid w:val="00683BD8"/>
    <w:pPr>
      <w:spacing w:after="0"/>
      <w:ind w:left="1540"/>
    </w:pPr>
    <w:rPr>
      <w:rFonts w:cstheme="minorHAnsi"/>
      <w:sz w:val="20"/>
      <w:szCs w:val="20"/>
    </w:rPr>
  </w:style>
  <w:style w:type="paragraph" w:styleId="TOC9">
    <w:name w:val="toc 9"/>
    <w:basedOn w:val="Normal"/>
    <w:next w:val="Normal"/>
    <w:autoRedefine/>
    <w:uiPriority w:val="39"/>
    <w:semiHidden/>
    <w:unhideWhenUsed/>
    <w:rsid w:val="00683BD8"/>
    <w:pPr>
      <w:spacing w:after="0"/>
      <w:ind w:left="1760"/>
    </w:pPr>
    <w:rPr>
      <w:rFonts w:cstheme="minorHAnsi"/>
      <w:sz w:val="20"/>
      <w:szCs w:val="20"/>
    </w:rPr>
  </w:style>
  <w:style w:type="character" w:styleId="PageNumber">
    <w:name w:val="page number"/>
    <w:basedOn w:val="DefaultParagraphFont"/>
    <w:uiPriority w:val="99"/>
    <w:semiHidden/>
    <w:unhideWhenUsed/>
    <w:rsid w:val="00683BD8"/>
  </w:style>
  <w:style w:type="character" w:styleId="FollowedHyperlink">
    <w:name w:val="FollowedHyperlink"/>
    <w:basedOn w:val="DefaultParagraphFont"/>
    <w:uiPriority w:val="99"/>
    <w:semiHidden/>
    <w:unhideWhenUsed/>
    <w:rsid w:val="00AB070A"/>
    <w:rPr>
      <w:color w:val="954F72" w:themeColor="followedHyperlink"/>
      <w:u w:val="single"/>
    </w:rPr>
  </w:style>
  <w:style w:type="character" w:customStyle="1" w:styleId="Heading2Char">
    <w:name w:val="Heading 2 Char"/>
    <w:basedOn w:val="DefaultParagraphFont"/>
    <w:link w:val="Heading2"/>
    <w:uiPriority w:val="9"/>
    <w:rsid w:val="00133C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96905">
      <w:bodyDiv w:val="1"/>
      <w:marLeft w:val="0"/>
      <w:marRight w:val="0"/>
      <w:marTop w:val="0"/>
      <w:marBottom w:val="0"/>
      <w:divBdr>
        <w:top w:val="none" w:sz="0" w:space="0" w:color="auto"/>
        <w:left w:val="none" w:sz="0" w:space="0" w:color="auto"/>
        <w:bottom w:val="none" w:sz="0" w:space="0" w:color="auto"/>
        <w:right w:val="none" w:sz="0" w:space="0" w:color="auto"/>
      </w:divBdr>
    </w:div>
    <w:div w:id="892547186">
      <w:bodyDiv w:val="1"/>
      <w:marLeft w:val="0"/>
      <w:marRight w:val="0"/>
      <w:marTop w:val="0"/>
      <w:marBottom w:val="0"/>
      <w:divBdr>
        <w:top w:val="none" w:sz="0" w:space="0" w:color="auto"/>
        <w:left w:val="none" w:sz="0" w:space="0" w:color="auto"/>
        <w:bottom w:val="none" w:sz="0" w:space="0" w:color="auto"/>
        <w:right w:val="none" w:sz="0" w:space="0" w:color="auto"/>
      </w:divBdr>
    </w:div>
    <w:div w:id="909771294">
      <w:bodyDiv w:val="1"/>
      <w:marLeft w:val="0"/>
      <w:marRight w:val="0"/>
      <w:marTop w:val="0"/>
      <w:marBottom w:val="0"/>
      <w:divBdr>
        <w:top w:val="none" w:sz="0" w:space="0" w:color="auto"/>
        <w:left w:val="none" w:sz="0" w:space="0" w:color="auto"/>
        <w:bottom w:val="none" w:sz="0" w:space="0" w:color="auto"/>
        <w:right w:val="none" w:sz="0" w:space="0" w:color="auto"/>
      </w:divBdr>
    </w:div>
    <w:div w:id="1112743613">
      <w:bodyDiv w:val="1"/>
      <w:marLeft w:val="0"/>
      <w:marRight w:val="0"/>
      <w:marTop w:val="0"/>
      <w:marBottom w:val="0"/>
      <w:divBdr>
        <w:top w:val="none" w:sz="0" w:space="0" w:color="auto"/>
        <w:left w:val="none" w:sz="0" w:space="0" w:color="auto"/>
        <w:bottom w:val="none" w:sz="0" w:space="0" w:color="auto"/>
        <w:right w:val="none" w:sz="0" w:space="0" w:color="auto"/>
      </w:divBdr>
    </w:div>
    <w:div w:id="19178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sexday.org/en/san-jose-costa-rica-state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astraeafoundation.org/stories/public-statement-african-intersex-mov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sexday.org/en/intersex-asia-2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ieurope.org/statement-1st-european-intersex-community-event-vienna-30st-31st-march-2017/" TargetMode="External"/><Relationship Id="rId5" Type="http://schemas.openxmlformats.org/officeDocument/2006/relationships/webSettings" Target="webSettings.xml"/><Relationship Id="rId15" Type="http://schemas.openxmlformats.org/officeDocument/2006/relationships/hyperlink" Target="https://intersexday.org/en/san-jose-costa-rica-statement/" TargetMode="External"/><Relationship Id="rId23" Type="http://schemas.openxmlformats.org/officeDocument/2006/relationships/customXml" Target="../customXml/item4.xml"/><Relationship Id="rId10" Type="http://schemas.openxmlformats.org/officeDocument/2006/relationships/hyperlink" Target="https://darlington.org.au/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iieurope.org/malta-declaration/" TargetMode="External"/><Relationship Id="rId14" Type="http://schemas.openxmlformats.org/officeDocument/2006/relationships/hyperlink" Target="https://intersexday.org/en/san-jose-costa-rica-statement/"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human-rights-of-lgbti-people-in-europe-current-threats-to-equal-rights/1680a4be0e" TargetMode="External"/><Relationship Id="rId13" Type="http://schemas.openxmlformats.org/officeDocument/2006/relationships/hyperlink" Target="https://eathan.org/wp-content/uploads/2021/11/EATHAN-2020-Report-LGR-Trans-Care.pdf" TargetMode="External"/><Relationship Id="rId18" Type="http://schemas.openxmlformats.org/officeDocument/2006/relationships/hyperlink" Target="https://eathan.org/wp-content/uploads/2021/11/EATHAN-2020-Report-LGR-Trans-Care.pdf" TargetMode="External"/><Relationship Id="rId3" Type="http://schemas.openxmlformats.org/officeDocument/2006/relationships/hyperlink" Target="http://pils.mu/wp-content/uploads/2018/09/IBBS-TG-report-F.pdf" TargetMode="External"/><Relationship Id="rId21" Type="http://schemas.openxmlformats.org/officeDocument/2006/relationships/hyperlink" Target="https://international.coc.nl/from-fringes-to-focus/" TargetMode="External"/><Relationship Id="rId7" Type="http://schemas.openxmlformats.org/officeDocument/2006/relationships/hyperlink" Target="https://www.researchgate.net/publication/353372535_Mental_health_substance_use_experiences_of_violence_and_access_to_health_care_among_transgender_and_non-binary_people_during_the_COVID-19_lockdown_in_Argentina" TargetMode="External"/><Relationship Id="rId12" Type="http://schemas.openxmlformats.org/officeDocument/2006/relationships/hyperlink" Target="https://ilga-europe.org/sites/default/files/ilga-europe_glossary_final_170714_www.pdf" TargetMode="External"/><Relationship Id="rId17" Type="http://schemas.openxmlformats.org/officeDocument/2006/relationships/hyperlink" Target="https://tbinternet.ohchr.org/Treaties/CEDAW/Shared%20Documents/MEX/INT_CEDAW_NGO_MEX_31433_S.pdf" TargetMode="External"/><Relationship Id="rId2" Type="http://schemas.openxmlformats.org/officeDocument/2006/relationships/hyperlink" Target="https://fra.europa.eu/en/publication/2020/eu-lgbti-survey-results" TargetMode="External"/><Relationship Id="rId16" Type="http://schemas.openxmlformats.org/officeDocument/2006/relationships/hyperlink" Target="https://pubmed.ncbi.nlm.nih.gov/25029980/" TargetMode="External"/><Relationship Id="rId20" Type="http://schemas.openxmlformats.org/officeDocument/2006/relationships/hyperlink" Target="https://pubmed.ncbi.nlm.nih.gov/30907687/" TargetMode="External"/><Relationship Id="rId1" Type="http://schemas.openxmlformats.org/officeDocument/2006/relationships/hyperlink" Target="https://d3n8a8pro7vhmx.cloudfront.net/lgbtihealth/pages/549/attachments/original/1620871703/2021_Snapshot_of_Mental_Health2.pdf?1620871703" TargetMode="External"/><Relationship Id="rId6" Type="http://schemas.openxmlformats.org/officeDocument/2006/relationships/hyperlink" Target="https://www.hrw.org/news/2020/03/19/human-rights-dimensions-covid-19-response" TargetMode="External"/><Relationship Id="rId11" Type="http://schemas.openxmlformats.org/officeDocument/2006/relationships/hyperlink" Target="https://transequality.org/know-your-rights/health-care" TargetMode="External"/><Relationship Id="rId5" Type="http://schemas.openxmlformats.org/officeDocument/2006/relationships/hyperlink" Target="https://www.aacademica.org/000-007/200" TargetMode="External"/><Relationship Id="rId15" Type="http://schemas.openxmlformats.org/officeDocument/2006/relationships/hyperlink" Target="https://journals.sagepub.com/doi/10.1177/2158244017745577" TargetMode="External"/><Relationship Id="rId10" Type="http://schemas.openxmlformats.org/officeDocument/2006/relationships/hyperlink" Target="https://digitallibrary.un.org/record/3870697" TargetMode="External"/><Relationship Id="rId19" Type="http://schemas.openxmlformats.org/officeDocument/2006/relationships/hyperlink" Target="https://www.hrw.org/news/2020/10/01/egypt-security-forces-abuse-torture-lgbt-people" TargetMode="External"/><Relationship Id="rId4" Type="http://schemas.openxmlformats.org/officeDocument/2006/relationships/hyperlink" Target="https://international.coc.nl/from-fringes-to-focus/" TargetMode="External"/><Relationship Id="rId9" Type="http://schemas.openxmlformats.org/officeDocument/2006/relationships/hyperlink" Target="https://ilga.org/downloads/ILGA_World_Curbing_Deception_world_survey_legal_restrictions_conversion_therapy.pdf" TargetMode="External"/><Relationship Id="rId14" Type="http://schemas.openxmlformats.org/officeDocument/2006/relationships/hyperlink" Target="https://link.springer.com/book/10.1007/978-3-030-275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CBCE9F1-146B-4263-BD9D-956D18A8BC75}">
  <ds:schemaRefs>
    <ds:schemaRef ds:uri="http://schemas.openxmlformats.org/officeDocument/2006/bibliography"/>
  </ds:schemaRefs>
</ds:datastoreItem>
</file>

<file path=customXml/itemProps2.xml><?xml version="1.0" encoding="utf-8"?>
<ds:datastoreItem xmlns:ds="http://schemas.openxmlformats.org/officeDocument/2006/customXml" ds:itemID="{3BF5C70A-DBA1-4BF7-8EBE-80E45D8E8311}"/>
</file>

<file path=customXml/itemProps3.xml><?xml version="1.0" encoding="utf-8"?>
<ds:datastoreItem xmlns:ds="http://schemas.openxmlformats.org/officeDocument/2006/customXml" ds:itemID="{75AEA55F-28F4-4B69-8059-AB2444283BAE}"/>
</file>

<file path=customXml/itemProps4.xml><?xml version="1.0" encoding="utf-8"?>
<ds:datastoreItem xmlns:ds="http://schemas.openxmlformats.org/officeDocument/2006/customXml" ds:itemID="{32E34DE4-0720-405D-865C-12D1DCB60BD8}"/>
</file>

<file path=docProps/app.xml><?xml version="1.0" encoding="utf-8"?>
<Properties xmlns="http://schemas.openxmlformats.org/officeDocument/2006/extended-properties" xmlns:vt="http://schemas.openxmlformats.org/officeDocument/2006/docPropsVTypes">
  <Template>Normal.dotm</Template>
  <TotalTime>1</TotalTime>
  <Pages>2</Pages>
  <Words>3075</Words>
  <Characters>17530</Characters>
  <Application>Microsoft Office Word</Application>
  <DocSecurity>4</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Eid</dc:creator>
  <cp:keywords/>
  <dc:description/>
  <cp:lastModifiedBy>Adriana Zarraluqui</cp:lastModifiedBy>
  <cp:revision>2</cp:revision>
  <dcterms:created xsi:type="dcterms:W3CDTF">2022-01-26T12:58:00Z</dcterms:created>
  <dcterms:modified xsi:type="dcterms:W3CDTF">2022-01-26T12:58:00Z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