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CD997" w14:textId="6403E6EF" w:rsidR="000A4FD3" w:rsidRPr="005F165B" w:rsidRDefault="000A4FD3" w:rsidP="00AD6F94">
      <w:pPr>
        <w:jc w:val="right"/>
        <w:rPr>
          <w:rFonts w:ascii="Source Sans Pro" w:hAnsi="Source Sans Pro"/>
          <w:color w:val="7030A0"/>
          <w:lang w:val="es-MX"/>
        </w:rPr>
      </w:pPr>
      <w:bookmarkStart w:id="0" w:name="_GoBack"/>
      <w:bookmarkEnd w:id="0"/>
      <w:r w:rsidRPr="005F165B">
        <w:rPr>
          <w:rFonts w:ascii="Source Sans Pro" w:hAnsi="Source Sans Pro"/>
          <w:color w:val="7030A0"/>
          <w:lang w:val="es-MX"/>
        </w:rPr>
        <w:t>18 de enero de 2022</w:t>
      </w:r>
    </w:p>
    <w:p w14:paraId="2F4140E6" w14:textId="11541883" w:rsidR="00B61039" w:rsidRPr="005F165B" w:rsidRDefault="00194D85" w:rsidP="000A4FD3">
      <w:pPr>
        <w:spacing w:after="0"/>
        <w:jc w:val="both"/>
        <w:rPr>
          <w:rFonts w:ascii="Source Sans Pro" w:hAnsi="Source Sans Pro"/>
          <w:color w:val="000000" w:themeColor="text1"/>
          <w:lang w:val="es-MX"/>
        </w:rPr>
      </w:pPr>
      <w:r w:rsidRPr="005F165B">
        <w:rPr>
          <w:rFonts w:ascii="Source Sans Pro" w:hAnsi="Source Sans Pro"/>
          <w:color w:val="000000" w:themeColor="text1"/>
          <w:lang w:val="es-MX"/>
        </w:rPr>
        <w:t>Honorable</w:t>
      </w:r>
    </w:p>
    <w:p w14:paraId="6BF5F5BE" w14:textId="62767569" w:rsidR="00194D85" w:rsidRPr="005F165B" w:rsidRDefault="00194D85" w:rsidP="000A4FD3">
      <w:pPr>
        <w:spacing w:after="0"/>
        <w:jc w:val="both"/>
        <w:rPr>
          <w:rFonts w:ascii="Source Sans Pro" w:hAnsi="Source Sans Pro"/>
          <w:b/>
          <w:bCs/>
          <w:color w:val="000000" w:themeColor="text1"/>
          <w:lang w:val="es-MX"/>
        </w:rPr>
      </w:pPr>
      <w:r w:rsidRPr="005F165B">
        <w:rPr>
          <w:rFonts w:ascii="Source Sans Pro" w:hAnsi="Source Sans Pro"/>
          <w:b/>
          <w:bCs/>
          <w:color w:val="000000" w:themeColor="text1"/>
          <w:lang w:val="es-MX"/>
        </w:rPr>
        <w:t>Tlaleng Mofokeng</w:t>
      </w:r>
    </w:p>
    <w:p w14:paraId="5D6BCED4" w14:textId="77777777" w:rsidR="000A4FD3" w:rsidRPr="005F165B" w:rsidRDefault="00546EF9" w:rsidP="000A4FD3">
      <w:pPr>
        <w:spacing w:after="0"/>
        <w:jc w:val="both"/>
        <w:rPr>
          <w:rFonts w:ascii="Source Sans Pro" w:hAnsi="Source Sans Pro"/>
          <w:i/>
          <w:iCs/>
          <w:color w:val="000000" w:themeColor="text1"/>
          <w:lang w:val="es-MX"/>
        </w:rPr>
      </w:pPr>
      <w:r w:rsidRPr="005F165B">
        <w:rPr>
          <w:rFonts w:ascii="Source Sans Pro" w:hAnsi="Source Sans Pro"/>
          <w:i/>
          <w:iCs/>
          <w:color w:val="000000" w:themeColor="text1"/>
          <w:lang w:val="es-MX"/>
        </w:rPr>
        <w:t xml:space="preserve">Relatora Especial sobre el derecho de toda persona al disfrute </w:t>
      </w:r>
    </w:p>
    <w:p w14:paraId="59F1C4F1" w14:textId="578D2907" w:rsidR="00DD6C05" w:rsidRPr="005F165B" w:rsidRDefault="00546EF9" w:rsidP="000A4FD3">
      <w:pPr>
        <w:spacing w:after="0"/>
        <w:jc w:val="both"/>
        <w:rPr>
          <w:rFonts w:ascii="Source Sans Pro" w:hAnsi="Source Sans Pro"/>
          <w:i/>
          <w:iCs/>
          <w:color w:val="000000" w:themeColor="text1"/>
          <w:lang w:val="es-MX"/>
        </w:rPr>
      </w:pPr>
      <w:r w:rsidRPr="005F165B">
        <w:rPr>
          <w:rFonts w:ascii="Source Sans Pro" w:hAnsi="Source Sans Pro"/>
          <w:i/>
          <w:iCs/>
          <w:color w:val="000000" w:themeColor="text1"/>
          <w:lang w:val="es-MX"/>
        </w:rPr>
        <w:t>del más alto nivel posible de salud física y mental</w:t>
      </w:r>
    </w:p>
    <w:p w14:paraId="0E062E9E" w14:textId="29B74FFF" w:rsidR="00546EF9" w:rsidRPr="005F165B" w:rsidRDefault="00201422" w:rsidP="000A4FD3">
      <w:pPr>
        <w:spacing w:after="0"/>
        <w:jc w:val="both"/>
        <w:rPr>
          <w:rFonts w:ascii="Source Sans Pro" w:hAnsi="Source Sans Pro"/>
          <w:b/>
          <w:bCs/>
          <w:color w:val="000000" w:themeColor="text1"/>
          <w:lang w:val="es-MX"/>
        </w:rPr>
      </w:pPr>
      <w:r w:rsidRPr="005F165B">
        <w:rPr>
          <w:rFonts w:ascii="Source Sans Pro" w:hAnsi="Source Sans Pro"/>
          <w:b/>
          <w:bCs/>
          <w:color w:val="000000" w:themeColor="text1"/>
          <w:lang w:val="es-MX"/>
        </w:rPr>
        <w:t>Naciones Unidas</w:t>
      </w:r>
    </w:p>
    <w:p w14:paraId="138C07B3" w14:textId="5355D444" w:rsidR="00201422" w:rsidRPr="005F165B" w:rsidRDefault="00201422" w:rsidP="000A4FD3">
      <w:pPr>
        <w:spacing w:after="0"/>
        <w:jc w:val="both"/>
        <w:rPr>
          <w:rFonts w:ascii="Source Sans Pro" w:hAnsi="Source Sans Pro"/>
          <w:b/>
          <w:bCs/>
          <w:color w:val="000000" w:themeColor="text1"/>
          <w:lang w:val="es-MX"/>
        </w:rPr>
      </w:pPr>
      <w:r w:rsidRPr="005F165B">
        <w:rPr>
          <w:rFonts w:ascii="Source Sans Pro" w:hAnsi="Source Sans Pro"/>
          <w:b/>
          <w:bCs/>
          <w:color w:val="000000" w:themeColor="text1"/>
          <w:lang w:val="es-MX"/>
        </w:rPr>
        <w:t>Ginebra, Suiza</w:t>
      </w:r>
    </w:p>
    <w:p w14:paraId="1EBD19A2" w14:textId="0718CDF3" w:rsidR="000A4FD3" w:rsidRPr="005F165B" w:rsidRDefault="0043052E" w:rsidP="000A4FD3">
      <w:pPr>
        <w:spacing w:after="0"/>
        <w:jc w:val="both"/>
        <w:rPr>
          <w:rFonts w:ascii="Source Sans Pro" w:hAnsi="Source Sans Pro"/>
          <w:b/>
          <w:bCs/>
          <w:color w:val="000000" w:themeColor="text1"/>
          <w:lang w:val="es-MX"/>
        </w:rPr>
      </w:pPr>
      <w:hyperlink r:id="rId8" w:history="1">
        <w:r w:rsidR="00FB2C68">
          <w:rPr>
            <w:rStyle w:val="Hyperlink"/>
            <w:rFonts w:ascii="Verdana" w:hAnsi="Verdana"/>
            <w:sz w:val="19"/>
            <w:szCs w:val="19"/>
            <w:shd w:val="clear" w:color="auto" w:fill="FFFFFF"/>
          </w:rPr>
          <w:t>ohchr-srhealth@un.org</w:t>
        </w:r>
      </w:hyperlink>
    </w:p>
    <w:p w14:paraId="3A8F72AD" w14:textId="77777777" w:rsidR="000A4FD3" w:rsidRPr="005F165B" w:rsidRDefault="000A4FD3" w:rsidP="000A4FD3">
      <w:pPr>
        <w:spacing w:after="0"/>
        <w:jc w:val="both"/>
        <w:rPr>
          <w:rFonts w:ascii="Source Sans Pro" w:hAnsi="Source Sans Pro"/>
          <w:b/>
          <w:bCs/>
          <w:color w:val="000000" w:themeColor="text1"/>
          <w:lang w:val="es-MX"/>
        </w:rPr>
      </w:pPr>
    </w:p>
    <w:p w14:paraId="4CC0AC8F" w14:textId="78C5B24B" w:rsidR="00201422" w:rsidRPr="005F165B" w:rsidRDefault="00381F86" w:rsidP="000A4FD3">
      <w:pPr>
        <w:ind w:left="3540" w:firstLine="708"/>
        <w:jc w:val="right"/>
        <w:rPr>
          <w:rFonts w:ascii="Source Sans Pro" w:hAnsi="Source Sans Pro"/>
          <w:color w:val="000000" w:themeColor="text1"/>
          <w:lang w:val="es-MX"/>
        </w:rPr>
      </w:pPr>
      <w:r w:rsidRPr="005F165B">
        <w:rPr>
          <w:rFonts w:ascii="Source Sans Pro" w:hAnsi="Source Sans Pro"/>
          <w:b/>
          <w:bCs/>
          <w:color w:val="000000" w:themeColor="text1"/>
          <w:lang w:val="es-MX"/>
        </w:rPr>
        <w:t xml:space="preserve">Asunto: </w:t>
      </w:r>
      <w:r w:rsidR="000A4FD3" w:rsidRPr="005F165B">
        <w:rPr>
          <w:rFonts w:ascii="Source Sans Pro" w:hAnsi="Source Sans Pro"/>
          <w:color w:val="000000" w:themeColor="text1"/>
          <w:lang w:val="es-MX"/>
        </w:rPr>
        <w:t>Contribución escrita para la elaboración del</w:t>
      </w:r>
      <w:r w:rsidR="0092564C" w:rsidRPr="005F165B">
        <w:rPr>
          <w:rFonts w:ascii="Source Sans Pro" w:hAnsi="Source Sans Pro"/>
          <w:color w:val="000000" w:themeColor="text1"/>
          <w:lang w:val="es-MX"/>
        </w:rPr>
        <w:t xml:space="preserve"> informe sobre la Violencia y su impacto en la Salud</w:t>
      </w:r>
    </w:p>
    <w:p w14:paraId="7469E779" w14:textId="471F212F" w:rsidR="0092564C" w:rsidRPr="005F165B" w:rsidRDefault="0092041E" w:rsidP="0092041E">
      <w:pPr>
        <w:jc w:val="both"/>
        <w:rPr>
          <w:rFonts w:ascii="Source Sans Pro" w:hAnsi="Source Sans Pro"/>
          <w:color w:val="000000" w:themeColor="text1"/>
          <w:lang w:val="es-MX"/>
        </w:rPr>
      </w:pPr>
      <w:r w:rsidRPr="005F165B">
        <w:rPr>
          <w:rFonts w:ascii="Source Sans Pro" w:hAnsi="Source Sans Pro"/>
          <w:color w:val="000000" w:themeColor="text1"/>
          <w:lang w:val="es-MX"/>
        </w:rPr>
        <w:t xml:space="preserve">Reciba un cordial saludo, </w:t>
      </w:r>
    </w:p>
    <w:p w14:paraId="563DC91F" w14:textId="714A6216" w:rsidR="0092041E" w:rsidRPr="005F165B" w:rsidRDefault="0092041E" w:rsidP="0092041E">
      <w:pPr>
        <w:jc w:val="both"/>
        <w:rPr>
          <w:rFonts w:ascii="Source Sans Pro" w:hAnsi="Source Sans Pro"/>
          <w:i/>
          <w:iCs/>
          <w:color w:val="000000" w:themeColor="text1"/>
          <w:lang w:val="es-MX"/>
        </w:rPr>
      </w:pPr>
      <w:r w:rsidRPr="005F165B">
        <w:rPr>
          <w:rFonts w:ascii="Source Sans Pro" w:hAnsi="Source Sans Pro"/>
          <w:color w:val="000000" w:themeColor="text1"/>
          <w:lang w:val="es-MX"/>
        </w:rPr>
        <w:t>A través del presente documento</w:t>
      </w:r>
      <w:r w:rsidR="00621E2F" w:rsidRPr="005F165B">
        <w:rPr>
          <w:rFonts w:ascii="Source Sans Pro" w:hAnsi="Source Sans Pro"/>
          <w:color w:val="000000" w:themeColor="text1"/>
          <w:lang w:val="es-MX"/>
        </w:rPr>
        <w:t xml:space="preserve">, </w:t>
      </w:r>
      <w:r w:rsidR="007A7CA5" w:rsidRPr="005F165B">
        <w:rPr>
          <w:rFonts w:ascii="Source Sans Pro" w:hAnsi="Source Sans Pro"/>
          <w:color w:val="000000" w:themeColor="text1"/>
          <w:lang w:val="es-MX"/>
        </w:rPr>
        <w:t xml:space="preserve">la </w:t>
      </w:r>
      <w:r w:rsidR="007A7CA5" w:rsidRPr="005F165B">
        <w:rPr>
          <w:rFonts w:ascii="Source Sans Pro" w:hAnsi="Source Sans Pro"/>
          <w:b/>
          <w:bCs/>
          <w:color w:val="000000" w:themeColor="text1"/>
          <w:lang w:val="es-MX"/>
        </w:rPr>
        <w:t xml:space="preserve">RED DE LITIGANTES LGBTI DE LAS AMÉRICAS, </w:t>
      </w:r>
      <w:r w:rsidR="007A7CA5" w:rsidRPr="005F165B">
        <w:rPr>
          <w:rFonts w:ascii="Source Sans Pro" w:hAnsi="Source Sans Pro"/>
          <w:color w:val="000000" w:themeColor="text1"/>
          <w:lang w:val="es-MX"/>
        </w:rPr>
        <w:t>r</w:t>
      </w:r>
      <w:r w:rsidR="008F2E2C" w:rsidRPr="005F165B">
        <w:rPr>
          <w:rFonts w:ascii="Source Sans Pro" w:hAnsi="Source Sans Pro"/>
          <w:color w:val="000000" w:themeColor="text1"/>
          <w:lang w:val="es-MX"/>
        </w:rPr>
        <w:t xml:space="preserve">epresentada por su Secretaria Técnica </w:t>
      </w:r>
      <w:r w:rsidR="008F2E2C" w:rsidRPr="005F165B">
        <w:rPr>
          <w:rFonts w:ascii="Source Sans Pro" w:hAnsi="Source Sans Pro"/>
          <w:b/>
          <w:bCs/>
          <w:color w:val="000000" w:themeColor="text1"/>
          <w:lang w:val="es-MX"/>
        </w:rPr>
        <w:t>Karen Anaya Cort</w:t>
      </w:r>
      <w:r w:rsidR="005F165B" w:rsidRPr="005F165B">
        <w:rPr>
          <w:rFonts w:ascii="Source Sans Pro" w:hAnsi="Source Sans Pro"/>
          <w:b/>
          <w:bCs/>
          <w:color w:val="000000" w:themeColor="text1"/>
          <w:lang w:val="es-MX"/>
        </w:rPr>
        <w:t>ez</w:t>
      </w:r>
      <w:r w:rsidR="008F2E2C" w:rsidRPr="005F165B">
        <w:rPr>
          <w:rFonts w:ascii="Source Sans Pro" w:hAnsi="Source Sans Pro"/>
          <w:b/>
          <w:bCs/>
          <w:color w:val="000000" w:themeColor="text1"/>
          <w:lang w:val="es-MX"/>
        </w:rPr>
        <w:t xml:space="preserve">, </w:t>
      </w:r>
      <w:r w:rsidR="002977F2" w:rsidRPr="005F165B">
        <w:rPr>
          <w:rFonts w:ascii="Source Sans Pro" w:hAnsi="Source Sans Pro"/>
          <w:color w:val="000000" w:themeColor="text1"/>
          <w:lang w:val="es-MX"/>
        </w:rPr>
        <w:t xml:space="preserve">remite información relevante </w:t>
      </w:r>
      <w:r w:rsidR="005F165B" w:rsidRPr="005F165B">
        <w:rPr>
          <w:rFonts w:ascii="Source Sans Pro" w:hAnsi="Source Sans Pro"/>
          <w:color w:val="000000" w:themeColor="text1"/>
          <w:lang w:val="es-MX"/>
        </w:rPr>
        <w:t>en relación con</w:t>
      </w:r>
      <w:r w:rsidR="002977F2" w:rsidRPr="005F165B">
        <w:rPr>
          <w:rFonts w:ascii="Source Sans Pro" w:hAnsi="Source Sans Pro"/>
          <w:color w:val="000000" w:themeColor="text1"/>
          <w:lang w:val="es-MX"/>
        </w:rPr>
        <w:t xml:space="preserve"> las preguntas formuladas por su Relatoría</w:t>
      </w:r>
      <w:r w:rsidR="00C17AE3" w:rsidRPr="005F165B">
        <w:rPr>
          <w:rFonts w:ascii="Source Sans Pro" w:hAnsi="Source Sans Pro"/>
          <w:color w:val="000000" w:themeColor="text1"/>
          <w:lang w:val="es-MX"/>
        </w:rPr>
        <w:t xml:space="preserve"> en el </w:t>
      </w:r>
      <w:r w:rsidR="00C17AE3" w:rsidRPr="005F165B">
        <w:rPr>
          <w:rFonts w:ascii="Source Sans Pro" w:hAnsi="Source Sans Pro"/>
          <w:i/>
          <w:iCs/>
          <w:color w:val="000000" w:themeColor="text1"/>
          <w:lang w:val="es-MX"/>
        </w:rPr>
        <w:t xml:space="preserve">Cuestionario sobre la Violencia y su impacto en la Salud. </w:t>
      </w:r>
    </w:p>
    <w:p w14:paraId="582A80B9" w14:textId="33833A5A" w:rsidR="00B7527E" w:rsidRPr="005F165B" w:rsidRDefault="00B7527E" w:rsidP="0092041E">
      <w:pPr>
        <w:jc w:val="both"/>
        <w:rPr>
          <w:rFonts w:ascii="Source Sans Pro" w:hAnsi="Source Sans Pro"/>
          <w:color w:val="000000" w:themeColor="text1"/>
          <w:lang w:val="es-MX"/>
        </w:rPr>
      </w:pPr>
      <w:r w:rsidRPr="005F165B">
        <w:rPr>
          <w:rFonts w:ascii="Source Sans Pro" w:hAnsi="Source Sans Pro"/>
          <w:color w:val="000000" w:themeColor="text1"/>
          <w:lang w:val="es-MX"/>
        </w:rPr>
        <w:t xml:space="preserve">La </w:t>
      </w:r>
      <w:r w:rsidRPr="005609DF">
        <w:rPr>
          <w:rFonts w:ascii="Source Sans Pro" w:hAnsi="Source Sans Pro"/>
          <w:color w:val="000000" w:themeColor="text1"/>
          <w:lang w:val="es-MX"/>
        </w:rPr>
        <w:t>Red de Litigantes</w:t>
      </w:r>
      <w:r w:rsidR="005F165B" w:rsidRPr="005609DF">
        <w:rPr>
          <w:rFonts w:ascii="Source Sans Pro" w:hAnsi="Source Sans Pro"/>
          <w:color w:val="000000" w:themeColor="text1"/>
          <w:lang w:val="es-MX"/>
        </w:rPr>
        <w:t xml:space="preserve"> LGBTI</w:t>
      </w:r>
      <w:r w:rsidRPr="005609DF">
        <w:rPr>
          <w:rFonts w:ascii="Source Sans Pro" w:hAnsi="Source Sans Pro"/>
          <w:color w:val="000000" w:themeColor="text1"/>
          <w:lang w:val="es-MX"/>
        </w:rPr>
        <w:t xml:space="preserve"> surge en el año 2019 como una red internacional e independiente, conformada por </w:t>
      </w:r>
      <w:r w:rsidRPr="00386826">
        <w:rPr>
          <w:rFonts w:ascii="Source Sans Pro" w:hAnsi="Source Sans Pro"/>
          <w:b/>
          <w:bCs/>
          <w:color w:val="000000" w:themeColor="text1"/>
          <w:lang w:val="es-MX"/>
        </w:rPr>
        <w:t>personas expertas y organizaciones que trabajan en la defensa de derechos de las personas LGBTI en el continente americano</w:t>
      </w:r>
      <w:r w:rsidRPr="005609DF">
        <w:rPr>
          <w:rFonts w:ascii="Source Sans Pro" w:hAnsi="Source Sans Pro"/>
          <w:color w:val="000000" w:themeColor="text1"/>
          <w:lang w:val="es-MX"/>
        </w:rPr>
        <w:t xml:space="preserve">, a través del litigio estratégico, acciones de incidencia y estrategias de comunicaciones. Forman parte de la Red organizaciones y personas que participaron </w:t>
      </w:r>
      <w:r w:rsidR="005609DF" w:rsidRPr="005609DF">
        <w:rPr>
          <w:rFonts w:ascii="Source Sans Pro" w:hAnsi="Source Sans Pro"/>
          <w:color w:val="000000" w:themeColor="text1"/>
          <w:lang w:val="es-MX"/>
        </w:rPr>
        <w:t xml:space="preserve">ante la Corte Interamericana </w:t>
      </w:r>
      <w:r w:rsidRPr="005609DF">
        <w:rPr>
          <w:rFonts w:ascii="Source Sans Pro" w:hAnsi="Source Sans Pro"/>
          <w:color w:val="000000" w:themeColor="text1"/>
          <w:lang w:val="es-MX"/>
        </w:rPr>
        <w:t>en el litigio de casos emblemáticos</w:t>
      </w:r>
      <w:r w:rsidR="00FB2C68" w:rsidRPr="005609DF">
        <w:rPr>
          <w:rFonts w:ascii="Source Sans Pro" w:hAnsi="Source Sans Pro"/>
          <w:color w:val="000000" w:themeColor="text1"/>
          <w:lang w:val="es-MX"/>
        </w:rPr>
        <w:t xml:space="preserve"> </w:t>
      </w:r>
      <w:r w:rsidRPr="005609DF">
        <w:rPr>
          <w:rFonts w:ascii="Source Sans Pro" w:hAnsi="Source Sans Pro"/>
          <w:color w:val="000000" w:themeColor="text1"/>
          <w:lang w:val="es-MX"/>
        </w:rPr>
        <w:t>como los de Atala Riffo e hijas vs. Chile, Alberto Duque vs Colombia, Azul Rojas Marín y otra vs. Perú</w:t>
      </w:r>
      <w:r w:rsidR="00FB2C68" w:rsidRPr="005609DF">
        <w:rPr>
          <w:rFonts w:ascii="Source Sans Pro" w:hAnsi="Source Sans Pro"/>
          <w:color w:val="000000" w:themeColor="text1"/>
          <w:lang w:val="es-MX"/>
        </w:rPr>
        <w:t>,</w:t>
      </w:r>
      <w:r w:rsidRPr="005609DF">
        <w:rPr>
          <w:rFonts w:ascii="Source Sans Pro" w:hAnsi="Source Sans Pro"/>
          <w:color w:val="000000" w:themeColor="text1"/>
          <w:lang w:val="es-MX"/>
        </w:rPr>
        <w:t xml:space="preserve"> y Vicky Hernández y otras vs. Honduras.</w:t>
      </w:r>
      <w:r w:rsidR="0032382A" w:rsidRPr="005F165B">
        <w:rPr>
          <w:rFonts w:ascii="Source Sans Pro" w:hAnsi="Source Sans Pro"/>
          <w:color w:val="000000" w:themeColor="text1"/>
          <w:lang w:val="es-MX"/>
        </w:rPr>
        <w:t xml:space="preserve"> </w:t>
      </w:r>
    </w:p>
    <w:p w14:paraId="12715A94" w14:textId="7BF3F79C" w:rsidR="005357F8" w:rsidRPr="005F165B" w:rsidRDefault="00F94342" w:rsidP="0092041E">
      <w:pPr>
        <w:jc w:val="both"/>
        <w:rPr>
          <w:rFonts w:ascii="Source Sans Pro" w:hAnsi="Source Sans Pro"/>
          <w:color w:val="000000" w:themeColor="text1"/>
          <w:lang w:val="es-MX"/>
        </w:rPr>
      </w:pPr>
      <w:r w:rsidRPr="005F165B">
        <w:rPr>
          <w:rFonts w:ascii="Source Sans Pro" w:hAnsi="Source Sans Pro"/>
          <w:color w:val="000000" w:themeColor="text1"/>
          <w:lang w:val="es-MX"/>
        </w:rPr>
        <w:t xml:space="preserve">El presente documento tiene el objetivo de dar a conocer información relacionada al impacto de la violencia </w:t>
      </w:r>
      <w:r w:rsidR="00944F26">
        <w:rPr>
          <w:rFonts w:ascii="Source Sans Pro" w:hAnsi="Source Sans Pro"/>
          <w:color w:val="000000" w:themeColor="text1"/>
          <w:lang w:val="es-MX"/>
        </w:rPr>
        <w:t>en la salud de las per</w:t>
      </w:r>
      <w:r w:rsidRPr="005F165B">
        <w:rPr>
          <w:rFonts w:ascii="Source Sans Pro" w:hAnsi="Source Sans Pro"/>
          <w:color w:val="000000" w:themeColor="text1"/>
          <w:lang w:val="es-MX"/>
        </w:rPr>
        <w:t>sonas LGBTI</w:t>
      </w:r>
      <w:r w:rsidR="00944F26">
        <w:rPr>
          <w:rFonts w:ascii="Source Sans Pro" w:hAnsi="Source Sans Pro"/>
          <w:color w:val="000000" w:themeColor="text1"/>
          <w:lang w:val="es-MX"/>
        </w:rPr>
        <w:t>, en el contexto latinoamerican</w:t>
      </w:r>
      <w:r w:rsidR="004B374D" w:rsidRPr="005F165B">
        <w:rPr>
          <w:rFonts w:ascii="Source Sans Pro" w:hAnsi="Source Sans Pro"/>
          <w:color w:val="000000" w:themeColor="text1"/>
          <w:lang w:val="es-MX"/>
        </w:rPr>
        <w:t xml:space="preserve">. </w:t>
      </w:r>
      <w:r w:rsidR="00F02A5B" w:rsidRPr="005F165B">
        <w:rPr>
          <w:rFonts w:ascii="Source Sans Pro" w:hAnsi="Source Sans Pro"/>
          <w:color w:val="000000" w:themeColor="text1"/>
          <w:lang w:val="es-MX"/>
        </w:rPr>
        <w:t>Para ello, con base a las preguntas formuladas por su relatoría, respondere</w:t>
      </w:r>
      <w:r w:rsidR="00263FC3" w:rsidRPr="005F165B">
        <w:rPr>
          <w:rFonts w:ascii="Source Sans Pro" w:hAnsi="Source Sans Pro"/>
          <w:color w:val="000000" w:themeColor="text1"/>
          <w:lang w:val="es-MX"/>
        </w:rPr>
        <w:t>mos las siguientes cuestiones</w:t>
      </w:r>
      <w:r w:rsidR="00D24C37" w:rsidRPr="005F165B">
        <w:rPr>
          <w:rFonts w:ascii="Source Sans Pro" w:hAnsi="Source Sans Pro"/>
          <w:color w:val="000000" w:themeColor="text1"/>
          <w:lang w:val="es-MX"/>
        </w:rPr>
        <w:t xml:space="preserve"> que esperamos sirvan </w:t>
      </w:r>
      <w:r w:rsidR="009C3525" w:rsidRPr="005F165B">
        <w:rPr>
          <w:rFonts w:ascii="Source Sans Pro" w:hAnsi="Source Sans Pro"/>
          <w:color w:val="000000" w:themeColor="text1"/>
          <w:lang w:val="es-MX"/>
        </w:rPr>
        <w:t>para la elaboración de su siguiente informe temático</w:t>
      </w:r>
      <w:r w:rsidR="00E62586" w:rsidRPr="005F165B">
        <w:rPr>
          <w:rFonts w:ascii="Source Sans Pro" w:hAnsi="Source Sans Pro"/>
          <w:color w:val="000000" w:themeColor="text1"/>
          <w:lang w:val="es-MX"/>
        </w:rPr>
        <w:t>.</w:t>
      </w:r>
    </w:p>
    <w:p w14:paraId="7CA2BA95" w14:textId="77777777" w:rsidR="009D431D" w:rsidRPr="005F165B" w:rsidRDefault="009D431D" w:rsidP="00F81601">
      <w:pPr>
        <w:pStyle w:val="ListParagraph"/>
        <w:numPr>
          <w:ilvl w:val="0"/>
          <w:numId w:val="33"/>
        </w:numPr>
        <w:jc w:val="both"/>
        <w:rPr>
          <w:rFonts w:ascii="Source Sans Pro" w:hAnsi="Source Sans Pro"/>
          <w:color w:val="000000" w:themeColor="text1"/>
        </w:rPr>
      </w:pPr>
      <w:r w:rsidRPr="005F165B">
        <w:rPr>
          <w:rFonts w:ascii="Source Sans Pro" w:hAnsi="Source Sans Pro"/>
          <w:color w:val="000000" w:themeColor="text1"/>
          <w:lang w:val="es-MX"/>
        </w:rPr>
        <w:t>Información</w:t>
      </w:r>
      <w:r w:rsidRPr="005F165B">
        <w:rPr>
          <w:rFonts w:ascii="Source Sans Pro" w:hAnsi="Source Sans Pro"/>
          <w:color w:val="000000" w:themeColor="text1"/>
        </w:rPr>
        <w:t xml:space="preserve"> relacionada a la violencia por prejuicio, incluida la </w:t>
      </w:r>
      <w:r w:rsidRPr="005F165B">
        <w:rPr>
          <w:rFonts w:ascii="Source Sans Pro" w:hAnsi="Source Sans Pro"/>
          <w:b/>
          <w:bCs/>
          <w:color w:val="000000" w:themeColor="text1"/>
        </w:rPr>
        <w:t>violencia estructural, institucional, interpersonal e íntima</w:t>
      </w:r>
      <w:r w:rsidRPr="005F165B">
        <w:rPr>
          <w:rFonts w:ascii="Source Sans Pro" w:hAnsi="Source Sans Pro"/>
          <w:color w:val="000000" w:themeColor="text1"/>
        </w:rPr>
        <w:t xml:space="preserve">, </w:t>
      </w:r>
      <w:r w:rsidRPr="005F165B">
        <w:rPr>
          <w:rFonts w:ascii="Source Sans Pro" w:hAnsi="Source Sans Pro"/>
          <w:color w:val="000000" w:themeColor="text1"/>
          <w:lang w:val="es-MX"/>
        </w:rPr>
        <w:t xml:space="preserve">y aquella </w:t>
      </w:r>
      <w:r w:rsidRPr="005F165B">
        <w:rPr>
          <w:rFonts w:ascii="Source Sans Pro" w:hAnsi="Source Sans Pro"/>
          <w:color w:val="000000" w:themeColor="text1"/>
        </w:rPr>
        <w:t xml:space="preserve">situada particularmente en </w:t>
      </w:r>
      <w:r w:rsidRPr="005F165B">
        <w:rPr>
          <w:rFonts w:ascii="Source Sans Pro" w:hAnsi="Source Sans Pro"/>
          <w:b/>
          <w:bCs/>
          <w:color w:val="000000" w:themeColor="text1"/>
        </w:rPr>
        <w:t>contextos médicos</w:t>
      </w:r>
      <w:r w:rsidRPr="005F165B">
        <w:rPr>
          <w:rFonts w:ascii="Source Sans Pro" w:hAnsi="Source Sans Pro"/>
          <w:b/>
          <w:bCs/>
          <w:color w:val="000000" w:themeColor="text1"/>
          <w:lang w:val="es-MX"/>
        </w:rPr>
        <w:t>.</w:t>
      </w:r>
    </w:p>
    <w:p w14:paraId="09DCF120" w14:textId="237FD0A7" w:rsidR="009D431D" w:rsidRPr="005F165B" w:rsidRDefault="009D431D" w:rsidP="009D431D">
      <w:pPr>
        <w:numPr>
          <w:ilvl w:val="0"/>
          <w:numId w:val="33"/>
        </w:numPr>
        <w:jc w:val="both"/>
        <w:rPr>
          <w:rFonts w:ascii="Source Sans Pro" w:hAnsi="Source Sans Pro"/>
          <w:color w:val="000000" w:themeColor="text1"/>
        </w:rPr>
      </w:pPr>
      <w:bookmarkStart w:id="1" w:name="_Hlk93033043"/>
      <w:r w:rsidRPr="005F165B">
        <w:rPr>
          <w:rFonts w:ascii="Source Sans Pro" w:hAnsi="Source Sans Pro"/>
          <w:color w:val="000000" w:themeColor="text1"/>
        </w:rPr>
        <w:t>El impacto</w:t>
      </w:r>
      <w:r w:rsidR="00402C30" w:rsidRPr="005F165B">
        <w:rPr>
          <w:rFonts w:ascii="Source Sans Pro" w:hAnsi="Source Sans Pro"/>
          <w:color w:val="000000" w:themeColor="text1"/>
        </w:rPr>
        <w:t xml:space="preserve"> en la salud como </w:t>
      </w:r>
      <w:r w:rsidR="00402C30" w:rsidRPr="00386826">
        <w:rPr>
          <w:rFonts w:ascii="Source Sans Pro" w:hAnsi="Source Sans Pro"/>
          <w:b/>
          <w:bCs/>
          <w:color w:val="000000" w:themeColor="text1"/>
        </w:rPr>
        <w:t xml:space="preserve">consecuencia de la violencia </w:t>
      </w:r>
      <w:r w:rsidR="0054230D" w:rsidRPr="00386826">
        <w:rPr>
          <w:rFonts w:ascii="Source Sans Pro" w:hAnsi="Source Sans Pro"/>
          <w:b/>
          <w:bCs/>
          <w:color w:val="000000" w:themeColor="text1"/>
        </w:rPr>
        <w:t>y</w:t>
      </w:r>
      <w:r w:rsidRPr="00386826">
        <w:rPr>
          <w:rFonts w:ascii="Source Sans Pro" w:hAnsi="Source Sans Pro"/>
          <w:b/>
          <w:bCs/>
          <w:color w:val="000000" w:themeColor="text1"/>
        </w:rPr>
        <w:t xml:space="preserve"> de la criminalización</w:t>
      </w:r>
      <w:r w:rsidRPr="005F165B">
        <w:rPr>
          <w:rFonts w:ascii="Source Sans Pro" w:hAnsi="Source Sans Pro"/>
          <w:b/>
          <w:bCs/>
          <w:color w:val="000000" w:themeColor="text1"/>
        </w:rPr>
        <w:t xml:space="preserve"> del trabajo sexual,</w:t>
      </w:r>
      <w:r w:rsidRPr="005F165B">
        <w:rPr>
          <w:rFonts w:ascii="Source Sans Pro" w:hAnsi="Source Sans Pro"/>
          <w:color w:val="000000" w:themeColor="text1"/>
        </w:rPr>
        <w:t xml:space="preserve"> </w:t>
      </w:r>
      <w:r w:rsidR="00386826">
        <w:rPr>
          <w:rFonts w:ascii="Source Sans Pro" w:hAnsi="Source Sans Pro"/>
          <w:color w:val="000000" w:themeColor="text1"/>
        </w:rPr>
        <w:t xml:space="preserve">de </w:t>
      </w:r>
      <w:r w:rsidRPr="005F165B">
        <w:rPr>
          <w:rFonts w:ascii="Source Sans Pro" w:hAnsi="Source Sans Pro"/>
          <w:color w:val="000000" w:themeColor="text1"/>
        </w:rPr>
        <w:t xml:space="preserve">las </w:t>
      </w:r>
      <w:r w:rsidRPr="005F165B">
        <w:rPr>
          <w:rFonts w:ascii="Source Sans Pro" w:hAnsi="Source Sans Pro"/>
          <w:b/>
          <w:bCs/>
          <w:color w:val="000000" w:themeColor="text1"/>
        </w:rPr>
        <w:t>relaciones entre personas del mismo sexo, la transexualidad, el aborto, el consumo de drogas</w:t>
      </w:r>
      <w:r w:rsidRPr="005F165B">
        <w:rPr>
          <w:rFonts w:ascii="Source Sans Pro" w:hAnsi="Source Sans Pro"/>
          <w:color w:val="000000" w:themeColor="text1"/>
        </w:rPr>
        <w:t>, etc. </w:t>
      </w:r>
    </w:p>
    <w:bookmarkEnd w:id="1"/>
    <w:p w14:paraId="7C1B0A00" w14:textId="77777777" w:rsidR="009D431D" w:rsidRPr="005F165B" w:rsidRDefault="009D431D" w:rsidP="009D431D">
      <w:pPr>
        <w:numPr>
          <w:ilvl w:val="0"/>
          <w:numId w:val="33"/>
        </w:numPr>
        <w:jc w:val="both"/>
        <w:rPr>
          <w:rFonts w:ascii="Source Sans Pro" w:hAnsi="Source Sans Pro"/>
          <w:color w:val="000000" w:themeColor="text1"/>
        </w:rPr>
      </w:pPr>
      <w:r w:rsidRPr="005F165B">
        <w:rPr>
          <w:rFonts w:ascii="Source Sans Pro" w:hAnsi="Source Sans Pro"/>
          <w:color w:val="000000" w:themeColor="text1"/>
        </w:rPr>
        <w:t xml:space="preserve">La identificación de buenas prácticas y ejemplos de </w:t>
      </w:r>
      <w:r w:rsidRPr="005F165B">
        <w:rPr>
          <w:rFonts w:ascii="Source Sans Pro" w:hAnsi="Source Sans Pro"/>
          <w:b/>
          <w:bCs/>
          <w:color w:val="000000" w:themeColor="text1"/>
        </w:rPr>
        <w:t>respuestas</w:t>
      </w:r>
      <w:r w:rsidRPr="005F165B">
        <w:rPr>
          <w:rFonts w:ascii="Source Sans Pro" w:hAnsi="Source Sans Pro"/>
          <w:color w:val="000000" w:themeColor="text1"/>
        </w:rPr>
        <w:t xml:space="preserve"> </w:t>
      </w:r>
      <w:r w:rsidRPr="005F165B">
        <w:rPr>
          <w:rFonts w:ascii="Source Sans Pro" w:hAnsi="Source Sans Pro"/>
          <w:b/>
          <w:bCs/>
          <w:color w:val="000000" w:themeColor="text1"/>
        </w:rPr>
        <w:t>sanitarias</w:t>
      </w:r>
      <w:r w:rsidRPr="005F165B">
        <w:rPr>
          <w:rFonts w:ascii="Source Sans Pro" w:hAnsi="Source Sans Pro"/>
          <w:color w:val="000000" w:themeColor="text1"/>
        </w:rPr>
        <w:t xml:space="preserve"> </w:t>
      </w:r>
      <w:r w:rsidRPr="005F165B">
        <w:rPr>
          <w:rFonts w:ascii="Source Sans Pro" w:hAnsi="Source Sans Pro"/>
          <w:b/>
          <w:bCs/>
          <w:color w:val="000000" w:themeColor="text1"/>
        </w:rPr>
        <w:t>integrales</w:t>
      </w:r>
      <w:r w:rsidRPr="005F165B">
        <w:rPr>
          <w:rFonts w:ascii="Source Sans Pro" w:hAnsi="Source Sans Pro"/>
          <w:color w:val="000000" w:themeColor="text1"/>
        </w:rPr>
        <w:t xml:space="preserve"> a l</w:t>
      </w:r>
      <w:r w:rsidRPr="005F165B">
        <w:rPr>
          <w:rFonts w:ascii="Source Sans Pro" w:hAnsi="Source Sans Pro"/>
          <w:color w:val="000000" w:themeColor="text1"/>
          <w:lang w:val="es-MX"/>
        </w:rPr>
        <w:t>a</w:t>
      </w:r>
      <w:r w:rsidRPr="005F165B">
        <w:rPr>
          <w:rFonts w:ascii="Source Sans Pro" w:hAnsi="Source Sans Pro"/>
          <w:color w:val="000000" w:themeColor="text1"/>
        </w:rPr>
        <w:t>s</w:t>
      </w:r>
      <w:r w:rsidRPr="005F165B">
        <w:rPr>
          <w:rFonts w:ascii="Source Sans Pro" w:hAnsi="Source Sans Pro"/>
          <w:color w:val="000000" w:themeColor="text1"/>
          <w:lang w:val="es-MX"/>
        </w:rPr>
        <w:t xml:space="preserve"> personas LGBTI </w:t>
      </w:r>
      <w:r w:rsidRPr="005F165B">
        <w:rPr>
          <w:rFonts w:ascii="Source Sans Pro" w:hAnsi="Source Sans Pro"/>
          <w:color w:val="000000" w:themeColor="text1"/>
        </w:rPr>
        <w:t xml:space="preserve"> supervivientes de violencia</w:t>
      </w:r>
      <w:r w:rsidRPr="005F165B">
        <w:rPr>
          <w:rFonts w:ascii="Source Sans Pro" w:hAnsi="Source Sans Pro"/>
          <w:color w:val="000000" w:themeColor="text1"/>
          <w:lang w:val="es-MX"/>
        </w:rPr>
        <w:t>.</w:t>
      </w:r>
      <w:r w:rsidRPr="005F165B">
        <w:rPr>
          <w:rFonts w:ascii="Source Sans Pro" w:hAnsi="Source Sans Pro"/>
          <w:color w:val="000000" w:themeColor="text1"/>
        </w:rPr>
        <w:t xml:space="preserve"> </w:t>
      </w:r>
    </w:p>
    <w:p w14:paraId="345B96BD" w14:textId="2952620A" w:rsidR="009D431D" w:rsidRPr="00386826" w:rsidRDefault="009D431D" w:rsidP="009D431D">
      <w:pPr>
        <w:numPr>
          <w:ilvl w:val="0"/>
          <w:numId w:val="33"/>
        </w:numPr>
        <w:jc w:val="both"/>
        <w:rPr>
          <w:rFonts w:ascii="Source Sans Pro" w:hAnsi="Source Sans Pro"/>
          <w:b/>
          <w:bCs/>
          <w:color w:val="000000" w:themeColor="text1"/>
        </w:rPr>
      </w:pPr>
      <w:r w:rsidRPr="005F165B">
        <w:rPr>
          <w:rFonts w:ascii="Source Sans Pro" w:hAnsi="Source Sans Pro"/>
          <w:color w:val="000000" w:themeColor="text1"/>
          <w:lang w:val="es-MX"/>
        </w:rPr>
        <w:t xml:space="preserve">Información sobre la situación </w:t>
      </w:r>
      <w:r w:rsidRPr="00386826">
        <w:rPr>
          <w:rFonts w:ascii="Source Sans Pro" w:hAnsi="Source Sans Pro"/>
          <w:b/>
          <w:bCs/>
          <w:color w:val="000000" w:themeColor="text1"/>
          <w:lang w:val="es-MX"/>
        </w:rPr>
        <w:t>de violencia contra personas LGBTI en los servicios de salud durante la pandemia por COVID-19.</w:t>
      </w:r>
    </w:p>
    <w:p w14:paraId="7E5413D3" w14:textId="6BB24A95" w:rsidR="0054230D" w:rsidRDefault="00A94402" w:rsidP="009D431D">
      <w:pPr>
        <w:numPr>
          <w:ilvl w:val="0"/>
          <w:numId w:val="33"/>
        </w:numPr>
        <w:jc w:val="both"/>
        <w:rPr>
          <w:rFonts w:ascii="Source Sans Pro" w:hAnsi="Source Sans Pro"/>
          <w:color w:val="000000" w:themeColor="text1"/>
        </w:rPr>
      </w:pPr>
      <w:r w:rsidRPr="005F165B">
        <w:rPr>
          <w:rFonts w:ascii="Source Sans Pro" w:hAnsi="Source Sans Pro"/>
          <w:color w:val="000000" w:themeColor="text1"/>
        </w:rPr>
        <w:t xml:space="preserve">La identificación de las </w:t>
      </w:r>
      <w:r w:rsidRPr="00386826">
        <w:rPr>
          <w:rFonts w:ascii="Source Sans Pro" w:hAnsi="Source Sans Pro"/>
          <w:b/>
          <w:bCs/>
          <w:color w:val="000000" w:themeColor="text1"/>
        </w:rPr>
        <w:t xml:space="preserve">necesidades </w:t>
      </w:r>
      <w:r w:rsidR="00386826" w:rsidRPr="00386826">
        <w:rPr>
          <w:rFonts w:ascii="Source Sans Pro" w:hAnsi="Source Sans Pro"/>
          <w:b/>
          <w:bCs/>
          <w:color w:val="000000" w:themeColor="text1"/>
        </w:rPr>
        <w:t>con relación a</w:t>
      </w:r>
      <w:r w:rsidR="00E679C0" w:rsidRPr="00386826">
        <w:rPr>
          <w:rFonts w:ascii="Source Sans Pro" w:hAnsi="Source Sans Pro"/>
          <w:b/>
          <w:bCs/>
          <w:color w:val="000000" w:themeColor="text1"/>
        </w:rPr>
        <w:t xml:space="preserve"> temas de salud</w:t>
      </w:r>
      <w:r w:rsidR="00E679C0" w:rsidRPr="005F165B">
        <w:rPr>
          <w:rFonts w:ascii="Source Sans Pro" w:hAnsi="Source Sans Pro"/>
          <w:color w:val="000000" w:themeColor="text1"/>
        </w:rPr>
        <w:t xml:space="preserve"> que tienen las personas LGBTI+ sobrevivientes </w:t>
      </w:r>
      <w:r w:rsidR="009C7656" w:rsidRPr="005F165B">
        <w:rPr>
          <w:rFonts w:ascii="Source Sans Pro" w:hAnsi="Source Sans Pro"/>
          <w:color w:val="000000" w:themeColor="text1"/>
        </w:rPr>
        <w:t xml:space="preserve">de las violencias ya mencionadas y sus familias. </w:t>
      </w:r>
    </w:p>
    <w:p w14:paraId="356CA059" w14:textId="77777777" w:rsidR="00A45873" w:rsidRPr="005F165B" w:rsidRDefault="00A45873" w:rsidP="00A45873">
      <w:pPr>
        <w:ind w:left="720"/>
        <w:jc w:val="both"/>
        <w:rPr>
          <w:rFonts w:ascii="Source Sans Pro" w:hAnsi="Source Sans Pro"/>
          <w:color w:val="000000" w:themeColor="text1"/>
        </w:rPr>
      </w:pPr>
    </w:p>
    <w:p w14:paraId="4597EED1" w14:textId="6BC1472E" w:rsidR="008E35DD" w:rsidRPr="005F165B" w:rsidRDefault="00A406D8" w:rsidP="00A406D8">
      <w:pPr>
        <w:pStyle w:val="ListParagraph"/>
        <w:numPr>
          <w:ilvl w:val="0"/>
          <w:numId w:val="34"/>
        </w:numPr>
        <w:jc w:val="both"/>
        <w:rPr>
          <w:rFonts w:ascii="Source Sans Pro" w:hAnsi="Source Sans Pro"/>
          <w:b/>
          <w:bCs/>
          <w:i/>
          <w:iCs/>
          <w:color w:val="7030A0"/>
        </w:rPr>
      </w:pPr>
      <w:r w:rsidRPr="005F165B">
        <w:rPr>
          <w:rFonts w:ascii="Source Sans Pro" w:hAnsi="Source Sans Pro"/>
          <w:i/>
          <w:iCs/>
          <w:color w:val="7030A0"/>
          <w:lang w:val="es-MX"/>
        </w:rPr>
        <w:lastRenderedPageBreak/>
        <w:t>Información</w:t>
      </w:r>
      <w:r w:rsidRPr="005F165B">
        <w:rPr>
          <w:rFonts w:ascii="Source Sans Pro" w:hAnsi="Source Sans Pro"/>
          <w:i/>
          <w:iCs/>
          <w:color w:val="7030A0"/>
        </w:rPr>
        <w:t xml:space="preserve"> relacionada a la violencia por prejuicio, incluida la </w:t>
      </w:r>
      <w:r w:rsidRPr="005F165B">
        <w:rPr>
          <w:rFonts w:ascii="Source Sans Pro" w:hAnsi="Source Sans Pro"/>
          <w:b/>
          <w:bCs/>
          <w:i/>
          <w:iCs/>
          <w:color w:val="7030A0"/>
        </w:rPr>
        <w:t>violencia estructural, institucional, interpersonal e íntima</w:t>
      </w:r>
      <w:r w:rsidRPr="005F165B">
        <w:rPr>
          <w:rFonts w:ascii="Source Sans Pro" w:hAnsi="Source Sans Pro"/>
          <w:i/>
          <w:iCs/>
          <w:color w:val="7030A0"/>
        </w:rPr>
        <w:t xml:space="preserve">, </w:t>
      </w:r>
      <w:r w:rsidRPr="005F165B">
        <w:rPr>
          <w:rFonts w:ascii="Source Sans Pro" w:hAnsi="Source Sans Pro"/>
          <w:i/>
          <w:iCs/>
          <w:color w:val="7030A0"/>
          <w:lang w:val="es-MX"/>
        </w:rPr>
        <w:t xml:space="preserve">y aquella </w:t>
      </w:r>
      <w:r w:rsidRPr="005F165B">
        <w:rPr>
          <w:rFonts w:ascii="Source Sans Pro" w:hAnsi="Source Sans Pro"/>
          <w:i/>
          <w:iCs/>
          <w:color w:val="7030A0"/>
        </w:rPr>
        <w:t xml:space="preserve">situada particularmente en </w:t>
      </w:r>
      <w:r w:rsidRPr="005F165B">
        <w:rPr>
          <w:rFonts w:ascii="Source Sans Pro" w:hAnsi="Source Sans Pro"/>
          <w:b/>
          <w:bCs/>
          <w:i/>
          <w:iCs/>
          <w:color w:val="7030A0"/>
        </w:rPr>
        <w:t>contextos médicos</w:t>
      </w:r>
      <w:r w:rsidRPr="005F165B">
        <w:rPr>
          <w:rFonts w:ascii="Source Sans Pro" w:hAnsi="Source Sans Pro"/>
          <w:b/>
          <w:bCs/>
          <w:i/>
          <w:iCs/>
          <w:color w:val="7030A0"/>
          <w:lang w:val="es-MX"/>
        </w:rPr>
        <w:t>.</w:t>
      </w:r>
    </w:p>
    <w:p w14:paraId="3D68A9E0" w14:textId="135FC791" w:rsidR="00C711C5" w:rsidRDefault="006251C0" w:rsidP="001A365A">
      <w:pPr>
        <w:spacing w:after="0" w:line="276" w:lineRule="auto"/>
        <w:jc w:val="both"/>
        <w:rPr>
          <w:rFonts w:ascii="Source Sans Pro" w:eastAsia="Arial" w:hAnsi="Source Sans Pro" w:cs="Arial"/>
          <w:lang w:val="es-419" w:eastAsia="es-PE"/>
        </w:rPr>
      </w:pPr>
      <w:r w:rsidRPr="005F165B">
        <w:rPr>
          <w:rFonts w:ascii="Source Sans Pro" w:hAnsi="Source Sans Pro"/>
        </w:rPr>
        <w:t xml:space="preserve">Aunque </w:t>
      </w:r>
      <w:r w:rsidR="00A93F26" w:rsidRPr="005F165B">
        <w:rPr>
          <w:rFonts w:ascii="Source Sans Pro" w:hAnsi="Source Sans Pro"/>
        </w:rPr>
        <w:t xml:space="preserve">en los últimos años el continente americano </w:t>
      </w:r>
      <w:r w:rsidR="0002040F" w:rsidRPr="005F165B">
        <w:rPr>
          <w:rFonts w:ascii="Source Sans Pro" w:hAnsi="Source Sans Pro"/>
        </w:rPr>
        <w:t xml:space="preserve">ha </w:t>
      </w:r>
      <w:r w:rsidR="00A45873">
        <w:rPr>
          <w:rFonts w:ascii="Source Sans Pro" w:hAnsi="Source Sans Pro"/>
        </w:rPr>
        <w:t xml:space="preserve">ido </w:t>
      </w:r>
      <w:r w:rsidR="0002040F" w:rsidRPr="005F165B">
        <w:rPr>
          <w:rFonts w:ascii="Source Sans Pro" w:hAnsi="Source Sans Pro"/>
        </w:rPr>
        <w:t>progresado</w:t>
      </w:r>
      <w:r w:rsidR="00386826">
        <w:rPr>
          <w:rFonts w:ascii="Source Sans Pro" w:hAnsi="Source Sans Pro"/>
        </w:rPr>
        <w:t xml:space="preserve"> parcialmente</w:t>
      </w:r>
      <w:r w:rsidR="0002040F" w:rsidRPr="005F165B">
        <w:rPr>
          <w:rFonts w:ascii="Source Sans Pro" w:hAnsi="Source Sans Pro"/>
        </w:rPr>
        <w:t xml:space="preserve"> en el reconocimiento de los derechos de la</w:t>
      </w:r>
      <w:r w:rsidR="002562FB" w:rsidRPr="005F165B">
        <w:rPr>
          <w:rFonts w:ascii="Source Sans Pro" w:hAnsi="Source Sans Pro"/>
        </w:rPr>
        <w:t xml:space="preserve"> población </w:t>
      </w:r>
      <w:r w:rsidR="0002040F" w:rsidRPr="005F165B">
        <w:rPr>
          <w:rFonts w:ascii="Source Sans Pro" w:hAnsi="Source Sans Pro"/>
        </w:rPr>
        <w:t>LGBTI</w:t>
      </w:r>
      <w:r w:rsidR="001A365A">
        <w:rPr>
          <w:rFonts w:ascii="Source Sans Pro" w:hAnsi="Source Sans Pro"/>
        </w:rPr>
        <w:t>+</w:t>
      </w:r>
      <w:r w:rsidR="0002040F" w:rsidRPr="005F165B">
        <w:rPr>
          <w:rFonts w:ascii="Source Sans Pro" w:hAnsi="Source Sans Pro"/>
        </w:rPr>
        <w:t xml:space="preserve">, </w:t>
      </w:r>
      <w:r w:rsidR="00A45873">
        <w:rPr>
          <w:rFonts w:ascii="Source Sans Pro" w:hAnsi="Source Sans Pro"/>
        </w:rPr>
        <w:t xml:space="preserve">el estigma y </w:t>
      </w:r>
      <w:r w:rsidR="00E510CE" w:rsidRPr="005F165B">
        <w:rPr>
          <w:rFonts w:ascii="Source Sans Pro" w:hAnsi="Source Sans Pro"/>
        </w:rPr>
        <w:t xml:space="preserve">los casos de </w:t>
      </w:r>
      <w:r w:rsidR="005F5134" w:rsidRPr="005F165B">
        <w:rPr>
          <w:rFonts w:ascii="Source Sans Pro" w:hAnsi="Source Sans Pro"/>
        </w:rPr>
        <w:t>violencia por prejuicio en su contra sigue</w:t>
      </w:r>
      <w:r w:rsidR="00E510CE" w:rsidRPr="005F165B">
        <w:rPr>
          <w:rFonts w:ascii="Source Sans Pro" w:hAnsi="Source Sans Pro"/>
        </w:rPr>
        <w:t>n</w:t>
      </w:r>
      <w:r w:rsidR="005F5134" w:rsidRPr="005F165B">
        <w:rPr>
          <w:rFonts w:ascii="Source Sans Pro" w:hAnsi="Source Sans Pro"/>
        </w:rPr>
        <w:t xml:space="preserve"> siendo alarmante</w:t>
      </w:r>
      <w:r w:rsidR="00E510CE" w:rsidRPr="005F165B">
        <w:rPr>
          <w:rFonts w:ascii="Source Sans Pro" w:hAnsi="Source Sans Pro"/>
        </w:rPr>
        <w:t>s</w:t>
      </w:r>
      <w:r w:rsidR="005F5134" w:rsidRPr="005F165B">
        <w:rPr>
          <w:rFonts w:ascii="Source Sans Pro" w:hAnsi="Source Sans Pro"/>
        </w:rPr>
        <w:t>.</w:t>
      </w:r>
      <w:r w:rsidR="00E65F9C" w:rsidRPr="005F165B">
        <w:rPr>
          <w:rFonts w:ascii="Source Sans Pro" w:hAnsi="Source Sans Pro"/>
        </w:rPr>
        <w:t xml:space="preserve"> </w:t>
      </w:r>
      <w:r w:rsidR="00B67B6D" w:rsidRPr="005F165B">
        <w:rPr>
          <w:rFonts w:ascii="Source Sans Pro" w:hAnsi="Source Sans Pro"/>
        </w:rPr>
        <w:t>En</w:t>
      </w:r>
      <w:r w:rsidR="001A365A">
        <w:rPr>
          <w:rFonts w:ascii="Source Sans Pro" w:hAnsi="Source Sans Pro"/>
        </w:rPr>
        <w:t xml:space="preserve">tre el </w:t>
      </w:r>
      <w:r w:rsidR="00B67B6D" w:rsidRPr="005F165B">
        <w:rPr>
          <w:rFonts w:ascii="Source Sans Pro" w:hAnsi="Source Sans Pro"/>
        </w:rPr>
        <w:t xml:space="preserve">2014 </w:t>
      </w:r>
      <w:r w:rsidR="001A365A">
        <w:rPr>
          <w:rFonts w:ascii="Source Sans Pro" w:hAnsi="Source Sans Pro"/>
        </w:rPr>
        <w:t>y</w:t>
      </w:r>
      <w:r w:rsidR="00B67B6D" w:rsidRPr="005F165B">
        <w:rPr>
          <w:rFonts w:ascii="Source Sans Pro" w:hAnsi="Source Sans Pro"/>
        </w:rPr>
        <w:t xml:space="preserve"> 2019</w:t>
      </w:r>
      <w:r w:rsidR="00827BF5" w:rsidRPr="005F165B">
        <w:rPr>
          <w:rFonts w:ascii="Source Sans Pro" w:hAnsi="Source Sans Pro"/>
        </w:rPr>
        <w:t>, la Red</w:t>
      </w:r>
      <w:r w:rsidR="009A12BF" w:rsidRPr="005F165B">
        <w:rPr>
          <w:rFonts w:ascii="Source Sans Pro" w:hAnsi="Source Sans Pro"/>
        </w:rPr>
        <w:t xml:space="preserve"> Regional de </w:t>
      </w:r>
      <w:r w:rsidR="009A12BF" w:rsidRPr="00537DC4">
        <w:rPr>
          <w:rFonts w:ascii="Source Sans Pro" w:hAnsi="Source Sans Pro"/>
        </w:rPr>
        <w:t>Información sobre Violencias LGBTI</w:t>
      </w:r>
      <w:r w:rsidR="00827BF5" w:rsidRPr="00537DC4">
        <w:rPr>
          <w:rFonts w:ascii="Source Sans Pro" w:hAnsi="Source Sans Pro"/>
        </w:rPr>
        <w:t xml:space="preserve"> </w:t>
      </w:r>
      <w:r w:rsidR="00386826" w:rsidRPr="00537DC4">
        <w:rPr>
          <w:rFonts w:ascii="Source Sans Pro" w:hAnsi="Source Sans Pro"/>
        </w:rPr>
        <w:t xml:space="preserve">– </w:t>
      </w:r>
      <w:r w:rsidR="00386826" w:rsidRPr="00537DC4">
        <w:rPr>
          <w:rFonts w:ascii="Source Sans Pro" w:hAnsi="Source Sans Pro"/>
          <w:b/>
          <w:bCs/>
        </w:rPr>
        <w:t xml:space="preserve">“Red </w:t>
      </w:r>
      <w:r w:rsidR="00827BF5" w:rsidRPr="00537DC4">
        <w:rPr>
          <w:rFonts w:ascii="Source Sans Pro" w:hAnsi="Source Sans Pro"/>
          <w:b/>
          <w:bCs/>
        </w:rPr>
        <w:t>S</w:t>
      </w:r>
      <w:r w:rsidR="009A12BF" w:rsidRPr="00537DC4">
        <w:rPr>
          <w:rFonts w:ascii="Source Sans Pro" w:hAnsi="Source Sans Pro"/>
          <w:b/>
          <w:bCs/>
        </w:rPr>
        <w:t>I</w:t>
      </w:r>
      <w:r w:rsidR="00827BF5" w:rsidRPr="00537DC4">
        <w:rPr>
          <w:rFonts w:ascii="Source Sans Pro" w:hAnsi="Source Sans Pro"/>
          <w:b/>
          <w:bCs/>
        </w:rPr>
        <w:t>n Violencia</w:t>
      </w:r>
      <w:r w:rsidR="0015634F" w:rsidRPr="00537DC4">
        <w:rPr>
          <w:rFonts w:ascii="Source Sans Pro" w:hAnsi="Source Sans Pro"/>
          <w:b/>
          <w:bCs/>
        </w:rPr>
        <w:t>”</w:t>
      </w:r>
      <w:r w:rsidR="00386826" w:rsidRPr="00537DC4">
        <w:rPr>
          <w:rFonts w:ascii="Source Sans Pro" w:hAnsi="Source Sans Pro"/>
          <w:b/>
          <w:bCs/>
        </w:rPr>
        <w:t>-</w:t>
      </w:r>
      <w:r w:rsidR="00827BF5" w:rsidRPr="00537DC4">
        <w:rPr>
          <w:rFonts w:ascii="Source Sans Pro" w:hAnsi="Source Sans Pro"/>
        </w:rPr>
        <w:t xml:space="preserve"> registr</w:t>
      </w:r>
      <w:r w:rsidR="00B67B6D" w:rsidRPr="00537DC4">
        <w:rPr>
          <w:rFonts w:ascii="Source Sans Pro" w:hAnsi="Source Sans Pro"/>
        </w:rPr>
        <w:t xml:space="preserve">ó </w:t>
      </w:r>
      <w:r w:rsidR="00E51431" w:rsidRPr="00537DC4">
        <w:rPr>
          <w:rFonts w:ascii="Source Sans Pro" w:hAnsi="Source Sans Pro"/>
        </w:rPr>
        <w:t xml:space="preserve">que más de 1.300 personas </w:t>
      </w:r>
      <w:r w:rsidR="00386826" w:rsidRPr="00537DC4">
        <w:rPr>
          <w:rFonts w:ascii="Source Sans Pro" w:hAnsi="Source Sans Pro"/>
        </w:rPr>
        <w:t>LGBTI</w:t>
      </w:r>
      <w:r w:rsidR="00E51431" w:rsidRPr="00537DC4">
        <w:rPr>
          <w:rFonts w:ascii="Source Sans Pro" w:hAnsi="Source Sans Pro"/>
        </w:rPr>
        <w:t xml:space="preserve"> han perdido</w:t>
      </w:r>
      <w:r w:rsidR="00EF6933" w:rsidRPr="00537DC4">
        <w:rPr>
          <w:rFonts w:ascii="Source Sans Pro" w:hAnsi="Source Sans Pro"/>
        </w:rPr>
        <w:t xml:space="preserve"> la vida </w:t>
      </w:r>
      <w:r w:rsidR="00E51431" w:rsidRPr="00537DC4">
        <w:rPr>
          <w:rFonts w:ascii="Source Sans Pro" w:hAnsi="Source Sans Pro"/>
        </w:rPr>
        <w:t>de forma violenta</w:t>
      </w:r>
      <w:r w:rsidR="00333F97" w:rsidRPr="00537DC4">
        <w:rPr>
          <w:rStyle w:val="FootnoteReference"/>
          <w:rFonts w:ascii="Source Sans Pro" w:hAnsi="Source Sans Pro"/>
        </w:rPr>
        <w:footnoteReference w:id="1"/>
      </w:r>
      <w:r w:rsidR="00E51431" w:rsidRPr="00537DC4">
        <w:rPr>
          <w:rFonts w:ascii="Source Sans Pro" w:hAnsi="Source Sans Pro"/>
        </w:rPr>
        <w:t>.</w:t>
      </w:r>
      <w:r w:rsidR="00C64AF9" w:rsidRPr="00537DC4">
        <w:rPr>
          <w:rFonts w:ascii="Source Sans Pro" w:hAnsi="Source Sans Pro"/>
        </w:rPr>
        <w:t xml:space="preserve"> </w:t>
      </w:r>
      <w:r w:rsidR="00537DC4" w:rsidRPr="00537DC4">
        <w:rPr>
          <w:rFonts w:ascii="Source Sans Pro" w:eastAsia="Arial" w:hAnsi="Source Sans Pro" w:cs="Arial"/>
          <w:lang w:val="es-419" w:eastAsia="es-PE"/>
        </w:rPr>
        <w:t xml:space="preserve">En el año 2019 registró 319 asesinatos, seguido de 370 casos </w:t>
      </w:r>
      <w:r w:rsidR="001A365A">
        <w:rPr>
          <w:rFonts w:ascii="Source Sans Pro" w:eastAsia="Arial" w:hAnsi="Source Sans Pro" w:cs="Arial"/>
          <w:lang w:val="es-419" w:eastAsia="es-PE"/>
        </w:rPr>
        <w:t>durante</w:t>
      </w:r>
      <w:r w:rsidR="00537DC4" w:rsidRPr="00537DC4">
        <w:rPr>
          <w:rFonts w:ascii="Source Sans Pro" w:eastAsia="Arial" w:hAnsi="Source Sans Pro" w:cs="Arial"/>
          <w:lang w:val="es-419" w:eastAsia="es-PE"/>
        </w:rPr>
        <w:t xml:space="preserve"> 2020. </w:t>
      </w:r>
      <w:r w:rsidR="001A365A">
        <w:rPr>
          <w:rFonts w:ascii="Source Sans Pro" w:eastAsia="Arial" w:hAnsi="Source Sans Pro" w:cs="Arial"/>
          <w:lang w:val="es-419" w:eastAsia="es-PE"/>
        </w:rPr>
        <w:t>En este último año</w:t>
      </w:r>
      <w:r w:rsidR="00537DC4" w:rsidRPr="00537DC4">
        <w:rPr>
          <w:rFonts w:ascii="Source Sans Pro" w:eastAsia="Arial" w:hAnsi="Source Sans Pro" w:cs="Arial"/>
          <w:lang w:val="es-419" w:eastAsia="es-PE"/>
        </w:rPr>
        <w:t xml:space="preserve">, la imposición de medidas de bioseguridad </w:t>
      </w:r>
      <w:r w:rsidR="001A365A">
        <w:rPr>
          <w:rFonts w:ascii="Source Sans Pro" w:eastAsia="Arial" w:hAnsi="Source Sans Pro" w:cs="Arial"/>
          <w:lang w:val="es-419" w:eastAsia="es-PE"/>
        </w:rPr>
        <w:t>generó</w:t>
      </w:r>
      <w:r w:rsidR="00537DC4" w:rsidRPr="00537DC4">
        <w:rPr>
          <w:rFonts w:ascii="Source Sans Pro" w:eastAsia="Arial" w:hAnsi="Source Sans Pro" w:cs="Arial"/>
          <w:lang w:val="es-419" w:eastAsia="es-PE"/>
        </w:rPr>
        <w:t xml:space="preserve"> riesgos de violencia letal y no letal contra las personas LGBTI+. </w:t>
      </w:r>
      <w:r w:rsidR="001A365A">
        <w:rPr>
          <w:rFonts w:ascii="Source Sans Pro" w:eastAsia="Arial" w:hAnsi="Source Sans Pro" w:cs="Arial"/>
          <w:lang w:val="es-419" w:eastAsia="es-PE"/>
        </w:rPr>
        <w:t>L</w:t>
      </w:r>
      <w:r w:rsidR="00537DC4" w:rsidRPr="00537DC4">
        <w:rPr>
          <w:rFonts w:ascii="Source Sans Pro" w:eastAsia="Arial" w:hAnsi="Source Sans Pro" w:cs="Arial"/>
          <w:lang w:val="es-419" w:eastAsia="es-PE"/>
        </w:rPr>
        <w:t>os toques de queda, la limitación de acceso a servicios (en función de la identificación o del género), así como el despliegue de fuerzas policiales y militares aumentaron los riesgos de violencia por parte de agentes del Estado</w:t>
      </w:r>
      <w:r w:rsidR="001A365A">
        <w:rPr>
          <w:rFonts w:ascii="Source Sans Pro" w:eastAsia="Arial" w:hAnsi="Source Sans Pro" w:cs="Arial"/>
          <w:lang w:val="es-419" w:eastAsia="es-PE"/>
        </w:rPr>
        <w:t xml:space="preserve">, </w:t>
      </w:r>
      <w:r w:rsidR="00537DC4" w:rsidRPr="00537DC4">
        <w:rPr>
          <w:rFonts w:ascii="Source Sans Pro" w:eastAsia="Arial" w:hAnsi="Source Sans Pro" w:cs="Arial"/>
          <w:lang w:val="es-419" w:eastAsia="es-PE"/>
        </w:rPr>
        <w:t>como ocurrió con personas trans en países como Colombia, Panamá, Paraguay y Perú debido a las medidas de “pico y género”</w:t>
      </w:r>
      <w:r w:rsidR="00537DC4" w:rsidRPr="00537DC4">
        <w:rPr>
          <w:rFonts w:ascii="Source Sans Pro" w:eastAsia="Arial" w:hAnsi="Source Sans Pro" w:cs="Arial"/>
          <w:vertAlign w:val="superscript"/>
          <w:lang w:val="es-419" w:eastAsia="es-PE"/>
        </w:rPr>
        <w:footnoteReference w:id="2"/>
      </w:r>
      <w:r w:rsidR="00906178">
        <w:rPr>
          <w:rFonts w:ascii="Source Sans Pro" w:eastAsia="Arial" w:hAnsi="Source Sans Pro" w:cs="Arial"/>
          <w:lang w:val="es-419" w:eastAsia="es-PE"/>
        </w:rPr>
        <w:t>.</w:t>
      </w:r>
    </w:p>
    <w:p w14:paraId="3B8D3059" w14:textId="77777777" w:rsidR="001A365A" w:rsidRPr="001A365A" w:rsidRDefault="001A365A" w:rsidP="001A365A">
      <w:pPr>
        <w:spacing w:after="0" w:line="276" w:lineRule="auto"/>
        <w:jc w:val="both"/>
        <w:rPr>
          <w:rFonts w:ascii="Source Sans Pro" w:eastAsia="Arial" w:hAnsi="Source Sans Pro" w:cs="Arial"/>
          <w:lang w:val="es-419" w:eastAsia="es-PE"/>
        </w:rPr>
      </w:pPr>
    </w:p>
    <w:p w14:paraId="4C2CF6AB" w14:textId="6D735105" w:rsidR="00F461FB" w:rsidRPr="005F165B" w:rsidRDefault="009C2F91" w:rsidP="00892FDB">
      <w:pPr>
        <w:jc w:val="both"/>
        <w:rPr>
          <w:rFonts w:ascii="Source Sans Pro" w:hAnsi="Source Sans Pro"/>
        </w:rPr>
      </w:pPr>
      <w:r w:rsidRPr="00537DC4">
        <w:rPr>
          <w:rFonts w:ascii="Source Sans Pro" w:hAnsi="Source Sans Pro"/>
        </w:rPr>
        <w:t>Por o</w:t>
      </w:r>
      <w:r w:rsidR="001B7AD7" w:rsidRPr="00537DC4">
        <w:rPr>
          <w:rFonts w:ascii="Source Sans Pro" w:hAnsi="Source Sans Pro"/>
        </w:rPr>
        <w:t>tr</w:t>
      </w:r>
      <w:r w:rsidRPr="00537DC4">
        <w:rPr>
          <w:rFonts w:ascii="Source Sans Pro" w:hAnsi="Source Sans Pro"/>
        </w:rPr>
        <w:t>o lado</w:t>
      </w:r>
      <w:r w:rsidR="00A83BDE" w:rsidRPr="00537DC4">
        <w:rPr>
          <w:rFonts w:ascii="Source Sans Pro" w:hAnsi="Source Sans Pro"/>
        </w:rPr>
        <w:t xml:space="preserve">, </w:t>
      </w:r>
      <w:r w:rsidR="0094386D" w:rsidRPr="00537DC4">
        <w:rPr>
          <w:rFonts w:ascii="Source Sans Pro" w:hAnsi="Source Sans Pro"/>
        </w:rPr>
        <w:t>la</w:t>
      </w:r>
      <w:r w:rsidR="007D6473" w:rsidRPr="00537DC4">
        <w:rPr>
          <w:rFonts w:ascii="Source Sans Pro" w:hAnsi="Source Sans Pro"/>
        </w:rPr>
        <w:t>s</w:t>
      </w:r>
      <w:r w:rsidR="0094386D" w:rsidRPr="00537DC4">
        <w:rPr>
          <w:rFonts w:ascii="Source Sans Pro" w:hAnsi="Source Sans Pro"/>
        </w:rPr>
        <w:t xml:space="preserve"> condici</w:t>
      </w:r>
      <w:r w:rsidR="007D6473" w:rsidRPr="00537DC4">
        <w:rPr>
          <w:rFonts w:ascii="Source Sans Pro" w:hAnsi="Source Sans Pro"/>
        </w:rPr>
        <w:t>ones</w:t>
      </w:r>
      <w:r w:rsidR="0094386D" w:rsidRPr="00537DC4">
        <w:rPr>
          <w:rFonts w:ascii="Source Sans Pro" w:hAnsi="Source Sans Pro"/>
        </w:rPr>
        <w:t xml:space="preserve"> </w:t>
      </w:r>
      <w:r w:rsidR="00F34AD2" w:rsidRPr="00537DC4">
        <w:rPr>
          <w:rFonts w:ascii="Source Sans Pro" w:hAnsi="Source Sans Pro"/>
        </w:rPr>
        <w:t xml:space="preserve">de vida y seguridad de las personas </w:t>
      </w:r>
      <w:r w:rsidR="00115FC7">
        <w:rPr>
          <w:rFonts w:ascii="Source Sans Pro" w:hAnsi="Source Sans Pro"/>
        </w:rPr>
        <w:t>LGBTI+</w:t>
      </w:r>
      <w:r w:rsidR="00F34AD2" w:rsidRPr="005F165B">
        <w:rPr>
          <w:rFonts w:ascii="Source Sans Pro" w:hAnsi="Source Sans Pro"/>
        </w:rPr>
        <w:t xml:space="preserve"> </w:t>
      </w:r>
      <w:r w:rsidR="00873EFA" w:rsidRPr="005F165B">
        <w:rPr>
          <w:rFonts w:ascii="Source Sans Pro" w:hAnsi="Source Sans Pro"/>
        </w:rPr>
        <w:t>de la región</w:t>
      </w:r>
      <w:r w:rsidR="001B7AD7" w:rsidRPr="005F165B">
        <w:rPr>
          <w:rFonts w:ascii="Source Sans Pro" w:hAnsi="Source Sans Pro"/>
        </w:rPr>
        <w:t xml:space="preserve"> </w:t>
      </w:r>
      <w:r w:rsidR="00D74DB2" w:rsidRPr="005F165B">
        <w:rPr>
          <w:rFonts w:ascii="Source Sans Pro" w:hAnsi="Source Sans Pro"/>
        </w:rPr>
        <w:t>se ha</w:t>
      </w:r>
      <w:r w:rsidR="007D6473" w:rsidRPr="005F165B">
        <w:rPr>
          <w:rFonts w:ascii="Source Sans Pro" w:hAnsi="Source Sans Pro"/>
        </w:rPr>
        <w:t>n</w:t>
      </w:r>
      <w:r w:rsidR="00D74DB2" w:rsidRPr="005F165B">
        <w:rPr>
          <w:rFonts w:ascii="Source Sans Pro" w:hAnsi="Source Sans Pro"/>
        </w:rPr>
        <w:t xml:space="preserve"> complejizado </w:t>
      </w:r>
      <w:r w:rsidR="008252ED">
        <w:rPr>
          <w:rFonts w:ascii="Source Sans Pro" w:hAnsi="Source Sans Pro"/>
        </w:rPr>
        <w:t>por la pandemia, pero también por</w:t>
      </w:r>
      <w:r w:rsidR="00023F56" w:rsidRPr="005F165B">
        <w:rPr>
          <w:rFonts w:ascii="Source Sans Pro" w:hAnsi="Source Sans Pro"/>
        </w:rPr>
        <w:t xml:space="preserve"> la creciente </w:t>
      </w:r>
      <w:r w:rsidR="00906178">
        <w:rPr>
          <w:rFonts w:ascii="Source Sans Pro" w:hAnsi="Source Sans Pro"/>
        </w:rPr>
        <w:t>asunción</w:t>
      </w:r>
      <w:r w:rsidR="00023F56" w:rsidRPr="005F165B">
        <w:rPr>
          <w:rFonts w:ascii="Source Sans Pro" w:hAnsi="Source Sans Pro"/>
        </w:rPr>
        <w:t xml:space="preserve"> </w:t>
      </w:r>
      <w:r w:rsidR="008252ED">
        <w:rPr>
          <w:rFonts w:ascii="Source Sans Pro" w:hAnsi="Source Sans Pro"/>
        </w:rPr>
        <w:t xml:space="preserve">de </w:t>
      </w:r>
      <w:r w:rsidR="00FB621F" w:rsidRPr="005F165B">
        <w:rPr>
          <w:rFonts w:ascii="Source Sans Pro" w:hAnsi="Source Sans Pro"/>
        </w:rPr>
        <w:t>gobiernos de derechas</w:t>
      </w:r>
      <w:r w:rsidR="006B5E38" w:rsidRPr="005F165B">
        <w:rPr>
          <w:rFonts w:ascii="Source Sans Pro" w:hAnsi="Source Sans Pro"/>
        </w:rPr>
        <w:t xml:space="preserve"> con tendencias</w:t>
      </w:r>
      <w:r w:rsidR="00850F29" w:rsidRPr="005F165B">
        <w:rPr>
          <w:rFonts w:ascii="Source Sans Pro" w:hAnsi="Source Sans Pro"/>
        </w:rPr>
        <w:t xml:space="preserve"> </w:t>
      </w:r>
      <w:r w:rsidR="001C3707" w:rsidRPr="005F165B">
        <w:rPr>
          <w:rFonts w:ascii="Source Sans Pro" w:hAnsi="Source Sans Pro"/>
        </w:rPr>
        <w:t>reaccionari</w:t>
      </w:r>
      <w:r w:rsidR="006B5E38" w:rsidRPr="005F165B">
        <w:rPr>
          <w:rFonts w:ascii="Source Sans Pro" w:hAnsi="Source Sans Pro"/>
        </w:rPr>
        <w:t>a</w:t>
      </w:r>
      <w:r w:rsidR="001C3707" w:rsidRPr="005F165B">
        <w:rPr>
          <w:rFonts w:ascii="Source Sans Pro" w:hAnsi="Source Sans Pro"/>
        </w:rPr>
        <w:t xml:space="preserve">s, </w:t>
      </w:r>
      <w:r w:rsidR="00D74DB2" w:rsidRPr="005F165B">
        <w:rPr>
          <w:rFonts w:ascii="Source Sans Pro" w:hAnsi="Source Sans Pro"/>
        </w:rPr>
        <w:t xml:space="preserve">agendas </w:t>
      </w:r>
      <w:r w:rsidR="00C711C5" w:rsidRPr="005F165B">
        <w:rPr>
          <w:rFonts w:ascii="Source Sans Pro" w:hAnsi="Source Sans Pro"/>
        </w:rPr>
        <w:t>conservadoras</w:t>
      </w:r>
      <w:r w:rsidR="005978BA" w:rsidRPr="005F165B">
        <w:rPr>
          <w:rFonts w:ascii="Source Sans Pro" w:hAnsi="Source Sans Pro"/>
        </w:rPr>
        <w:t xml:space="preserve"> </w:t>
      </w:r>
      <w:r w:rsidR="00C4224B" w:rsidRPr="005F165B">
        <w:rPr>
          <w:rFonts w:ascii="Source Sans Pro" w:hAnsi="Source Sans Pro"/>
        </w:rPr>
        <w:t xml:space="preserve">y </w:t>
      </w:r>
      <w:r w:rsidR="008252ED">
        <w:rPr>
          <w:rFonts w:ascii="Source Sans Pro" w:hAnsi="Source Sans Pro"/>
        </w:rPr>
        <w:t>con</w:t>
      </w:r>
      <w:r w:rsidR="00B74642" w:rsidRPr="005F165B">
        <w:rPr>
          <w:rFonts w:ascii="Source Sans Pro" w:hAnsi="Source Sans Pro"/>
        </w:rPr>
        <w:t xml:space="preserve"> </w:t>
      </w:r>
      <w:r w:rsidR="007102CA" w:rsidRPr="005F165B">
        <w:rPr>
          <w:rFonts w:ascii="Source Sans Pro" w:hAnsi="Source Sans Pro"/>
        </w:rPr>
        <w:t>cercanías</w:t>
      </w:r>
      <w:r w:rsidR="00441205" w:rsidRPr="005F165B">
        <w:rPr>
          <w:rFonts w:ascii="Source Sans Pro" w:hAnsi="Source Sans Pro"/>
        </w:rPr>
        <w:t xml:space="preserve"> </w:t>
      </w:r>
      <w:r w:rsidR="008252ED">
        <w:rPr>
          <w:rFonts w:ascii="Source Sans Pro" w:hAnsi="Source Sans Pro"/>
        </w:rPr>
        <w:t>a</w:t>
      </w:r>
      <w:r w:rsidR="00B74642" w:rsidRPr="005F165B">
        <w:rPr>
          <w:rFonts w:ascii="Source Sans Pro" w:hAnsi="Source Sans Pro"/>
        </w:rPr>
        <w:t xml:space="preserve"> grupos anti derechos</w:t>
      </w:r>
      <w:r w:rsidR="00615537" w:rsidRPr="005F165B">
        <w:rPr>
          <w:rFonts w:ascii="Source Sans Pro" w:hAnsi="Source Sans Pro"/>
        </w:rPr>
        <w:t xml:space="preserve">; los cuales </w:t>
      </w:r>
      <w:r w:rsidR="00302FEC" w:rsidRPr="005F165B">
        <w:rPr>
          <w:rFonts w:ascii="Source Sans Pro" w:hAnsi="Source Sans Pro"/>
        </w:rPr>
        <w:t xml:space="preserve">a través de discursos </w:t>
      </w:r>
      <w:r w:rsidR="00456CD4" w:rsidRPr="005F165B">
        <w:rPr>
          <w:rFonts w:ascii="Source Sans Pro" w:hAnsi="Source Sans Pro"/>
        </w:rPr>
        <w:t>de odio</w:t>
      </w:r>
      <w:r w:rsidR="00EB24FA" w:rsidRPr="005F165B">
        <w:rPr>
          <w:rFonts w:ascii="Source Sans Pro" w:hAnsi="Source Sans Pro"/>
        </w:rPr>
        <w:t xml:space="preserve">, </w:t>
      </w:r>
      <w:r w:rsidR="00C335BF" w:rsidRPr="005F165B">
        <w:rPr>
          <w:rFonts w:ascii="Source Sans Pro" w:hAnsi="Source Sans Pro"/>
        </w:rPr>
        <w:t xml:space="preserve">denigrantes </w:t>
      </w:r>
      <w:r w:rsidR="00EB24FA" w:rsidRPr="005F165B">
        <w:rPr>
          <w:rFonts w:ascii="Source Sans Pro" w:hAnsi="Source Sans Pro"/>
        </w:rPr>
        <w:t>y/o negligentes</w:t>
      </w:r>
      <w:r w:rsidR="00615537" w:rsidRPr="005F165B">
        <w:rPr>
          <w:rFonts w:ascii="Source Sans Pro" w:hAnsi="Source Sans Pro"/>
        </w:rPr>
        <w:t xml:space="preserve"> de</w:t>
      </w:r>
      <w:r w:rsidR="008252ED">
        <w:rPr>
          <w:rFonts w:ascii="Source Sans Pro" w:hAnsi="Source Sans Pro"/>
        </w:rPr>
        <w:t>l funcionariado</w:t>
      </w:r>
      <w:r w:rsidR="00615537" w:rsidRPr="005F165B">
        <w:rPr>
          <w:rFonts w:ascii="Source Sans Pro" w:hAnsi="Source Sans Pro"/>
        </w:rPr>
        <w:t xml:space="preserve"> </w:t>
      </w:r>
      <w:r w:rsidR="008252ED">
        <w:rPr>
          <w:rFonts w:ascii="Source Sans Pro" w:hAnsi="Source Sans Pro"/>
        </w:rPr>
        <w:t>público</w:t>
      </w:r>
      <w:r w:rsidR="00FB6DA1" w:rsidRPr="005F165B">
        <w:rPr>
          <w:rStyle w:val="FootnoteReference"/>
          <w:rFonts w:ascii="Source Sans Pro" w:hAnsi="Source Sans Pro"/>
        </w:rPr>
        <w:footnoteReference w:id="3"/>
      </w:r>
      <w:r w:rsidR="008252ED">
        <w:rPr>
          <w:rFonts w:ascii="Source Sans Pro" w:hAnsi="Source Sans Pro"/>
        </w:rPr>
        <w:t xml:space="preserve"> contribuyen a la intolerancia, exclusión y violación de derechos de  las </w:t>
      </w:r>
      <w:r w:rsidR="00B825F6" w:rsidRPr="008252ED">
        <w:rPr>
          <w:rFonts w:ascii="Source Sans Pro" w:hAnsi="Source Sans Pro"/>
        </w:rPr>
        <w:t>personas LGBTI</w:t>
      </w:r>
      <w:r w:rsidR="00B825F6" w:rsidRPr="005F165B">
        <w:rPr>
          <w:rFonts w:ascii="Source Sans Pro" w:hAnsi="Source Sans Pro"/>
        </w:rPr>
        <w:t xml:space="preserve">. </w:t>
      </w:r>
    </w:p>
    <w:p w14:paraId="5888856A" w14:textId="4E704E2E" w:rsidR="00CD1ECE" w:rsidRPr="005F165B" w:rsidRDefault="008252ED" w:rsidP="00892FDB">
      <w:pPr>
        <w:jc w:val="both"/>
        <w:rPr>
          <w:rFonts w:ascii="Source Sans Pro" w:hAnsi="Source Sans Pro"/>
        </w:rPr>
      </w:pPr>
      <w:r>
        <w:rPr>
          <w:rFonts w:ascii="Source Sans Pro" w:hAnsi="Source Sans Pro"/>
        </w:rPr>
        <w:t>Un</w:t>
      </w:r>
      <w:r w:rsidR="00CD1ECE" w:rsidRPr="005F165B">
        <w:rPr>
          <w:rFonts w:ascii="Source Sans Pro" w:hAnsi="Source Sans Pro"/>
        </w:rPr>
        <w:t xml:space="preserve"> ejemplo de</w:t>
      </w:r>
      <w:r>
        <w:rPr>
          <w:rFonts w:ascii="Source Sans Pro" w:hAnsi="Source Sans Pro"/>
        </w:rPr>
        <w:t xml:space="preserve"> estos discursos </w:t>
      </w:r>
      <w:r w:rsidR="00675029" w:rsidRPr="005F165B">
        <w:rPr>
          <w:rFonts w:ascii="Source Sans Pro" w:hAnsi="Source Sans Pro"/>
        </w:rPr>
        <w:t xml:space="preserve">en </w:t>
      </w:r>
      <w:r w:rsidR="00C268C9">
        <w:rPr>
          <w:rFonts w:ascii="Source Sans Pro" w:hAnsi="Source Sans Pro"/>
        </w:rPr>
        <w:t>el contexto de pandemia</w:t>
      </w:r>
      <w:r>
        <w:rPr>
          <w:rFonts w:ascii="Source Sans Pro" w:hAnsi="Source Sans Pro"/>
        </w:rPr>
        <w:t xml:space="preserve">, </w:t>
      </w:r>
      <w:r w:rsidR="00675029" w:rsidRPr="005F165B">
        <w:rPr>
          <w:rFonts w:ascii="Source Sans Pro" w:hAnsi="Source Sans Pro"/>
        </w:rPr>
        <w:t xml:space="preserve">con un impacto negativo </w:t>
      </w:r>
      <w:r w:rsidR="00C268C9">
        <w:rPr>
          <w:rFonts w:ascii="Source Sans Pro" w:hAnsi="Source Sans Pro"/>
        </w:rPr>
        <w:t>en</w:t>
      </w:r>
      <w:r w:rsidR="00675029" w:rsidRPr="005F165B">
        <w:rPr>
          <w:rFonts w:ascii="Source Sans Pro" w:hAnsi="Source Sans Pro"/>
        </w:rPr>
        <w:t xml:space="preserve"> la vida</w:t>
      </w:r>
      <w:r w:rsidR="00C268C9">
        <w:rPr>
          <w:rFonts w:ascii="Source Sans Pro" w:hAnsi="Source Sans Pro"/>
        </w:rPr>
        <w:t xml:space="preserve"> </w:t>
      </w:r>
      <w:r w:rsidR="00675029" w:rsidRPr="005F165B">
        <w:rPr>
          <w:rFonts w:ascii="Source Sans Pro" w:hAnsi="Source Sans Pro"/>
        </w:rPr>
        <w:t>de las personas LGBTI</w:t>
      </w:r>
      <w:r w:rsidR="00C6492A" w:rsidRPr="005F165B">
        <w:rPr>
          <w:rFonts w:ascii="Source Sans Pro" w:hAnsi="Source Sans Pro"/>
        </w:rPr>
        <w:t>,</w:t>
      </w:r>
      <w:r w:rsidR="000F4DD0" w:rsidRPr="005F165B">
        <w:rPr>
          <w:rFonts w:ascii="Source Sans Pro" w:hAnsi="Source Sans Pro"/>
        </w:rPr>
        <w:t xml:space="preserve"> son las </w:t>
      </w:r>
      <w:r w:rsidR="00037887" w:rsidRPr="005F165B">
        <w:rPr>
          <w:rFonts w:ascii="Source Sans Pro" w:hAnsi="Source Sans Pro"/>
        </w:rPr>
        <w:t xml:space="preserve">declaraciones </w:t>
      </w:r>
      <w:r w:rsidR="00546312" w:rsidRPr="005F165B">
        <w:rPr>
          <w:rFonts w:ascii="Source Sans Pro" w:hAnsi="Source Sans Pro"/>
        </w:rPr>
        <w:t>del presidente de Brasil</w:t>
      </w:r>
      <w:r w:rsidR="00486E8C" w:rsidRPr="005F165B">
        <w:rPr>
          <w:rFonts w:ascii="Source Sans Pro" w:hAnsi="Source Sans Pro"/>
        </w:rPr>
        <w:t>,</w:t>
      </w:r>
      <w:r w:rsidR="00546312" w:rsidRPr="005F165B">
        <w:rPr>
          <w:rFonts w:ascii="Source Sans Pro" w:hAnsi="Source Sans Pro"/>
        </w:rPr>
        <w:t xml:space="preserve"> Jair Bolsonaro</w:t>
      </w:r>
      <w:r w:rsidR="00486E8C" w:rsidRPr="005F165B">
        <w:rPr>
          <w:rFonts w:ascii="Source Sans Pro" w:hAnsi="Source Sans Pro"/>
        </w:rPr>
        <w:t>,</w:t>
      </w:r>
      <w:r w:rsidR="00546312" w:rsidRPr="005F165B">
        <w:rPr>
          <w:rFonts w:ascii="Source Sans Pro" w:hAnsi="Source Sans Pro"/>
        </w:rPr>
        <w:t xml:space="preserve"> </w:t>
      </w:r>
      <w:r w:rsidR="0041549B" w:rsidRPr="005F165B">
        <w:rPr>
          <w:rFonts w:ascii="Source Sans Pro" w:hAnsi="Source Sans Pro"/>
        </w:rPr>
        <w:t xml:space="preserve">quien afirmó que </w:t>
      </w:r>
      <w:r>
        <w:rPr>
          <w:rFonts w:ascii="Source Sans Pro" w:hAnsi="Source Sans Pro"/>
        </w:rPr>
        <w:t>“</w:t>
      </w:r>
      <w:r w:rsidR="00D46D65" w:rsidRPr="008252ED">
        <w:rPr>
          <w:rFonts w:ascii="Source Sans Pro" w:hAnsi="Source Sans Pro"/>
          <w:i/>
          <w:iCs/>
        </w:rPr>
        <w:t xml:space="preserve">al igual que la OMS recomienda el </w:t>
      </w:r>
      <w:r w:rsidR="000B0079" w:rsidRPr="008252ED">
        <w:rPr>
          <w:rFonts w:ascii="Source Sans Pro" w:hAnsi="Source Sans Pro"/>
          <w:i/>
          <w:iCs/>
        </w:rPr>
        <w:t xml:space="preserve">distanciamiento social por el COVID 19, también alienta a los jóvenes a </w:t>
      </w:r>
      <w:r w:rsidR="00D26CFF" w:rsidRPr="008252ED">
        <w:rPr>
          <w:rFonts w:ascii="Source Sans Pro" w:hAnsi="Source Sans Pro"/>
          <w:i/>
          <w:iCs/>
        </w:rPr>
        <w:t>ser homosexuales</w:t>
      </w:r>
      <w:r>
        <w:rPr>
          <w:rFonts w:ascii="Source Sans Pro" w:hAnsi="Source Sans Pro"/>
          <w:i/>
          <w:iCs/>
        </w:rPr>
        <w:t>”</w:t>
      </w:r>
      <w:r w:rsidR="00C06A83" w:rsidRPr="005F165B">
        <w:rPr>
          <w:rStyle w:val="FootnoteReference"/>
          <w:rFonts w:ascii="Source Sans Pro" w:hAnsi="Source Sans Pro"/>
        </w:rPr>
        <w:footnoteReference w:id="4"/>
      </w:r>
      <w:r w:rsidR="00C268C9">
        <w:rPr>
          <w:rFonts w:ascii="Source Sans Pro" w:hAnsi="Source Sans Pro"/>
        </w:rPr>
        <w:t xml:space="preserve">, </w:t>
      </w:r>
      <w:r w:rsidR="00115FC7">
        <w:rPr>
          <w:rFonts w:ascii="Source Sans Pro" w:hAnsi="Source Sans Pro"/>
        </w:rPr>
        <w:t>tratando de desprestigiar</w:t>
      </w:r>
      <w:r w:rsidR="00C268C9">
        <w:rPr>
          <w:rFonts w:ascii="Source Sans Pro" w:hAnsi="Source Sans Pro"/>
        </w:rPr>
        <w:t xml:space="preserve"> la</w:t>
      </w:r>
      <w:r w:rsidR="00115FC7">
        <w:rPr>
          <w:rFonts w:ascii="Source Sans Pro" w:hAnsi="Source Sans Pro"/>
        </w:rPr>
        <w:t>s medidas de prevención sugeridas</w:t>
      </w:r>
      <w:r w:rsidR="007B65C2" w:rsidRPr="005F165B">
        <w:rPr>
          <w:rFonts w:ascii="Source Sans Pro" w:hAnsi="Source Sans Pro"/>
        </w:rPr>
        <w:t xml:space="preserve">. </w:t>
      </w:r>
      <w:r>
        <w:rPr>
          <w:rFonts w:ascii="Source Sans Pro" w:hAnsi="Source Sans Pro"/>
        </w:rPr>
        <w:t>En esa misma línea,</w:t>
      </w:r>
      <w:r w:rsidR="00DA52BB" w:rsidRPr="005F165B">
        <w:rPr>
          <w:rFonts w:ascii="Source Sans Pro" w:hAnsi="Source Sans Pro"/>
        </w:rPr>
        <w:t xml:space="preserve"> </w:t>
      </w:r>
      <w:r>
        <w:rPr>
          <w:rFonts w:ascii="Source Sans Pro" w:hAnsi="Source Sans Pro"/>
        </w:rPr>
        <w:t>el</w:t>
      </w:r>
      <w:r w:rsidR="00DA52BB" w:rsidRPr="005F165B">
        <w:rPr>
          <w:rFonts w:ascii="Source Sans Pro" w:hAnsi="Source Sans Pro"/>
        </w:rPr>
        <w:t xml:space="preserve"> mandatario aseveró que </w:t>
      </w:r>
      <w:r w:rsidR="00B26A52" w:rsidRPr="005F165B">
        <w:rPr>
          <w:rFonts w:ascii="Source Sans Pro" w:hAnsi="Source Sans Pro"/>
        </w:rPr>
        <w:t>las personas que utilizan mascarilla para protegerse de</w:t>
      </w:r>
      <w:r w:rsidR="0019189C" w:rsidRPr="005F165B">
        <w:rPr>
          <w:rFonts w:ascii="Source Sans Pro" w:hAnsi="Source Sans Pro"/>
        </w:rPr>
        <w:t xml:space="preserve"> esta enfermedad son </w:t>
      </w:r>
      <w:r w:rsidR="00C268C9">
        <w:rPr>
          <w:rFonts w:ascii="Source Sans Pro" w:hAnsi="Source Sans Pro"/>
        </w:rPr>
        <w:t>“</w:t>
      </w:r>
      <w:r w:rsidR="0019189C" w:rsidRPr="005F165B">
        <w:rPr>
          <w:rFonts w:ascii="Source Sans Pro" w:hAnsi="Source Sans Pro"/>
          <w:i/>
          <w:iCs/>
        </w:rPr>
        <w:t>marica</w:t>
      </w:r>
      <w:r w:rsidR="00C268C9">
        <w:rPr>
          <w:rFonts w:ascii="Source Sans Pro" w:hAnsi="Source Sans Pro"/>
          <w:i/>
          <w:iCs/>
        </w:rPr>
        <w:t>s”</w:t>
      </w:r>
      <w:r w:rsidR="00F01CF9" w:rsidRPr="005F165B">
        <w:rPr>
          <w:rStyle w:val="FootnoteReference"/>
          <w:rFonts w:ascii="Source Sans Pro" w:hAnsi="Source Sans Pro"/>
          <w:i/>
          <w:iCs/>
        </w:rPr>
        <w:footnoteReference w:id="5"/>
      </w:r>
      <w:r w:rsidR="00906178">
        <w:rPr>
          <w:rFonts w:ascii="Source Sans Pro" w:hAnsi="Source Sans Pro"/>
          <w:i/>
          <w:iCs/>
        </w:rPr>
        <w:t xml:space="preserve">, </w:t>
      </w:r>
      <w:r w:rsidR="00906178">
        <w:rPr>
          <w:rFonts w:ascii="Source Sans Pro" w:hAnsi="Source Sans Pro"/>
        </w:rPr>
        <w:t>estigmatizando a las personas LGBT+</w:t>
      </w:r>
      <w:r w:rsidR="00906178">
        <w:rPr>
          <w:rFonts w:ascii="Source Sans Pro" w:hAnsi="Source Sans Pro"/>
          <w:i/>
          <w:iCs/>
        </w:rPr>
        <w:t>.</w:t>
      </w:r>
      <w:r w:rsidR="00D13364" w:rsidRPr="005F165B">
        <w:rPr>
          <w:rFonts w:ascii="Source Sans Pro" w:hAnsi="Source Sans Pro"/>
          <w:i/>
          <w:iCs/>
        </w:rPr>
        <w:t xml:space="preserve"> </w:t>
      </w:r>
      <w:r w:rsidR="00357215" w:rsidRPr="00906178">
        <w:rPr>
          <w:rFonts w:ascii="Source Sans Pro" w:hAnsi="Source Sans Pro"/>
        </w:rPr>
        <w:t xml:space="preserve">Este tipo de discursos </w:t>
      </w:r>
      <w:r w:rsidR="004653FD" w:rsidRPr="00906178">
        <w:rPr>
          <w:rFonts w:ascii="Source Sans Pro" w:hAnsi="Source Sans Pro"/>
        </w:rPr>
        <w:t xml:space="preserve">a pesar de no incitar directamente a la violencia, como </w:t>
      </w:r>
      <w:r w:rsidR="00906178">
        <w:rPr>
          <w:rFonts w:ascii="Source Sans Pro" w:hAnsi="Source Sans Pro"/>
        </w:rPr>
        <w:t xml:space="preserve">señala </w:t>
      </w:r>
      <w:r w:rsidR="004653FD" w:rsidRPr="00906178">
        <w:rPr>
          <w:rFonts w:ascii="Source Sans Pro" w:hAnsi="Source Sans Pro"/>
        </w:rPr>
        <w:t>la Corte Interamericana de Derechos Humanos</w:t>
      </w:r>
      <w:r w:rsidR="0074267A" w:rsidRPr="00906178">
        <w:rPr>
          <w:rStyle w:val="FootnoteReference"/>
          <w:rFonts w:ascii="Source Sans Pro" w:hAnsi="Source Sans Pro"/>
        </w:rPr>
        <w:footnoteReference w:id="6"/>
      </w:r>
      <w:r w:rsidR="004653FD" w:rsidRPr="00906178">
        <w:rPr>
          <w:rFonts w:ascii="Source Sans Pro" w:hAnsi="Source Sans Pro"/>
        </w:rPr>
        <w:t xml:space="preserve">, </w:t>
      </w:r>
      <w:r w:rsidR="00906178">
        <w:rPr>
          <w:rFonts w:ascii="Source Sans Pro" w:hAnsi="Source Sans Pro"/>
        </w:rPr>
        <w:t xml:space="preserve">sí exponen a las personas LGBTI+ a ser </w:t>
      </w:r>
      <w:r w:rsidR="00B05645" w:rsidRPr="00906178">
        <w:rPr>
          <w:rFonts w:ascii="Source Sans Pro" w:hAnsi="Source Sans Pro"/>
        </w:rPr>
        <w:t>potenciales víctimas de violencia ante el Estado y la sociedad.</w:t>
      </w:r>
      <w:r w:rsidR="00B05645" w:rsidRPr="005F165B">
        <w:rPr>
          <w:rFonts w:ascii="Source Sans Pro" w:hAnsi="Source Sans Pro"/>
        </w:rPr>
        <w:t xml:space="preserve"> </w:t>
      </w:r>
    </w:p>
    <w:p w14:paraId="12DB8D79" w14:textId="4B69F0D5" w:rsidR="002035FE" w:rsidRPr="005F165B" w:rsidRDefault="00874F37" w:rsidP="00892FDB">
      <w:pPr>
        <w:jc w:val="both"/>
        <w:rPr>
          <w:rFonts w:ascii="Source Sans Pro" w:hAnsi="Source Sans Pro"/>
        </w:rPr>
      </w:pPr>
      <w:r>
        <w:rPr>
          <w:rFonts w:ascii="Source Sans Pro" w:hAnsi="Source Sans Pro"/>
        </w:rPr>
        <w:t xml:space="preserve">En el ámbito de la salud también persiste la discriminación y violencia hacia </w:t>
      </w:r>
      <w:r w:rsidR="007366CF" w:rsidRPr="005F165B">
        <w:rPr>
          <w:rFonts w:ascii="Source Sans Pro" w:hAnsi="Source Sans Pro"/>
        </w:rPr>
        <w:t>l</w:t>
      </w:r>
      <w:r w:rsidR="0097646A" w:rsidRPr="005F165B">
        <w:rPr>
          <w:rFonts w:ascii="Source Sans Pro" w:hAnsi="Source Sans Pro"/>
        </w:rPr>
        <w:t xml:space="preserve">as personas LGBTI </w:t>
      </w:r>
      <w:r>
        <w:rPr>
          <w:rFonts w:ascii="Source Sans Pro" w:hAnsi="Source Sans Pro"/>
        </w:rPr>
        <w:t xml:space="preserve">particularmente durante </w:t>
      </w:r>
      <w:r w:rsidR="007366CF" w:rsidRPr="005F165B">
        <w:rPr>
          <w:rFonts w:ascii="Source Sans Pro" w:hAnsi="Source Sans Pro"/>
        </w:rPr>
        <w:t xml:space="preserve">las </w:t>
      </w:r>
      <w:r w:rsidR="000B4F5D" w:rsidRPr="005F165B">
        <w:rPr>
          <w:rFonts w:ascii="Source Sans Pro" w:hAnsi="Source Sans Pro"/>
        </w:rPr>
        <w:t>jornadas de donación de sangre,</w:t>
      </w:r>
      <w:r>
        <w:rPr>
          <w:rFonts w:ascii="Source Sans Pro" w:hAnsi="Source Sans Pro"/>
        </w:rPr>
        <w:t xml:space="preserve"> </w:t>
      </w:r>
      <w:r w:rsidR="000B4F5D" w:rsidRPr="005F165B">
        <w:rPr>
          <w:rFonts w:ascii="Source Sans Pro" w:hAnsi="Source Sans Pro"/>
        </w:rPr>
        <w:t xml:space="preserve">donde </w:t>
      </w:r>
      <w:r w:rsidR="0097646A" w:rsidRPr="005F165B">
        <w:rPr>
          <w:rFonts w:ascii="Source Sans Pro" w:hAnsi="Source Sans Pro"/>
        </w:rPr>
        <w:t xml:space="preserve">el personal de salud </w:t>
      </w:r>
      <w:r w:rsidR="000B4F5D" w:rsidRPr="005F165B">
        <w:rPr>
          <w:rFonts w:ascii="Source Sans Pro" w:hAnsi="Source Sans Pro"/>
        </w:rPr>
        <w:t>suele</w:t>
      </w:r>
      <w:r w:rsidR="00A31ACB" w:rsidRPr="005F165B">
        <w:rPr>
          <w:rFonts w:ascii="Source Sans Pro" w:hAnsi="Source Sans Pro"/>
        </w:rPr>
        <w:t xml:space="preserve"> realizar preguntas</w:t>
      </w:r>
      <w:r w:rsidR="000E6749" w:rsidRPr="005F165B">
        <w:rPr>
          <w:rFonts w:ascii="Source Sans Pro" w:hAnsi="Source Sans Pro"/>
        </w:rPr>
        <w:t xml:space="preserve"> </w:t>
      </w:r>
      <w:r w:rsidR="008E12F6" w:rsidRPr="005F165B">
        <w:rPr>
          <w:rFonts w:ascii="Source Sans Pro" w:hAnsi="Source Sans Pro"/>
        </w:rPr>
        <w:t xml:space="preserve">humillantes </w:t>
      </w:r>
      <w:r w:rsidR="0097646A" w:rsidRPr="005F165B">
        <w:rPr>
          <w:rFonts w:ascii="Source Sans Pro" w:hAnsi="Source Sans Pro"/>
        </w:rPr>
        <w:t xml:space="preserve">sobre </w:t>
      </w:r>
      <w:r w:rsidR="00164E8D" w:rsidRPr="005F165B">
        <w:rPr>
          <w:rFonts w:ascii="Source Sans Pro" w:hAnsi="Source Sans Pro"/>
        </w:rPr>
        <w:t>la</w:t>
      </w:r>
      <w:r w:rsidR="0097646A" w:rsidRPr="005F165B">
        <w:rPr>
          <w:rFonts w:ascii="Source Sans Pro" w:hAnsi="Source Sans Pro"/>
        </w:rPr>
        <w:t xml:space="preserve"> vida </w:t>
      </w:r>
      <w:r>
        <w:rPr>
          <w:rFonts w:ascii="Source Sans Pro" w:hAnsi="Source Sans Pro"/>
        </w:rPr>
        <w:t xml:space="preserve">de donantes </w:t>
      </w:r>
      <w:r w:rsidR="0097646A" w:rsidRPr="005F165B">
        <w:rPr>
          <w:rFonts w:ascii="Source Sans Pro" w:hAnsi="Source Sans Pro"/>
        </w:rPr>
        <w:t xml:space="preserve">y </w:t>
      </w:r>
      <w:r>
        <w:rPr>
          <w:rFonts w:ascii="Source Sans Pro" w:hAnsi="Source Sans Pro"/>
        </w:rPr>
        <w:t xml:space="preserve">sus </w:t>
      </w:r>
      <w:r w:rsidR="0097646A" w:rsidRPr="005F165B">
        <w:rPr>
          <w:rFonts w:ascii="Source Sans Pro" w:hAnsi="Source Sans Pro"/>
        </w:rPr>
        <w:t>compañeres sexuales</w:t>
      </w:r>
      <w:r w:rsidR="00164E8D" w:rsidRPr="005F165B">
        <w:rPr>
          <w:rFonts w:ascii="Source Sans Pro" w:hAnsi="Source Sans Pro"/>
        </w:rPr>
        <w:t xml:space="preserve"> </w:t>
      </w:r>
      <w:r>
        <w:rPr>
          <w:rFonts w:ascii="Source Sans Pro" w:hAnsi="Source Sans Pro"/>
        </w:rPr>
        <w:t xml:space="preserve">asumiendo prejuicios negativos </w:t>
      </w:r>
      <w:r>
        <w:rPr>
          <w:rFonts w:ascii="Source Sans Pro" w:hAnsi="Source Sans Pro"/>
        </w:rPr>
        <w:lastRenderedPageBreak/>
        <w:t>sobre su orientación sexual o identidad de género</w:t>
      </w:r>
      <w:r w:rsidR="0097646A" w:rsidRPr="005F165B">
        <w:rPr>
          <w:rFonts w:ascii="Source Sans Pro" w:hAnsi="Source Sans Pro"/>
        </w:rPr>
        <w:t>. Este fue el</w:t>
      </w:r>
      <w:r w:rsidR="0097646A" w:rsidRPr="005F165B">
        <w:rPr>
          <w:rFonts w:ascii="Source Sans Pro" w:hAnsi="Source Sans Pro"/>
          <w:b/>
          <w:bCs/>
        </w:rPr>
        <w:t xml:space="preserve"> caso de Daniel Castellanos,</w:t>
      </w:r>
      <w:r w:rsidR="0097646A" w:rsidRPr="005F165B">
        <w:rPr>
          <w:rFonts w:ascii="Source Sans Pro" w:hAnsi="Source Sans Pro"/>
        </w:rPr>
        <w:t xml:space="preserve"> un joven gay colombiano quien denunció en sus redes sociales </w:t>
      </w:r>
      <w:r w:rsidR="00A31ACB" w:rsidRPr="005F165B">
        <w:rPr>
          <w:rFonts w:ascii="Source Sans Pro" w:hAnsi="Source Sans Pro"/>
        </w:rPr>
        <w:t>que,</w:t>
      </w:r>
      <w:r w:rsidR="0097646A" w:rsidRPr="005F165B">
        <w:rPr>
          <w:rFonts w:ascii="Source Sans Pro" w:hAnsi="Source Sans Pro"/>
        </w:rPr>
        <w:t xml:space="preserve"> por tercera vez, la </w:t>
      </w:r>
      <w:r w:rsidR="005A49D2" w:rsidRPr="005F165B">
        <w:rPr>
          <w:rFonts w:ascii="Source Sans Pro" w:hAnsi="Source Sans Pro"/>
        </w:rPr>
        <w:t>S</w:t>
      </w:r>
      <w:r w:rsidR="0097646A" w:rsidRPr="005F165B">
        <w:rPr>
          <w:rFonts w:ascii="Source Sans Pro" w:hAnsi="Source Sans Pro"/>
        </w:rPr>
        <w:t xml:space="preserve">ecretaría de </w:t>
      </w:r>
      <w:r w:rsidR="005A49D2" w:rsidRPr="005F165B">
        <w:rPr>
          <w:rFonts w:ascii="Source Sans Pro" w:hAnsi="Source Sans Pro"/>
        </w:rPr>
        <w:t>S</w:t>
      </w:r>
      <w:r w:rsidR="0097646A" w:rsidRPr="005F165B">
        <w:rPr>
          <w:rFonts w:ascii="Source Sans Pro" w:hAnsi="Source Sans Pro"/>
        </w:rPr>
        <w:t>alud no le permitía donar sangre</w:t>
      </w:r>
      <w:r w:rsidR="009D75CE" w:rsidRPr="005F165B">
        <w:rPr>
          <w:rFonts w:ascii="Source Sans Pro" w:hAnsi="Source Sans Pro"/>
        </w:rPr>
        <w:t xml:space="preserve">, aun cuando </w:t>
      </w:r>
      <w:r w:rsidR="00164E8D" w:rsidRPr="005F165B">
        <w:rPr>
          <w:rFonts w:ascii="Source Sans Pro" w:hAnsi="Source Sans Pro"/>
        </w:rPr>
        <w:t>la homosexualidad dejó de ser un criterio para negar la donación</w:t>
      </w:r>
      <w:r>
        <w:rPr>
          <w:rFonts w:ascii="Source Sans Pro" w:hAnsi="Source Sans Pro"/>
        </w:rPr>
        <w:t xml:space="preserve"> </w:t>
      </w:r>
      <w:r w:rsidR="00164E8D" w:rsidRPr="005F165B">
        <w:rPr>
          <w:rFonts w:ascii="Source Sans Pro" w:hAnsi="Source Sans Pro"/>
        </w:rPr>
        <w:t>en este país</w:t>
      </w:r>
      <w:r w:rsidR="00164E8D" w:rsidRPr="005F165B">
        <w:rPr>
          <w:rStyle w:val="FootnoteReference"/>
          <w:rFonts w:ascii="Source Sans Pro" w:hAnsi="Source Sans Pro"/>
        </w:rPr>
        <w:footnoteReference w:id="7"/>
      </w:r>
      <w:r w:rsidR="00164E8D" w:rsidRPr="005F165B">
        <w:rPr>
          <w:rFonts w:ascii="Source Sans Pro" w:hAnsi="Source Sans Pro"/>
        </w:rPr>
        <w:t xml:space="preserve">. </w:t>
      </w:r>
    </w:p>
    <w:p w14:paraId="5A3D0449" w14:textId="0EA537E8" w:rsidR="00444F81" w:rsidRPr="005F165B" w:rsidRDefault="00874F37" w:rsidP="00892FDB">
      <w:pPr>
        <w:jc w:val="both"/>
        <w:rPr>
          <w:rFonts w:ascii="Source Sans Pro" w:hAnsi="Source Sans Pro"/>
        </w:rPr>
      </w:pPr>
      <w:r>
        <w:rPr>
          <w:rFonts w:ascii="Source Sans Pro" w:hAnsi="Source Sans Pro"/>
        </w:rPr>
        <w:t>De otro lado, u</w:t>
      </w:r>
      <w:r w:rsidR="00F03E83" w:rsidRPr="005F165B">
        <w:rPr>
          <w:rFonts w:ascii="Source Sans Pro" w:hAnsi="Source Sans Pro"/>
        </w:rPr>
        <w:t>na situación transversal en el continente</w:t>
      </w:r>
      <w:r>
        <w:rPr>
          <w:rFonts w:ascii="Source Sans Pro" w:hAnsi="Source Sans Pro"/>
        </w:rPr>
        <w:t xml:space="preserve"> americano</w:t>
      </w:r>
      <w:r w:rsidR="00F03E83" w:rsidRPr="005F165B">
        <w:rPr>
          <w:rFonts w:ascii="Source Sans Pro" w:hAnsi="Source Sans Pro"/>
        </w:rPr>
        <w:t xml:space="preserve"> que tiene impacto directo en la salud de las personas </w:t>
      </w:r>
      <w:r>
        <w:rPr>
          <w:rFonts w:ascii="Source Sans Pro" w:hAnsi="Source Sans Pro"/>
        </w:rPr>
        <w:t>LGBTI+</w:t>
      </w:r>
      <w:r w:rsidR="00F03E83" w:rsidRPr="005F165B">
        <w:rPr>
          <w:rFonts w:ascii="Source Sans Pro" w:hAnsi="Source Sans Pro"/>
        </w:rPr>
        <w:t>, son lo</w:t>
      </w:r>
      <w:r w:rsidR="004A7038" w:rsidRPr="005F165B">
        <w:rPr>
          <w:rFonts w:ascii="Source Sans Pro" w:hAnsi="Source Sans Pro"/>
        </w:rPr>
        <w:t>s</w:t>
      </w:r>
      <w:r w:rsidR="00F03E83" w:rsidRPr="005F165B">
        <w:rPr>
          <w:rFonts w:ascii="Source Sans Pro" w:hAnsi="Source Sans Pro"/>
        </w:rPr>
        <w:t xml:space="preserve"> abuso</w:t>
      </w:r>
      <w:r w:rsidR="004A7038" w:rsidRPr="005F165B">
        <w:rPr>
          <w:rFonts w:ascii="Source Sans Pro" w:hAnsi="Source Sans Pro"/>
        </w:rPr>
        <w:t xml:space="preserve">s y violencias </w:t>
      </w:r>
      <w:r>
        <w:rPr>
          <w:rFonts w:ascii="Source Sans Pro" w:hAnsi="Source Sans Pro"/>
        </w:rPr>
        <w:t>por parte de agentes de seguridad del Estado</w:t>
      </w:r>
      <w:r w:rsidR="00A0042A" w:rsidRPr="005F165B">
        <w:rPr>
          <w:rFonts w:ascii="Source Sans Pro" w:hAnsi="Source Sans Pro"/>
        </w:rPr>
        <w:t xml:space="preserve">, especialmente, </w:t>
      </w:r>
      <w:r w:rsidR="00716570" w:rsidRPr="005F165B">
        <w:rPr>
          <w:rFonts w:ascii="Source Sans Pro" w:hAnsi="Source Sans Pro"/>
        </w:rPr>
        <w:t>en el marco de manifestaciones sociales</w:t>
      </w:r>
      <w:r w:rsidR="004116C5" w:rsidRPr="005F165B">
        <w:rPr>
          <w:rFonts w:ascii="Source Sans Pro" w:hAnsi="Source Sans Pro"/>
        </w:rPr>
        <w:t xml:space="preserve"> y detenciones </w:t>
      </w:r>
      <w:r w:rsidR="00CB6643" w:rsidRPr="005F165B">
        <w:rPr>
          <w:rFonts w:ascii="Source Sans Pro" w:hAnsi="Source Sans Pro"/>
        </w:rPr>
        <w:t>arbitrarias</w:t>
      </w:r>
      <w:r w:rsidR="00CB6643" w:rsidRPr="004D0C72">
        <w:rPr>
          <w:rFonts w:ascii="Source Sans Pro" w:hAnsi="Source Sans Pro"/>
        </w:rPr>
        <w:t xml:space="preserve">. Conductas como el </w:t>
      </w:r>
      <w:r w:rsidR="00CB6643" w:rsidRPr="008059A7">
        <w:rPr>
          <w:rFonts w:ascii="Source Sans Pro" w:hAnsi="Source Sans Pro"/>
          <w:i/>
          <w:iCs/>
        </w:rPr>
        <w:t>misgendering</w:t>
      </w:r>
      <w:r w:rsidR="008059A7" w:rsidRPr="008059A7">
        <w:rPr>
          <w:rFonts w:ascii="Source Sans Pro" w:hAnsi="Source Sans Pro"/>
          <w:i/>
          <w:iCs/>
        </w:rPr>
        <w:t xml:space="preserve"> (</w:t>
      </w:r>
      <w:r w:rsidR="008059A7" w:rsidRPr="008059A7">
        <w:rPr>
          <w:rFonts w:ascii="Source Sans Pro" w:hAnsi="Source Sans Pro"/>
        </w:rPr>
        <w:t>uso malintencionado o deliberado de pronombres, sustantivos y adjetivos de un género distinto a aquel con el cual se identifica una persona trans para referirse a ella</w:t>
      </w:r>
      <w:r w:rsidR="008059A7" w:rsidRPr="008059A7">
        <w:rPr>
          <w:rFonts w:ascii="Source Sans Pro" w:hAnsi="Source Sans Pro"/>
          <w:i/>
          <w:iCs/>
        </w:rPr>
        <w:t>)</w:t>
      </w:r>
      <w:r w:rsidR="00CB6643" w:rsidRPr="008059A7">
        <w:rPr>
          <w:rFonts w:ascii="Source Sans Pro" w:hAnsi="Source Sans Pro"/>
        </w:rPr>
        <w:t xml:space="preserve">, </w:t>
      </w:r>
      <w:r w:rsidR="00A43149" w:rsidRPr="004D0C72">
        <w:rPr>
          <w:rFonts w:ascii="Source Sans Pro" w:hAnsi="Source Sans Pro"/>
        </w:rPr>
        <w:t xml:space="preserve">el uso excesivo de la fuerza, </w:t>
      </w:r>
      <w:r w:rsidR="00CB0AAB" w:rsidRPr="004D0C72">
        <w:rPr>
          <w:rFonts w:ascii="Source Sans Pro" w:hAnsi="Source Sans Pro"/>
        </w:rPr>
        <w:t xml:space="preserve">el </w:t>
      </w:r>
      <w:r w:rsidR="0087505E" w:rsidRPr="004D0C72">
        <w:rPr>
          <w:rFonts w:ascii="Source Sans Pro" w:hAnsi="Source Sans Pro"/>
        </w:rPr>
        <w:t xml:space="preserve">amedrantamiento con armas de fuego, </w:t>
      </w:r>
      <w:r w:rsidR="00CB0AAB" w:rsidRPr="004D0C72">
        <w:rPr>
          <w:rFonts w:ascii="Source Sans Pro" w:hAnsi="Source Sans Pro"/>
        </w:rPr>
        <w:t xml:space="preserve">y los abusos verbales reiterados son </w:t>
      </w:r>
      <w:r w:rsidR="00E406D6" w:rsidRPr="004D0C72">
        <w:rPr>
          <w:rFonts w:ascii="Source Sans Pro" w:hAnsi="Source Sans Pro"/>
        </w:rPr>
        <w:t>las formas de violencia que se denuncian con mayor frecuencia</w:t>
      </w:r>
      <w:r w:rsidR="00E406D6" w:rsidRPr="004D0C72">
        <w:rPr>
          <w:rStyle w:val="FootnoteReference"/>
          <w:rFonts w:ascii="Source Sans Pro" w:hAnsi="Source Sans Pro"/>
        </w:rPr>
        <w:footnoteReference w:id="8"/>
      </w:r>
      <w:r w:rsidR="00E406D6" w:rsidRPr="004D0C72">
        <w:rPr>
          <w:rFonts w:ascii="Source Sans Pro" w:hAnsi="Source Sans Pro"/>
        </w:rPr>
        <w:t>. Este tipo de conductos tienen un grado importante de gravedad, porque e</w:t>
      </w:r>
      <w:r w:rsidR="00CB6643" w:rsidRPr="004D0C72">
        <w:rPr>
          <w:rFonts w:ascii="Source Sans Pro" w:hAnsi="Source Sans Pro"/>
        </w:rPr>
        <w:t>l</w:t>
      </w:r>
      <w:r w:rsidR="00444F81" w:rsidRPr="004D0C72">
        <w:rPr>
          <w:rFonts w:ascii="Source Sans Pro" w:hAnsi="Source Sans Pro"/>
        </w:rPr>
        <w:t xml:space="preserve"> involucramiento de la policía en actos de discriminación y violencia contra personas LGBT</w:t>
      </w:r>
      <w:r w:rsidR="008D2E80" w:rsidRPr="004D0C72">
        <w:rPr>
          <w:rFonts w:ascii="Source Sans Pro" w:hAnsi="Source Sans Pro"/>
        </w:rPr>
        <w:t>,</w:t>
      </w:r>
      <w:r w:rsidR="00444F81" w:rsidRPr="004D0C72">
        <w:rPr>
          <w:rFonts w:ascii="Source Sans Pro" w:hAnsi="Source Sans Pro"/>
        </w:rPr>
        <w:t xml:space="preserve"> conduce a otros a creer que pueden hacer daño impunemente a personas </w:t>
      </w:r>
      <w:r w:rsidR="008059A7">
        <w:rPr>
          <w:rFonts w:ascii="Source Sans Pro" w:hAnsi="Source Sans Pro"/>
        </w:rPr>
        <w:t>LGBTI</w:t>
      </w:r>
      <w:r w:rsidR="008D2E80" w:rsidRPr="004D0C72">
        <w:rPr>
          <w:rStyle w:val="FootnoteReference"/>
          <w:rFonts w:ascii="Source Sans Pro" w:hAnsi="Source Sans Pro"/>
        </w:rPr>
        <w:footnoteReference w:id="9"/>
      </w:r>
      <w:r w:rsidR="008D2E80" w:rsidRPr="004D0C72">
        <w:rPr>
          <w:rFonts w:ascii="Source Sans Pro" w:hAnsi="Source Sans Pro"/>
        </w:rPr>
        <w:t>.</w:t>
      </w:r>
      <w:r w:rsidR="008D2E80" w:rsidRPr="005F165B">
        <w:rPr>
          <w:rFonts w:ascii="Source Sans Pro" w:hAnsi="Source Sans Pro"/>
        </w:rPr>
        <w:t xml:space="preserve"> </w:t>
      </w:r>
    </w:p>
    <w:p w14:paraId="1AA46FE1" w14:textId="77777777" w:rsidR="00AB01B2" w:rsidRDefault="004A7038" w:rsidP="00892FDB">
      <w:pPr>
        <w:jc w:val="both"/>
        <w:rPr>
          <w:rFonts w:ascii="Source Sans Pro" w:hAnsi="Source Sans Pro"/>
        </w:rPr>
      </w:pPr>
      <w:r w:rsidRPr="005F165B">
        <w:rPr>
          <w:rFonts w:ascii="Source Sans Pro" w:hAnsi="Source Sans Pro"/>
        </w:rPr>
        <w:t xml:space="preserve">En </w:t>
      </w:r>
      <w:r w:rsidR="0086197D" w:rsidRPr="005F165B">
        <w:rPr>
          <w:rFonts w:ascii="Source Sans Pro" w:hAnsi="Source Sans Pro"/>
        </w:rPr>
        <w:t xml:space="preserve">las distintas protestas que tuvieron lugar en Chile en el año 2019, </w:t>
      </w:r>
      <w:r w:rsidR="00ED0219" w:rsidRPr="005F165B">
        <w:rPr>
          <w:rFonts w:ascii="Source Sans Pro" w:hAnsi="Source Sans Pro"/>
        </w:rPr>
        <w:t>diferentes organizaciones de la sociedad civil</w:t>
      </w:r>
      <w:r w:rsidR="002E0FCD" w:rsidRPr="005F165B">
        <w:rPr>
          <w:rFonts w:ascii="Source Sans Pro" w:hAnsi="Source Sans Pro"/>
        </w:rPr>
        <w:t xml:space="preserve"> </w:t>
      </w:r>
      <w:r w:rsidR="00C64806" w:rsidRPr="005F165B">
        <w:rPr>
          <w:rFonts w:ascii="Source Sans Pro" w:hAnsi="Source Sans Pro"/>
        </w:rPr>
        <w:t>recopil</w:t>
      </w:r>
      <w:r w:rsidR="00ED0219" w:rsidRPr="005F165B">
        <w:rPr>
          <w:rFonts w:ascii="Source Sans Pro" w:hAnsi="Source Sans Pro"/>
        </w:rPr>
        <w:t xml:space="preserve">aron </w:t>
      </w:r>
      <w:r w:rsidR="00C64806" w:rsidRPr="005F165B">
        <w:rPr>
          <w:rFonts w:ascii="Source Sans Pro" w:hAnsi="Source Sans Pro"/>
        </w:rPr>
        <w:t>testimonios</w:t>
      </w:r>
      <w:r w:rsidR="00ED0219" w:rsidRPr="005F165B">
        <w:rPr>
          <w:rStyle w:val="FootnoteReference"/>
          <w:rFonts w:ascii="Source Sans Pro" w:hAnsi="Source Sans Pro"/>
        </w:rPr>
        <w:footnoteReference w:id="10"/>
      </w:r>
      <w:r w:rsidR="00C64806" w:rsidRPr="005F165B">
        <w:rPr>
          <w:rFonts w:ascii="Source Sans Pro" w:hAnsi="Source Sans Pro"/>
        </w:rPr>
        <w:t xml:space="preserve"> </w:t>
      </w:r>
      <w:r w:rsidR="005F1E3F" w:rsidRPr="005F165B">
        <w:rPr>
          <w:rFonts w:ascii="Source Sans Pro" w:hAnsi="Source Sans Pro"/>
        </w:rPr>
        <w:t>de este tipo de abusos.</w:t>
      </w:r>
      <w:r w:rsidR="001C4A63" w:rsidRPr="005F165B">
        <w:rPr>
          <w:rFonts w:ascii="Source Sans Pro" w:hAnsi="Source Sans Pro"/>
        </w:rPr>
        <w:t xml:space="preserve"> </w:t>
      </w:r>
      <w:r w:rsidR="00F27921" w:rsidRPr="005F165B">
        <w:rPr>
          <w:rFonts w:ascii="Source Sans Pro" w:hAnsi="Source Sans Pro"/>
        </w:rPr>
        <w:t xml:space="preserve">Ejemplos </w:t>
      </w:r>
      <w:r w:rsidR="005F1E3F" w:rsidRPr="005F165B">
        <w:rPr>
          <w:rFonts w:ascii="Source Sans Pro" w:hAnsi="Source Sans Pro"/>
        </w:rPr>
        <w:t>de ello son</w:t>
      </w:r>
      <w:r w:rsidR="008A4BE1" w:rsidRPr="005F165B">
        <w:rPr>
          <w:rFonts w:ascii="Source Sans Pro" w:hAnsi="Source Sans Pro"/>
        </w:rPr>
        <w:t xml:space="preserve"> las </w:t>
      </w:r>
      <w:r w:rsidR="008A4BE1" w:rsidRPr="005F165B">
        <w:rPr>
          <w:rFonts w:ascii="Source Sans Pro" w:hAnsi="Source Sans Pro"/>
          <w:b/>
          <w:bCs/>
        </w:rPr>
        <w:t xml:space="preserve">golpizas, la desnudez obligatoria y </w:t>
      </w:r>
      <w:r w:rsidR="00C807FA" w:rsidRPr="005F165B">
        <w:rPr>
          <w:rFonts w:ascii="Source Sans Pro" w:hAnsi="Source Sans Pro"/>
          <w:b/>
          <w:bCs/>
        </w:rPr>
        <w:t>el constreñimiento a hacer sentadillas</w:t>
      </w:r>
      <w:r w:rsidR="00C807FA" w:rsidRPr="005F165B">
        <w:rPr>
          <w:rFonts w:ascii="Source Sans Pro" w:hAnsi="Source Sans Pro"/>
        </w:rPr>
        <w:t xml:space="preserve"> </w:t>
      </w:r>
      <w:r w:rsidR="00607D24" w:rsidRPr="005F165B">
        <w:rPr>
          <w:rFonts w:ascii="Source Sans Pro" w:hAnsi="Source Sans Pro"/>
        </w:rPr>
        <w:t xml:space="preserve">en las </w:t>
      </w:r>
      <w:r w:rsidR="001C4A63" w:rsidRPr="005F165B">
        <w:rPr>
          <w:rFonts w:ascii="Source Sans Pro" w:hAnsi="Source Sans Pro"/>
        </w:rPr>
        <w:t>comisarías</w:t>
      </w:r>
      <w:r w:rsidR="00607D24" w:rsidRPr="005F165B">
        <w:rPr>
          <w:rFonts w:ascii="Source Sans Pro" w:hAnsi="Source Sans Pro"/>
        </w:rPr>
        <w:t xml:space="preserve"> de policía, de las que </w:t>
      </w:r>
      <w:r w:rsidR="001C4A63" w:rsidRPr="005F165B">
        <w:rPr>
          <w:rFonts w:ascii="Source Sans Pro" w:hAnsi="Source Sans Pro"/>
        </w:rPr>
        <w:t>varias</w:t>
      </w:r>
      <w:r w:rsidR="00C807FA" w:rsidRPr="005F165B">
        <w:rPr>
          <w:rFonts w:ascii="Source Sans Pro" w:hAnsi="Source Sans Pro"/>
        </w:rPr>
        <w:t xml:space="preserve"> mujeres lesbianas denunciaron </w:t>
      </w:r>
      <w:r w:rsidR="00607D24" w:rsidRPr="005F165B">
        <w:rPr>
          <w:rFonts w:ascii="Source Sans Pro" w:hAnsi="Source Sans Pro"/>
        </w:rPr>
        <w:t xml:space="preserve">ser víctimas en </w:t>
      </w:r>
      <w:r w:rsidR="001C4A63" w:rsidRPr="005F165B">
        <w:rPr>
          <w:rFonts w:ascii="Source Sans Pro" w:hAnsi="Source Sans Pro"/>
        </w:rPr>
        <w:t xml:space="preserve">distintos sectores del Área metropolitana de Santiago. </w:t>
      </w:r>
    </w:p>
    <w:p w14:paraId="3E3684CD" w14:textId="72C20BF9" w:rsidR="00BE2F35" w:rsidRDefault="008059A7" w:rsidP="00892FDB">
      <w:pPr>
        <w:jc w:val="both"/>
        <w:rPr>
          <w:rFonts w:ascii="Source Sans Pro" w:hAnsi="Source Sans Pro"/>
          <w:lang w:val="en-US"/>
        </w:rPr>
      </w:pPr>
      <w:r>
        <w:rPr>
          <w:rFonts w:ascii="Source Sans Pro" w:hAnsi="Source Sans Pro"/>
        </w:rPr>
        <w:t>En Perú, de otro lado, encontramos el caso emblemático</w:t>
      </w:r>
      <w:r w:rsidR="009443DD" w:rsidRPr="008059A7">
        <w:rPr>
          <w:rFonts w:ascii="Source Sans Pro" w:hAnsi="Source Sans Pro"/>
        </w:rPr>
        <w:t xml:space="preserve"> </w:t>
      </w:r>
      <w:r w:rsidR="008010D5" w:rsidRPr="008059A7">
        <w:rPr>
          <w:rFonts w:ascii="Source Sans Pro" w:hAnsi="Source Sans Pro"/>
        </w:rPr>
        <w:t>de Yefri Peña</w:t>
      </w:r>
      <w:r w:rsidR="008A57BB" w:rsidRPr="008059A7">
        <w:rPr>
          <w:rStyle w:val="FootnoteReference"/>
          <w:rFonts w:ascii="Source Sans Pro" w:hAnsi="Source Sans Pro"/>
        </w:rPr>
        <w:footnoteReference w:id="11"/>
      </w:r>
      <w:r w:rsidR="008010D5" w:rsidRPr="008059A7">
        <w:rPr>
          <w:rFonts w:ascii="Source Sans Pro" w:hAnsi="Source Sans Pro"/>
        </w:rPr>
        <w:t>, una muj</w:t>
      </w:r>
      <w:r w:rsidR="00212742" w:rsidRPr="008059A7">
        <w:rPr>
          <w:rFonts w:ascii="Source Sans Pro" w:hAnsi="Source Sans Pro"/>
        </w:rPr>
        <w:t>er trans</w:t>
      </w:r>
      <w:r w:rsidR="008A57BB" w:rsidRPr="008059A7">
        <w:rPr>
          <w:rFonts w:ascii="Source Sans Pro" w:hAnsi="Source Sans Pro"/>
        </w:rPr>
        <w:t xml:space="preserve"> </w:t>
      </w:r>
      <w:r w:rsidR="00212742" w:rsidRPr="008059A7">
        <w:rPr>
          <w:rFonts w:ascii="Source Sans Pro" w:hAnsi="Source Sans Pro"/>
        </w:rPr>
        <w:t>brutalmente golpeada y torturada por cinco desconocidos, a</w:t>
      </w:r>
      <w:r w:rsidR="00D85695" w:rsidRPr="008059A7">
        <w:rPr>
          <w:rFonts w:ascii="Source Sans Pro" w:hAnsi="Source Sans Pro"/>
        </w:rPr>
        <w:t xml:space="preserve"> la que los agentes de policía se negaron a socorrer</w:t>
      </w:r>
      <w:r>
        <w:rPr>
          <w:rFonts w:ascii="Source Sans Pro" w:hAnsi="Source Sans Pro"/>
        </w:rPr>
        <w:t xml:space="preserve"> y el personal de salud se negó a atender por la creencia </w:t>
      </w:r>
      <w:r w:rsidR="00A65D52">
        <w:rPr>
          <w:rFonts w:ascii="Source Sans Pro" w:hAnsi="Source Sans Pro"/>
        </w:rPr>
        <w:t xml:space="preserve">errónea </w:t>
      </w:r>
      <w:r>
        <w:rPr>
          <w:rFonts w:ascii="Source Sans Pro" w:hAnsi="Source Sans Pro"/>
        </w:rPr>
        <w:t>de que al ser una mujer trans podría contagiarles de VIH SIDA</w:t>
      </w:r>
      <w:r w:rsidR="00073480" w:rsidRPr="008059A7">
        <w:rPr>
          <w:rFonts w:ascii="Source Sans Pro" w:hAnsi="Source Sans Pro"/>
        </w:rPr>
        <w:t xml:space="preserve">. Por la magnitud de su ataque, Yefri permaneció un mes en coma </w:t>
      </w:r>
      <w:r w:rsidR="008A57BB" w:rsidRPr="008059A7">
        <w:rPr>
          <w:rFonts w:ascii="Source Sans Pro" w:hAnsi="Source Sans Pro"/>
        </w:rPr>
        <w:t>y con graves secuelas psicológicas.</w:t>
      </w:r>
      <w:r w:rsidR="008A57BB" w:rsidRPr="005F165B">
        <w:rPr>
          <w:rFonts w:ascii="Source Sans Pro" w:hAnsi="Source Sans Pro"/>
        </w:rPr>
        <w:t xml:space="preserve"> </w:t>
      </w:r>
      <w:r w:rsidR="00AB01B2">
        <w:rPr>
          <w:rFonts w:ascii="Source Sans Pro" w:hAnsi="Source Sans Pro"/>
        </w:rPr>
        <w:t xml:space="preserve">En este mismo país, durante la pandemia por COVID 19 </w:t>
      </w:r>
      <w:r w:rsidR="00AB01B2" w:rsidRPr="00AB01B2">
        <w:rPr>
          <w:rFonts w:ascii="Source Sans Pro" w:hAnsi="Source Sans Pro"/>
          <w:lang w:val="en-US"/>
        </w:rPr>
        <w:t xml:space="preserve">diversas personas trans denunciaron haber sido intervenidas por personal policial quienes les solicitaban el </w:t>
      </w:r>
      <w:r w:rsidR="00AB01B2">
        <w:rPr>
          <w:rFonts w:ascii="Source Sans Pro" w:hAnsi="Source Sans Pro"/>
          <w:lang w:val="en-US"/>
        </w:rPr>
        <w:t>document de identidad</w:t>
      </w:r>
      <w:r w:rsidR="00AB01B2" w:rsidRPr="00AB01B2">
        <w:rPr>
          <w:rFonts w:ascii="Source Sans Pro" w:hAnsi="Source Sans Pro"/>
          <w:vertAlign w:val="superscript"/>
          <w:lang w:val="en-US"/>
        </w:rPr>
        <w:footnoteReference w:id="12"/>
      </w:r>
      <w:r w:rsidR="00AB01B2" w:rsidRPr="00AB01B2">
        <w:rPr>
          <w:rFonts w:ascii="Source Sans Pro" w:hAnsi="Source Sans Pro"/>
          <w:lang w:val="en-US"/>
        </w:rPr>
        <w:t>, cuestionaban su identidad de género y además se divulgó un video de policías obligando a un grupo de mujeres trans a realizar sentadillas dentro de una comisaría, mientras las obligaban a repetir la frase: “</w:t>
      </w:r>
      <w:r w:rsidR="00AB01B2" w:rsidRPr="00AB01B2">
        <w:rPr>
          <w:rFonts w:ascii="Source Sans Pro" w:hAnsi="Source Sans Pro"/>
          <w:i/>
          <w:iCs/>
          <w:lang w:val="en-US"/>
        </w:rPr>
        <w:t>Quiero ser hombre</w:t>
      </w:r>
      <w:r w:rsidR="00AB01B2" w:rsidRPr="00AB01B2">
        <w:rPr>
          <w:rFonts w:ascii="Source Sans Pro" w:hAnsi="Source Sans Pro"/>
          <w:lang w:val="en-US"/>
        </w:rPr>
        <w:t>”</w:t>
      </w:r>
      <w:r w:rsidR="00AB01B2" w:rsidRPr="00AB01B2">
        <w:rPr>
          <w:rFonts w:ascii="Source Sans Pro" w:hAnsi="Source Sans Pro"/>
          <w:vertAlign w:val="superscript"/>
          <w:lang w:val="en-US"/>
        </w:rPr>
        <w:footnoteReference w:id="13"/>
      </w:r>
      <w:r w:rsidR="00AB01B2" w:rsidRPr="00AB01B2">
        <w:rPr>
          <w:rFonts w:ascii="Source Sans Pro" w:hAnsi="Source Sans Pro"/>
          <w:lang w:val="en-US"/>
        </w:rPr>
        <w:t>.</w:t>
      </w:r>
    </w:p>
    <w:p w14:paraId="19525595" w14:textId="515C1B03" w:rsidR="00865B9E" w:rsidRPr="005F165B" w:rsidRDefault="00865B9E" w:rsidP="00892FDB">
      <w:pPr>
        <w:jc w:val="both"/>
        <w:rPr>
          <w:rFonts w:ascii="Source Sans Pro" w:hAnsi="Source Sans Pro"/>
        </w:rPr>
      </w:pPr>
      <w:r>
        <w:rPr>
          <w:rFonts w:ascii="Source Sans Pro" w:hAnsi="Source Sans Pro"/>
        </w:rPr>
        <w:t>Sin embargo, debe precisarse que, las</w:t>
      </w:r>
      <w:r w:rsidRPr="00865B9E">
        <w:rPr>
          <w:rFonts w:ascii="Source Sans Pro" w:hAnsi="Source Sans Pro"/>
        </w:rPr>
        <w:t xml:space="preserve"> mujeres trans </w:t>
      </w:r>
      <w:r>
        <w:rPr>
          <w:rFonts w:ascii="Source Sans Pro" w:hAnsi="Source Sans Pro"/>
        </w:rPr>
        <w:t xml:space="preserve">por lo general </w:t>
      </w:r>
      <w:r w:rsidRPr="00865B9E">
        <w:rPr>
          <w:rFonts w:ascii="Source Sans Pro" w:hAnsi="Source Sans Pro"/>
        </w:rPr>
        <w:t>no cuentan con el reconocimiento de las autoridades a su identidad de género por lo que los jueces se rehúsan a tipificar los asesinatos de mujeres trans como feminicidios</w:t>
      </w:r>
      <w:r w:rsidR="001A7A5D">
        <w:rPr>
          <w:rFonts w:ascii="Source Sans Pro" w:hAnsi="Source Sans Pro"/>
        </w:rPr>
        <w:t>, como sucede en Bolivia y Perú</w:t>
      </w:r>
      <w:r w:rsidRPr="00865B9E">
        <w:rPr>
          <w:rFonts w:ascii="Source Sans Pro" w:hAnsi="Source Sans Pro"/>
        </w:rPr>
        <w:t>.</w:t>
      </w:r>
    </w:p>
    <w:p w14:paraId="3F12F06C" w14:textId="5F8B7EF2" w:rsidR="009D1F24" w:rsidRPr="005F165B" w:rsidRDefault="00AB01B2" w:rsidP="00892FDB">
      <w:pPr>
        <w:jc w:val="both"/>
        <w:rPr>
          <w:rFonts w:ascii="Source Sans Pro" w:hAnsi="Source Sans Pro"/>
        </w:rPr>
      </w:pPr>
      <w:bookmarkStart w:id="2" w:name="_Hlk93420341"/>
      <w:r>
        <w:rPr>
          <w:rFonts w:ascii="Source Sans Pro" w:hAnsi="Source Sans Pro"/>
        </w:rPr>
        <w:t>Pero l</w:t>
      </w:r>
      <w:r w:rsidR="008A72D0" w:rsidRPr="005F165B">
        <w:rPr>
          <w:rFonts w:ascii="Source Sans Pro" w:hAnsi="Source Sans Pro"/>
        </w:rPr>
        <w:t>as personas LGBTI</w:t>
      </w:r>
      <w:r w:rsidR="00653BA2">
        <w:rPr>
          <w:rFonts w:ascii="Source Sans Pro" w:hAnsi="Source Sans Pro"/>
        </w:rPr>
        <w:t>+</w:t>
      </w:r>
      <w:r w:rsidR="008A72D0" w:rsidRPr="005F165B">
        <w:rPr>
          <w:rFonts w:ascii="Source Sans Pro" w:hAnsi="Source Sans Pro"/>
        </w:rPr>
        <w:t xml:space="preserve"> no son solamente violentadas en espacios públicos</w:t>
      </w:r>
      <w:r w:rsidR="00222C10" w:rsidRPr="005F165B">
        <w:rPr>
          <w:rFonts w:ascii="Source Sans Pro" w:hAnsi="Source Sans Pro"/>
        </w:rPr>
        <w:t xml:space="preserve">. Los hogares, los establecimientos educativos </w:t>
      </w:r>
      <w:r w:rsidR="008A72D0" w:rsidRPr="005F165B">
        <w:rPr>
          <w:rFonts w:ascii="Source Sans Pro" w:hAnsi="Source Sans Pro"/>
        </w:rPr>
        <w:t xml:space="preserve">y </w:t>
      </w:r>
      <w:r w:rsidR="00222C10" w:rsidRPr="005F165B">
        <w:rPr>
          <w:rFonts w:ascii="Source Sans Pro" w:hAnsi="Source Sans Pro"/>
        </w:rPr>
        <w:t xml:space="preserve">en general </w:t>
      </w:r>
      <w:r w:rsidR="008A72D0" w:rsidRPr="005F165B">
        <w:rPr>
          <w:rFonts w:ascii="Source Sans Pro" w:hAnsi="Source Sans Pro"/>
        </w:rPr>
        <w:t>l</w:t>
      </w:r>
      <w:r w:rsidR="00222C10" w:rsidRPr="005F165B">
        <w:rPr>
          <w:rFonts w:ascii="Source Sans Pro" w:hAnsi="Source Sans Pro"/>
        </w:rPr>
        <w:t>as esferas privadas,</w:t>
      </w:r>
      <w:r w:rsidR="00BC196D" w:rsidRPr="005F165B">
        <w:rPr>
          <w:rFonts w:ascii="Source Sans Pro" w:hAnsi="Source Sans Pro"/>
        </w:rPr>
        <w:t xml:space="preserve"> </w:t>
      </w:r>
      <w:r w:rsidR="003C7A9E" w:rsidRPr="005F165B">
        <w:rPr>
          <w:rFonts w:ascii="Source Sans Pro" w:hAnsi="Source Sans Pro"/>
        </w:rPr>
        <w:t xml:space="preserve">siguen </w:t>
      </w:r>
      <w:r w:rsidR="00653BA2">
        <w:rPr>
          <w:rFonts w:ascii="Source Sans Pro" w:hAnsi="Source Sans Pro"/>
        </w:rPr>
        <w:t>siendo</w:t>
      </w:r>
      <w:r w:rsidR="003C7A9E" w:rsidRPr="005F165B">
        <w:rPr>
          <w:rFonts w:ascii="Source Sans Pro" w:hAnsi="Source Sans Pro"/>
        </w:rPr>
        <w:t xml:space="preserve"> espacios </w:t>
      </w:r>
      <w:r w:rsidR="00653BA2">
        <w:rPr>
          <w:rFonts w:ascii="Source Sans Pro" w:hAnsi="Source Sans Pro"/>
        </w:rPr>
        <w:t>in</w:t>
      </w:r>
      <w:r w:rsidR="003C7A9E" w:rsidRPr="005F165B">
        <w:rPr>
          <w:rFonts w:ascii="Source Sans Pro" w:hAnsi="Source Sans Pro"/>
        </w:rPr>
        <w:t xml:space="preserve">seguros. </w:t>
      </w:r>
      <w:bookmarkEnd w:id="2"/>
      <w:r w:rsidR="00F1348E">
        <w:rPr>
          <w:rFonts w:ascii="Source Sans Pro" w:hAnsi="Source Sans Pro"/>
        </w:rPr>
        <w:t xml:space="preserve">La organización </w:t>
      </w:r>
      <w:r w:rsidR="00801255" w:rsidRPr="005F165B">
        <w:rPr>
          <w:rFonts w:ascii="Source Sans Pro" w:hAnsi="Source Sans Pro"/>
          <w:b/>
          <w:bCs/>
        </w:rPr>
        <w:t>Colombia Diversa</w:t>
      </w:r>
      <w:r w:rsidR="00801255" w:rsidRPr="005F165B">
        <w:rPr>
          <w:rFonts w:ascii="Source Sans Pro" w:hAnsi="Source Sans Pro"/>
        </w:rPr>
        <w:t>, e</w:t>
      </w:r>
      <w:r w:rsidR="00653BA2">
        <w:rPr>
          <w:rFonts w:ascii="Source Sans Pro" w:hAnsi="Source Sans Pro"/>
        </w:rPr>
        <w:t xml:space="preserve">l </w:t>
      </w:r>
      <w:r w:rsidR="00801255" w:rsidRPr="005F165B">
        <w:rPr>
          <w:rFonts w:ascii="Source Sans Pro" w:hAnsi="Source Sans Pro"/>
        </w:rPr>
        <w:t>2020</w:t>
      </w:r>
      <w:r w:rsidR="009F50C2" w:rsidRPr="005F165B">
        <w:rPr>
          <w:rStyle w:val="FootnoteReference"/>
          <w:rFonts w:ascii="Source Sans Pro" w:hAnsi="Source Sans Pro"/>
        </w:rPr>
        <w:footnoteReference w:id="14"/>
      </w:r>
      <w:r w:rsidR="00801255" w:rsidRPr="005F165B">
        <w:rPr>
          <w:rFonts w:ascii="Source Sans Pro" w:hAnsi="Source Sans Pro"/>
        </w:rPr>
        <w:t xml:space="preserve"> reportó que </w:t>
      </w:r>
      <w:r w:rsidR="00653BA2">
        <w:rPr>
          <w:rFonts w:ascii="Source Sans Pro" w:hAnsi="Source Sans Pro"/>
        </w:rPr>
        <w:t xml:space="preserve">atendieron </w:t>
      </w:r>
      <w:r w:rsidR="004B5389" w:rsidRPr="005F165B">
        <w:rPr>
          <w:rFonts w:ascii="Source Sans Pro" w:hAnsi="Source Sans Pro"/>
        </w:rPr>
        <w:t xml:space="preserve">327 casos, </w:t>
      </w:r>
      <w:r w:rsidR="00D9514E" w:rsidRPr="005F165B">
        <w:rPr>
          <w:rFonts w:ascii="Source Sans Pro" w:hAnsi="Source Sans Pro"/>
        </w:rPr>
        <w:t xml:space="preserve">126 </w:t>
      </w:r>
      <w:r w:rsidR="00BF0B05" w:rsidRPr="005F165B">
        <w:rPr>
          <w:rFonts w:ascii="Source Sans Pro" w:hAnsi="Source Sans Pro"/>
        </w:rPr>
        <w:t>tuvieron por motivo conflictos en el ámbito familiar y</w:t>
      </w:r>
      <w:r w:rsidR="00F1348E">
        <w:rPr>
          <w:rFonts w:ascii="Source Sans Pro" w:hAnsi="Source Sans Pro"/>
        </w:rPr>
        <w:t>,</w:t>
      </w:r>
      <w:r w:rsidR="00BF0B05" w:rsidRPr="005F165B">
        <w:rPr>
          <w:rFonts w:ascii="Source Sans Pro" w:hAnsi="Source Sans Pro"/>
        </w:rPr>
        <w:t xml:space="preserve"> de esta </w:t>
      </w:r>
      <w:r w:rsidR="003E0B80" w:rsidRPr="005F165B">
        <w:rPr>
          <w:rFonts w:ascii="Source Sans Pro" w:hAnsi="Source Sans Pro"/>
        </w:rPr>
        <w:t>cifra, 56</w:t>
      </w:r>
      <w:r w:rsidR="00AE7E1B" w:rsidRPr="005F165B">
        <w:rPr>
          <w:rFonts w:ascii="Source Sans Pro" w:hAnsi="Source Sans Pro"/>
        </w:rPr>
        <w:t xml:space="preserve"> fueron agresiones familiares</w:t>
      </w:r>
      <w:r w:rsidR="00AC59A8" w:rsidRPr="005F165B">
        <w:rPr>
          <w:rFonts w:ascii="Source Sans Pro" w:hAnsi="Source Sans Pro"/>
        </w:rPr>
        <w:t>, tanto físicas como verbales y psicológicas y</w:t>
      </w:r>
      <w:r w:rsidR="00653BA2">
        <w:rPr>
          <w:rFonts w:ascii="Source Sans Pro" w:hAnsi="Source Sans Pro"/>
        </w:rPr>
        <w:t>,</w:t>
      </w:r>
      <w:r w:rsidR="00AC59A8" w:rsidRPr="005F165B">
        <w:rPr>
          <w:rFonts w:ascii="Source Sans Pro" w:hAnsi="Source Sans Pro"/>
        </w:rPr>
        <w:t xml:space="preserve"> por lo menos </w:t>
      </w:r>
      <w:r w:rsidR="009F50C2" w:rsidRPr="005F165B">
        <w:rPr>
          <w:rFonts w:ascii="Source Sans Pro" w:hAnsi="Source Sans Pro"/>
        </w:rPr>
        <w:t>de la mitad de esta</w:t>
      </w:r>
      <w:r w:rsidR="00653BA2">
        <w:rPr>
          <w:rFonts w:ascii="Source Sans Pro" w:hAnsi="Source Sans Pro"/>
        </w:rPr>
        <w:t>,</w:t>
      </w:r>
      <w:r w:rsidR="009F50C2" w:rsidRPr="005F165B">
        <w:rPr>
          <w:rFonts w:ascii="Source Sans Pro" w:hAnsi="Source Sans Pro"/>
        </w:rPr>
        <w:t xml:space="preserve"> se tiene certeza que fueron motivadas por el perjuicio</w:t>
      </w:r>
      <w:r w:rsidR="00DE2C6F" w:rsidRPr="005F165B">
        <w:rPr>
          <w:rFonts w:ascii="Source Sans Pro" w:hAnsi="Source Sans Pro"/>
        </w:rPr>
        <w:t>.</w:t>
      </w:r>
      <w:r w:rsidR="009F50C2" w:rsidRPr="005F165B">
        <w:rPr>
          <w:rFonts w:ascii="Source Sans Pro" w:hAnsi="Source Sans Pro"/>
        </w:rPr>
        <w:t xml:space="preserve"> </w:t>
      </w:r>
    </w:p>
    <w:p w14:paraId="22F80CE3" w14:textId="1D5530C4" w:rsidR="004A1663" w:rsidRPr="00F1348E" w:rsidRDefault="00184A80" w:rsidP="004A1663">
      <w:pPr>
        <w:jc w:val="both"/>
        <w:rPr>
          <w:rFonts w:ascii="Source Sans Pro" w:hAnsi="Source Sans Pro"/>
        </w:rPr>
      </w:pPr>
      <w:r w:rsidRPr="00653BA2">
        <w:rPr>
          <w:rFonts w:ascii="Source Sans Pro" w:hAnsi="Source Sans Pro"/>
        </w:rPr>
        <w:t>De la misma forma,</w:t>
      </w:r>
      <w:r w:rsidR="00FF773E" w:rsidRPr="00653BA2">
        <w:rPr>
          <w:rFonts w:ascii="Source Sans Pro" w:hAnsi="Source Sans Pro"/>
        </w:rPr>
        <w:t xml:space="preserve"> </w:t>
      </w:r>
      <w:r w:rsidR="00F1348E" w:rsidRPr="004A1663">
        <w:rPr>
          <w:rFonts w:ascii="Source Sans Pro" w:hAnsi="Source Sans Pro"/>
          <w:b/>
          <w:bCs/>
        </w:rPr>
        <w:t>en Perú</w:t>
      </w:r>
      <w:r w:rsidR="00F1348E">
        <w:rPr>
          <w:rFonts w:ascii="Source Sans Pro" w:hAnsi="Source Sans Pro"/>
        </w:rPr>
        <w:t xml:space="preserve"> </w:t>
      </w:r>
      <w:r w:rsidR="00FF773E" w:rsidRPr="00653BA2">
        <w:rPr>
          <w:rFonts w:ascii="Source Sans Pro" w:hAnsi="Source Sans Pro"/>
        </w:rPr>
        <w:t xml:space="preserve">la </w:t>
      </w:r>
      <w:r w:rsidR="00F1348E">
        <w:rPr>
          <w:rFonts w:ascii="Source Sans Pro" w:hAnsi="Source Sans Pro"/>
        </w:rPr>
        <w:t>o</w:t>
      </w:r>
      <w:r w:rsidR="00FF773E" w:rsidRPr="00653BA2">
        <w:rPr>
          <w:rFonts w:ascii="Source Sans Pro" w:hAnsi="Source Sans Pro"/>
        </w:rPr>
        <w:t xml:space="preserve">rganización </w:t>
      </w:r>
      <w:r w:rsidR="00FF773E" w:rsidRPr="00653BA2">
        <w:rPr>
          <w:rFonts w:ascii="Source Sans Pro" w:hAnsi="Source Sans Pro"/>
          <w:b/>
          <w:bCs/>
        </w:rPr>
        <w:t xml:space="preserve">PROMSEX </w:t>
      </w:r>
      <w:r w:rsidR="00162B6B" w:rsidRPr="00653BA2">
        <w:rPr>
          <w:rFonts w:ascii="Source Sans Pro" w:hAnsi="Source Sans Pro"/>
        </w:rPr>
        <w:t xml:space="preserve">en uno de sus </w:t>
      </w:r>
      <w:r w:rsidR="00F1348E">
        <w:rPr>
          <w:rFonts w:ascii="Source Sans Pro" w:hAnsi="Source Sans Pro"/>
        </w:rPr>
        <w:t>estudios</w:t>
      </w:r>
      <w:r w:rsidR="00162B6B" w:rsidRPr="00653BA2">
        <w:rPr>
          <w:rStyle w:val="FootnoteReference"/>
          <w:rFonts w:ascii="Source Sans Pro" w:hAnsi="Source Sans Pro"/>
        </w:rPr>
        <w:footnoteReference w:id="15"/>
      </w:r>
      <w:r w:rsidR="00162B6B" w:rsidRPr="00653BA2">
        <w:rPr>
          <w:rFonts w:ascii="Source Sans Pro" w:hAnsi="Source Sans Pro"/>
        </w:rPr>
        <w:t xml:space="preserve"> </w:t>
      </w:r>
      <w:r w:rsidR="00E60F2B" w:rsidRPr="00653BA2">
        <w:rPr>
          <w:rFonts w:ascii="Source Sans Pro" w:hAnsi="Source Sans Pro"/>
        </w:rPr>
        <w:t xml:space="preserve">asevera que la violencia familiar </w:t>
      </w:r>
      <w:r w:rsidR="00322D67" w:rsidRPr="00653BA2">
        <w:rPr>
          <w:rFonts w:ascii="Source Sans Pro" w:hAnsi="Source Sans Pro"/>
        </w:rPr>
        <w:t xml:space="preserve">contra personas LGBT se ejerce principalmente durante </w:t>
      </w:r>
      <w:r w:rsidR="00EE1252" w:rsidRPr="00653BA2">
        <w:rPr>
          <w:rFonts w:ascii="Source Sans Pro" w:hAnsi="Source Sans Pro"/>
        </w:rPr>
        <w:t>su infancia y adolescencia</w:t>
      </w:r>
      <w:r w:rsidR="00D21026" w:rsidRPr="00653BA2">
        <w:rPr>
          <w:rFonts w:ascii="Source Sans Pro" w:hAnsi="Source Sans Pro"/>
        </w:rPr>
        <w:t xml:space="preserve">, lo que pone a las </w:t>
      </w:r>
      <w:r w:rsidR="00F1348E" w:rsidRPr="00653BA2">
        <w:rPr>
          <w:rFonts w:ascii="Source Sans Pro" w:hAnsi="Source Sans Pro"/>
        </w:rPr>
        <w:t>víctimas</w:t>
      </w:r>
      <w:r w:rsidR="00D21026" w:rsidRPr="00653BA2">
        <w:rPr>
          <w:rFonts w:ascii="Source Sans Pro" w:hAnsi="Source Sans Pro"/>
        </w:rPr>
        <w:t xml:space="preserve"> en una posición de mayor vulnerabilidad</w:t>
      </w:r>
      <w:r w:rsidR="00935137" w:rsidRPr="00653BA2">
        <w:rPr>
          <w:rFonts w:ascii="Source Sans Pro" w:hAnsi="Source Sans Pro"/>
        </w:rPr>
        <w:t xml:space="preserve"> por su dependencia a la estructura familiar. </w:t>
      </w:r>
      <w:r w:rsidR="005F1469" w:rsidRPr="00653BA2">
        <w:rPr>
          <w:rFonts w:ascii="Source Sans Pro" w:hAnsi="Source Sans Pro"/>
        </w:rPr>
        <w:t>Varias de las</w:t>
      </w:r>
      <w:r w:rsidR="009C2167" w:rsidRPr="00653BA2">
        <w:rPr>
          <w:rFonts w:ascii="Source Sans Pro" w:hAnsi="Source Sans Pro"/>
        </w:rPr>
        <w:t xml:space="preserve"> formas de</w:t>
      </w:r>
      <w:r w:rsidR="005F1469" w:rsidRPr="00653BA2">
        <w:rPr>
          <w:rFonts w:ascii="Source Sans Pro" w:hAnsi="Source Sans Pro"/>
        </w:rPr>
        <w:t xml:space="preserve"> violencia </w:t>
      </w:r>
      <w:r w:rsidR="009C2167" w:rsidRPr="00653BA2">
        <w:rPr>
          <w:rFonts w:ascii="Source Sans Pro" w:hAnsi="Source Sans Pro"/>
        </w:rPr>
        <w:t xml:space="preserve">homofóbica </w:t>
      </w:r>
      <w:r w:rsidR="005F1469" w:rsidRPr="00653BA2">
        <w:rPr>
          <w:rFonts w:ascii="Source Sans Pro" w:hAnsi="Source Sans Pro"/>
        </w:rPr>
        <w:t xml:space="preserve">ejercidas por los padres o cuidadores son </w:t>
      </w:r>
      <w:r w:rsidR="009C2167" w:rsidRPr="00653BA2">
        <w:rPr>
          <w:rFonts w:ascii="Source Sans Pro" w:hAnsi="Source Sans Pro"/>
        </w:rPr>
        <w:t>entendidas socialmente como mecanismos legítimos de crianza</w:t>
      </w:r>
      <w:r w:rsidR="009D1F24" w:rsidRPr="00653BA2">
        <w:rPr>
          <w:rFonts w:ascii="Source Sans Pro" w:hAnsi="Source Sans Pro"/>
        </w:rPr>
        <w:t xml:space="preserve">, sin advertir que con ello se generan profundos daños en la salud mental y en la </w:t>
      </w:r>
      <w:r w:rsidR="009D1F24" w:rsidRPr="00F1348E">
        <w:rPr>
          <w:rFonts w:ascii="Source Sans Pro" w:hAnsi="Source Sans Pro"/>
        </w:rPr>
        <w:t xml:space="preserve">construcción de la identidad </w:t>
      </w:r>
      <w:r w:rsidR="00F1348E" w:rsidRPr="00F1348E">
        <w:rPr>
          <w:rFonts w:ascii="Source Sans Pro" w:hAnsi="Source Sans Pro"/>
        </w:rPr>
        <w:t>de niñes y adolescentes</w:t>
      </w:r>
      <w:r w:rsidR="009D1F24" w:rsidRPr="00F1348E">
        <w:rPr>
          <w:rFonts w:ascii="Source Sans Pro" w:hAnsi="Source Sans Pro"/>
        </w:rPr>
        <w:t>.</w:t>
      </w:r>
      <w:r w:rsidR="00F1348E">
        <w:rPr>
          <w:rFonts w:ascii="Source Sans Pro" w:hAnsi="Source Sans Pro"/>
        </w:rPr>
        <w:t xml:space="preserve"> </w:t>
      </w:r>
      <w:r w:rsidR="00937A0B" w:rsidRPr="00F1348E">
        <w:rPr>
          <w:rFonts w:ascii="Source Sans Pro" w:hAnsi="Source Sans Pro"/>
        </w:rPr>
        <w:t>Una de las consecuencias más graves de esto, e</w:t>
      </w:r>
      <w:r w:rsidR="00075B53" w:rsidRPr="00F1348E">
        <w:rPr>
          <w:rFonts w:ascii="Source Sans Pro" w:hAnsi="Source Sans Pro"/>
        </w:rPr>
        <w:t>s el r</w:t>
      </w:r>
      <w:r w:rsidR="00937A0B" w:rsidRPr="00F1348E">
        <w:rPr>
          <w:rFonts w:ascii="Source Sans Pro" w:hAnsi="Source Sans Pro"/>
        </w:rPr>
        <w:t>iesgo</w:t>
      </w:r>
      <w:r w:rsidR="00075B53" w:rsidRPr="00F1348E">
        <w:rPr>
          <w:rFonts w:ascii="Source Sans Pro" w:hAnsi="Source Sans Pro"/>
        </w:rPr>
        <w:t xml:space="preserve"> creciente</w:t>
      </w:r>
      <w:r w:rsidR="00937A0B" w:rsidRPr="00F1348E">
        <w:rPr>
          <w:rFonts w:ascii="Source Sans Pro" w:hAnsi="Source Sans Pro"/>
        </w:rPr>
        <w:t xml:space="preserve"> de intento de suicidio </w:t>
      </w:r>
      <w:r w:rsidR="00075B53" w:rsidRPr="00F1348E">
        <w:rPr>
          <w:rFonts w:ascii="Source Sans Pro" w:hAnsi="Source Sans Pro"/>
        </w:rPr>
        <w:t xml:space="preserve">que </w:t>
      </w:r>
      <w:r w:rsidR="004A1663">
        <w:rPr>
          <w:rFonts w:ascii="Source Sans Pro" w:hAnsi="Source Sans Pro"/>
        </w:rPr>
        <w:t>niñes y adolescente</w:t>
      </w:r>
      <w:r w:rsidR="00075B53" w:rsidRPr="00F1348E">
        <w:rPr>
          <w:rFonts w:ascii="Source Sans Pro" w:hAnsi="Source Sans Pro"/>
        </w:rPr>
        <w:t xml:space="preserve">s </w:t>
      </w:r>
      <w:r w:rsidR="00F1348E">
        <w:rPr>
          <w:rFonts w:ascii="Source Sans Pro" w:hAnsi="Source Sans Pro"/>
        </w:rPr>
        <w:t>LGTB</w:t>
      </w:r>
      <w:r w:rsidR="00075B53" w:rsidRPr="00F1348E">
        <w:rPr>
          <w:rFonts w:ascii="Source Sans Pro" w:hAnsi="Source Sans Pro"/>
        </w:rPr>
        <w:t xml:space="preserve"> tienen </w:t>
      </w:r>
      <w:r w:rsidR="00F1348E">
        <w:rPr>
          <w:rFonts w:ascii="Source Sans Pro" w:hAnsi="Source Sans Pro"/>
        </w:rPr>
        <w:t>al</w:t>
      </w:r>
      <w:r w:rsidR="00937A0B" w:rsidRPr="00F1348E">
        <w:rPr>
          <w:rFonts w:ascii="Source Sans Pro" w:hAnsi="Source Sans Pro"/>
        </w:rPr>
        <w:t xml:space="preserve"> experimentan </w:t>
      </w:r>
      <w:r w:rsidR="00F1348E">
        <w:rPr>
          <w:rFonts w:ascii="Source Sans Pro" w:hAnsi="Source Sans Pro"/>
        </w:rPr>
        <w:t xml:space="preserve">el rechazo y </w:t>
      </w:r>
      <w:r w:rsidR="00937A0B" w:rsidRPr="00F1348E">
        <w:rPr>
          <w:rFonts w:ascii="Source Sans Pro" w:hAnsi="Source Sans Pro"/>
        </w:rPr>
        <w:t xml:space="preserve">reacciones negativas </w:t>
      </w:r>
      <w:r w:rsidR="00075B53" w:rsidRPr="00F1348E">
        <w:rPr>
          <w:rFonts w:ascii="Source Sans Pro" w:hAnsi="Source Sans Pro"/>
        </w:rPr>
        <w:t xml:space="preserve">por </w:t>
      </w:r>
      <w:r w:rsidR="00937A0B" w:rsidRPr="00F1348E">
        <w:rPr>
          <w:rFonts w:ascii="Source Sans Pro" w:hAnsi="Source Sans Pro"/>
        </w:rPr>
        <w:t xml:space="preserve">parte de sus </w:t>
      </w:r>
      <w:r w:rsidR="00F1348E">
        <w:rPr>
          <w:rFonts w:ascii="Source Sans Pro" w:hAnsi="Source Sans Pro"/>
        </w:rPr>
        <w:t>seres más cercanos</w:t>
      </w:r>
      <w:r w:rsidR="00075B53" w:rsidRPr="00F1348E">
        <w:rPr>
          <w:rStyle w:val="FootnoteReference"/>
          <w:rFonts w:ascii="Source Sans Pro" w:hAnsi="Source Sans Pro"/>
        </w:rPr>
        <w:footnoteReference w:id="16"/>
      </w:r>
      <w:r w:rsidR="00075B53" w:rsidRPr="00F1348E">
        <w:rPr>
          <w:rFonts w:ascii="Source Sans Pro" w:hAnsi="Source Sans Pro"/>
        </w:rPr>
        <w:t xml:space="preserve">. </w:t>
      </w:r>
    </w:p>
    <w:p w14:paraId="2113173D" w14:textId="3E24E82D" w:rsidR="004A1663" w:rsidRPr="005F165B" w:rsidRDefault="003E0B80" w:rsidP="004A1663">
      <w:pPr>
        <w:jc w:val="both"/>
        <w:rPr>
          <w:rFonts w:ascii="Source Sans Pro" w:hAnsi="Source Sans Pro"/>
        </w:rPr>
      </w:pPr>
      <w:r>
        <w:rPr>
          <w:rFonts w:ascii="Source Sans Pro" w:hAnsi="Source Sans Pro"/>
        </w:rPr>
        <w:t>Además de ello,</w:t>
      </w:r>
      <w:r w:rsidR="004A1663" w:rsidRPr="00F1348E">
        <w:rPr>
          <w:rFonts w:ascii="Source Sans Pro" w:hAnsi="Source Sans Pro"/>
        </w:rPr>
        <w:t xml:space="preserve"> la violencia contra las personas LGBTI en </w:t>
      </w:r>
      <w:r w:rsidR="004A1663" w:rsidRPr="00F1348E">
        <w:rPr>
          <w:rFonts w:ascii="Source Sans Pro" w:hAnsi="Source Sans Pro"/>
          <w:b/>
          <w:bCs/>
        </w:rPr>
        <w:t xml:space="preserve">espacios escolares </w:t>
      </w:r>
      <w:r w:rsidR="004A1663" w:rsidRPr="00F1348E">
        <w:rPr>
          <w:rFonts w:ascii="Source Sans Pro" w:hAnsi="Source Sans Pro"/>
        </w:rPr>
        <w:t>a pesar de ser muy frecuente y de tener graves consecuencias, suele ser invisibilizada. Sus víctimas no cuentan con apoyo familiar ya sea por miedo a levantar sospechas sobre su identidad de género u orientación sexu</w:t>
      </w:r>
      <w:r w:rsidR="004A1663" w:rsidRPr="003E0B80">
        <w:rPr>
          <w:rFonts w:ascii="Source Sans Pro" w:hAnsi="Source Sans Pro"/>
        </w:rPr>
        <w:t xml:space="preserve">al o por miedo a ser </w:t>
      </w:r>
      <w:r>
        <w:rPr>
          <w:rFonts w:ascii="Source Sans Pro" w:hAnsi="Source Sans Pro"/>
        </w:rPr>
        <w:t xml:space="preserve">también </w:t>
      </w:r>
      <w:r w:rsidR="004A1663" w:rsidRPr="003E0B80">
        <w:rPr>
          <w:rFonts w:ascii="Source Sans Pro" w:hAnsi="Source Sans Pro"/>
        </w:rPr>
        <w:t>maltratados en su entorno familiar. E</w:t>
      </w:r>
      <w:r>
        <w:rPr>
          <w:rFonts w:ascii="Source Sans Pro" w:hAnsi="Source Sans Pro"/>
        </w:rPr>
        <w:t>n estos casos el</w:t>
      </w:r>
      <w:r w:rsidR="004A1663" w:rsidRPr="003E0B80">
        <w:rPr>
          <w:rFonts w:ascii="Source Sans Pro" w:hAnsi="Source Sans Pro"/>
        </w:rPr>
        <w:t xml:space="preserve"> estigma no solamente recae en la víctima sino</w:t>
      </w:r>
      <w:r>
        <w:rPr>
          <w:rFonts w:ascii="Source Sans Pro" w:hAnsi="Source Sans Pro"/>
        </w:rPr>
        <w:t xml:space="preserve"> que</w:t>
      </w:r>
      <w:r w:rsidR="004A1663" w:rsidRPr="003E0B80">
        <w:rPr>
          <w:rFonts w:ascii="Source Sans Pro" w:hAnsi="Source Sans Pro"/>
        </w:rPr>
        <w:t xml:space="preserve"> también se puede extender a quienes intentan defenderle o detener la violencia</w:t>
      </w:r>
      <w:r>
        <w:rPr>
          <w:rFonts w:ascii="Source Sans Pro" w:hAnsi="Source Sans Pro"/>
        </w:rPr>
        <w:t xml:space="preserve">, por ello estudiantes </w:t>
      </w:r>
      <w:r w:rsidR="004A1663" w:rsidRPr="003E0B80">
        <w:rPr>
          <w:rFonts w:ascii="Source Sans Pro" w:hAnsi="Source Sans Pro"/>
        </w:rPr>
        <w:t>ajenos al conflicto prefieren permanecer neutrales</w:t>
      </w:r>
      <w:r w:rsidR="004A1663" w:rsidRPr="003E0B80">
        <w:rPr>
          <w:rStyle w:val="FootnoteReference"/>
          <w:rFonts w:ascii="Source Sans Pro" w:hAnsi="Source Sans Pro"/>
        </w:rPr>
        <w:footnoteReference w:id="17"/>
      </w:r>
      <w:r>
        <w:rPr>
          <w:rFonts w:ascii="Source Sans Pro" w:hAnsi="Source Sans Pro"/>
        </w:rPr>
        <w:t xml:space="preserve"> manteniendo la impunidad de los actos.</w:t>
      </w:r>
      <w:r w:rsidR="004A1663" w:rsidRPr="005F165B">
        <w:rPr>
          <w:rFonts w:ascii="Source Sans Pro" w:hAnsi="Source Sans Pro"/>
        </w:rPr>
        <w:t xml:space="preserve"> </w:t>
      </w:r>
    </w:p>
    <w:p w14:paraId="746F5088" w14:textId="59CD275F" w:rsidR="004A1663" w:rsidRPr="005F165B" w:rsidRDefault="003E0B80" w:rsidP="004A1663">
      <w:pPr>
        <w:jc w:val="both"/>
        <w:rPr>
          <w:rFonts w:ascii="Source Sans Pro" w:hAnsi="Source Sans Pro"/>
        </w:rPr>
      </w:pPr>
      <w:r>
        <w:rPr>
          <w:rFonts w:ascii="Source Sans Pro" w:hAnsi="Source Sans Pro"/>
        </w:rPr>
        <w:t>Si bien</w:t>
      </w:r>
      <w:r w:rsidR="004A1663" w:rsidRPr="005F165B">
        <w:rPr>
          <w:rFonts w:ascii="Source Sans Pro" w:hAnsi="Source Sans Pro"/>
        </w:rPr>
        <w:t xml:space="preserve"> la violencia en establecimientos educativos (bullying) </w:t>
      </w:r>
      <w:r>
        <w:rPr>
          <w:rFonts w:ascii="Source Sans Pro" w:hAnsi="Source Sans Pro"/>
        </w:rPr>
        <w:t>tiene</w:t>
      </w:r>
      <w:r w:rsidR="004A1663" w:rsidRPr="005F165B">
        <w:rPr>
          <w:rFonts w:ascii="Source Sans Pro" w:hAnsi="Source Sans Pro"/>
        </w:rPr>
        <w:t xml:space="preserve"> una alta incidencia en general, las personas </w:t>
      </w:r>
      <w:r>
        <w:rPr>
          <w:rFonts w:ascii="Source Sans Pro" w:hAnsi="Source Sans Pro"/>
        </w:rPr>
        <w:t xml:space="preserve">LGBT </w:t>
      </w:r>
      <w:r w:rsidRPr="005F165B">
        <w:rPr>
          <w:rFonts w:ascii="Source Sans Pro" w:hAnsi="Source Sans Pro"/>
        </w:rPr>
        <w:t>tienen</w:t>
      </w:r>
      <w:r w:rsidR="004A1663" w:rsidRPr="005F165B">
        <w:rPr>
          <w:rFonts w:ascii="Source Sans Pro" w:hAnsi="Source Sans Pro"/>
        </w:rPr>
        <w:t xml:space="preserve"> una probabilidad mayor de ser víctimas, por un 68%. Asimismo, a través de una encuesta</w:t>
      </w:r>
      <w:r>
        <w:rPr>
          <w:rFonts w:ascii="Source Sans Pro" w:hAnsi="Source Sans Pro"/>
        </w:rPr>
        <w:t xml:space="preserve"> en Perú</w:t>
      </w:r>
      <w:r w:rsidR="004A1663" w:rsidRPr="005F165B">
        <w:rPr>
          <w:rFonts w:ascii="Source Sans Pro" w:hAnsi="Source Sans Pro"/>
        </w:rPr>
        <w:t>, Promsex concluyó que</w:t>
      </w:r>
    </w:p>
    <w:p w14:paraId="6D715549" w14:textId="0E25AF46" w:rsidR="004A1663" w:rsidRPr="005F165B" w:rsidRDefault="004A1663" w:rsidP="004A1663">
      <w:pPr>
        <w:ind w:left="708"/>
        <w:jc w:val="both"/>
        <w:rPr>
          <w:rFonts w:ascii="Source Sans Pro" w:hAnsi="Source Sans Pro"/>
        </w:rPr>
      </w:pPr>
      <w:r w:rsidRPr="005F165B">
        <w:rPr>
          <w:rFonts w:ascii="Source Sans Pro" w:hAnsi="Source Sans Pro"/>
        </w:rPr>
        <w:t xml:space="preserve"> “7 de cada 10 estudiantes TLGBI se sintieron inseguros en el colegio debido a su orientación sexual y 3 de cada 10 debido a su expresión/ identidad de género, entre otros patrones que dan cuenta de una fuerte victimización de esta población escolar, como que un 72% de estudiantes ha sufrido acoso verbal debido a su orientación sexual y el 58% debido a su expresión de género”</w:t>
      </w:r>
      <w:r w:rsidRPr="005F165B">
        <w:rPr>
          <w:rStyle w:val="FootnoteReference"/>
          <w:rFonts w:ascii="Source Sans Pro" w:hAnsi="Source Sans Pro"/>
        </w:rPr>
        <w:footnoteReference w:id="18"/>
      </w:r>
      <w:r w:rsidRPr="005F165B">
        <w:rPr>
          <w:rFonts w:ascii="Source Sans Pro" w:hAnsi="Source Sans Pro"/>
        </w:rPr>
        <w:t xml:space="preserve"> </w:t>
      </w:r>
    </w:p>
    <w:p w14:paraId="10E4575C" w14:textId="77777777" w:rsidR="004A1663" w:rsidRPr="00F1348E" w:rsidRDefault="004A1663" w:rsidP="00892FDB">
      <w:pPr>
        <w:jc w:val="both"/>
        <w:rPr>
          <w:rFonts w:ascii="Source Sans Pro" w:hAnsi="Source Sans Pro"/>
        </w:rPr>
      </w:pPr>
    </w:p>
    <w:p w14:paraId="14D4002C" w14:textId="1B0517D1" w:rsidR="00AE1279" w:rsidRPr="005F165B" w:rsidRDefault="004A1663" w:rsidP="004A1663">
      <w:pPr>
        <w:jc w:val="both"/>
        <w:rPr>
          <w:rFonts w:ascii="Source Sans Pro" w:hAnsi="Source Sans Pro"/>
        </w:rPr>
      </w:pPr>
      <w:r>
        <w:rPr>
          <w:rFonts w:ascii="Source Sans Pro" w:hAnsi="Source Sans Pro"/>
        </w:rPr>
        <w:t xml:space="preserve">Otra grave afectación </w:t>
      </w:r>
      <w:r w:rsidR="003E0B80">
        <w:rPr>
          <w:rFonts w:ascii="Source Sans Pro" w:hAnsi="Source Sans Pro"/>
        </w:rPr>
        <w:t xml:space="preserve">a la salud proviene </w:t>
      </w:r>
      <w:r>
        <w:rPr>
          <w:rFonts w:ascii="Source Sans Pro" w:hAnsi="Source Sans Pro"/>
        </w:rPr>
        <w:t>de</w:t>
      </w:r>
      <w:r w:rsidR="009C2167" w:rsidRPr="00F1348E">
        <w:rPr>
          <w:rFonts w:ascii="Source Sans Pro" w:hAnsi="Source Sans Pro"/>
        </w:rPr>
        <w:t xml:space="preserve"> las</w:t>
      </w:r>
      <w:r>
        <w:rPr>
          <w:rFonts w:ascii="Source Sans Pro" w:hAnsi="Source Sans Pro"/>
        </w:rPr>
        <w:t xml:space="preserve"> mal</w:t>
      </w:r>
      <w:r w:rsidR="009C2167" w:rsidRPr="00F1348E">
        <w:rPr>
          <w:rFonts w:ascii="Source Sans Pro" w:hAnsi="Source Sans Pro"/>
        </w:rPr>
        <w:t xml:space="preserve"> llamadas</w:t>
      </w:r>
      <w:r w:rsidR="00B468E7" w:rsidRPr="00F1348E">
        <w:rPr>
          <w:rFonts w:ascii="Source Sans Pro" w:hAnsi="Source Sans Pro"/>
        </w:rPr>
        <w:t xml:space="preserve"> </w:t>
      </w:r>
      <w:r w:rsidR="00B468E7" w:rsidRPr="00F1348E">
        <w:rPr>
          <w:rFonts w:ascii="Source Sans Pro" w:hAnsi="Source Sans Pro"/>
          <w:b/>
          <w:bCs/>
        </w:rPr>
        <w:t>Terapias de conversión</w:t>
      </w:r>
      <w:r w:rsidR="001067BF" w:rsidRPr="00F1348E">
        <w:rPr>
          <w:rFonts w:ascii="Source Sans Pro" w:hAnsi="Source Sans Pro"/>
        </w:rPr>
        <w:t xml:space="preserve">, </w:t>
      </w:r>
      <w:r w:rsidR="0006780C" w:rsidRPr="00F1348E">
        <w:rPr>
          <w:rFonts w:ascii="Source Sans Pro" w:hAnsi="Source Sans Pro"/>
        </w:rPr>
        <w:t xml:space="preserve">que son intervenciones realizadas normalmente por grupos fundamentalistas </w:t>
      </w:r>
      <w:r w:rsidR="00171BEF" w:rsidRPr="00F1348E">
        <w:rPr>
          <w:rFonts w:ascii="Source Sans Pro" w:hAnsi="Source Sans Pro"/>
        </w:rPr>
        <w:t xml:space="preserve">religiosos y centros de salud mental tanto públicos como privados </w:t>
      </w:r>
      <w:r w:rsidR="000B31F5" w:rsidRPr="00F1348E">
        <w:rPr>
          <w:rFonts w:ascii="Source Sans Pro" w:hAnsi="Source Sans Pro"/>
        </w:rPr>
        <w:t xml:space="preserve">que se basan en la idea médicamente falsa de que </w:t>
      </w:r>
      <w:r w:rsidR="004728B0" w:rsidRPr="00F1348E">
        <w:rPr>
          <w:rFonts w:ascii="Source Sans Pro" w:hAnsi="Source Sans Pro"/>
        </w:rPr>
        <w:t xml:space="preserve">las personas </w:t>
      </w:r>
      <w:r w:rsidR="000B31F5" w:rsidRPr="00F1348E">
        <w:rPr>
          <w:rFonts w:ascii="Source Sans Pro" w:hAnsi="Source Sans Pro"/>
        </w:rPr>
        <w:t xml:space="preserve">LGBT </w:t>
      </w:r>
      <w:r w:rsidR="00AF7C07" w:rsidRPr="00F1348E">
        <w:rPr>
          <w:rFonts w:ascii="Source Sans Pro" w:hAnsi="Source Sans Pro"/>
        </w:rPr>
        <w:t>están enfermas</w:t>
      </w:r>
      <w:r w:rsidR="004728B0" w:rsidRPr="00F1348E">
        <w:rPr>
          <w:rFonts w:ascii="Source Sans Pro" w:hAnsi="Source Sans Pro"/>
        </w:rPr>
        <w:t xml:space="preserve"> y deben ser </w:t>
      </w:r>
      <w:r w:rsidR="00CC31F4" w:rsidRPr="00F1348E">
        <w:rPr>
          <w:rFonts w:ascii="Source Sans Pro" w:hAnsi="Source Sans Pro"/>
        </w:rPr>
        <w:t xml:space="preserve">curadas para </w:t>
      </w:r>
      <w:r w:rsidR="00A7697C" w:rsidRPr="00F1348E">
        <w:rPr>
          <w:rFonts w:ascii="Source Sans Pro" w:hAnsi="Source Sans Pro"/>
        </w:rPr>
        <w:t>“convertirse” en heterosexuales o cisgénero</w:t>
      </w:r>
      <w:r w:rsidR="006441B9" w:rsidRPr="00F1348E">
        <w:rPr>
          <w:rStyle w:val="FootnoteReference"/>
          <w:rFonts w:ascii="Source Sans Pro" w:hAnsi="Source Sans Pro"/>
        </w:rPr>
        <w:footnoteReference w:id="19"/>
      </w:r>
      <w:r w:rsidR="00A7697C" w:rsidRPr="00F1348E">
        <w:rPr>
          <w:rFonts w:ascii="Source Sans Pro" w:hAnsi="Source Sans Pro"/>
        </w:rPr>
        <w:t xml:space="preserve">. </w:t>
      </w:r>
      <w:r w:rsidR="006441B9" w:rsidRPr="00F1348E">
        <w:rPr>
          <w:rFonts w:ascii="Source Sans Pro" w:hAnsi="Source Sans Pro"/>
        </w:rPr>
        <w:t xml:space="preserve">En estos centros, </w:t>
      </w:r>
      <w:r>
        <w:rPr>
          <w:rFonts w:ascii="Source Sans Pro" w:hAnsi="Source Sans Pro"/>
        </w:rPr>
        <w:t>por lo general</w:t>
      </w:r>
      <w:r w:rsidR="006441B9" w:rsidRPr="00F1348E">
        <w:rPr>
          <w:rFonts w:ascii="Source Sans Pro" w:hAnsi="Source Sans Pro"/>
        </w:rPr>
        <w:t xml:space="preserve"> clandestinos, </w:t>
      </w:r>
      <w:r>
        <w:rPr>
          <w:rFonts w:ascii="Source Sans Pro" w:hAnsi="Source Sans Pro"/>
        </w:rPr>
        <w:t xml:space="preserve">se </w:t>
      </w:r>
      <w:r w:rsidR="002E12DC" w:rsidRPr="00F1348E">
        <w:rPr>
          <w:rFonts w:ascii="Source Sans Pro" w:hAnsi="Source Sans Pro"/>
        </w:rPr>
        <w:t xml:space="preserve">inflige dolor, sufrimiento severo y </w:t>
      </w:r>
      <w:r>
        <w:rPr>
          <w:rFonts w:ascii="Source Sans Pro" w:hAnsi="Source Sans Pro"/>
        </w:rPr>
        <w:t>acto</w:t>
      </w:r>
      <w:r w:rsidR="002E12DC" w:rsidRPr="00F1348E">
        <w:rPr>
          <w:rFonts w:ascii="Source Sans Pro" w:hAnsi="Source Sans Pro"/>
        </w:rPr>
        <w:t xml:space="preserve">s de tortura que </w:t>
      </w:r>
      <w:r w:rsidR="006576AA" w:rsidRPr="00F1348E">
        <w:rPr>
          <w:rFonts w:ascii="Source Sans Pro" w:hAnsi="Source Sans Pro"/>
        </w:rPr>
        <w:t>resultan en daños psicológicos y físicos de larga duración</w:t>
      </w:r>
      <w:r>
        <w:rPr>
          <w:rFonts w:ascii="Source Sans Pro" w:hAnsi="Source Sans Pro"/>
        </w:rPr>
        <w:t xml:space="preserve"> para personas LGBTI</w:t>
      </w:r>
      <w:r w:rsidR="006576AA" w:rsidRPr="00F1348E">
        <w:rPr>
          <w:rFonts w:ascii="Source Sans Pro" w:hAnsi="Source Sans Pro"/>
        </w:rPr>
        <w:t>.</w:t>
      </w:r>
    </w:p>
    <w:p w14:paraId="1F562361" w14:textId="288A344E" w:rsidR="00EA531C" w:rsidRPr="005F165B" w:rsidRDefault="003E0B80" w:rsidP="009C3525">
      <w:pPr>
        <w:jc w:val="both"/>
        <w:rPr>
          <w:rFonts w:ascii="Source Sans Pro" w:hAnsi="Source Sans Pro"/>
          <w:color w:val="000000" w:themeColor="text1"/>
          <w:lang w:val="es-419"/>
        </w:rPr>
      </w:pPr>
      <w:r>
        <w:rPr>
          <w:rFonts w:ascii="Source Sans Pro" w:hAnsi="Source Sans Pro"/>
          <w:color w:val="000000" w:themeColor="text1"/>
        </w:rPr>
        <w:t xml:space="preserve">Cabe señalar que estas formas de violencia afectan en mayor medida a las personas trans. En </w:t>
      </w:r>
      <w:r w:rsidRPr="003E0B80">
        <w:rPr>
          <w:rFonts w:ascii="Source Sans Pro" w:hAnsi="Source Sans Pro"/>
          <w:b/>
          <w:bCs/>
          <w:color w:val="000000" w:themeColor="text1"/>
        </w:rPr>
        <w:t>Colombia</w:t>
      </w:r>
      <w:r w:rsidR="00095395" w:rsidRPr="005F165B">
        <w:rPr>
          <w:rFonts w:ascii="Source Sans Pro" w:hAnsi="Source Sans Pro"/>
          <w:color w:val="000000" w:themeColor="text1"/>
        </w:rPr>
        <w:t xml:space="preserve"> </w:t>
      </w:r>
      <w:r w:rsidRPr="003E0B80">
        <w:rPr>
          <w:rFonts w:ascii="Source Sans Pro" w:hAnsi="Source Sans Pro"/>
          <w:color w:val="000000" w:themeColor="text1"/>
        </w:rPr>
        <w:t xml:space="preserve">el </w:t>
      </w:r>
      <w:r w:rsidRPr="00A15F9F">
        <w:rPr>
          <w:rFonts w:ascii="Source Sans Pro" w:hAnsi="Source Sans Pro"/>
          <w:b/>
          <w:bCs/>
          <w:color w:val="000000" w:themeColor="text1"/>
        </w:rPr>
        <w:t>Grupo de Apoyo y Acción a Personas Trans</w:t>
      </w:r>
      <w:r w:rsidRPr="003E0B80">
        <w:rPr>
          <w:rFonts w:ascii="Source Sans Pro" w:hAnsi="Source Sans Pro"/>
          <w:color w:val="000000" w:themeColor="text1"/>
        </w:rPr>
        <w:t xml:space="preserve"> </w:t>
      </w:r>
      <w:r>
        <w:rPr>
          <w:rFonts w:ascii="Source Sans Pro" w:hAnsi="Source Sans Pro"/>
          <w:color w:val="000000" w:themeColor="text1"/>
        </w:rPr>
        <w:t>(</w:t>
      </w:r>
      <w:r w:rsidR="00095395" w:rsidRPr="005F165B">
        <w:rPr>
          <w:rFonts w:ascii="Source Sans Pro" w:hAnsi="Source Sans Pro"/>
          <w:b/>
          <w:bCs/>
          <w:color w:val="000000" w:themeColor="text1"/>
        </w:rPr>
        <w:t>GAAT</w:t>
      </w:r>
      <w:r>
        <w:rPr>
          <w:rFonts w:ascii="Source Sans Pro" w:hAnsi="Source Sans Pro"/>
          <w:b/>
          <w:bCs/>
          <w:color w:val="000000" w:themeColor="text1"/>
        </w:rPr>
        <w:t>)</w:t>
      </w:r>
      <w:r w:rsidR="00095395" w:rsidRPr="005F165B">
        <w:rPr>
          <w:rFonts w:ascii="Source Sans Pro" w:hAnsi="Source Sans Pro"/>
          <w:b/>
          <w:bCs/>
          <w:color w:val="000000" w:themeColor="text1"/>
        </w:rPr>
        <w:t xml:space="preserve"> </w:t>
      </w:r>
      <w:r w:rsidR="00835969" w:rsidRPr="005F165B">
        <w:rPr>
          <w:rFonts w:ascii="Source Sans Pro" w:hAnsi="Source Sans Pro"/>
          <w:color w:val="000000" w:themeColor="text1"/>
        </w:rPr>
        <w:t xml:space="preserve">a través de </w:t>
      </w:r>
      <w:r>
        <w:rPr>
          <w:rFonts w:ascii="Source Sans Pro" w:hAnsi="Source Sans Pro"/>
          <w:color w:val="000000" w:themeColor="text1"/>
        </w:rPr>
        <w:t>una</w:t>
      </w:r>
      <w:r w:rsidR="00835969" w:rsidRPr="005F165B">
        <w:rPr>
          <w:rFonts w:ascii="Source Sans Pro" w:hAnsi="Source Sans Pro"/>
          <w:color w:val="000000" w:themeColor="text1"/>
        </w:rPr>
        <w:t xml:space="preserve"> </w:t>
      </w:r>
      <w:r w:rsidR="00835969" w:rsidRPr="005F165B">
        <w:rPr>
          <w:rFonts w:ascii="Source Sans Pro" w:hAnsi="Source Sans Pro"/>
          <w:color w:val="000000" w:themeColor="text1"/>
          <w:lang w:val="es-419"/>
        </w:rPr>
        <w:t xml:space="preserve">Encuesta en salud </w:t>
      </w:r>
      <w:r>
        <w:rPr>
          <w:rFonts w:ascii="Source Sans Pro" w:hAnsi="Source Sans Pro"/>
          <w:color w:val="000000" w:themeColor="text1"/>
          <w:lang w:val="es-419"/>
        </w:rPr>
        <w:t>dirigida a</w:t>
      </w:r>
      <w:r w:rsidR="00835969" w:rsidRPr="005F165B">
        <w:rPr>
          <w:rFonts w:ascii="Source Sans Pro" w:hAnsi="Source Sans Pro"/>
          <w:color w:val="000000" w:themeColor="text1"/>
          <w:lang w:val="es-419"/>
        </w:rPr>
        <w:t xml:space="preserve"> personas con experiencias de vida </w:t>
      </w:r>
      <w:r w:rsidR="00A15F9F">
        <w:rPr>
          <w:rFonts w:ascii="Source Sans Pro" w:hAnsi="Source Sans Pro"/>
          <w:color w:val="000000" w:themeColor="text1"/>
          <w:lang w:val="es-419"/>
        </w:rPr>
        <w:t>t</w:t>
      </w:r>
      <w:r w:rsidR="00835969" w:rsidRPr="005F165B">
        <w:rPr>
          <w:rFonts w:ascii="Source Sans Pro" w:hAnsi="Source Sans Pro"/>
          <w:color w:val="000000" w:themeColor="text1"/>
          <w:lang w:val="es-419"/>
        </w:rPr>
        <w:t>rans colombianas y migrantes</w:t>
      </w:r>
      <w:r w:rsidR="00A15F9F">
        <w:rPr>
          <w:rFonts w:ascii="Source Sans Pro" w:hAnsi="Source Sans Pro"/>
          <w:color w:val="000000" w:themeColor="text1"/>
          <w:lang w:val="es-419"/>
        </w:rPr>
        <w:t>,</w:t>
      </w:r>
      <w:r w:rsidR="00E273DE" w:rsidRPr="005F165B">
        <w:rPr>
          <w:rFonts w:ascii="Source Sans Pro" w:hAnsi="Source Sans Pro"/>
          <w:color w:val="000000" w:themeColor="text1"/>
          <w:lang w:val="es-419"/>
        </w:rPr>
        <w:t xml:space="preserve"> realizada en 2021,</w:t>
      </w:r>
      <w:r w:rsidR="00A80C35" w:rsidRPr="005F165B">
        <w:rPr>
          <w:rFonts w:ascii="Source Sans Pro" w:hAnsi="Source Sans Pro"/>
          <w:color w:val="000000" w:themeColor="text1"/>
          <w:lang w:val="es-419"/>
        </w:rPr>
        <w:t xml:space="preserve"> demuestran la siguiente situación: </w:t>
      </w:r>
    </w:p>
    <w:p w14:paraId="0118B992" w14:textId="0EADD5BB" w:rsidR="00482D6E" w:rsidRPr="005F165B" w:rsidRDefault="00482D6E" w:rsidP="00482D6E">
      <w:pPr>
        <w:jc w:val="both"/>
        <w:rPr>
          <w:rFonts w:ascii="Source Sans Pro" w:hAnsi="Source Sans Pro"/>
          <w:color w:val="000000" w:themeColor="text1"/>
        </w:rPr>
      </w:pPr>
      <w:r w:rsidRPr="005F165B">
        <w:rPr>
          <w:rFonts w:ascii="Source Sans Pro" w:hAnsi="Source Sans Pro"/>
          <w:color w:val="000000" w:themeColor="text1"/>
          <w:lang w:val="es-419"/>
        </w:rPr>
        <w:t>El</w:t>
      </w:r>
      <w:r w:rsidRPr="005F165B">
        <w:rPr>
          <w:rFonts w:ascii="Source Sans Pro" w:hAnsi="Source Sans Pro"/>
          <w:color w:val="000000" w:themeColor="text1"/>
        </w:rPr>
        <w:t xml:space="preserve"> </w:t>
      </w:r>
      <w:r w:rsidRPr="005F165B">
        <w:rPr>
          <w:rFonts w:ascii="Source Sans Pro" w:hAnsi="Source Sans Pro"/>
          <w:b/>
          <w:bCs/>
          <w:color w:val="000000" w:themeColor="text1"/>
        </w:rPr>
        <w:t>47,51</w:t>
      </w:r>
      <w:r w:rsidRPr="00A15F9F">
        <w:rPr>
          <w:rFonts w:ascii="Source Sans Pro" w:hAnsi="Source Sans Pro"/>
          <w:b/>
          <w:bCs/>
          <w:color w:val="000000" w:themeColor="text1"/>
        </w:rPr>
        <w:t>% de personas Trans colombianas y migrantes dijo haber sido discriminada en el sistema de salud desde que inició la pandemia</w:t>
      </w:r>
      <w:r w:rsidRPr="005F165B">
        <w:rPr>
          <w:rFonts w:ascii="Source Sans Pro" w:hAnsi="Source Sans Pro"/>
          <w:color w:val="000000" w:themeColor="text1"/>
        </w:rPr>
        <w:t>.</w:t>
      </w:r>
    </w:p>
    <w:p w14:paraId="255677E6" w14:textId="77777777" w:rsidR="00482D6E" w:rsidRPr="005F165B" w:rsidRDefault="00482D6E" w:rsidP="00482D6E">
      <w:pPr>
        <w:pStyle w:val="ListParagraph"/>
        <w:numPr>
          <w:ilvl w:val="0"/>
          <w:numId w:val="35"/>
        </w:numPr>
        <w:jc w:val="both"/>
        <w:rPr>
          <w:rFonts w:ascii="Source Sans Pro" w:hAnsi="Source Sans Pro"/>
          <w:color w:val="000000" w:themeColor="text1"/>
        </w:rPr>
      </w:pPr>
      <w:r w:rsidRPr="005F165B">
        <w:rPr>
          <w:rFonts w:ascii="Source Sans Pro" w:hAnsi="Source Sans Pro"/>
          <w:color w:val="000000" w:themeColor="text1"/>
        </w:rPr>
        <w:t>El 16,80% a razón de su identidad de género.</w:t>
      </w:r>
    </w:p>
    <w:p w14:paraId="593710BE" w14:textId="77777777" w:rsidR="00482D6E" w:rsidRPr="005F165B" w:rsidRDefault="00482D6E" w:rsidP="00482D6E">
      <w:pPr>
        <w:pStyle w:val="ListParagraph"/>
        <w:numPr>
          <w:ilvl w:val="0"/>
          <w:numId w:val="35"/>
        </w:numPr>
        <w:jc w:val="both"/>
        <w:rPr>
          <w:rFonts w:ascii="Source Sans Pro" w:hAnsi="Source Sans Pro"/>
          <w:color w:val="000000" w:themeColor="text1"/>
        </w:rPr>
      </w:pPr>
      <w:r w:rsidRPr="005F165B">
        <w:rPr>
          <w:rFonts w:ascii="Source Sans Pro" w:hAnsi="Source Sans Pro"/>
          <w:color w:val="000000" w:themeColor="text1"/>
        </w:rPr>
        <w:t>El 2,69% a razón de otras condiciones preexistentes de salud (Enfermedades cardiovasculares, respiratorias, neurológicas o infecciosas, cáncer, persona que vive con VIH, usuarios de servicios de salud mental, etc.)</w:t>
      </w:r>
    </w:p>
    <w:p w14:paraId="34C4F7EC" w14:textId="77777777" w:rsidR="00482D6E" w:rsidRPr="005F165B" w:rsidRDefault="00482D6E" w:rsidP="00482D6E">
      <w:pPr>
        <w:pStyle w:val="ListParagraph"/>
        <w:numPr>
          <w:ilvl w:val="0"/>
          <w:numId w:val="35"/>
        </w:numPr>
        <w:jc w:val="both"/>
        <w:rPr>
          <w:rFonts w:ascii="Source Sans Pro" w:hAnsi="Source Sans Pro"/>
          <w:color w:val="000000" w:themeColor="text1"/>
        </w:rPr>
      </w:pPr>
      <w:r w:rsidRPr="005F165B">
        <w:rPr>
          <w:rFonts w:ascii="Source Sans Pro" w:hAnsi="Source Sans Pro"/>
          <w:color w:val="000000" w:themeColor="text1"/>
        </w:rPr>
        <w:t>El 5,18% a razón de su nacionalidad.</w:t>
      </w:r>
    </w:p>
    <w:p w14:paraId="28F2FB68" w14:textId="77777777" w:rsidR="00482D6E" w:rsidRPr="005F165B" w:rsidRDefault="00482D6E" w:rsidP="00482D6E">
      <w:pPr>
        <w:pStyle w:val="ListParagraph"/>
        <w:numPr>
          <w:ilvl w:val="0"/>
          <w:numId w:val="35"/>
        </w:numPr>
        <w:jc w:val="both"/>
        <w:rPr>
          <w:rFonts w:ascii="Source Sans Pro" w:hAnsi="Source Sans Pro"/>
          <w:color w:val="000000" w:themeColor="text1"/>
        </w:rPr>
      </w:pPr>
      <w:r w:rsidRPr="005F165B">
        <w:rPr>
          <w:rFonts w:ascii="Source Sans Pro" w:hAnsi="Source Sans Pro"/>
          <w:color w:val="000000" w:themeColor="text1"/>
        </w:rPr>
        <w:t>El 1,24% a razón de una condición de discapacidad.</w:t>
      </w:r>
    </w:p>
    <w:p w14:paraId="63B8FB30" w14:textId="77777777" w:rsidR="00482D6E" w:rsidRPr="005F165B" w:rsidRDefault="00482D6E" w:rsidP="00482D6E">
      <w:pPr>
        <w:pStyle w:val="ListParagraph"/>
        <w:numPr>
          <w:ilvl w:val="0"/>
          <w:numId w:val="35"/>
        </w:numPr>
        <w:jc w:val="both"/>
        <w:rPr>
          <w:rFonts w:ascii="Source Sans Pro" w:hAnsi="Source Sans Pro"/>
          <w:color w:val="000000" w:themeColor="text1"/>
        </w:rPr>
      </w:pPr>
      <w:r w:rsidRPr="005F165B">
        <w:rPr>
          <w:rFonts w:ascii="Source Sans Pro" w:hAnsi="Source Sans Pro"/>
          <w:color w:val="000000" w:themeColor="text1"/>
        </w:rPr>
        <w:t>El 0,62% a razón de tener un diagnóstico positivo para covid-19.</w:t>
      </w:r>
    </w:p>
    <w:p w14:paraId="46E04187" w14:textId="31BABB87" w:rsidR="00A80C35" w:rsidRPr="005F165B" w:rsidRDefault="00482D6E" w:rsidP="00482D6E">
      <w:pPr>
        <w:pStyle w:val="ListParagraph"/>
        <w:numPr>
          <w:ilvl w:val="0"/>
          <w:numId w:val="35"/>
        </w:numPr>
        <w:jc w:val="both"/>
        <w:rPr>
          <w:rFonts w:ascii="Source Sans Pro" w:hAnsi="Source Sans Pro"/>
          <w:color w:val="000000" w:themeColor="text1"/>
        </w:rPr>
      </w:pPr>
      <w:r w:rsidRPr="005F165B">
        <w:rPr>
          <w:rFonts w:ascii="Source Sans Pro" w:hAnsi="Source Sans Pro"/>
          <w:color w:val="000000" w:themeColor="text1"/>
        </w:rPr>
        <w:t>El 1,03% a razón de ser una persona que trabaja en el sector salud.</w:t>
      </w:r>
    </w:p>
    <w:p w14:paraId="6959C11B" w14:textId="03D9764F" w:rsidR="00C93384" w:rsidRPr="005F165B" w:rsidRDefault="00A15F9F" w:rsidP="009C3525">
      <w:pPr>
        <w:jc w:val="both"/>
        <w:rPr>
          <w:rFonts w:ascii="Source Sans Pro" w:hAnsi="Source Sans Pro"/>
          <w:color w:val="000000" w:themeColor="text1"/>
          <w:lang w:val="es-419"/>
        </w:rPr>
      </w:pPr>
      <w:r>
        <w:rPr>
          <w:rFonts w:ascii="Source Sans Pro" w:hAnsi="Source Sans Pro"/>
          <w:color w:val="000000" w:themeColor="text1"/>
        </w:rPr>
        <w:t>Asimismo,</w:t>
      </w:r>
      <w:r w:rsidR="0029518A" w:rsidRPr="005F165B">
        <w:rPr>
          <w:rFonts w:ascii="Source Sans Pro" w:hAnsi="Source Sans Pro"/>
          <w:color w:val="000000" w:themeColor="text1"/>
        </w:rPr>
        <w:t xml:space="preserve"> recibieron testimonios </w:t>
      </w:r>
      <w:r w:rsidR="00694DB0" w:rsidRPr="005F165B">
        <w:rPr>
          <w:rFonts w:ascii="Source Sans Pro" w:hAnsi="Source Sans Pro"/>
          <w:color w:val="000000" w:themeColor="text1"/>
        </w:rPr>
        <w:t xml:space="preserve">en los que se evidencia que </w:t>
      </w:r>
      <w:r w:rsidR="00694DB0" w:rsidRPr="005F165B">
        <w:rPr>
          <w:rFonts w:ascii="Source Sans Pro" w:hAnsi="Source Sans Pro"/>
          <w:color w:val="000000" w:themeColor="text1"/>
          <w:lang w:val="es-419"/>
        </w:rPr>
        <w:t>el acceso al derecho a la salud de las personas trans se ve obstaculizado por el uso de pronombres equivocados, al ser llamadas con el nombre que aparece en sus documentos de identidad y recibir humillaciones, burlas y malos tratos por parte</w:t>
      </w:r>
      <w:r w:rsidR="003C6D6A" w:rsidRPr="005F165B">
        <w:rPr>
          <w:rFonts w:ascii="Source Sans Pro" w:hAnsi="Source Sans Pro"/>
          <w:color w:val="000000" w:themeColor="text1"/>
          <w:lang w:val="es-419"/>
        </w:rPr>
        <w:t xml:space="preserve"> tanto de los funcionarios como de la población allí presente</w:t>
      </w:r>
      <w:r w:rsidR="0084228F" w:rsidRPr="005F165B">
        <w:rPr>
          <w:rStyle w:val="FootnoteReference"/>
          <w:rFonts w:ascii="Source Sans Pro" w:hAnsi="Source Sans Pro"/>
          <w:color w:val="000000" w:themeColor="text1"/>
          <w:lang w:val="es-419"/>
        </w:rPr>
        <w:footnoteReference w:id="20"/>
      </w:r>
      <w:r w:rsidR="003C6D6A" w:rsidRPr="005F165B">
        <w:rPr>
          <w:rFonts w:ascii="Source Sans Pro" w:hAnsi="Source Sans Pro"/>
          <w:color w:val="000000" w:themeColor="text1"/>
          <w:lang w:val="es-419"/>
        </w:rPr>
        <w:t>.</w:t>
      </w:r>
    </w:p>
    <w:p w14:paraId="70D56FDF" w14:textId="5B18E2AD" w:rsidR="00111E48" w:rsidRPr="005F165B" w:rsidRDefault="00111E48" w:rsidP="00111E48">
      <w:pPr>
        <w:pStyle w:val="ListParagraph"/>
        <w:numPr>
          <w:ilvl w:val="0"/>
          <w:numId w:val="34"/>
        </w:numPr>
        <w:jc w:val="both"/>
        <w:rPr>
          <w:rFonts w:ascii="Source Sans Pro" w:hAnsi="Source Sans Pro"/>
          <w:i/>
          <w:iCs/>
          <w:color w:val="7030A0"/>
        </w:rPr>
      </w:pPr>
      <w:r w:rsidRPr="005F165B">
        <w:rPr>
          <w:rFonts w:ascii="Source Sans Pro" w:hAnsi="Source Sans Pro"/>
          <w:i/>
          <w:iCs/>
          <w:color w:val="7030A0"/>
        </w:rPr>
        <w:t xml:space="preserve">El impacto en la salud </w:t>
      </w:r>
      <w:r w:rsidRPr="00A15F9F">
        <w:rPr>
          <w:rFonts w:ascii="Source Sans Pro" w:hAnsi="Source Sans Pro"/>
          <w:b/>
          <w:bCs/>
          <w:i/>
          <w:iCs/>
          <w:color w:val="7030A0"/>
        </w:rPr>
        <w:t xml:space="preserve">como consecuencia de la violencia y de la </w:t>
      </w:r>
      <w:r w:rsidRPr="005F165B">
        <w:rPr>
          <w:rFonts w:ascii="Source Sans Pro" w:hAnsi="Source Sans Pro"/>
          <w:b/>
          <w:bCs/>
          <w:i/>
          <w:iCs/>
          <w:color w:val="7030A0"/>
        </w:rPr>
        <w:t>criminalización del trabajo sexual, el aborto, el consumo de drogas</w:t>
      </w:r>
      <w:r w:rsidRPr="005F165B">
        <w:rPr>
          <w:rFonts w:ascii="Source Sans Pro" w:hAnsi="Source Sans Pro"/>
          <w:i/>
          <w:iCs/>
          <w:color w:val="7030A0"/>
        </w:rPr>
        <w:t>, etc. </w:t>
      </w:r>
    </w:p>
    <w:p w14:paraId="683C5432" w14:textId="25D24772" w:rsidR="003B0C88" w:rsidRDefault="00010727" w:rsidP="00A15F9F">
      <w:pPr>
        <w:jc w:val="both"/>
        <w:rPr>
          <w:rFonts w:ascii="Source Sans Pro" w:hAnsi="Source Sans Pro"/>
        </w:rPr>
      </w:pPr>
      <w:r w:rsidRPr="005F165B">
        <w:rPr>
          <w:rFonts w:ascii="Source Sans Pro" w:hAnsi="Source Sans Pro"/>
        </w:rPr>
        <w:t xml:space="preserve">La Corte Interamericana de Derechos Humanos </w:t>
      </w:r>
      <w:r w:rsidR="00882D90" w:rsidRPr="005F165B">
        <w:rPr>
          <w:rFonts w:ascii="Source Sans Pro" w:hAnsi="Source Sans Pro"/>
        </w:rPr>
        <w:t>ha afirmado</w:t>
      </w:r>
      <w:r w:rsidR="00A15F9F">
        <w:rPr>
          <w:rFonts w:ascii="Source Sans Pro" w:hAnsi="Source Sans Pro"/>
        </w:rPr>
        <w:t xml:space="preserve"> </w:t>
      </w:r>
      <w:r w:rsidR="00882D90" w:rsidRPr="005F165B">
        <w:rPr>
          <w:rFonts w:ascii="Source Sans Pro" w:hAnsi="Source Sans Pro"/>
        </w:rPr>
        <w:t xml:space="preserve">que el derecho a la salud no solamente implica la ausencia de enfermedades, sino también </w:t>
      </w:r>
      <w:r w:rsidR="00674D36" w:rsidRPr="005F165B">
        <w:rPr>
          <w:rFonts w:ascii="Source Sans Pro" w:hAnsi="Source Sans Pro"/>
        </w:rPr>
        <w:t>un estado completo de bienestar físico, mental y social, derivado de un estilo de vida que permita alcanzar a las personas un balance integral</w:t>
      </w:r>
      <w:r w:rsidR="00A15F9F" w:rsidRPr="005F165B">
        <w:rPr>
          <w:rStyle w:val="FootnoteReference"/>
          <w:rFonts w:ascii="Source Sans Pro" w:hAnsi="Source Sans Pro"/>
        </w:rPr>
        <w:footnoteReference w:id="21"/>
      </w:r>
      <w:r w:rsidR="00674D36" w:rsidRPr="005F165B">
        <w:rPr>
          <w:rFonts w:ascii="Source Sans Pro" w:hAnsi="Source Sans Pro"/>
        </w:rPr>
        <w:t xml:space="preserve">. </w:t>
      </w:r>
      <w:r w:rsidR="0009430E" w:rsidRPr="005F165B">
        <w:rPr>
          <w:rFonts w:ascii="Source Sans Pro" w:hAnsi="Source Sans Pro"/>
        </w:rPr>
        <w:t xml:space="preserve">Teniendo </w:t>
      </w:r>
      <w:r w:rsidR="00067824" w:rsidRPr="005F165B">
        <w:rPr>
          <w:rFonts w:ascii="Source Sans Pro" w:hAnsi="Source Sans Pro"/>
        </w:rPr>
        <w:t xml:space="preserve">presente el contexto </w:t>
      </w:r>
      <w:r w:rsidR="002E5BC4" w:rsidRPr="005F165B">
        <w:rPr>
          <w:rFonts w:ascii="Source Sans Pro" w:hAnsi="Source Sans Pro"/>
        </w:rPr>
        <w:t xml:space="preserve">sociopolítico </w:t>
      </w:r>
      <w:r w:rsidR="00B46206" w:rsidRPr="005F165B">
        <w:rPr>
          <w:rFonts w:ascii="Source Sans Pro" w:hAnsi="Source Sans Pro"/>
        </w:rPr>
        <w:t>de la región</w:t>
      </w:r>
      <w:r w:rsidR="00934EBC" w:rsidRPr="005F165B">
        <w:rPr>
          <w:rFonts w:ascii="Source Sans Pro" w:hAnsi="Source Sans Pro"/>
        </w:rPr>
        <w:t xml:space="preserve"> que se materializa en altas ta</w:t>
      </w:r>
      <w:r w:rsidR="00B34C51" w:rsidRPr="005F165B">
        <w:rPr>
          <w:rFonts w:ascii="Source Sans Pro" w:hAnsi="Source Sans Pro"/>
        </w:rPr>
        <w:t>s</w:t>
      </w:r>
      <w:r w:rsidR="00934EBC" w:rsidRPr="005F165B">
        <w:rPr>
          <w:rFonts w:ascii="Source Sans Pro" w:hAnsi="Source Sans Pro"/>
        </w:rPr>
        <w:t>as de discriminación</w:t>
      </w:r>
      <w:r w:rsidR="009405C1" w:rsidRPr="005F165B">
        <w:rPr>
          <w:rFonts w:ascii="Source Sans Pro" w:hAnsi="Source Sans Pro"/>
        </w:rPr>
        <w:t xml:space="preserve"> y violencia</w:t>
      </w:r>
      <w:r w:rsidR="00A15F9F">
        <w:rPr>
          <w:rFonts w:ascii="Source Sans Pro" w:hAnsi="Source Sans Pro"/>
        </w:rPr>
        <w:t xml:space="preserve"> hacia personas LGBTI</w:t>
      </w:r>
      <w:r w:rsidR="00934EBC" w:rsidRPr="005F165B">
        <w:rPr>
          <w:rFonts w:ascii="Source Sans Pro" w:hAnsi="Source Sans Pro"/>
        </w:rPr>
        <w:t xml:space="preserve">; </w:t>
      </w:r>
      <w:r w:rsidR="00A15F9F">
        <w:rPr>
          <w:rFonts w:ascii="Source Sans Pro" w:hAnsi="Source Sans Pro"/>
        </w:rPr>
        <w:t>su</w:t>
      </w:r>
      <w:r w:rsidR="00934EBC" w:rsidRPr="005F165B">
        <w:rPr>
          <w:rFonts w:ascii="Source Sans Pro" w:hAnsi="Source Sans Pro"/>
        </w:rPr>
        <w:t xml:space="preserve"> salud individual </w:t>
      </w:r>
      <w:r w:rsidR="009405C1" w:rsidRPr="005F165B">
        <w:rPr>
          <w:rFonts w:ascii="Source Sans Pro" w:hAnsi="Source Sans Pro"/>
        </w:rPr>
        <w:t>y la</w:t>
      </w:r>
      <w:r w:rsidR="00605E1B" w:rsidRPr="005F165B">
        <w:rPr>
          <w:rFonts w:ascii="Source Sans Pro" w:hAnsi="Source Sans Pro"/>
        </w:rPr>
        <w:t xml:space="preserve"> salud pública</w:t>
      </w:r>
      <w:r w:rsidR="007143A6" w:rsidRPr="005F165B">
        <w:rPr>
          <w:rStyle w:val="FootnoteReference"/>
          <w:rFonts w:ascii="Source Sans Pro" w:hAnsi="Source Sans Pro"/>
        </w:rPr>
        <w:footnoteReference w:id="22"/>
      </w:r>
      <w:r w:rsidR="007143A6" w:rsidRPr="005F165B">
        <w:rPr>
          <w:rFonts w:ascii="Source Sans Pro" w:hAnsi="Source Sans Pro"/>
        </w:rPr>
        <w:t xml:space="preserve"> se ve lesionada.</w:t>
      </w:r>
      <w:r w:rsidR="00424A83" w:rsidRPr="005F165B">
        <w:rPr>
          <w:rFonts w:ascii="Source Sans Pro" w:hAnsi="Source Sans Pro"/>
        </w:rPr>
        <w:t xml:space="preserve"> </w:t>
      </w:r>
    </w:p>
    <w:p w14:paraId="071912E3" w14:textId="104CBC0C" w:rsidR="0065737B" w:rsidRDefault="003E7DF8" w:rsidP="00FB6E74">
      <w:pPr>
        <w:pStyle w:val="ListParagraph"/>
        <w:numPr>
          <w:ilvl w:val="0"/>
          <w:numId w:val="42"/>
        </w:numPr>
        <w:ind w:left="426" w:hanging="426"/>
        <w:jc w:val="both"/>
        <w:rPr>
          <w:rFonts w:ascii="Source Sans Pro" w:hAnsi="Source Sans Pro"/>
          <w:color w:val="000000" w:themeColor="text1"/>
        </w:rPr>
      </w:pPr>
      <w:r w:rsidRPr="00A15F9F">
        <w:rPr>
          <w:rFonts w:ascii="Source Sans Pro" w:hAnsi="Source Sans Pro"/>
          <w:b/>
          <w:bCs/>
        </w:rPr>
        <w:t xml:space="preserve">VIH/SIDA: </w:t>
      </w:r>
      <w:r w:rsidR="00BF1771" w:rsidRPr="00A15F9F">
        <w:rPr>
          <w:rFonts w:ascii="Source Sans Pro" w:hAnsi="Source Sans Pro"/>
        </w:rPr>
        <w:t>L</w:t>
      </w:r>
      <w:r w:rsidR="001A55CF" w:rsidRPr="00A15F9F">
        <w:rPr>
          <w:rFonts w:ascii="Source Sans Pro" w:hAnsi="Source Sans Pro"/>
        </w:rPr>
        <w:t>a exclusión estructural en la que son forzadas a vivir la mayoría de las personas trans y de género diverso, en particular las mujeres trans, hace que encuentren en el trabajo sexual la única forma de procurarse un sustento</w:t>
      </w:r>
      <w:r w:rsidR="00BF1771" w:rsidRPr="00A15F9F">
        <w:rPr>
          <w:rFonts w:ascii="Source Sans Pro" w:hAnsi="Source Sans Pro"/>
        </w:rPr>
        <w:t xml:space="preserve"> y por ello, </w:t>
      </w:r>
      <w:r w:rsidR="00D0108A" w:rsidRPr="00A15F9F">
        <w:rPr>
          <w:rFonts w:ascii="Source Sans Pro" w:hAnsi="Source Sans Pro"/>
        </w:rPr>
        <w:t xml:space="preserve">se </w:t>
      </w:r>
      <w:r w:rsidR="00FB6E74">
        <w:rPr>
          <w:rFonts w:ascii="Source Sans Pro" w:hAnsi="Source Sans Pro"/>
        </w:rPr>
        <w:t>ven más expuestas</w:t>
      </w:r>
      <w:r w:rsidR="00D0108A" w:rsidRPr="00A15F9F">
        <w:rPr>
          <w:rFonts w:ascii="Source Sans Pro" w:hAnsi="Source Sans Pro"/>
        </w:rPr>
        <w:t xml:space="preserve"> a infecciones de transmisión sexual, sobre todo al VIH</w:t>
      </w:r>
      <w:r w:rsidR="00D0108A" w:rsidRPr="00A15F9F">
        <w:rPr>
          <w:rStyle w:val="FootnoteReference"/>
          <w:rFonts w:ascii="Source Sans Pro" w:hAnsi="Source Sans Pro"/>
        </w:rPr>
        <w:footnoteReference w:id="23"/>
      </w:r>
      <w:r w:rsidR="00D0108A" w:rsidRPr="00A15F9F">
        <w:rPr>
          <w:rFonts w:ascii="Source Sans Pro" w:hAnsi="Source Sans Pro"/>
        </w:rPr>
        <w:t xml:space="preserve">. </w:t>
      </w:r>
      <w:r w:rsidR="0065737B" w:rsidRPr="00A15F9F">
        <w:rPr>
          <w:rFonts w:ascii="Source Sans Pro" w:hAnsi="Source Sans Pro"/>
          <w:color w:val="000000" w:themeColor="text1"/>
        </w:rPr>
        <w:t>La CIDH</w:t>
      </w:r>
      <w:r w:rsidR="0065737B" w:rsidRPr="00A15F9F">
        <w:rPr>
          <w:rStyle w:val="FootnoteReference"/>
          <w:rFonts w:ascii="Source Sans Pro" w:hAnsi="Source Sans Pro"/>
          <w:color w:val="000000" w:themeColor="text1"/>
        </w:rPr>
        <w:footnoteReference w:id="24"/>
      </w:r>
      <w:r w:rsidR="0065737B" w:rsidRPr="00A15F9F">
        <w:rPr>
          <w:rFonts w:ascii="Source Sans Pro" w:hAnsi="Source Sans Pro"/>
          <w:color w:val="000000" w:themeColor="text1"/>
        </w:rPr>
        <w:t xml:space="preserve"> ha recibido mediciones locales que muestran una realidad preocupante. Por ejemplo, en Honduras se ha corroborado una prevalencia de VIH entre mujeres trans del 17.2%</w:t>
      </w:r>
      <w:r w:rsidR="00FB6E74">
        <w:rPr>
          <w:rFonts w:ascii="Source Sans Pro" w:hAnsi="Source Sans Pro"/>
          <w:color w:val="000000" w:themeColor="text1"/>
        </w:rPr>
        <w:t xml:space="preserve">, </w:t>
      </w:r>
      <w:r w:rsidR="0065737B" w:rsidRPr="00A15F9F">
        <w:rPr>
          <w:rFonts w:ascii="Source Sans Pro" w:hAnsi="Source Sans Pro"/>
          <w:color w:val="000000" w:themeColor="text1"/>
        </w:rPr>
        <w:t>en Tegucigalpa del 23.6%, y en Lima, Perú, los datos muestran que el 30% de las mujeres trans vive con VIH</w:t>
      </w:r>
      <w:r w:rsidR="00FB6E74">
        <w:rPr>
          <w:rFonts w:ascii="Source Sans Pro" w:hAnsi="Source Sans Pro"/>
          <w:color w:val="000000" w:themeColor="text1"/>
        </w:rPr>
        <w:t>, lo que agudiza la precariedad en que viven y supone una limitación a su proyecto de vida.</w:t>
      </w:r>
    </w:p>
    <w:p w14:paraId="4B2F7F41" w14:textId="77777777" w:rsidR="00FB6E74" w:rsidRPr="00A15F9F" w:rsidRDefault="00FB6E74" w:rsidP="00FB6E74">
      <w:pPr>
        <w:pStyle w:val="ListParagraph"/>
        <w:ind w:left="426"/>
        <w:jc w:val="both"/>
        <w:rPr>
          <w:rFonts w:ascii="Source Sans Pro" w:hAnsi="Source Sans Pro"/>
          <w:color w:val="000000" w:themeColor="text1"/>
        </w:rPr>
      </w:pPr>
    </w:p>
    <w:p w14:paraId="74A11FC1" w14:textId="7DFFA962" w:rsidR="008E7613" w:rsidRPr="005F165B" w:rsidRDefault="0007737E" w:rsidP="0065737B">
      <w:pPr>
        <w:pStyle w:val="ListParagraph"/>
        <w:ind w:left="360"/>
        <w:jc w:val="both"/>
        <w:rPr>
          <w:rFonts w:ascii="Source Sans Pro" w:hAnsi="Source Sans Pro"/>
          <w:color w:val="000000" w:themeColor="text1"/>
        </w:rPr>
      </w:pPr>
      <w:r w:rsidRPr="00A15F9F">
        <w:rPr>
          <w:rFonts w:ascii="Source Sans Pro" w:hAnsi="Source Sans Pro"/>
          <w:lang w:val="es"/>
        </w:rPr>
        <w:t xml:space="preserve">La discriminación, exclusión, invisibilización y violencia que afrontan </w:t>
      </w:r>
      <w:r w:rsidR="002C4DAC" w:rsidRPr="00A15F9F">
        <w:rPr>
          <w:rFonts w:ascii="Source Sans Pro" w:hAnsi="Source Sans Pro"/>
          <w:lang w:val="es"/>
        </w:rPr>
        <w:t>las personas LGBTI</w:t>
      </w:r>
      <w:r w:rsidR="002C4DAC" w:rsidRPr="005F165B">
        <w:rPr>
          <w:rFonts w:ascii="Source Sans Pro" w:hAnsi="Source Sans Pro"/>
          <w:lang w:val="es"/>
        </w:rPr>
        <w:t xml:space="preserve"> cero positivas,</w:t>
      </w:r>
      <w:r w:rsidRPr="005F165B">
        <w:rPr>
          <w:rFonts w:ascii="Source Sans Pro" w:hAnsi="Source Sans Pro"/>
          <w:lang w:val="es"/>
        </w:rPr>
        <w:t xml:space="preserve"> llega a derivar simultáneamente en negligencia </w:t>
      </w:r>
      <w:r w:rsidR="00FB6E74">
        <w:rPr>
          <w:rFonts w:ascii="Source Sans Pro" w:hAnsi="Source Sans Pro"/>
          <w:lang w:val="es"/>
        </w:rPr>
        <w:t xml:space="preserve">por parte de los Estados que no pueden </w:t>
      </w:r>
      <w:r w:rsidRPr="005F165B">
        <w:rPr>
          <w:rFonts w:ascii="Source Sans Pro" w:hAnsi="Source Sans Pro"/>
          <w:lang w:val="es"/>
        </w:rPr>
        <w:t xml:space="preserve">garantizar el acceso a los servicios de salud y una atención </w:t>
      </w:r>
      <w:r w:rsidR="00FB6E74">
        <w:rPr>
          <w:rFonts w:ascii="Source Sans Pro" w:hAnsi="Source Sans Pro"/>
          <w:lang w:val="es"/>
        </w:rPr>
        <w:t>libre de</w:t>
      </w:r>
      <w:r w:rsidRPr="005F165B">
        <w:rPr>
          <w:rFonts w:ascii="Source Sans Pro" w:hAnsi="Source Sans Pro"/>
          <w:lang w:val="es"/>
        </w:rPr>
        <w:t xml:space="preserve"> prejuicios</w:t>
      </w:r>
      <w:r w:rsidR="00FB6E74">
        <w:rPr>
          <w:rFonts w:ascii="Source Sans Pro" w:hAnsi="Source Sans Pro"/>
          <w:lang w:val="es"/>
        </w:rPr>
        <w:t xml:space="preserve"> sexuales y de género</w:t>
      </w:r>
      <w:r w:rsidR="002C4DAC" w:rsidRPr="005F165B">
        <w:rPr>
          <w:rFonts w:ascii="Source Sans Pro" w:hAnsi="Source Sans Pro"/>
          <w:lang w:val="es"/>
        </w:rPr>
        <w:t xml:space="preserve">. </w:t>
      </w:r>
      <w:r w:rsidR="00023E8F" w:rsidRPr="005F165B">
        <w:rPr>
          <w:rFonts w:ascii="Source Sans Pro" w:hAnsi="Source Sans Pro"/>
          <w:lang w:val="es"/>
        </w:rPr>
        <w:t xml:space="preserve">En las zonas más rurales del continente, </w:t>
      </w:r>
      <w:r w:rsidR="008E7613" w:rsidRPr="005F165B">
        <w:rPr>
          <w:rFonts w:ascii="Source Sans Pro" w:hAnsi="Source Sans Pro"/>
          <w:lang w:val="es"/>
        </w:rPr>
        <w:t xml:space="preserve">estas poblaciones </w:t>
      </w:r>
      <w:r w:rsidR="009B7B00" w:rsidRPr="005F165B">
        <w:rPr>
          <w:rFonts w:ascii="Source Sans Pro" w:hAnsi="Source Sans Pro"/>
          <w:lang w:val="es"/>
        </w:rPr>
        <w:t>son altamente vulneradas al no contar</w:t>
      </w:r>
      <w:r w:rsidR="00687210" w:rsidRPr="005F165B">
        <w:rPr>
          <w:rFonts w:ascii="Source Sans Pro" w:hAnsi="Source Sans Pro"/>
          <w:lang w:val="es"/>
        </w:rPr>
        <w:t xml:space="preserve"> con un centro de salud </w:t>
      </w:r>
      <w:r w:rsidR="00FB6E74">
        <w:rPr>
          <w:rFonts w:ascii="Source Sans Pro" w:hAnsi="Source Sans Pro"/>
          <w:lang w:val="es"/>
        </w:rPr>
        <w:t xml:space="preserve">cercano y menos aún </w:t>
      </w:r>
      <w:r w:rsidR="00687210" w:rsidRPr="005F165B">
        <w:rPr>
          <w:rFonts w:ascii="Source Sans Pro" w:hAnsi="Source Sans Pro"/>
          <w:lang w:val="es"/>
        </w:rPr>
        <w:t>especializado que les brinde</w:t>
      </w:r>
      <w:r w:rsidR="00ED411F" w:rsidRPr="005F165B">
        <w:rPr>
          <w:rFonts w:ascii="Source Sans Pro" w:hAnsi="Source Sans Pro"/>
          <w:lang w:val="es"/>
        </w:rPr>
        <w:t xml:space="preserve">n un tratamiento integral </w:t>
      </w:r>
      <w:r w:rsidR="00FB6E74">
        <w:rPr>
          <w:rFonts w:ascii="Source Sans Pro" w:hAnsi="Source Sans Pro"/>
          <w:lang w:val="es"/>
        </w:rPr>
        <w:t>para garantizarles</w:t>
      </w:r>
      <w:r w:rsidR="00ED411F" w:rsidRPr="005F165B">
        <w:rPr>
          <w:rFonts w:ascii="Source Sans Pro" w:hAnsi="Source Sans Pro"/>
          <w:lang w:val="es"/>
        </w:rPr>
        <w:t xml:space="preserve"> la mejor calidad de vida posible. </w:t>
      </w:r>
      <w:r w:rsidR="00FB6E74">
        <w:rPr>
          <w:rFonts w:ascii="Source Sans Pro" w:hAnsi="Source Sans Pro"/>
          <w:lang w:val="es"/>
        </w:rPr>
        <w:t>Esto afecta particularmente a las personas en situación de pobreza que no pueden acudir a servicios de salud privados o costearse los medicamentos por su cuenta.</w:t>
      </w:r>
    </w:p>
    <w:p w14:paraId="2378C285" w14:textId="1A9B6183" w:rsidR="00447758" w:rsidRPr="0004595C" w:rsidRDefault="00B7065E" w:rsidP="0004595C">
      <w:pPr>
        <w:ind w:left="360"/>
        <w:jc w:val="both"/>
        <w:rPr>
          <w:rFonts w:ascii="Source Sans Pro" w:hAnsi="Source Sans Pro"/>
          <w:color w:val="000000" w:themeColor="text1"/>
        </w:rPr>
      </w:pPr>
      <w:r w:rsidRPr="005F165B">
        <w:rPr>
          <w:rFonts w:ascii="Source Sans Pro" w:hAnsi="Source Sans Pro"/>
          <w:lang w:val="es"/>
        </w:rPr>
        <w:t>En el caso de Colombia, a pesar de que existen normas que</w:t>
      </w:r>
      <w:r w:rsidR="00125499" w:rsidRPr="005F165B">
        <w:rPr>
          <w:rFonts w:ascii="Source Sans Pro" w:hAnsi="Source Sans Pro"/>
          <w:lang w:val="es"/>
        </w:rPr>
        <w:t xml:space="preserve"> garantizan el acceso a un servicio médico de calidad a las víctimas del conflicto armado</w:t>
      </w:r>
      <w:r w:rsidR="008E7613" w:rsidRPr="005F165B">
        <w:rPr>
          <w:rFonts w:ascii="Source Sans Pro" w:hAnsi="Source Sans Pro"/>
          <w:lang w:val="es"/>
        </w:rPr>
        <w:t xml:space="preserve"> en zonas rurales</w:t>
      </w:r>
      <w:r w:rsidR="00125499" w:rsidRPr="005F165B">
        <w:rPr>
          <w:rFonts w:ascii="Source Sans Pro" w:hAnsi="Source Sans Pro"/>
          <w:lang w:val="es"/>
        </w:rPr>
        <w:t xml:space="preserve">, </w:t>
      </w:r>
      <w:r w:rsidR="0040579E" w:rsidRPr="005F165B">
        <w:rPr>
          <w:rFonts w:ascii="Source Sans Pro" w:hAnsi="Source Sans Pro"/>
          <w:lang w:val="es"/>
        </w:rPr>
        <w:t>los prejuicios de los funcionarios públicos encargados de prestar el servicio, no permiten materializar la finalidad de la norma.</w:t>
      </w:r>
      <w:r w:rsidR="00A25ECB" w:rsidRPr="005F165B">
        <w:rPr>
          <w:rStyle w:val="FootnoteReference"/>
          <w:rFonts w:ascii="Source Sans Pro" w:hAnsi="Source Sans Pro"/>
          <w:lang w:val="es"/>
        </w:rPr>
        <w:footnoteReference w:id="25"/>
      </w:r>
      <w:r w:rsidR="00CA14D3" w:rsidRPr="005F165B">
        <w:rPr>
          <w:rFonts w:ascii="Source Sans Pro" w:hAnsi="Source Sans Pro"/>
          <w:lang w:val="es"/>
        </w:rPr>
        <w:t xml:space="preserve"> </w:t>
      </w:r>
      <w:r w:rsidR="00D93134" w:rsidRPr="005F165B">
        <w:rPr>
          <w:rFonts w:ascii="Source Sans Pro" w:hAnsi="Source Sans Pro"/>
          <w:color w:val="000000" w:themeColor="text1"/>
        </w:rPr>
        <w:t xml:space="preserve">Es también importante recalcar que la falta de educación sexual impartida en las instituciones educativas sobre relaciones sexuales no </w:t>
      </w:r>
      <w:r w:rsidR="00FB242C" w:rsidRPr="005F165B">
        <w:rPr>
          <w:rFonts w:ascii="Source Sans Pro" w:hAnsi="Source Sans Pro"/>
          <w:color w:val="000000" w:themeColor="text1"/>
        </w:rPr>
        <w:t>heterocisnormativas</w:t>
      </w:r>
      <w:r w:rsidR="00BF27F3" w:rsidRPr="005F165B">
        <w:rPr>
          <w:rFonts w:ascii="Source Sans Pro" w:hAnsi="Source Sans Pro"/>
          <w:color w:val="000000" w:themeColor="text1"/>
        </w:rPr>
        <w:t xml:space="preserve">, </w:t>
      </w:r>
      <w:r w:rsidR="00367DBA" w:rsidRPr="005F165B">
        <w:rPr>
          <w:rFonts w:ascii="Source Sans Pro" w:hAnsi="Source Sans Pro"/>
          <w:color w:val="000000" w:themeColor="text1"/>
        </w:rPr>
        <w:t xml:space="preserve">tiene como una de sus principales consecuencias que </w:t>
      </w:r>
      <w:r w:rsidR="00F96F1C" w:rsidRPr="005F165B">
        <w:rPr>
          <w:rFonts w:ascii="Source Sans Pro" w:hAnsi="Source Sans Pro"/>
          <w:color w:val="000000" w:themeColor="text1"/>
        </w:rPr>
        <w:t>las ta</w:t>
      </w:r>
      <w:r w:rsidR="00DE3D1A" w:rsidRPr="005F165B">
        <w:rPr>
          <w:rFonts w:ascii="Source Sans Pro" w:hAnsi="Source Sans Pro"/>
          <w:color w:val="000000" w:themeColor="text1"/>
        </w:rPr>
        <w:t>s</w:t>
      </w:r>
      <w:r w:rsidR="00F96F1C" w:rsidRPr="005F165B">
        <w:rPr>
          <w:rFonts w:ascii="Source Sans Pro" w:hAnsi="Source Sans Pro"/>
          <w:color w:val="000000" w:themeColor="text1"/>
        </w:rPr>
        <w:t xml:space="preserve">as mas altas </w:t>
      </w:r>
      <w:r w:rsidR="00DE3D1A" w:rsidRPr="005F165B">
        <w:rPr>
          <w:rFonts w:ascii="Source Sans Pro" w:hAnsi="Source Sans Pro"/>
          <w:color w:val="000000" w:themeColor="text1"/>
        </w:rPr>
        <w:t>de infección de VIH sea en la población de hombres gays y mujeres trans</w:t>
      </w:r>
      <w:r w:rsidR="00DE3D1A" w:rsidRPr="005F165B">
        <w:rPr>
          <w:rStyle w:val="FootnoteReference"/>
          <w:rFonts w:ascii="Source Sans Pro" w:hAnsi="Source Sans Pro"/>
          <w:color w:val="000000" w:themeColor="text1"/>
        </w:rPr>
        <w:footnoteReference w:id="26"/>
      </w:r>
      <w:r w:rsidR="00FB6E74">
        <w:rPr>
          <w:rFonts w:ascii="Source Sans Pro" w:hAnsi="Source Sans Pro"/>
          <w:color w:val="000000" w:themeColor="text1"/>
        </w:rPr>
        <w:t xml:space="preserve">, siendo que además no se brinda información sobre salud sexual y reproductiva </w:t>
      </w:r>
      <w:r w:rsidR="0004595C">
        <w:rPr>
          <w:rFonts w:ascii="Source Sans Pro" w:hAnsi="Source Sans Pro"/>
          <w:color w:val="000000" w:themeColor="text1"/>
        </w:rPr>
        <w:t>útil para personas bisexuales, de género no binario, transmasculinas u hombres trans y personas intersex</w:t>
      </w:r>
      <w:r w:rsidR="00DE3D1A" w:rsidRPr="005F165B">
        <w:rPr>
          <w:rFonts w:ascii="Source Sans Pro" w:hAnsi="Source Sans Pro"/>
          <w:color w:val="000000" w:themeColor="text1"/>
        </w:rPr>
        <w:t xml:space="preserve">. </w:t>
      </w:r>
    </w:p>
    <w:p w14:paraId="40266A42" w14:textId="60960927" w:rsidR="00B24914" w:rsidRPr="005F165B" w:rsidRDefault="00CF2CC2" w:rsidP="00B24914">
      <w:pPr>
        <w:pStyle w:val="ListParagraph"/>
        <w:numPr>
          <w:ilvl w:val="0"/>
          <w:numId w:val="36"/>
        </w:numPr>
        <w:jc w:val="both"/>
        <w:rPr>
          <w:rFonts w:ascii="Source Sans Pro" w:hAnsi="Source Sans Pro"/>
          <w:lang w:val="es"/>
        </w:rPr>
      </w:pPr>
      <w:r w:rsidRPr="005F165B">
        <w:rPr>
          <w:rFonts w:ascii="Source Sans Pro" w:hAnsi="Source Sans Pro"/>
          <w:b/>
          <w:bCs/>
          <w:lang w:val="es"/>
        </w:rPr>
        <w:t>Depresión</w:t>
      </w:r>
      <w:r w:rsidR="00431E1E" w:rsidRPr="005F165B">
        <w:rPr>
          <w:rFonts w:ascii="Source Sans Pro" w:hAnsi="Source Sans Pro"/>
          <w:b/>
          <w:bCs/>
          <w:lang w:val="es"/>
        </w:rPr>
        <w:t xml:space="preserve"> y ansiedad</w:t>
      </w:r>
      <w:r w:rsidR="00431E1E" w:rsidRPr="0004595C">
        <w:rPr>
          <w:rFonts w:ascii="Source Sans Pro" w:hAnsi="Source Sans Pro"/>
          <w:b/>
          <w:bCs/>
          <w:lang w:val="es"/>
        </w:rPr>
        <w:t xml:space="preserve">: </w:t>
      </w:r>
      <w:r w:rsidR="00431E1E" w:rsidRPr="0004595C">
        <w:rPr>
          <w:rFonts w:ascii="Source Sans Pro" w:hAnsi="Source Sans Pro"/>
          <w:lang w:val="es"/>
        </w:rPr>
        <w:t>La exposición al rechazo, la violencia y la discriminación</w:t>
      </w:r>
      <w:r w:rsidR="004A7C1B" w:rsidRPr="0004595C">
        <w:rPr>
          <w:rFonts w:ascii="Source Sans Pro" w:hAnsi="Source Sans Pro"/>
          <w:lang w:val="es"/>
        </w:rPr>
        <w:t xml:space="preserve"> </w:t>
      </w:r>
      <w:r w:rsidR="00264365" w:rsidRPr="0004595C">
        <w:rPr>
          <w:rFonts w:ascii="Source Sans Pro" w:hAnsi="Source Sans Pro"/>
          <w:lang w:val="es"/>
        </w:rPr>
        <w:t>al exteriorizar</w:t>
      </w:r>
      <w:r w:rsidR="004A7C1B" w:rsidRPr="0004595C">
        <w:rPr>
          <w:rFonts w:ascii="Source Sans Pro" w:hAnsi="Source Sans Pro"/>
          <w:lang w:val="es"/>
        </w:rPr>
        <w:t xml:space="preserve"> su identidad de género y orientación sexual</w:t>
      </w:r>
      <w:r w:rsidR="00B551E3" w:rsidRPr="0004595C">
        <w:rPr>
          <w:rFonts w:ascii="Source Sans Pro" w:hAnsi="Source Sans Pro"/>
          <w:lang w:val="es"/>
        </w:rPr>
        <w:t xml:space="preserve">, </w:t>
      </w:r>
      <w:r w:rsidR="00264365" w:rsidRPr="0004595C">
        <w:rPr>
          <w:rFonts w:ascii="Source Sans Pro" w:hAnsi="Source Sans Pro"/>
          <w:lang w:val="es"/>
        </w:rPr>
        <w:t xml:space="preserve">además de la patologización de estas; </w:t>
      </w:r>
      <w:r w:rsidR="00B551E3" w:rsidRPr="0004595C">
        <w:rPr>
          <w:rFonts w:ascii="Source Sans Pro" w:hAnsi="Source Sans Pro"/>
          <w:lang w:val="es"/>
        </w:rPr>
        <w:t xml:space="preserve">desencadena </w:t>
      </w:r>
      <w:r w:rsidR="0004595C">
        <w:rPr>
          <w:rFonts w:ascii="Source Sans Pro" w:hAnsi="Source Sans Pro"/>
          <w:lang w:val="es"/>
        </w:rPr>
        <w:t>para las personas LGBTI</w:t>
      </w:r>
      <w:r w:rsidR="004420D3" w:rsidRPr="0004595C">
        <w:rPr>
          <w:rFonts w:ascii="Source Sans Pro" w:hAnsi="Source Sans Pro"/>
          <w:lang w:val="es"/>
        </w:rPr>
        <w:t xml:space="preserve"> una exclusión </w:t>
      </w:r>
      <w:r w:rsidR="004420D3" w:rsidRPr="0004595C">
        <w:rPr>
          <w:rFonts w:ascii="Source Sans Pro" w:hAnsi="Source Sans Pro"/>
        </w:rPr>
        <w:t>sistemática</w:t>
      </w:r>
      <w:r w:rsidR="009F5D99" w:rsidRPr="0004595C">
        <w:rPr>
          <w:rFonts w:ascii="Source Sans Pro" w:hAnsi="Source Sans Pro"/>
        </w:rPr>
        <w:t xml:space="preserve"> que inicia a </w:t>
      </w:r>
      <w:r w:rsidR="0004595C">
        <w:rPr>
          <w:rFonts w:ascii="Source Sans Pro" w:hAnsi="Source Sans Pro"/>
        </w:rPr>
        <w:t>t</w:t>
      </w:r>
      <w:r w:rsidR="009F5D99" w:rsidRPr="0004595C">
        <w:rPr>
          <w:rFonts w:ascii="Source Sans Pro" w:hAnsi="Source Sans Pro"/>
        </w:rPr>
        <w:t xml:space="preserve">emprana en su seno familiar y </w:t>
      </w:r>
      <w:r w:rsidR="00DD6ECB" w:rsidRPr="0004595C">
        <w:rPr>
          <w:rFonts w:ascii="Source Sans Pro" w:hAnsi="Source Sans Pro"/>
        </w:rPr>
        <w:t xml:space="preserve">sigue reproduciéndose por la sociedad en </w:t>
      </w:r>
      <w:r w:rsidR="00B36F3F" w:rsidRPr="0004595C">
        <w:rPr>
          <w:rFonts w:ascii="Source Sans Pro" w:hAnsi="Source Sans Pro"/>
        </w:rPr>
        <w:t xml:space="preserve">su </w:t>
      </w:r>
      <w:r w:rsidR="00DD6ECB" w:rsidRPr="0004595C">
        <w:rPr>
          <w:rFonts w:ascii="Source Sans Pro" w:hAnsi="Source Sans Pro"/>
        </w:rPr>
        <w:t>conjunto</w:t>
      </w:r>
      <w:r w:rsidR="0004595C">
        <w:rPr>
          <w:rFonts w:ascii="Source Sans Pro" w:hAnsi="Source Sans Pro"/>
        </w:rPr>
        <w:t xml:space="preserve">; lo que </w:t>
      </w:r>
      <w:r w:rsidR="007E4099" w:rsidRPr="0004595C">
        <w:rPr>
          <w:rFonts w:ascii="Source Sans Pro" w:hAnsi="Source Sans Pro"/>
        </w:rPr>
        <w:t>se traduce</w:t>
      </w:r>
      <w:r w:rsidR="0004595C">
        <w:rPr>
          <w:rFonts w:ascii="Source Sans Pro" w:hAnsi="Source Sans Pro"/>
        </w:rPr>
        <w:t xml:space="preserve"> </w:t>
      </w:r>
      <w:r w:rsidR="0004595C">
        <w:rPr>
          <w:rFonts w:ascii="Source Sans Pro" w:hAnsi="Source Sans Pro"/>
          <w:lang w:val="es"/>
        </w:rPr>
        <w:t>en serias</w:t>
      </w:r>
      <w:r w:rsidR="0068069C" w:rsidRPr="0004595C">
        <w:rPr>
          <w:rFonts w:ascii="Source Sans Pro" w:hAnsi="Source Sans Pro"/>
          <w:lang w:val="es"/>
        </w:rPr>
        <w:t xml:space="preserve"> </w:t>
      </w:r>
      <w:r w:rsidR="0068069C" w:rsidRPr="0004595C">
        <w:rPr>
          <w:rFonts w:ascii="Source Sans Pro" w:hAnsi="Source Sans Pro"/>
        </w:rPr>
        <w:t>afectaciones a su integridad psicológica</w:t>
      </w:r>
      <w:r w:rsidR="007E4099" w:rsidRPr="0004595C">
        <w:rPr>
          <w:rFonts w:ascii="Source Sans Pro" w:hAnsi="Source Sans Pro"/>
        </w:rPr>
        <w:t xml:space="preserve"> y</w:t>
      </w:r>
      <w:r w:rsidR="0004595C">
        <w:rPr>
          <w:rFonts w:ascii="Source Sans Pro" w:hAnsi="Source Sans Pro"/>
        </w:rPr>
        <w:t xml:space="preserve"> salud</w:t>
      </w:r>
      <w:r w:rsidR="007E4099" w:rsidRPr="0004595C">
        <w:rPr>
          <w:rFonts w:ascii="Source Sans Pro" w:hAnsi="Source Sans Pro"/>
        </w:rPr>
        <w:t xml:space="preserve"> mental</w:t>
      </w:r>
      <w:r w:rsidR="0004595C" w:rsidRPr="0004595C">
        <w:rPr>
          <w:rStyle w:val="FootnoteReference"/>
          <w:rFonts w:ascii="Source Sans Pro" w:hAnsi="Source Sans Pro"/>
          <w:lang w:val="es"/>
        </w:rPr>
        <w:footnoteReference w:id="27"/>
      </w:r>
      <w:r w:rsidR="007E4099" w:rsidRPr="0004595C">
        <w:rPr>
          <w:rFonts w:ascii="Source Sans Pro" w:hAnsi="Source Sans Pro"/>
        </w:rPr>
        <w:t xml:space="preserve"> como lo son</w:t>
      </w:r>
      <w:r w:rsidR="007E4099" w:rsidRPr="005F165B">
        <w:rPr>
          <w:rFonts w:ascii="Source Sans Pro" w:hAnsi="Source Sans Pro"/>
        </w:rPr>
        <w:t xml:space="preserve"> los altos niveles de estrés</w:t>
      </w:r>
      <w:r w:rsidR="0004595C">
        <w:rPr>
          <w:rFonts w:ascii="Source Sans Pro" w:hAnsi="Source Sans Pro"/>
        </w:rPr>
        <w:t>, depresión, pensamientos suicida, intentos de suicidio</w:t>
      </w:r>
      <w:r w:rsidR="00B24914" w:rsidRPr="005F165B">
        <w:rPr>
          <w:rFonts w:ascii="Source Sans Pro" w:hAnsi="Source Sans Pro"/>
        </w:rPr>
        <w:t xml:space="preserve"> y el sentimiento de abandono</w:t>
      </w:r>
      <w:r w:rsidR="00B24914" w:rsidRPr="005F165B">
        <w:rPr>
          <w:rStyle w:val="FootnoteReference"/>
          <w:rFonts w:ascii="Source Sans Pro" w:hAnsi="Source Sans Pro"/>
        </w:rPr>
        <w:footnoteReference w:id="28"/>
      </w:r>
      <w:r w:rsidR="00B24914" w:rsidRPr="005F165B">
        <w:rPr>
          <w:rFonts w:ascii="Source Sans Pro" w:hAnsi="Source Sans Pro"/>
        </w:rPr>
        <w:t xml:space="preserve">. </w:t>
      </w:r>
    </w:p>
    <w:p w14:paraId="04F6683A" w14:textId="55C7D5EE" w:rsidR="00AD5D74" w:rsidRPr="005F165B" w:rsidRDefault="00AD5D74" w:rsidP="00AD5D74">
      <w:pPr>
        <w:pStyle w:val="ListParagraph"/>
        <w:numPr>
          <w:ilvl w:val="0"/>
          <w:numId w:val="36"/>
        </w:numPr>
        <w:jc w:val="both"/>
        <w:rPr>
          <w:rFonts w:ascii="Source Sans Pro" w:hAnsi="Source Sans Pro"/>
        </w:rPr>
      </w:pPr>
      <w:r w:rsidRPr="005F165B">
        <w:rPr>
          <w:rFonts w:ascii="Source Sans Pro" w:hAnsi="Source Sans Pro"/>
          <w:b/>
          <w:bCs/>
        </w:rPr>
        <w:t xml:space="preserve">Muerte prematura: </w:t>
      </w:r>
      <w:r w:rsidRPr="005F165B">
        <w:rPr>
          <w:rFonts w:ascii="Source Sans Pro" w:hAnsi="Source Sans Pro"/>
        </w:rPr>
        <w:t xml:space="preserve">Los graves casos de discriminación y violencia que se presentan en gran parte del continente americano, especialmente </w:t>
      </w:r>
      <w:r w:rsidR="00B42358" w:rsidRPr="005F165B">
        <w:rPr>
          <w:rFonts w:ascii="Source Sans Pro" w:hAnsi="Source Sans Pro"/>
        </w:rPr>
        <w:t>hacia</w:t>
      </w:r>
      <w:r w:rsidRPr="005F165B">
        <w:rPr>
          <w:rFonts w:ascii="Source Sans Pro" w:hAnsi="Source Sans Pro"/>
        </w:rPr>
        <w:t xml:space="preserve"> la población de </w:t>
      </w:r>
      <w:r w:rsidR="002212A5" w:rsidRPr="005F165B">
        <w:rPr>
          <w:rFonts w:ascii="Source Sans Pro" w:hAnsi="Source Sans Pro"/>
        </w:rPr>
        <w:t xml:space="preserve">las </w:t>
      </w:r>
      <w:r w:rsidRPr="005F165B">
        <w:rPr>
          <w:rFonts w:ascii="Source Sans Pro" w:hAnsi="Source Sans Pro"/>
        </w:rPr>
        <w:t>mujeres trans</w:t>
      </w:r>
      <w:r w:rsidR="00B42358" w:rsidRPr="005F165B">
        <w:rPr>
          <w:rFonts w:ascii="Source Sans Pro" w:hAnsi="Source Sans Pro"/>
        </w:rPr>
        <w:t>, reduce su expectativa de vida a los 35 años</w:t>
      </w:r>
      <w:r w:rsidR="00AE23B8" w:rsidRPr="005F165B">
        <w:rPr>
          <w:rStyle w:val="FootnoteReference"/>
          <w:rFonts w:ascii="Source Sans Pro" w:hAnsi="Source Sans Pro"/>
        </w:rPr>
        <w:footnoteReference w:id="29"/>
      </w:r>
      <w:r w:rsidR="00AE23B8" w:rsidRPr="005F165B">
        <w:rPr>
          <w:rFonts w:ascii="Source Sans Pro" w:hAnsi="Source Sans Pro"/>
        </w:rPr>
        <w:t xml:space="preserve">, según la CIDH. </w:t>
      </w:r>
      <w:r w:rsidR="0004595C">
        <w:rPr>
          <w:rFonts w:ascii="Source Sans Pro" w:hAnsi="Source Sans Pro"/>
        </w:rPr>
        <w:t>Esto demuestra que la violencia y discriminación persistente tiene un impacto directo en el proyecto de vida personal</w:t>
      </w:r>
      <w:r w:rsidR="009A4F17">
        <w:rPr>
          <w:rFonts w:ascii="Source Sans Pro" w:hAnsi="Source Sans Pro"/>
        </w:rPr>
        <w:t xml:space="preserve"> y sus expectativas de desarrollo.</w:t>
      </w:r>
    </w:p>
    <w:p w14:paraId="14FC47CB" w14:textId="58BB6341" w:rsidR="007700BA" w:rsidRPr="005F165B" w:rsidRDefault="005A7CFC" w:rsidP="00F451B8">
      <w:pPr>
        <w:jc w:val="both"/>
        <w:rPr>
          <w:rFonts w:ascii="Source Sans Pro" w:hAnsi="Source Sans Pro"/>
          <w:lang w:val="es"/>
        </w:rPr>
      </w:pPr>
      <w:r w:rsidRPr="005F165B">
        <w:rPr>
          <w:rFonts w:ascii="Source Sans Pro" w:hAnsi="Source Sans Pro"/>
          <w:b/>
          <w:bCs/>
          <w:lang w:val="es"/>
        </w:rPr>
        <w:t xml:space="preserve">Consecuencias de la criminalización del trabajo sexual: </w:t>
      </w:r>
      <w:r w:rsidR="006055A8" w:rsidRPr="005F165B">
        <w:rPr>
          <w:rFonts w:ascii="Source Sans Pro" w:hAnsi="Source Sans Pro"/>
          <w:lang w:val="es"/>
        </w:rPr>
        <w:t xml:space="preserve">La criminalización </w:t>
      </w:r>
      <w:r w:rsidR="00403F8C" w:rsidRPr="005F165B">
        <w:rPr>
          <w:rFonts w:ascii="Source Sans Pro" w:hAnsi="Source Sans Pro"/>
          <w:lang w:val="es"/>
        </w:rPr>
        <w:t>del trabajo sexual</w:t>
      </w:r>
      <w:r w:rsidR="00054CB1" w:rsidRPr="005F165B">
        <w:rPr>
          <w:rFonts w:ascii="Source Sans Pro" w:hAnsi="Source Sans Pro"/>
          <w:lang w:val="es"/>
        </w:rPr>
        <w:t xml:space="preserve"> supone la exposición de quien lo ejer</w:t>
      </w:r>
      <w:r w:rsidR="00E12325" w:rsidRPr="005F165B">
        <w:rPr>
          <w:rFonts w:ascii="Source Sans Pro" w:hAnsi="Source Sans Pro"/>
          <w:lang w:val="es"/>
        </w:rPr>
        <w:t>ce</w:t>
      </w:r>
      <w:r w:rsidR="00054CB1" w:rsidRPr="005F165B">
        <w:rPr>
          <w:rFonts w:ascii="Source Sans Pro" w:hAnsi="Source Sans Pro"/>
          <w:lang w:val="es"/>
        </w:rPr>
        <w:t xml:space="preserve"> a condiciones inseguras y </w:t>
      </w:r>
      <w:r w:rsidR="0096273B" w:rsidRPr="005F165B">
        <w:rPr>
          <w:rFonts w:ascii="Source Sans Pro" w:hAnsi="Source Sans Pro"/>
          <w:lang w:val="es"/>
        </w:rPr>
        <w:t xml:space="preserve">e insalubres, que </w:t>
      </w:r>
      <w:r w:rsidR="00B86215" w:rsidRPr="005F165B">
        <w:rPr>
          <w:rFonts w:ascii="Source Sans Pro" w:hAnsi="Source Sans Pro"/>
          <w:lang w:val="es"/>
        </w:rPr>
        <w:t>les pone en un escenario de total desprotección laboral formal</w:t>
      </w:r>
      <w:r w:rsidR="00E23527" w:rsidRPr="005F165B">
        <w:rPr>
          <w:rFonts w:ascii="Source Sans Pro" w:hAnsi="Source Sans Pro"/>
          <w:lang w:val="es"/>
        </w:rPr>
        <w:t>, en el que no median prestaciones sociales como lo es el acceso al servicio de salud</w:t>
      </w:r>
      <w:r w:rsidR="00357647" w:rsidRPr="005F165B">
        <w:rPr>
          <w:rStyle w:val="FootnoteReference"/>
          <w:rFonts w:ascii="Source Sans Pro" w:hAnsi="Source Sans Pro"/>
          <w:lang w:val="es"/>
        </w:rPr>
        <w:footnoteReference w:id="30"/>
      </w:r>
      <w:r w:rsidR="00C9327F" w:rsidRPr="005F165B">
        <w:rPr>
          <w:rFonts w:ascii="Source Sans Pro" w:hAnsi="Source Sans Pro"/>
          <w:lang w:val="es"/>
        </w:rPr>
        <w:t xml:space="preserve">. </w:t>
      </w:r>
      <w:r w:rsidR="004D011E" w:rsidRPr="005F165B">
        <w:rPr>
          <w:rFonts w:ascii="Source Sans Pro" w:hAnsi="Source Sans Pro"/>
          <w:lang w:val="es"/>
        </w:rPr>
        <w:t>F</w:t>
      </w:r>
      <w:r w:rsidR="00D32A03" w:rsidRPr="005F165B">
        <w:rPr>
          <w:rFonts w:ascii="Source Sans Pro" w:hAnsi="Source Sans Pro"/>
          <w:lang w:val="es"/>
        </w:rPr>
        <w:t>rente a esta situación, aumentan los riesgos de contraer enfermedades de transmisión sexual</w:t>
      </w:r>
      <w:r w:rsidR="00FF767C" w:rsidRPr="005F165B">
        <w:rPr>
          <w:rFonts w:ascii="Source Sans Pro" w:hAnsi="Source Sans Pro"/>
          <w:lang w:val="es"/>
        </w:rPr>
        <w:t xml:space="preserve"> y también la imposibilidad de iniciar un tratamiento medico frente a cualquier enfermedad o lesión. </w:t>
      </w:r>
      <w:r w:rsidR="00FC6CDF">
        <w:rPr>
          <w:rFonts w:ascii="Source Sans Pro" w:hAnsi="Source Sans Pro"/>
          <w:lang w:val="es"/>
        </w:rPr>
        <w:t>A lo cual se suma la exposición a diversas formas de violencia, extorsión y amedrentamiento por parte de clientes y personal policial.</w:t>
      </w:r>
    </w:p>
    <w:p w14:paraId="7F602EAB" w14:textId="288DE13F" w:rsidR="009A4F17" w:rsidRDefault="00FC6CDF" w:rsidP="00F451B8">
      <w:pPr>
        <w:jc w:val="both"/>
        <w:rPr>
          <w:rFonts w:ascii="Source Sans Pro" w:hAnsi="Source Sans Pro"/>
          <w:lang w:val="es"/>
        </w:rPr>
      </w:pPr>
      <w:r>
        <w:rPr>
          <w:rFonts w:ascii="Source Sans Pro" w:hAnsi="Source Sans Pro"/>
          <w:lang w:val="es"/>
        </w:rPr>
        <w:t>P</w:t>
      </w:r>
      <w:r w:rsidR="009A4F17">
        <w:rPr>
          <w:rFonts w:ascii="Source Sans Pro" w:hAnsi="Source Sans Pro"/>
          <w:lang w:val="es"/>
        </w:rPr>
        <w:t>ese a que en varios países la prostitución no se considera un delito</w:t>
      </w:r>
      <w:r w:rsidR="00BF400A" w:rsidRPr="005F165B">
        <w:rPr>
          <w:rFonts w:ascii="Source Sans Pro" w:hAnsi="Source Sans Pro"/>
          <w:lang w:val="es"/>
        </w:rPr>
        <w:t xml:space="preserve">, </w:t>
      </w:r>
      <w:r w:rsidR="00E73C95" w:rsidRPr="005F165B">
        <w:rPr>
          <w:rFonts w:ascii="Source Sans Pro" w:hAnsi="Source Sans Pro"/>
          <w:lang w:val="es"/>
        </w:rPr>
        <w:t xml:space="preserve">las autoridades policiales </w:t>
      </w:r>
      <w:r w:rsidR="009A4F17">
        <w:rPr>
          <w:rFonts w:ascii="Source Sans Pro" w:hAnsi="Source Sans Pro"/>
          <w:lang w:val="es"/>
        </w:rPr>
        <w:t>criminalizan y persiguen a quienes lo ejercen</w:t>
      </w:r>
      <w:r w:rsidR="00FC49C0" w:rsidRPr="005F165B">
        <w:rPr>
          <w:rFonts w:ascii="Source Sans Pro" w:hAnsi="Source Sans Pro"/>
          <w:lang w:val="es"/>
        </w:rPr>
        <w:t>, y, dado el contexto de violencia estatal, esto puede traer como consecuencia</w:t>
      </w:r>
      <w:r w:rsidR="001F34C9" w:rsidRPr="005F165B">
        <w:rPr>
          <w:rFonts w:ascii="Source Sans Pro" w:hAnsi="Source Sans Pro"/>
          <w:lang w:val="es"/>
        </w:rPr>
        <w:t xml:space="preserve"> para les trabajadores sexuales, torturas, lesiones e incluso, la muerte</w:t>
      </w:r>
      <w:r w:rsidR="007700BA" w:rsidRPr="005F165B">
        <w:rPr>
          <w:rFonts w:ascii="Source Sans Pro" w:hAnsi="Source Sans Pro"/>
          <w:lang w:val="es"/>
        </w:rPr>
        <w:t xml:space="preserve">; como sucedió en </w:t>
      </w:r>
      <w:r w:rsidR="009A4F17">
        <w:rPr>
          <w:rFonts w:ascii="Source Sans Pro" w:hAnsi="Source Sans Pro"/>
          <w:lang w:val="es"/>
        </w:rPr>
        <w:t>E</w:t>
      </w:r>
      <w:r w:rsidR="007700BA" w:rsidRPr="005F165B">
        <w:rPr>
          <w:rFonts w:ascii="Source Sans Pro" w:hAnsi="Source Sans Pro"/>
          <w:lang w:val="es"/>
        </w:rPr>
        <w:t>l Salvador cuando 3 policías mataron a golpes a la trabajadora sexual y mujer trans, Camila Díaz</w:t>
      </w:r>
      <w:r w:rsidR="007700BA" w:rsidRPr="005F165B">
        <w:rPr>
          <w:rStyle w:val="FootnoteReference"/>
          <w:rFonts w:ascii="Source Sans Pro" w:hAnsi="Source Sans Pro"/>
          <w:lang w:val="es"/>
        </w:rPr>
        <w:footnoteReference w:id="31"/>
      </w:r>
      <w:r w:rsidR="007700BA" w:rsidRPr="005F165B">
        <w:rPr>
          <w:rFonts w:ascii="Source Sans Pro" w:hAnsi="Source Sans Pro"/>
          <w:lang w:val="es"/>
        </w:rPr>
        <w:t>.</w:t>
      </w:r>
    </w:p>
    <w:p w14:paraId="40066E3D" w14:textId="77777777" w:rsidR="00C4701A" w:rsidRDefault="00FC6CDF" w:rsidP="00FC6CDF">
      <w:pPr>
        <w:jc w:val="both"/>
        <w:rPr>
          <w:rFonts w:ascii="Source Sans Pro" w:hAnsi="Source Sans Pro"/>
          <w:lang w:val="es-419"/>
        </w:rPr>
      </w:pPr>
      <w:r w:rsidRPr="00FC6CDF">
        <w:rPr>
          <w:rFonts w:ascii="Source Sans Pro" w:hAnsi="Source Sans Pro"/>
          <w:lang w:val="es-419"/>
        </w:rPr>
        <w:t xml:space="preserve">En </w:t>
      </w:r>
      <w:r>
        <w:rPr>
          <w:rFonts w:ascii="Source Sans Pro" w:hAnsi="Source Sans Pro"/>
          <w:lang w:val="es-419"/>
        </w:rPr>
        <w:t xml:space="preserve">Perú </w:t>
      </w:r>
      <w:r w:rsidRPr="00FC6CDF">
        <w:rPr>
          <w:rFonts w:ascii="Source Sans Pro" w:hAnsi="Source Sans Pro"/>
          <w:lang w:val="es-419"/>
        </w:rPr>
        <w:t xml:space="preserve">los casos de violencia institucional </w:t>
      </w:r>
      <w:r>
        <w:rPr>
          <w:rFonts w:ascii="Source Sans Pro" w:hAnsi="Source Sans Pro"/>
          <w:lang w:val="es-419"/>
        </w:rPr>
        <w:t>tienen como principales víctimas a</w:t>
      </w:r>
      <w:r w:rsidRPr="00FC6CDF">
        <w:rPr>
          <w:rFonts w:ascii="Source Sans Pro" w:hAnsi="Source Sans Pro"/>
          <w:lang w:val="es-419"/>
        </w:rPr>
        <w:t xml:space="preserve"> mujeres trans trabajadoras</w:t>
      </w:r>
      <w:r>
        <w:rPr>
          <w:rFonts w:ascii="Source Sans Pro" w:hAnsi="Source Sans Pro"/>
          <w:lang w:val="es-419"/>
        </w:rPr>
        <w:t xml:space="preserve"> </w:t>
      </w:r>
      <w:r w:rsidRPr="00FC6CDF">
        <w:rPr>
          <w:rFonts w:ascii="Source Sans Pro" w:hAnsi="Source Sans Pro"/>
          <w:lang w:val="es-419"/>
        </w:rPr>
        <w:t xml:space="preserve">sexuales </w:t>
      </w:r>
      <w:r>
        <w:rPr>
          <w:rFonts w:ascii="Source Sans Pro" w:hAnsi="Source Sans Pro"/>
          <w:lang w:val="es-419"/>
        </w:rPr>
        <w:t>quienes</w:t>
      </w:r>
      <w:r w:rsidRPr="00FC6CDF">
        <w:rPr>
          <w:rFonts w:ascii="Source Sans Pro" w:hAnsi="Source Sans Pro"/>
          <w:lang w:val="es-419"/>
        </w:rPr>
        <w:t xml:space="preserve"> son violentadas por los serenos</w:t>
      </w:r>
      <w:r>
        <w:rPr>
          <w:rFonts w:ascii="Source Sans Pro" w:hAnsi="Source Sans Pro"/>
          <w:lang w:val="es-419"/>
        </w:rPr>
        <w:t xml:space="preserve"> (personal de seguridad de gobiernos locales)</w:t>
      </w:r>
      <w:r w:rsidRPr="00FC6CDF">
        <w:rPr>
          <w:rFonts w:ascii="Source Sans Pro" w:hAnsi="Source Sans Pro"/>
          <w:lang w:val="es-419"/>
        </w:rPr>
        <w:t xml:space="preserve"> y policías, </w:t>
      </w:r>
      <w:r>
        <w:rPr>
          <w:rFonts w:ascii="Source Sans Pro" w:hAnsi="Source Sans Pro"/>
          <w:lang w:val="es-419"/>
        </w:rPr>
        <w:t>por lo que no se registran denuncias ante la</w:t>
      </w:r>
      <w:r w:rsidRPr="00FC6CDF">
        <w:rPr>
          <w:rFonts w:ascii="Source Sans Pro" w:hAnsi="Source Sans Pro"/>
          <w:lang w:val="es-419"/>
        </w:rPr>
        <w:t xml:space="preserve"> policía o fiscalía, ni quejas ante la Defensoría del Pueblo</w:t>
      </w:r>
      <w:r w:rsidRPr="00FC6CDF">
        <w:rPr>
          <w:rFonts w:ascii="Source Sans Pro" w:hAnsi="Source Sans Pro"/>
          <w:vertAlign w:val="superscript"/>
          <w:lang w:val="en-US"/>
        </w:rPr>
        <w:footnoteReference w:id="32"/>
      </w:r>
      <w:r w:rsidRPr="00FC6CDF">
        <w:rPr>
          <w:rFonts w:ascii="Source Sans Pro" w:hAnsi="Source Sans Pro"/>
          <w:lang w:val="es-419"/>
        </w:rPr>
        <w:t>.</w:t>
      </w:r>
      <w:r>
        <w:rPr>
          <w:rFonts w:ascii="Source Sans Pro" w:hAnsi="Source Sans Pro"/>
          <w:lang w:val="es-419"/>
        </w:rPr>
        <w:t xml:space="preserve"> </w:t>
      </w:r>
      <w:r w:rsidRPr="00FC6CDF">
        <w:rPr>
          <w:rFonts w:ascii="Source Sans Pro" w:hAnsi="Source Sans Pro"/>
          <w:lang w:val="es-419"/>
        </w:rPr>
        <w:t>En muchos casos, se evidencian prácticas sistemáticas por parte de los miembros de serenazgo: primero, las suben a los patrulleros, las golpean e insultan. Luego, las trasladan hasta lugares lejanos, desolados y riesgosos; les quitan sus pertenencias, sus prendas de vestir y su dinero. En algunos casos las someten a diversas formas de violencia sexual: violaciones sexuales, desnudo forzado y tocamientos</w:t>
      </w:r>
      <w:r w:rsidRPr="00FC6CDF">
        <w:rPr>
          <w:rFonts w:ascii="Source Sans Pro" w:hAnsi="Source Sans Pro"/>
          <w:vertAlign w:val="superscript"/>
          <w:lang w:val="es-419"/>
        </w:rPr>
        <w:footnoteReference w:id="33"/>
      </w:r>
      <w:r w:rsidRPr="00FC6CDF">
        <w:rPr>
          <w:rFonts w:ascii="Source Sans Pro" w:hAnsi="Source Sans Pro"/>
          <w:lang w:val="es-419"/>
        </w:rPr>
        <w:t>.</w:t>
      </w:r>
      <w:r w:rsidR="001D756E">
        <w:rPr>
          <w:rFonts w:ascii="Source Sans Pro" w:hAnsi="Source Sans Pro"/>
          <w:lang w:val="es-419"/>
        </w:rPr>
        <w:t xml:space="preserve"> </w:t>
      </w:r>
    </w:p>
    <w:p w14:paraId="5C30963C" w14:textId="76589985" w:rsidR="00E90DA7" w:rsidRPr="001D756E" w:rsidRDefault="00FC6CDF" w:rsidP="00FC6CDF">
      <w:pPr>
        <w:jc w:val="both"/>
        <w:rPr>
          <w:rFonts w:ascii="Source Sans Pro" w:hAnsi="Source Sans Pro"/>
          <w:lang w:val="es-419"/>
        </w:rPr>
      </w:pPr>
      <w:r w:rsidRPr="00FC6CDF">
        <w:rPr>
          <w:rFonts w:ascii="Source Sans Pro" w:hAnsi="Source Sans Pro"/>
          <w:lang w:val="en-US"/>
        </w:rPr>
        <w:t xml:space="preserve">Lamentablemente, no solo se trata de una práctica de las fuerzas de seguridad, sino que las mismas cuentan con respaldo institucional. En el año 2017 se denunció que once </w:t>
      </w:r>
      <w:r w:rsidRPr="00FC6CDF">
        <w:rPr>
          <w:rFonts w:ascii="Source Sans Pro" w:hAnsi="Source Sans Pro"/>
          <w:vertAlign w:val="superscript"/>
          <w:lang w:val="en-US"/>
        </w:rPr>
        <w:footnoteReference w:id="34"/>
      </w:r>
      <w:r w:rsidRPr="00FC6CDF">
        <w:rPr>
          <w:rFonts w:ascii="Source Sans Pro" w:hAnsi="Source Sans Pro"/>
          <w:lang w:val="en-US"/>
        </w:rPr>
        <w:t xml:space="preserve"> de cuarenta y cuatro planes distritales de seguridad ciudadana de Lima Metropolitana y sus distritos, incluían reportes estadísticos de acciones de “erradicación de travestis y homosexuales”</w:t>
      </w:r>
      <w:r w:rsidR="0003676D">
        <w:rPr>
          <w:rFonts w:ascii="Source Sans Pro" w:hAnsi="Source Sans Pro"/>
          <w:lang w:val="en-US"/>
        </w:rPr>
        <w:t xml:space="preserve"> y “erradicación de prostitutas”</w:t>
      </w:r>
      <w:r w:rsidRPr="00FC6CDF">
        <w:rPr>
          <w:rFonts w:ascii="Source Sans Pro" w:hAnsi="Source Sans Pro"/>
          <w:vertAlign w:val="superscript"/>
          <w:lang w:val="en-US"/>
        </w:rPr>
        <w:footnoteReference w:id="35"/>
      </w:r>
      <w:r w:rsidR="0003676D">
        <w:rPr>
          <w:rFonts w:ascii="Source Sans Pro" w:hAnsi="Source Sans Pro"/>
          <w:lang w:val="en-US"/>
        </w:rPr>
        <w:t xml:space="preserve">. </w:t>
      </w:r>
      <w:r w:rsidR="001D756E">
        <w:rPr>
          <w:rFonts w:ascii="Source Sans Pro" w:hAnsi="Source Sans Pro"/>
          <w:lang w:val="en-US"/>
        </w:rPr>
        <w:t>Sin embargo, hasta la fecha no se ha investigado ni sancionado a sus responsables pese a que ello fue ordenado por la Corte Interamericana como medida de reparación en el caso de Azul Rojas Marín vs. Perú.</w:t>
      </w:r>
    </w:p>
    <w:p w14:paraId="500D93B8" w14:textId="77777777" w:rsidR="00E409C1" w:rsidRPr="005F165B" w:rsidRDefault="00940E85" w:rsidP="00F451B8">
      <w:pPr>
        <w:jc w:val="both"/>
        <w:rPr>
          <w:rFonts w:ascii="Source Sans Pro" w:hAnsi="Source Sans Pro"/>
          <w:b/>
          <w:bCs/>
          <w:lang w:val="es"/>
        </w:rPr>
      </w:pPr>
      <w:r w:rsidRPr="005F165B">
        <w:rPr>
          <w:rFonts w:ascii="Source Sans Pro" w:hAnsi="Source Sans Pro"/>
          <w:b/>
          <w:bCs/>
          <w:lang w:val="es"/>
        </w:rPr>
        <w:t xml:space="preserve">Consecuencias de la criminalización del aborto: </w:t>
      </w:r>
    </w:p>
    <w:p w14:paraId="4D52C797" w14:textId="37AFB7BC" w:rsidR="00EB14CC" w:rsidRPr="005F165B" w:rsidRDefault="00B40EE9" w:rsidP="00F451B8">
      <w:pPr>
        <w:jc w:val="both"/>
        <w:rPr>
          <w:rFonts w:ascii="Source Sans Pro" w:hAnsi="Source Sans Pro"/>
          <w:lang w:val="es"/>
        </w:rPr>
      </w:pPr>
      <w:r w:rsidRPr="005F165B">
        <w:rPr>
          <w:rFonts w:ascii="Source Sans Pro" w:hAnsi="Source Sans Pro"/>
          <w:lang w:val="es"/>
        </w:rPr>
        <w:t xml:space="preserve">La protección de la vida </w:t>
      </w:r>
      <w:r w:rsidR="00E409C1" w:rsidRPr="005F165B">
        <w:rPr>
          <w:rFonts w:ascii="Source Sans Pro" w:hAnsi="Source Sans Pro"/>
          <w:lang w:val="es"/>
        </w:rPr>
        <w:t>en crecimiento</w:t>
      </w:r>
      <w:r w:rsidR="00C4701A">
        <w:rPr>
          <w:rFonts w:ascii="Source Sans Pro" w:hAnsi="Source Sans Pro"/>
          <w:lang w:val="es"/>
        </w:rPr>
        <w:t xml:space="preserve"> o del concebido</w:t>
      </w:r>
      <w:r w:rsidRPr="005F165B">
        <w:rPr>
          <w:rFonts w:ascii="Source Sans Pro" w:hAnsi="Source Sans Pro"/>
          <w:lang w:val="es"/>
        </w:rPr>
        <w:t xml:space="preserve">, es el discurso con el que varios gobiernos de la región defienden </w:t>
      </w:r>
      <w:r w:rsidR="008B50F2" w:rsidRPr="005F165B">
        <w:rPr>
          <w:rFonts w:ascii="Source Sans Pro" w:hAnsi="Source Sans Pro"/>
          <w:lang w:val="es"/>
        </w:rPr>
        <w:t>la penalización</w:t>
      </w:r>
      <w:r w:rsidR="00C4701A">
        <w:rPr>
          <w:rFonts w:ascii="Source Sans Pro" w:hAnsi="Source Sans Pro"/>
          <w:lang w:val="es"/>
        </w:rPr>
        <w:t>, incluso absoluta,</w:t>
      </w:r>
      <w:r w:rsidR="008B50F2" w:rsidRPr="005F165B">
        <w:rPr>
          <w:rFonts w:ascii="Source Sans Pro" w:hAnsi="Source Sans Pro"/>
          <w:lang w:val="es"/>
        </w:rPr>
        <w:t xml:space="preserve"> del aborto en sus países. Sin embargo, 1 de cada 4 personas que quedan en embarazo deciden abortar</w:t>
      </w:r>
      <w:r w:rsidR="00897D25" w:rsidRPr="005F165B">
        <w:rPr>
          <w:rStyle w:val="FootnoteReference"/>
          <w:rFonts w:ascii="Source Sans Pro" w:hAnsi="Source Sans Pro"/>
          <w:lang w:val="es"/>
        </w:rPr>
        <w:footnoteReference w:id="36"/>
      </w:r>
      <w:r w:rsidR="008B50F2" w:rsidRPr="005F165B">
        <w:rPr>
          <w:rFonts w:ascii="Source Sans Pro" w:hAnsi="Source Sans Pro"/>
          <w:lang w:val="es"/>
        </w:rPr>
        <w:t xml:space="preserve">, sea legal o no. </w:t>
      </w:r>
      <w:r w:rsidR="0000300E" w:rsidRPr="005F165B">
        <w:rPr>
          <w:rFonts w:ascii="Source Sans Pro" w:hAnsi="Source Sans Pro"/>
          <w:lang w:val="es"/>
        </w:rPr>
        <w:t xml:space="preserve">En esa medida, la criminalización </w:t>
      </w:r>
      <w:r w:rsidR="00AF75EF" w:rsidRPr="005F165B">
        <w:rPr>
          <w:rFonts w:ascii="Source Sans Pro" w:hAnsi="Source Sans Pro"/>
          <w:lang w:val="es"/>
        </w:rPr>
        <w:t>lo único que hace es impedir el acceso de este grupo de mujeres, hombres trans</w:t>
      </w:r>
      <w:r w:rsidR="00821BD5" w:rsidRPr="005F165B">
        <w:rPr>
          <w:rFonts w:ascii="Source Sans Pro" w:hAnsi="Source Sans Pro"/>
          <w:lang w:val="es"/>
        </w:rPr>
        <w:t xml:space="preserve">, intersexuales </w:t>
      </w:r>
      <w:r w:rsidR="00AF75EF" w:rsidRPr="005F165B">
        <w:rPr>
          <w:rFonts w:ascii="Source Sans Pro" w:hAnsi="Source Sans Pro"/>
          <w:lang w:val="es"/>
        </w:rPr>
        <w:t>y personas</w:t>
      </w:r>
      <w:r w:rsidR="00C4701A">
        <w:rPr>
          <w:rFonts w:ascii="Source Sans Pro" w:hAnsi="Source Sans Pro"/>
          <w:lang w:val="es"/>
        </w:rPr>
        <w:t xml:space="preserve"> de género</w:t>
      </w:r>
      <w:r w:rsidR="00AF75EF" w:rsidRPr="005F165B">
        <w:rPr>
          <w:rFonts w:ascii="Source Sans Pro" w:hAnsi="Source Sans Pro"/>
          <w:lang w:val="es"/>
        </w:rPr>
        <w:t xml:space="preserve"> no binarias a acceder a un aborto seguro, </w:t>
      </w:r>
      <w:r w:rsidR="0024186F" w:rsidRPr="005F165B">
        <w:rPr>
          <w:rFonts w:ascii="Source Sans Pro" w:hAnsi="Source Sans Pro"/>
          <w:lang w:val="es"/>
        </w:rPr>
        <w:t xml:space="preserve">en el que </w:t>
      </w:r>
      <w:r w:rsidR="00E45065" w:rsidRPr="005F165B">
        <w:rPr>
          <w:rFonts w:ascii="Source Sans Pro" w:hAnsi="Source Sans Pro"/>
          <w:lang w:val="es"/>
        </w:rPr>
        <w:t>las</w:t>
      </w:r>
      <w:r w:rsidR="00C4701A">
        <w:rPr>
          <w:rFonts w:ascii="Source Sans Pro" w:hAnsi="Source Sans Pro"/>
          <w:lang w:val="es"/>
        </w:rPr>
        <w:t xml:space="preserve"> morbilidades</w:t>
      </w:r>
      <w:r w:rsidR="00E45065" w:rsidRPr="005F165B">
        <w:rPr>
          <w:rFonts w:ascii="Source Sans Pro" w:hAnsi="Source Sans Pro"/>
          <w:lang w:val="es"/>
        </w:rPr>
        <w:t xml:space="preserve"> y las muertes son evitables. </w:t>
      </w:r>
    </w:p>
    <w:p w14:paraId="1ACCE125" w14:textId="656E14D2" w:rsidR="001F66AE" w:rsidRPr="005F165B" w:rsidRDefault="001F66AE" w:rsidP="00F451B8">
      <w:pPr>
        <w:jc w:val="both"/>
        <w:rPr>
          <w:rFonts w:ascii="Source Sans Pro" w:hAnsi="Source Sans Pro"/>
          <w:lang w:val="es"/>
        </w:rPr>
      </w:pPr>
      <w:r w:rsidRPr="00C4701A">
        <w:rPr>
          <w:rFonts w:ascii="Source Sans Pro" w:hAnsi="Source Sans Pro"/>
        </w:rPr>
        <w:t xml:space="preserve">La ilegalidad del aborto </w:t>
      </w:r>
      <w:r w:rsidR="00C4701A">
        <w:rPr>
          <w:rFonts w:ascii="Source Sans Pro" w:hAnsi="Source Sans Pro"/>
        </w:rPr>
        <w:t>y el estigma hacia quienes lo hacen genera</w:t>
      </w:r>
      <w:r w:rsidRPr="00C4701A">
        <w:rPr>
          <w:rFonts w:ascii="Source Sans Pro" w:hAnsi="Source Sans Pro"/>
        </w:rPr>
        <w:t xml:space="preserve"> vulnerabilidad, sentimientos de culpa y soledad, temor a la interposición de una acción judicial,</w:t>
      </w:r>
      <w:r w:rsidR="00C4701A">
        <w:rPr>
          <w:rFonts w:ascii="Source Sans Pro" w:hAnsi="Source Sans Pro"/>
        </w:rPr>
        <w:t xml:space="preserve"> temor a buscar apoyo médico,</w:t>
      </w:r>
      <w:r w:rsidRPr="00C4701A">
        <w:rPr>
          <w:rFonts w:ascii="Source Sans Pro" w:hAnsi="Source Sans Pro"/>
        </w:rPr>
        <w:t xml:space="preserve"> daños físicos y psicológicos</w:t>
      </w:r>
      <w:r w:rsidR="00C4701A">
        <w:rPr>
          <w:rFonts w:ascii="Source Sans Pro" w:hAnsi="Source Sans Pro"/>
        </w:rPr>
        <w:t>,</w:t>
      </w:r>
      <w:r w:rsidRPr="00C4701A">
        <w:rPr>
          <w:rFonts w:ascii="Source Sans Pro" w:hAnsi="Source Sans Pro"/>
        </w:rPr>
        <w:t xml:space="preserve"> y ostracismo social. Más aún, la prohibición absoluta del aborto tiene un efecto disuasivo en los prestadores de servicios de salud y pone en peligro la vida y la salud de las personas gestantes</w:t>
      </w:r>
      <w:r w:rsidRPr="00C4701A">
        <w:rPr>
          <w:rStyle w:val="FootnoteReference"/>
          <w:rFonts w:ascii="Source Sans Pro" w:hAnsi="Source Sans Pro"/>
        </w:rPr>
        <w:footnoteReference w:id="37"/>
      </w:r>
      <w:r w:rsidRPr="00C4701A">
        <w:rPr>
          <w:rFonts w:ascii="Source Sans Pro" w:hAnsi="Source Sans Pro"/>
        </w:rPr>
        <w:t>.</w:t>
      </w:r>
      <w:r w:rsidRPr="005F165B">
        <w:rPr>
          <w:rFonts w:ascii="Source Sans Pro" w:hAnsi="Source Sans Pro"/>
        </w:rPr>
        <w:t xml:space="preserve"> </w:t>
      </w:r>
    </w:p>
    <w:p w14:paraId="100C2D62" w14:textId="77777777" w:rsidR="00443302" w:rsidRDefault="00EB14CC" w:rsidP="00F451B8">
      <w:pPr>
        <w:jc w:val="both"/>
        <w:rPr>
          <w:rFonts w:ascii="Source Sans Pro" w:hAnsi="Source Sans Pro"/>
          <w:lang w:val="es"/>
        </w:rPr>
      </w:pPr>
      <w:r w:rsidRPr="005F165B">
        <w:rPr>
          <w:rFonts w:ascii="Source Sans Pro" w:hAnsi="Source Sans Pro"/>
          <w:lang w:val="es"/>
        </w:rPr>
        <w:t>L</w:t>
      </w:r>
      <w:r w:rsidR="007C3B2D" w:rsidRPr="005F165B">
        <w:rPr>
          <w:rFonts w:ascii="Source Sans Pro" w:hAnsi="Source Sans Pro"/>
          <w:lang w:val="es"/>
        </w:rPr>
        <w:t xml:space="preserve">as personas con orientación sexual e identidad de género diversa </w:t>
      </w:r>
      <w:r w:rsidRPr="005F165B">
        <w:rPr>
          <w:rFonts w:ascii="Source Sans Pro" w:hAnsi="Source Sans Pro"/>
          <w:lang w:val="es"/>
        </w:rPr>
        <w:t xml:space="preserve">que se encuentran </w:t>
      </w:r>
      <w:r w:rsidR="00C4701A">
        <w:rPr>
          <w:rFonts w:ascii="Source Sans Pro" w:hAnsi="Source Sans Pro"/>
          <w:lang w:val="es"/>
        </w:rPr>
        <w:t>cursando un</w:t>
      </w:r>
      <w:r w:rsidRPr="005F165B">
        <w:rPr>
          <w:rFonts w:ascii="Source Sans Pro" w:hAnsi="Source Sans Pro"/>
          <w:lang w:val="es"/>
        </w:rPr>
        <w:t xml:space="preserve"> embarazo y buscan interrumpirlo, no solamente se enfrentan </w:t>
      </w:r>
      <w:r w:rsidR="00C75B2C" w:rsidRPr="005F165B">
        <w:rPr>
          <w:rFonts w:ascii="Source Sans Pro" w:hAnsi="Source Sans Pro"/>
          <w:lang w:val="es"/>
        </w:rPr>
        <w:t>a</w:t>
      </w:r>
      <w:r w:rsidR="009F5191" w:rsidRPr="005F165B">
        <w:rPr>
          <w:rFonts w:ascii="Source Sans Pro" w:hAnsi="Source Sans Pro"/>
          <w:lang w:val="es"/>
        </w:rPr>
        <w:t xml:space="preserve"> la falta </w:t>
      </w:r>
      <w:r w:rsidR="00C75B2C" w:rsidRPr="005F165B">
        <w:rPr>
          <w:rFonts w:ascii="Source Sans Pro" w:hAnsi="Source Sans Pro"/>
          <w:lang w:val="es"/>
        </w:rPr>
        <w:t xml:space="preserve">de </w:t>
      </w:r>
      <w:r w:rsidR="009F5191" w:rsidRPr="005F165B">
        <w:rPr>
          <w:rFonts w:ascii="Source Sans Pro" w:hAnsi="Source Sans Pro"/>
          <w:lang w:val="es"/>
        </w:rPr>
        <w:t>un proceso seguro</w:t>
      </w:r>
      <w:r w:rsidR="00C75B2C" w:rsidRPr="005F165B">
        <w:rPr>
          <w:rFonts w:ascii="Source Sans Pro" w:hAnsi="Source Sans Pro"/>
          <w:lang w:val="es"/>
        </w:rPr>
        <w:t xml:space="preserve">, sino también a los </w:t>
      </w:r>
      <w:r w:rsidR="009F5191" w:rsidRPr="005F165B">
        <w:rPr>
          <w:rFonts w:ascii="Source Sans Pro" w:hAnsi="Source Sans Pro"/>
          <w:lang w:val="es"/>
        </w:rPr>
        <w:t xml:space="preserve">prejuicios </w:t>
      </w:r>
      <w:r w:rsidR="00B1739E" w:rsidRPr="005F165B">
        <w:rPr>
          <w:rFonts w:ascii="Source Sans Pro" w:hAnsi="Source Sans Pro"/>
          <w:lang w:val="es"/>
        </w:rPr>
        <w:t xml:space="preserve">de quienes </w:t>
      </w:r>
      <w:r w:rsidR="00443302">
        <w:rPr>
          <w:rFonts w:ascii="Source Sans Pro" w:hAnsi="Source Sans Pro"/>
          <w:lang w:val="es"/>
        </w:rPr>
        <w:t>les estigmatizan por no</w:t>
      </w:r>
      <w:r w:rsidR="00954AA0" w:rsidRPr="005F165B">
        <w:rPr>
          <w:rFonts w:ascii="Source Sans Pro" w:hAnsi="Source Sans Pro"/>
          <w:lang w:val="es"/>
        </w:rPr>
        <w:t xml:space="preserve"> encajar en lo que se entiende socialmente como “reproducción natural”</w:t>
      </w:r>
      <w:r w:rsidR="00954AA0" w:rsidRPr="005F165B">
        <w:rPr>
          <w:rStyle w:val="FootnoteReference"/>
          <w:rFonts w:ascii="Source Sans Pro" w:hAnsi="Source Sans Pro"/>
          <w:lang w:val="es"/>
        </w:rPr>
        <w:footnoteReference w:id="38"/>
      </w:r>
      <w:r w:rsidR="00443302">
        <w:rPr>
          <w:rFonts w:ascii="Source Sans Pro" w:hAnsi="Source Sans Pro"/>
          <w:lang w:val="es"/>
        </w:rPr>
        <w:t xml:space="preserve">. </w:t>
      </w:r>
      <w:r w:rsidR="00B30EF5" w:rsidRPr="005F165B">
        <w:rPr>
          <w:rFonts w:ascii="Source Sans Pro" w:hAnsi="Source Sans Pro"/>
          <w:lang w:val="es"/>
        </w:rPr>
        <w:t xml:space="preserve">En este escenario, ante cualquier complicación que requiera la atención médica urgente, </w:t>
      </w:r>
      <w:r w:rsidR="005F22F4" w:rsidRPr="005F165B">
        <w:rPr>
          <w:rFonts w:ascii="Source Sans Pro" w:hAnsi="Source Sans Pro"/>
          <w:lang w:val="es"/>
        </w:rPr>
        <w:t>las personas L</w:t>
      </w:r>
      <w:r w:rsidR="00443302">
        <w:rPr>
          <w:rFonts w:ascii="Source Sans Pro" w:hAnsi="Source Sans Pro"/>
          <w:lang w:val="es"/>
        </w:rPr>
        <w:t>B</w:t>
      </w:r>
      <w:r w:rsidR="005F22F4" w:rsidRPr="005F165B">
        <w:rPr>
          <w:rFonts w:ascii="Source Sans Pro" w:hAnsi="Source Sans Pro"/>
          <w:lang w:val="es"/>
        </w:rPr>
        <w:t xml:space="preserve">T </w:t>
      </w:r>
      <w:r w:rsidR="00443302">
        <w:rPr>
          <w:rFonts w:ascii="Source Sans Pro" w:hAnsi="Source Sans Pro"/>
          <w:lang w:val="es"/>
        </w:rPr>
        <w:t xml:space="preserve">gestantes </w:t>
      </w:r>
      <w:r w:rsidR="005F22F4" w:rsidRPr="005F165B">
        <w:rPr>
          <w:rFonts w:ascii="Source Sans Pro" w:hAnsi="Source Sans Pro"/>
          <w:lang w:val="es"/>
        </w:rPr>
        <w:t xml:space="preserve">suelen </w:t>
      </w:r>
      <w:r w:rsidR="0078350B" w:rsidRPr="005F165B">
        <w:rPr>
          <w:rFonts w:ascii="Source Sans Pro" w:hAnsi="Source Sans Pro"/>
          <w:lang w:val="es"/>
        </w:rPr>
        <w:t>tratadas de manera denigrante por el personal medico que les atiende, o de plano se les niega por completo el servicio de salud</w:t>
      </w:r>
      <w:r w:rsidR="00EA28B0" w:rsidRPr="005F165B">
        <w:rPr>
          <w:rStyle w:val="FootnoteReference"/>
          <w:rFonts w:ascii="Source Sans Pro" w:hAnsi="Source Sans Pro"/>
          <w:lang w:val="es"/>
        </w:rPr>
        <w:footnoteReference w:id="39"/>
      </w:r>
      <w:r w:rsidR="00443302">
        <w:rPr>
          <w:rFonts w:ascii="Source Sans Pro" w:hAnsi="Source Sans Pro"/>
          <w:lang w:val="es"/>
        </w:rPr>
        <w:t>, además es probable que en países donde no existen leyes de identidad de género, las personas trans tengan mayor miedo de acercarse a un servicio de salud para no enfrentar cuestionamientos.</w:t>
      </w:r>
    </w:p>
    <w:p w14:paraId="1B1506D9" w14:textId="42CFED52" w:rsidR="00EA28B0" w:rsidRDefault="00443302" w:rsidP="00F451B8">
      <w:pPr>
        <w:jc w:val="both"/>
        <w:rPr>
          <w:rFonts w:ascii="Source Sans Pro" w:hAnsi="Source Sans Pro"/>
          <w:lang w:val="es"/>
        </w:rPr>
      </w:pPr>
      <w:r>
        <w:rPr>
          <w:rFonts w:ascii="Source Sans Pro" w:hAnsi="Source Sans Pro"/>
          <w:lang w:val="es"/>
        </w:rPr>
        <w:t xml:space="preserve"> </w:t>
      </w:r>
      <w:r w:rsidR="00EA28B0" w:rsidRPr="005F165B">
        <w:rPr>
          <w:rFonts w:ascii="Source Sans Pro" w:hAnsi="Source Sans Pro"/>
          <w:lang w:val="es"/>
        </w:rPr>
        <w:t>Es por ello que no solamente es importante despenalizar el aborto, sino también darle un enfoque</w:t>
      </w:r>
      <w:r w:rsidR="00046117" w:rsidRPr="005F165B">
        <w:rPr>
          <w:rFonts w:ascii="Source Sans Pro" w:hAnsi="Source Sans Pro"/>
          <w:lang w:val="es"/>
        </w:rPr>
        <w:t xml:space="preserve"> diferencial </w:t>
      </w:r>
      <w:r w:rsidR="00C22E5D" w:rsidRPr="005F165B">
        <w:rPr>
          <w:rFonts w:ascii="Source Sans Pro" w:hAnsi="Source Sans Pro"/>
          <w:lang w:val="es"/>
        </w:rPr>
        <w:t>a los procedimientos que involucren personas</w:t>
      </w:r>
      <w:r>
        <w:rPr>
          <w:rFonts w:ascii="Source Sans Pro" w:hAnsi="Source Sans Pro"/>
          <w:lang w:val="es"/>
        </w:rPr>
        <w:t xml:space="preserve"> de orientación sexual, corporalidad  y de género diverso</w:t>
      </w:r>
      <w:r w:rsidR="00C22E5D" w:rsidRPr="005F165B">
        <w:rPr>
          <w:rFonts w:ascii="Source Sans Pro" w:hAnsi="Source Sans Pro"/>
          <w:lang w:val="es"/>
        </w:rPr>
        <w:t>, puesto que su</w:t>
      </w:r>
      <w:r>
        <w:rPr>
          <w:rFonts w:ascii="Source Sans Pro" w:hAnsi="Source Sans Pro"/>
          <w:lang w:val="es"/>
        </w:rPr>
        <w:t xml:space="preserve">s necesidades y experiencias son distintas a las </w:t>
      </w:r>
      <w:r w:rsidR="00C22E5D" w:rsidRPr="005F165B">
        <w:rPr>
          <w:rFonts w:ascii="Source Sans Pro" w:hAnsi="Source Sans Pro"/>
          <w:lang w:val="es"/>
        </w:rPr>
        <w:t xml:space="preserve">de una mujer cis. </w:t>
      </w:r>
    </w:p>
    <w:p w14:paraId="3DD03D27" w14:textId="01DD1007" w:rsidR="00443302" w:rsidRPr="005F165B" w:rsidRDefault="00443302" w:rsidP="00F451B8">
      <w:pPr>
        <w:jc w:val="both"/>
        <w:rPr>
          <w:rFonts w:ascii="Source Sans Pro" w:hAnsi="Source Sans Pro"/>
          <w:lang w:val="es"/>
        </w:rPr>
      </w:pPr>
      <w:r>
        <w:rPr>
          <w:rFonts w:ascii="Source Sans Pro" w:hAnsi="Source Sans Pro"/>
          <w:lang w:val="es"/>
        </w:rPr>
        <w:t>En ese sentido cabe precisar que muchos Estados fallan al legislar el aborto</w:t>
      </w:r>
      <w:r w:rsidR="00B4188F">
        <w:rPr>
          <w:rFonts w:ascii="Source Sans Pro" w:hAnsi="Source Sans Pro"/>
          <w:lang w:val="es"/>
        </w:rPr>
        <w:t xml:space="preserve"> particularmente</w:t>
      </w:r>
      <w:r>
        <w:rPr>
          <w:rFonts w:ascii="Source Sans Pro" w:hAnsi="Source Sans Pro"/>
          <w:lang w:val="es"/>
        </w:rPr>
        <w:t xml:space="preserve"> por la causal de violación sexual </w:t>
      </w:r>
      <w:r w:rsidR="004F0F0A">
        <w:rPr>
          <w:rFonts w:ascii="Source Sans Pro" w:hAnsi="Source Sans Pro"/>
          <w:lang w:val="es"/>
        </w:rPr>
        <w:t xml:space="preserve">con una regulación dirigida únicamente a mujeres cis y heterosexuales. </w:t>
      </w:r>
      <w:r w:rsidR="00B4188F">
        <w:t xml:space="preserve">La Comisión Interamericana también ha </w:t>
      </w:r>
      <w:r w:rsidR="00634514">
        <w:t>identificado que</w:t>
      </w:r>
      <w:r w:rsidR="00B4188F">
        <w:t xml:space="preserve"> las llamadas “violaciones correctivas” que constituyen una manifestación extrema del prejuicio contra las orientaciones sexuales e identidades de género diversas son perpetradas especialmente contra mujeres lesbianas o bisexuales</w:t>
      </w:r>
      <w:r w:rsidR="00634514">
        <w:t xml:space="preserve"> y hombre trans</w:t>
      </w:r>
      <w:r w:rsidR="00634514">
        <w:rPr>
          <w:rStyle w:val="FootnoteReference"/>
        </w:rPr>
        <w:footnoteReference w:id="40"/>
      </w:r>
      <w:r w:rsidR="00634514">
        <w:t>.</w:t>
      </w:r>
      <w:r w:rsidR="00B4188F">
        <w:t xml:space="preserve"> La “violación correctiva” ha sido definida como un “delito en el que una persona es violada debido a su orientación sexual o de género percibida, buscando que como consecuencia de la violación se “corrija” la orientación </w:t>
      </w:r>
      <w:r w:rsidR="00634514">
        <w:t xml:space="preserve">sexual </w:t>
      </w:r>
      <w:r w:rsidR="00B4188F">
        <w:t>de la persona o se consiga que “actúen” de manera más conforme a su género”</w:t>
      </w:r>
      <w:r w:rsidR="00634514">
        <w:rPr>
          <w:rStyle w:val="FootnoteReference"/>
        </w:rPr>
        <w:footnoteReference w:id="41"/>
      </w:r>
      <w:r w:rsidR="00634514">
        <w:t xml:space="preserve"> Este tipo de violencia tiene como premisa la</w:t>
      </w:r>
      <w:r w:rsidR="00B4188F">
        <w:t xml:space="preserve"> la concepción perversa de que </w:t>
      </w:r>
      <w:r w:rsidR="00634514">
        <w:t>las personas asignadas como mujeres al nacer</w:t>
      </w:r>
      <w:r w:rsidR="00B4188F">
        <w:t>, al ser penetrada</w:t>
      </w:r>
      <w:r w:rsidR="00634514">
        <w:t>s</w:t>
      </w:r>
      <w:r w:rsidR="00B4188F">
        <w:t xml:space="preserve"> por un hombre se convertirá nuevamente en “normal</w:t>
      </w:r>
      <w:r w:rsidR="00634514">
        <w:t>es</w:t>
      </w:r>
      <w:r w:rsidR="00B4188F">
        <w:t>”</w:t>
      </w:r>
      <w:r w:rsidR="00634514">
        <w:t>; por ello el embarazo y maternidad forzada en lesbianas, bisexuales, hombres trans y personas de género no binario también debe ser visibilizada en la normativa de protección a la salud sexual y reproductiva</w:t>
      </w:r>
      <w:r w:rsidR="00F8398F">
        <w:t xml:space="preserve"> de supervivientes de violación sexual.</w:t>
      </w:r>
    </w:p>
    <w:p w14:paraId="74EAA554" w14:textId="1368800C" w:rsidR="00E53BED" w:rsidRPr="005F165B" w:rsidRDefault="00447758" w:rsidP="006D1A2A">
      <w:pPr>
        <w:pStyle w:val="ListParagraph"/>
        <w:numPr>
          <w:ilvl w:val="0"/>
          <w:numId w:val="34"/>
        </w:numPr>
        <w:jc w:val="both"/>
        <w:rPr>
          <w:rFonts w:ascii="Source Sans Pro" w:hAnsi="Source Sans Pro"/>
          <w:i/>
          <w:iCs/>
          <w:color w:val="7030A0"/>
          <w:lang w:val="es"/>
        </w:rPr>
      </w:pPr>
      <w:r w:rsidRPr="005F165B">
        <w:rPr>
          <w:rFonts w:ascii="Source Sans Pro" w:hAnsi="Source Sans Pro"/>
          <w:i/>
          <w:iCs/>
          <w:color w:val="7030A0"/>
        </w:rPr>
        <w:t xml:space="preserve">La identificación de buenas prácticas y ejemplos de </w:t>
      </w:r>
      <w:r w:rsidRPr="005F165B">
        <w:rPr>
          <w:rFonts w:ascii="Source Sans Pro" w:hAnsi="Source Sans Pro"/>
          <w:b/>
          <w:bCs/>
          <w:i/>
          <w:iCs/>
          <w:color w:val="7030A0"/>
        </w:rPr>
        <w:t>respuestas</w:t>
      </w:r>
      <w:r w:rsidRPr="005F165B">
        <w:rPr>
          <w:rFonts w:ascii="Source Sans Pro" w:hAnsi="Source Sans Pro"/>
          <w:i/>
          <w:iCs/>
          <w:color w:val="7030A0"/>
        </w:rPr>
        <w:t xml:space="preserve"> </w:t>
      </w:r>
      <w:r w:rsidRPr="005F165B">
        <w:rPr>
          <w:rFonts w:ascii="Source Sans Pro" w:hAnsi="Source Sans Pro"/>
          <w:b/>
          <w:bCs/>
          <w:i/>
          <w:iCs/>
          <w:color w:val="7030A0"/>
        </w:rPr>
        <w:t>sanitarias</w:t>
      </w:r>
      <w:r w:rsidRPr="005F165B">
        <w:rPr>
          <w:rFonts w:ascii="Source Sans Pro" w:hAnsi="Source Sans Pro"/>
          <w:i/>
          <w:iCs/>
          <w:color w:val="7030A0"/>
        </w:rPr>
        <w:t xml:space="preserve"> </w:t>
      </w:r>
      <w:r w:rsidR="00634514" w:rsidRPr="005F165B">
        <w:rPr>
          <w:rFonts w:ascii="Source Sans Pro" w:hAnsi="Source Sans Pro"/>
          <w:b/>
          <w:bCs/>
          <w:i/>
          <w:iCs/>
          <w:color w:val="7030A0"/>
        </w:rPr>
        <w:t>integra</w:t>
      </w:r>
      <w:r w:rsidR="00634514">
        <w:rPr>
          <w:rFonts w:ascii="Source Sans Pro" w:hAnsi="Source Sans Pro"/>
          <w:b/>
          <w:bCs/>
          <w:i/>
          <w:iCs/>
          <w:color w:val="7030A0"/>
        </w:rPr>
        <w:t>l</w:t>
      </w:r>
      <w:r w:rsidR="00634514" w:rsidRPr="005F165B">
        <w:rPr>
          <w:rFonts w:ascii="Source Sans Pro" w:hAnsi="Source Sans Pro"/>
          <w:b/>
          <w:bCs/>
          <w:i/>
          <w:iCs/>
          <w:color w:val="7030A0"/>
        </w:rPr>
        <w:t>es</w:t>
      </w:r>
      <w:r w:rsidRPr="005F165B">
        <w:rPr>
          <w:rFonts w:ascii="Source Sans Pro" w:hAnsi="Source Sans Pro"/>
          <w:i/>
          <w:iCs/>
          <w:color w:val="7030A0"/>
        </w:rPr>
        <w:t xml:space="preserve"> a l</w:t>
      </w:r>
      <w:r w:rsidRPr="005F165B">
        <w:rPr>
          <w:rFonts w:ascii="Source Sans Pro" w:hAnsi="Source Sans Pro"/>
          <w:i/>
          <w:iCs/>
          <w:color w:val="7030A0"/>
          <w:lang w:val="es-MX"/>
        </w:rPr>
        <w:t>a</w:t>
      </w:r>
      <w:r w:rsidRPr="005F165B">
        <w:rPr>
          <w:rFonts w:ascii="Source Sans Pro" w:hAnsi="Source Sans Pro"/>
          <w:i/>
          <w:iCs/>
          <w:color w:val="7030A0"/>
        </w:rPr>
        <w:t>s</w:t>
      </w:r>
      <w:r w:rsidRPr="005F165B">
        <w:rPr>
          <w:rFonts w:ascii="Source Sans Pro" w:hAnsi="Source Sans Pro"/>
          <w:i/>
          <w:iCs/>
          <w:color w:val="7030A0"/>
          <w:lang w:val="es-MX"/>
        </w:rPr>
        <w:t xml:space="preserve"> personas LGBTI </w:t>
      </w:r>
      <w:r w:rsidRPr="005F165B">
        <w:rPr>
          <w:rFonts w:ascii="Source Sans Pro" w:hAnsi="Source Sans Pro"/>
          <w:i/>
          <w:iCs/>
          <w:color w:val="7030A0"/>
        </w:rPr>
        <w:t xml:space="preserve"> supervivientes de violencia</w:t>
      </w:r>
      <w:r w:rsidR="003145B5" w:rsidRPr="005F165B">
        <w:rPr>
          <w:rFonts w:ascii="Source Sans Pro" w:hAnsi="Source Sans Pro"/>
          <w:i/>
          <w:iCs/>
          <w:color w:val="7030A0"/>
        </w:rPr>
        <w:t>.</w:t>
      </w:r>
      <w:r w:rsidR="00BA1631" w:rsidRPr="005F165B">
        <w:rPr>
          <w:rFonts w:ascii="Source Sans Pro" w:hAnsi="Source Sans Pro"/>
          <w:i/>
          <w:iCs/>
          <w:color w:val="7030A0"/>
        </w:rPr>
        <w:t xml:space="preserve"> </w:t>
      </w:r>
      <w:r w:rsidR="006D1A2A" w:rsidRPr="005F165B">
        <w:rPr>
          <w:rFonts w:ascii="Source Sans Pro" w:hAnsi="Source Sans Pro"/>
          <w:i/>
          <w:iCs/>
          <w:color w:val="7030A0"/>
        </w:rPr>
        <w:t xml:space="preserve"> </w:t>
      </w:r>
    </w:p>
    <w:p w14:paraId="7B0715DE" w14:textId="77777777" w:rsidR="006D1A2A" w:rsidRPr="005F165B" w:rsidRDefault="006D1A2A" w:rsidP="006D1A2A">
      <w:pPr>
        <w:pStyle w:val="ListParagraph"/>
        <w:jc w:val="both"/>
        <w:rPr>
          <w:rFonts w:ascii="Source Sans Pro" w:hAnsi="Source Sans Pro"/>
          <w:i/>
          <w:iCs/>
          <w:color w:val="7030A0"/>
          <w:lang w:val="es"/>
        </w:rPr>
      </w:pPr>
    </w:p>
    <w:p w14:paraId="2B95E53C" w14:textId="11CA03A0" w:rsidR="00E352D0" w:rsidRPr="005F165B" w:rsidRDefault="00A118D4" w:rsidP="00F8398F">
      <w:pPr>
        <w:pStyle w:val="ListParagraph"/>
        <w:numPr>
          <w:ilvl w:val="0"/>
          <w:numId w:val="39"/>
        </w:numPr>
        <w:ind w:left="284" w:hanging="284"/>
        <w:jc w:val="both"/>
        <w:rPr>
          <w:rFonts w:ascii="Source Sans Pro" w:hAnsi="Source Sans Pro"/>
          <w:lang w:val="es"/>
        </w:rPr>
      </w:pPr>
      <w:r w:rsidRPr="005F165B">
        <w:rPr>
          <w:rFonts w:ascii="Source Sans Pro" w:hAnsi="Source Sans Pro"/>
          <w:b/>
          <w:bCs/>
        </w:rPr>
        <w:t>Argentina</w:t>
      </w:r>
      <w:r w:rsidRPr="005F165B">
        <w:rPr>
          <w:rFonts w:ascii="Source Sans Pro" w:hAnsi="Source Sans Pro"/>
        </w:rPr>
        <w:t>: El</w:t>
      </w:r>
      <w:r w:rsidR="00B33226" w:rsidRPr="005F165B">
        <w:rPr>
          <w:rFonts w:ascii="Source Sans Pro" w:hAnsi="Source Sans Pro"/>
        </w:rPr>
        <w:t xml:space="preserve"> Ministerio de Salud </w:t>
      </w:r>
      <w:r w:rsidR="00F8398F">
        <w:rPr>
          <w:rFonts w:ascii="Source Sans Pro" w:hAnsi="Source Sans Pro"/>
        </w:rPr>
        <w:t>adoptó un</w:t>
      </w:r>
      <w:r w:rsidR="00B33226" w:rsidRPr="005F165B">
        <w:rPr>
          <w:rFonts w:ascii="Source Sans Pro" w:hAnsi="Source Sans Pro"/>
        </w:rPr>
        <w:t xml:space="preserve"> Protocolo </w:t>
      </w:r>
      <w:r w:rsidRPr="005F165B">
        <w:rPr>
          <w:rFonts w:ascii="Source Sans Pro" w:hAnsi="Source Sans Pro"/>
        </w:rPr>
        <w:t>dirigido al personal de salud para</w:t>
      </w:r>
      <w:r w:rsidR="00E511DB" w:rsidRPr="005F165B">
        <w:rPr>
          <w:rFonts w:ascii="Source Sans Pro" w:hAnsi="Source Sans Pro"/>
        </w:rPr>
        <w:t xml:space="preserve"> garantizar el acceso a</w:t>
      </w:r>
      <w:r w:rsidR="00493E5E" w:rsidRPr="005F165B">
        <w:rPr>
          <w:rFonts w:ascii="Source Sans Pro" w:hAnsi="Source Sans Pro"/>
        </w:rPr>
        <w:t xml:space="preserve"> la salud de las personas trans y a</w:t>
      </w:r>
      <w:r w:rsidR="00E511DB" w:rsidRPr="005F165B">
        <w:rPr>
          <w:rFonts w:ascii="Source Sans Pro" w:hAnsi="Source Sans Pro"/>
        </w:rPr>
        <w:t>ctualiza</w:t>
      </w:r>
      <w:r w:rsidR="00493E5E" w:rsidRPr="005F165B">
        <w:rPr>
          <w:rFonts w:ascii="Source Sans Pro" w:hAnsi="Source Sans Pro"/>
        </w:rPr>
        <w:t>r</w:t>
      </w:r>
      <w:r w:rsidR="00E511DB" w:rsidRPr="005F165B">
        <w:rPr>
          <w:rFonts w:ascii="Source Sans Pro" w:hAnsi="Source Sans Pro"/>
        </w:rPr>
        <w:t xml:space="preserve"> las recomendaciones en cuanto a la atención integral de la salud de las personas trans, travestis y no binarias, en general, y sobre los procesos de modificación corporal, en particular</w:t>
      </w:r>
      <w:r w:rsidR="00B5697D" w:rsidRPr="005F165B">
        <w:rPr>
          <w:rStyle w:val="FootnoteReference"/>
          <w:rFonts w:ascii="Source Sans Pro" w:hAnsi="Source Sans Pro"/>
        </w:rPr>
        <w:footnoteReference w:id="42"/>
      </w:r>
      <w:r w:rsidR="00E352D0" w:rsidRPr="005F165B">
        <w:rPr>
          <w:rFonts w:ascii="Source Sans Pro" w:hAnsi="Source Sans Pro"/>
        </w:rPr>
        <w:t>.</w:t>
      </w:r>
      <w:r w:rsidR="00B33226" w:rsidRPr="005F165B">
        <w:rPr>
          <w:rFonts w:ascii="Source Sans Pro" w:hAnsi="Source Sans Pro"/>
        </w:rPr>
        <w:t xml:space="preserve"> </w:t>
      </w:r>
    </w:p>
    <w:p w14:paraId="32A98A55" w14:textId="6F1389AF" w:rsidR="00B338F3" w:rsidRPr="005F165B" w:rsidRDefault="00B33226" w:rsidP="00F8398F">
      <w:pPr>
        <w:pStyle w:val="ListParagraph"/>
        <w:numPr>
          <w:ilvl w:val="0"/>
          <w:numId w:val="39"/>
        </w:numPr>
        <w:ind w:left="284" w:hanging="284"/>
        <w:jc w:val="both"/>
        <w:rPr>
          <w:rFonts w:ascii="Source Sans Pro" w:hAnsi="Source Sans Pro"/>
          <w:lang w:val="es"/>
        </w:rPr>
      </w:pPr>
      <w:r w:rsidRPr="005F165B">
        <w:rPr>
          <w:rFonts w:ascii="Source Sans Pro" w:hAnsi="Source Sans Pro"/>
          <w:b/>
          <w:bCs/>
        </w:rPr>
        <w:t>Chile</w:t>
      </w:r>
      <w:r w:rsidR="004049B8" w:rsidRPr="005F165B">
        <w:rPr>
          <w:rFonts w:ascii="Source Sans Pro" w:hAnsi="Source Sans Pro"/>
        </w:rPr>
        <w:t>: E</w:t>
      </w:r>
      <w:r w:rsidRPr="005F165B">
        <w:rPr>
          <w:rFonts w:ascii="Source Sans Pro" w:hAnsi="Source Sans Pro"/>
        </w:rPr>
        <w:t>l Ministerio de Salud</w:t>
      </w:r>
      <w:r w:rsidR="004049B8" w:rsidRPr="005F165B">
        <w:rPr>
          <w:rFonts w:ascii="Source Sans Pro" w:hAnsi="Source Sans Pro"/>
        </w:rPr>
        <w:t xml:space="preserve">, en colaboración con distintas organizaciones dela sociedad civil expertas en defensa de derechos LGBT, </w:t>
      </w:r>
      <w:r w:rsidR="00B338F3" w:rsidRPr="005F165B">
        <w:rPr>
          <w:rFonts w:ascii="Source Sans Pro" w:hAnsi="Source Sans Pro"/>
        </w:rPr>
        <w:t>actualiz</w:t>
      </w:r>
      <w:r w:rsidR="00851737" w:rsidRPr="005F165B">
        <w:rPr>
          <w:rFonts w:ascii="Source Sans Pro" w:hAnsi="Source Sans Pro"/>
        </w:rPr>
        <w:t>ó</w:t>
      </w:r>
      <w:r w:rsidR="003D71D4" w:rsidRPr="005F165B">
        <w:rPr>
          <w:rFonts w:ascii="Source Sans Pro" w:hAnsi="Source Sans Pro"/>
        </w:rPr>
        <w:t xml:space="preserve"> su</w:t>
      </w:r>
      <w:r w:rsidR="00B338F3" w:rsidRPr="005F165B">
        <w:rPr>
          <w:rFonts w:ascii="Source Sans Pro" w:hAnsi="Source Sans Pro"/>
        </w:rPr>
        <w:t xml:space="preserve"> Política de Salud para el abordaje de la Violencia de Género p</w:t>
      </w:r>
      <w:r w:rsidR="00F8398F">
        <w:rPr>
          <w:rFonts w:ascii="Source Sans Pro" w:hAnsi="Source Sans Pro"/>
        </w:rPr>
        <w:t>or parte d</w:t>
      </w:r>
      <w:r w:rsidR="00B338F3" w:rsidRPr="005F165B">
        <w:rPr>
          <w:rFonts w:ascii="Source Sans Pro" w:hAnsi="Source Sans Pro"/>
        </w:rPr>
        <w:t>el Sistema Salud, desde los enfoques de Derechos Humanos, Género y Salud Pública, considerando las necesidades de la red, del pers</w:t>
      </w:r>
      <w:r w:rsidR="00851737" w:rsidRPr="005F165B">
        <w:rPr>
          <w:rFonts w:ascii="Source Sans Pro" w:hAnsi="Source Sans Pro"/>
        </w:rPr>
        <w:t xml:space="preserve">onal </w:t>
      </w:r>
      <w:r w:rsidR="00B338F3" w:rsidRPr="005F165B">
        <w:rPr>
          <w:rFonts w:ascii="Source Sans Pro" w:hAnsi="Source Sans Pro"/>
        </w:rPr>
        <w:t>de salud y de las personas sobrevivientes y víctimas de la violencia de género, promoviendo la articulación, optimización y la mejora de recursos, planes, programas</w:t>
      </w:r>
      <w:r w:rsidR="00851737" w:rsidRPr="005F165B">
        <w:rPr>
          <w:rFonts w:ascii="Source Sans Pro" w:hAnsi="Source Sans Pro"/>
        </w:rPr>
        <w:t>, para que sean oportunos, adecuados y de calidad</w:t>
      </w:r>
      <w:r w:rsidR="003D71D4" w:rsidRPr="005F165B">
        <w:rPr>
          <w:rStyle w:val="FootnoteReference"/>
          <w:rFonts w:ascii="Source Sans Pro" w:hAnsi="Source Sans Pro"/>
        </w:rPr>
        <w:footnoteReference w:id="43"/>
      </w:r>
      <w:r w:rsidR="00851737" w:rsidRPr="005F165B">
        <w:rPr>
          <w:rFonts w:ascii="Source Sans Pro" w:hAnsi="Source Sans Pro"/>
        </w:rPr>
        <w:t xml:space="preserve">. </w:t>
      </w:r>
      <w:r w:rsidRPr="005F165B">
        <w:rPr>
          <w:rFonts w:ascii="Source Sans Pro" w:hAnsi="Source Sans Pro"/>
        </w:rPr>
        <w:t xml:space="preserve"> </w:t>
      </w:r>
    </w:p>
    <w:p w14:paraId="21D73816" w14:textId="681C5FC1" w:rsidR="004C5BE3" w:rsidRPr="005F165B" w:rsidRDefault="00B33226" w:rsidP="00F8398F">
      <w:pPr>
        <w:pStyle w:val="ListParagraph"/>
        <w:numPr>
          <w:ilvl w:val="0"/>
          <w:numId w:val="39"/>
        </w:numPr>
        <w:ind w:left="284" w:hanging="284"/>
        <w:jc w:val="both"/>
        <w:rPr>
          <w:rFonts w:ascii="Source Sans Pro" w:hAnsi="Source Sans Pro"/>
          <w:lang w:val="es"/>
        </w:rPr>
      </w:pPr>
      <w:r w:rsidRPr="005F165B">
        <w:rPr>
          <w:rFonts w:ascii="Source Sans Pro" w:hAnsi="Source Sans Pro"/>
          <w:b/>
          <w:bCs/>
        </w:rPr>
        <w:t>Uruguay</w:t>
      </w:r>
      <w:r w:rsidR="00967ACC" w:rsidRPr="005F165B">
        <w:rPr>
          <w:rFonts w:ascii="Source Sans Pro" w:hAnsi="Source Sans Pro"/>
        </w:rPr>
        <w:t>:</w:t>
      </w:r>
      <w:r w:rsidRPr="005F165B">
        <w:rPr>
          <w:rFonts w:ascii="Source Sans Pro" w:hAnsi="Source Sans Pro"/>
        </w:rPr>
        <w:t xml:space="preserve"> </w:t>
      </w:r>
      <w:r w:rsidR="00F8398F">
        <w:rPr>
          <w:rFonts w:ascii="Source Sans Pro" w:hAnsi="Source Sans Pro"/>
        </w:rPr>
        <w:t>E</w:t>
      </w:r>
      <w:r w:rsidRPr="005F165B">
        <w:rPr>
          <w:rFonts w:ascii="Source Sans Pro" w:hAnsi="Source Sans Pro"/>
        </w:rPr>
        <w:t>l 2016, El Ministerio de Salud Pública (MSP) de Uruguay presentó una guía dirigida a profesionales de la salud</w:t>
      </w:r>
      <w:r w:rsidR="006C0618" w:rsidRPr="005F165B">
        <w:rPr>
          <w:rFonts w:ascii="Source Sans Pro" w:hAnsi="Source Sans Pro"/>
        </w:rPr>
        <w:t>, que se estudia desde las facultades de medicina y las ciencias de la salud,</w:t>
      </w:r>
      <w:r w:rsidRPr="005F165B">
        <w:rPr>
          <w:rFonts w:ascii="Source Sans Pro" w:hAnsi="Source Sans Pro"/>
        </w:rPr>
        <w:t xml:space="preserve"> que tiene como objetivo incluir la perspectiva de diversidad sexual en todos los niveles de la atención sanitaria</w:t>
      </w:r>
      <w:r w:rsidR="006C0618" w:rsidRPr="005F165B">
        <w:rPr>
          <w:rStyle w:val="FootnoteReference"/>
          <w:rFonts w:ascii="Source Sans Pro" w:hAnsi="Source Sans Pro"/>
        </w:rPr>
        <w:footnoteReference w:id="44"/>
      </w:r>
      <w:r w:rsidR="00967ACC" w:rsidRPr="005F165B">
        <w:rPr>
          <w:rFonts w:ascii="Source Sans Pro" w:hAnsi="Source Sans Pro"/>
        </w:rPr>
        <w:t xml:space="preserve">. </w:t>
      </w:r>
    </w:p>
    <w:p w14:paraId="5322C9CA" w14:textId="7FA260FA" w:rsidR="0064662B" w:rsidRPr="00F8398F" w:rsidRDefault="00234882" w:rsidP="0064662B">
      <w:pPr>
        <w:pStyle w:val="ListParagraph"/>
        <w:numPr>
          <w:ilvl w:val="0"/>
          <w:numId w:val="39"/>
        </w:numPr>
        <w:ind w:left="284" w:hanging="284"/>
        <w:jc w:val="both"/>
        <w:rPr>
          <w:rFonts w:ascii="Source Sans Pro" w:hAnsi="Source Sans Pro"/>
          <w:lang w:val="es"/>
        </w:rPr>
      </w:pPr>
      <w:r w:rsidRPr="005F165B">
        <w:rPr>
          <w:rFonts w:ascii="Source Sans Pro" w:hAnsi="Source Sans Pro"/>
          <w:b/>
          <w:bCs/>
        </w:rPr>
        <w:t>Colombia</w:t>
      </w:r>
      <w:r w:rsidRPr="005F165B">
        <w:rPr>
          <w:rFonts w:ascii="Source Sans Pro" w:hAnsi="Source Sans Pro"/>
          <w:lang w:val="es"/>
        </w:rPr>
        <w:t xml:space="preserve">: La administración distrital de Bogotá, de la mano de distintas instituciones del Estado y organizaciones privadas </w:t>
      </w:r>
      <w:r w:rsidR="00D0323C" w:rsidRPr="005F165B">
        <w:rPr>
          <w:rFonts w:ascii="Source Sans Pro" w:hAnsi="Source Sans Pro"/>
          <w:lang w:val="es"/>
        </w:rPr>
        <w:t xml:space="preserve">como Profamilia y la Liga de Salud Trans, </w:t>
      </w:r>
      <w:r w:rsidRPr="005F165B">
        <w:rPr>
          <w:rFonts w:ascii="Source Sans Pro" w:hAnsi="Source Sans Pro"/>
          <w:lang w:val="es"/>
        </w:rPr>
        <w:t xml:space="preserve">inició </w:t>
      </w:r>
      <w:r w:rsidR="00D0323C" w:rsidRPr="005F165B">
        <w:rPr>
          <w:rFonts w:ascii="Source Sans Pro" w:hAnsi="Source Sans Pro"/>
          <w:lang w:val="es"/>
        </w:rPr>
        <w:t xml:space="preserve">una </w:t>
      </w:r>
      <w:r w:rsidR="00D0323C" w:rsidRPr="005F165B">
        <w:rPr>
          <w:rFonts w:ascii="Source Sans Pro" w:hAnsi="Source Sans Pro"/>
          <w:bCs/>
          <w:lang w:val="es-419"/>
        </w:rPr>
        <w:t>Estrategia de Cuidado Menstrual para Mujeres, Hombres Trans y personas no binarias.</w:t>
      </w:r>
      <w:r w:rsidR="00D0323C" w:rsidRPr="005F165B">
        <w:rPr>
          <w:rStyle w:val="FootnoteReference"/>
          <w:rFonts w:ascii="Source Sans Pro" w:hAnsi="Source Sans Pro"/>
          <w:bCs/>
          <w:lang w:val="es-419"/>
        </w:rPr>
        <w:footnoteReference w:id="45"/>
      </w:r>
    </w:p>
    <w:p w14:paraId="136F65C9" w14:textId="77777777" w:rsidR="00F8398F" w:rsidRPr="00F8398F" w:rsidRDefault="00F8398F" w:rsidP="00F8398F">
      <w:pPr>
        <w:pStyle w:val="ListParagraph"/>
        <w:ind w:left="284"/>
        <w:jc w:val="both"/>
        <w:rPr>
          <w:rFonts w:ascii="Source Sans Pro" w:hAnsi="Source Sans Pro"/>
          <w:lang w:val="es"/>
        </w:rPr>
      </w:pPr>
    </w:p>
    <w:p w14:paraId="0E49DBAA" w14:textId="3D7D4643" w:rsidR="000B31ED" w:rsidRPr="00F8398F" w:rsidRDefault="00862694" w:rsidP="00D44712">
      <w:pPr>
        <w:pStyle w:val="ListParagraph"/>
        <w:numPr>
          <w:ilvl w:val="0"/>
          <w:numId w:val="34"/>
        </w:numPr>
        <w:jc w:val="both"/>
        <w:rPr>
          <w:rFonts w:ascii="Source Sans Pro" w:hAnsi="Source Sans Pro"/>
          <w:i/>
          <w:iCs/>
          <w:color w:val="7030A0"/>
        </w:rPr>
      </w:pPr>
      <w:r w:rsidRPr="005F165B">
        <w:rPr>
          <w:rFonts w:ascii="Source Sans Pro" w:hAnsi="Source Sans Pro"/>
          <w:i/>
          <w:iCs/>
          <w:color w:val="7030A0"/>
          <w:lang w:val="es-MX"/>
        </w:rPr>
        <w:t xml:space="preserve">Información sobre la situación de violencia contra personas LGBTI en los servicios de salud durante la pandemia por </w:t>
      </w:r>
      <w:r w:rsidRPr="005F165B">
        <w:rPr>
          <w:rFonts w:ascii="Source Sans Pro" w:hAnsi="Source Sans Pro"/>
          <w:b/>
          <w:bCs/>
          <w:i/>
          <w:iCs/>
          <w:color w:val="7030A0"/>
          <w:lang w:val="es-MX"/>
        </w:rPr>
        <w:t>COVID</w:t>
      </w:r>
      <w:r w:rsidRPr="005F165B">
        <w:rPr>
          <w:rFonts w:ascii="Source Sans Pro" w:hAnsi="Source Sans Pro"/>
          <w:i/>
          <w:iCs/>
          <w:color w:val="7030A0"/>
          <w:lang w:val="es-MX"/>
        </w:rPr>
        <w:t>-</w:t>
      </w:r>
      <w:r w:rsidRPr="005F165B">
        <w:rPr>
          <w:rFonts w:ascii="Source Sans Pro" w:hAnsi="Source Sans Pro"/>
          <w:b/>
          <w:bCs/>
          <w:i/>
          <w:iCs/>
          <w:color w:val="7030A0"/>
          <w:lang w:val="es-MX"/>
        </w:rPr>
        <w:t>19</w:t>
      </w:r>
      <w:r w:rsidRPr="005F165B">
        <w:rPr>
          <w:rFonts w:ascii="Source Sans Pro" w:hAnsi="Source Sans Pro"/>
          <w:i/>
          <w:iCs/>
          <w:color w:val="7030A0"/>
          <w:lang w:val="es-MX"/>
        </w:rPr>
        <w:t>.</w:t>
      </w:r>
    </w:p>
    <w:p w14:paraId="242A9D19" w14:textId="5EEC7ADD" w:rsidR="001451F6" w:rsidRPr="005F165B" w:rsidRDefault="00E927D0" w:rsidP="00602622">
      <w:pPr>
        <w:jc w:val="both"/>
        <w:rPr>
          <w:rFonts w:ascii="Source Sans Pro" w:hAnsi="Source Sans Pro"/>
          <w:color w:val="000000" w:themeColor="text1"/>
        </w:rPr>
      </w:pPr>
      <w:r w:rsidRPr="005F165B">
        <w:rPr>
          <w:rFonts w:ascii="Source Sans Pro" w:hAnsi="Source Sans Pro"/>
          <w:color w:val="000000" w:themeColor="text1"/>
        </w:rPr>
        <w:t>La pandemia del COVID-19</w:t>
      </w:r>
      <w:r w:rsidR="00E54177" w:rsidRPr="005F165B">
        <w:rPr>
          <w:rFonts w:ascii="Source Sans Pro" w:hAnsi="Source Sans Pro"/>
          <w:color w:val="000000" w:themeColor="text1"/>
        </w:rPr>
        <w:t xml:space="preserve"> </w:t>
      </w:r>
      <w:r w:rsidR="000B31ED" w:rsidRPr="005F165B">
        <w:rPr>
          <w:rFonts w:ascii="Source Sans Pro" w:hAnsi="Source Sans Pro"/>
          <w:color w:val="000000" w:themeColor="text1"/>
        </w:rPr>
        <w:t>aumentó significativamente la v</w:t>
      </w:r>
      <w:r w:rsidR="0054752B">
        <w:rPr>
          <w:rFonts w:ascii="Source Sans Pro" w:hAnsi="Source Sans Pro"/>
          <w:color w:val="000000" w:themeColor="text1"/>
        </w:rPr>
        <w:t>ul</w:t>
      </w:r>
      <w:r w:rsidR="000B31ED" w:rsidRPr="005F165B">
        <w:rPr>
          <w:rFonts w:ascii="Source Sans Pro" w:hAnsi="Source Sans Pro"/>
          <w:color w:val="000000" w:themeColor="text1"/>
        </w:rPr>
        <w:t>nerabilidad socioeconómica de las personas LGBT de América</w:t>
      </w:r>
      <w:r w:rsidR="00F56823" w:rsidRPr="005F165B">
        <w:rPr>
          <w:rFonts w:ascii="Source Sans Pro" w:hAnsi="Source Sans Pro"/>
          <w:color w:val="000000" w:themeColor="text1"/>
        </w:rPr>
        <w:t xml:space="preserve"> y los fuertes prejuicios que el personal de salud </w:t>
      </w:r>
      <w:r w:rsidR="00D44712" w:rsidRPr="005F165B">
        <w:rPr>
          <w:rFonts w:ascii="Source Sans Pro" w:hAnsi="Source Sans Pro"/>
          <w:color w:val="000000" w:themeColor="text1"/>
        </w:rPr>
        <w:t xml:space="preserve">y los agentes estatales </w:t>
      </w:r>
      <w:r w:rsidR="00F56823" w:rsidRPr="005F165B">
        <w:rPr>
          <w:rFonts w:ascii="Source Sans Pro" w:hAnsi="Source Sans Pro"/>
          <w:color w:val="000000" w:themeColor="text1"/>
        </w:rPr>
        <w:t>tiene</w:t>
      </w:r>
      <w:r w:rsidR="00D44712" w:rsidRPr="005F165B">
        <w:rPr>
          <w:rFonts w:ascii="Source Sans Pro" w:hAnsi="Source Sans Pro"/>
          <w:color w:val="000000" w:themeColor="text1"/>
        </w:rPr>
        <w:t>n</w:t>
      </w:r>
      <w:r w:rsidR="00F56823" w:rsidRPr="005F165B">
        <w:rPr>
          <w:rFonts w:ascii="Source Sans Pro" w:hAnsi="Source Sans Pro"/>
          <w:color w:val="000000" w:themeColor="text1"/>
        </w:rPr>
        <w:t xml:space="preserve"> en su contra. Esto se pudo </w:t>
      </w:r>
      <w:r w:rsidR="00F8398F">
        <w:rPr>
          <w:rFonts w:ascii="Source Sans Pro" w:hAnsi="Source Sans Pro"/>
          <w:color w:val="000000" w:themeColor="text1"/>
        </w:rPr>
        <w:t>identificar</w:t>
      </w:r>
      <w:r w:rsidR="00F56823" w:rsidRPr="005F165B">
        <w:rPr>
          <w:rFonts w:ascii="Source Sans Pro" w:hAnsi="Source Sans Pro"/>
          <w:color w:val="000000" w:themeColor="text1"/>
        </w:rPr>
        <w:t xml:space="preserve"> en los distintos casos de violencia que les aquejaron al acudir a</w:t>
      </w:r>
      <w:r w:rsidR="001451F6" w:rsidRPr="005F165B">
        <w:rPr>
          <w:rFonts w:ascii="Source Sans Pro" w:hAnsi="Source Sans Pro"/>
          <w:color w:val="000000" w:themeColor="text1"/>
        </w:rPr>
        <w:t xml:space="preserve"> instituciones de salud, ya sea por motivos de contagio de COVID 19 o en razón de una urgencia o tratamiento médico</w:t>
      </w:r>
      <w:r w:rsidR="0054752B">
        <w:rPr>
          <w:rFonts w:ascii="Source Sans Pro" w:hAnsi="Source Sans Pro"/>
          <w:color w:val="000000" w:themeColor="text1"/>
        </w:rPr>
        <w:t xml:space="preserve"> de otro tipo</w:t>
      </w:r>
      <w:r w:rsidR="001451F6" w:rsidRPr="005F165B">
        <w:rPr>
          <w:rFonts w:ascii="Source Sans Pro" w:hAnsi="Source Sans Pro"/>
          <w:color w:val="000000" w:themeColor="text1"/>
        </w:rPr>
        <w:t xml:space="preserve">. </w:t>
      </w:r>
    </w:p>
    <w:p w14:paraId="0B7C686B" w14:textId="328AF8C7" w:rsidR="00E9050D" w:rsidRPr="005F165B" w:rsidRDefault="002B4671" w:rsidP="00602622">
      <w:pPr>
        <w:jc w:val="both"/>
        <w:rPr>
          <w:rFonts w:ascii="Source Sans Pro" w:hAnsi="Source Sans Pro"/>
          <w:color w:val="000000" w:themeColor="text1"/>
          <w:lang w:val="es-419"/>
        </w:rPr>
      </w:pPr>
      <w:r w:rsidRPr="005F165B">
        <w:rPr>
          <w:rFonts w:ascii="Source Sans Pro" w:hAnsi="Source Sans Pro"/>
          <w:color w:val="000000" w:themeColor="text1"/>
        </w:rPr>
        <w:t xml:space="preserve">En la encuesta realizada </w:t>
      </w:r>
      <w:r w:rsidR="00C5374B" w:rsidRPr="005F165B">
        <w:rPr>
          <w:rFonts w:ascii="Source Sans Pro" w:hAnsi="Source Sans Pro"/>
          <w:color w:val="000000" w:themeColor="text1"/>
        </w:rPr>
        <w:t xml:space="preserve">en </w:t>
      </w:r>
      <w:r w:rsidR="00C5374B" w:rsidRPr="0054752B">
        <w:rPr>
          <w:rFonts w:ascii="Source Sans Pro" w:hAnsi="Source Sans Pro"/>
          <w:b/>
          <w:bCs/>
          <w:color w:val="000000" w:themeColor="text1"/>
        </w:rPr>
        <w:t>Colombia</w:t>
      </w:r>
      <w:r w:rsidR="00C5374B" w:rsidRPr="005F165B">
        <w:rPr>
          <w:rFonts w:ascii="Source Sans Pro" w:hAnsi="Source Sans Pro"/>
          <w:color w:val="000000" w:themeColor="text1"/>
        </w:rPr>
        <w:t xml:space="preserve"> </w:t>
      </w:r>
      <w:r w:rsidRPr="005F165B">
        <w:rPr>
          <w:rFonts w:ascii="Source Sans Pro" w:hAnsi="Source Sans Pro"/>
          <w:color w:val="000000" w:themeColor="text1"/>
        </w:rPr>
        <w:t>por el GAAT</w:t>
      </w:r>
      <w:r w:rsidRPr="005F165B">
        <w:rPr>
          <w:rStyle w:val="FootnoteReference"/>
          <w:rFonts w:ascii="Source Sans Pro" w:hAnsi="Source Sans Pro"/>
          <w:color w:val="000000" w:themeColor="text1"/>
        </w:rPr>
        <w:footnoteReference w:id="46"/>
      </w:r>
      <w:r w:rsidR="003E457F" w:rsidRPr="005F165B">
        <w:rPr>
          <w:rFonts w:ascii="Source Sans Pro" w:hAnsi="Source Sans Pro"/>
          <w:color w:val="000000" w:themeColor="text1"/>
        </w:rPr>
        <w:t xml:space="preserve"> se </w:t>
      </w:r>
      <w:r w:rsidR="00C5374B" w:rsidRPr="005F165B">
        <w:rPr>
          <w:rFonts w:ascii="Source Sans Pro" w:hAnsi="Source Sans Pro"/>
          <w:color w:val="000000" w:themeColor="text1"/>
        </w:rPr>
        <w:t xml:space="preserve">determinó que, </w:t>
      </w:r>
      <w:r w:rsidR="00C5374B" w:rsidRPr="005F165B">
        <w:rPr>
          <w:rFonts w:ascii="Source Sans Pro" w:hAnsi="Source Sans Pro"/>
          <w:color w:val="000000" w:themeColor="text1"/>
          <w:lang w:val="es-419"/>
        </w:rPr>
        <w:t>el 2,07% de las personas</w:t>
      </w:r>
      <w:r w:rsidR="0054752B">
        <w:rPr>
          <w:rFonts w:ascii="Source Sans Pro" w:hAnsi="Source Sans Pro"/>
          <w:color w:val="000000" w:themeColor="text1"/>
          <w:lang w:val="es-419"/>
        </w:rPr>
        <w:t xml:space="preserve"> trans</w:t>
      </w:r>
      <w:r w:rsidR="00C5374B" w:rsidRPr="005F165B">
        <w:rPr>
          <w:rFonts w:ascii="Source Sans Pro" w:hAnsi="Source Sans Pro"/>
          <w:color w:val="000000" w:themeColor="text1"/>
          <w:lang w:val="es-419"/>
        </w:rPr>
        <w:t xml:space="preserve"> encuestadas, mencionó que vivió discriminación en el momento en el cual decidió realizarse el test de covid-19. Asimismo, el 4,56% no recibieron tratamiento para su sintomatología del virus, y el </w:t>
      </w:r>
      <w:r w:rsidR="00C5374B" w:rsidRPr="005F165B">
        <w:rPr>
          <w:rFonts w:ascii="Source Sans Pro" w:hAnsi="Source Sans Pro"/>
          <w:b/>
          <w:color w:val="000000" w:themeColor="text1"/>
          <w:lang w:val="es-419"/>
        </w:rPr>
        <w:t>0,19%</w:t>
      </w:r>
      <w:r w:rsidR="00C5374B" w:rsidRPr="005F165B">
        <w:rPr>
          <w:rFonts w:ascii="Source Sans Pro" w:hAnsi="Source Sans Pro"/>
          <w:color w:val="000000" w:themeColor="text1"/>
          <w:lang w:val="es-419"/>
        </w:rPr>
        <w:t xml:space="preserve"> -una persona Trans migrante- mencionó que la atención que recibió no fue oportuna, ni efectiva, el personal de salud no fue amable, profesionales de la salud no le otorgaron información clara, ni tuvo calidad en su atención. </w:t>
      </w:r>
    </w:p>
    <w:p w14:paraId="72EDAC8E" w14:textId="01034EA2" w:rsidR="00D44712" w:rsidRDefault="002C59F2" w:rsidP="0054752B">
      <w:pPr>
        <w:jc w:val="both"/>
        <w:rPr>
          <w:rFonts w:ascii="Source Sans Pro" w:hAnsi="Source Sans Pro"/>
          <w:color w:val="000000" w:themeColor="text1"/>
          <w:lang w:val="es"/>
        </w:rPr>
      </w:pPr>
      <w:r w:rsidRPr="0054752B">
        <w:rPr>
          <w:rFonts w:ascii="Source Sans Pro" w:hAnsi="Source Sans Pro"/>
          <w:color w:val="000000" w:themeColor="text1"/>
          <w:lang w:val="es-419"/>
        </w:rPr>
        <w:t>Otra situación particular e</w:t>
      </w:r>
      <w:r w:rsidR="009B67DB" w:rsidRPr="0054752B">
        <w:rPr>
          <w:rFonts w:ascii="Source Sans Pro" w:hAnsi="Source Sans Pro"/>
          <w:color w:val="000000" w:themeColor="text1"/>
          <w:lang w:val="es-419"/>
        </w:rPr>
        <w:t xml:space="preserve">s el recrudecimiento y el aumento de </w:t>
      </w:r>
      <w:r w:rsidRPr="0054752B">
        <w:rPr>
          <w:rFonts w:ascii="Source Sans Pro" w:hAnsi="Source Sans Pro"/>
          <w:color w:val="000000" w:themeColor="text1"/>
          <w:lang w:val="es"/>
        </w:rPr>
        <w:t>la vulnerabilidad y el prejuicio en contra de las personas que viven con VIH. Su atención en servicios médicos empeoró</w:t>
      </w:r>
      <w:r w:rsidR="0054752B">
        <w:rPr>
          <w:rFonts w:ascii="Source Sans Pro" w:hAnsi="Source Sans Pro"/>
          <w:color w:val="000000" w:themeColor="text1"/>
          <w:lang w:val="es"/>
        </w:rPr>
        <w:t xml:space="preserve"> durante la pandemia</w:t>
      </w:r>
      <w:r w:rsidRPr="0054752B">
        <w:rPr>
          <w:rFonts w:ascii="Source Sans Pro" w:hAnsi="Source Sans Pro"/>
          <w:color w:val="000000" w:themeColor="text1"/>
          <w:lang w:val="es"/>
        </w:rPr>
        <w:t>, el estigma sobre ellas se fortaleció socialmente y no se reforzaron las medidas necesarias para atender satisfactoriamente a esta población en medio de las barreras sociales, económicas y físicas que la pandemia y su respuesta estatal impusieron</w:t>
      </w:r>
      <w:r w:rsidR="009B67DB" w:rsidRPr="005F165B">
        <w:rPr>
          <w:rStyle w:val="FootnoteReference"/>
          <w:rFonts w:ascii="Source Sans Pro" w:hAnsi="Source Sans Pro"/>
          <w:color w:val="000000" w:themeColor="text1"/>
          <w:lang w:val="es"/>
        </w:rPr>
        <w:footnoteReference w:id="47"/>
      </w:r>
      <w:r w:rsidRPr="0054752B">
        <w:rPr>
          <w:rFonts w:ascii="Source Sans Pro" w:hAnsi="Source Sans Pro"/>
          <w:color w:val="000000" w:themeColor="text1"/>
          <w:lang w:val="es"/>
        </w:rPr>
        <w:t>.</w:t>
      </w:r>
      <w:r w:rsidR="002C020C" w:rsidRPr="0054752B">
        <w:rPr>
          <w:rFonts w:ascii="Source Sans Pro" w:hAnsi="Source Sans Pro"/>
          <w:color w:val="000000" w:themeColor="text1"/>
          <w:lang w:val="es"/>
        </w:rPr>
        <w:t xml:space="preserve"> Esto se ejemplifica en el caso del fallecimiento de Alejandra, una trabajadora sexual trans del barrio Santafé en Bogotá, </w:t>
      </w:r>
      <w:r w:rsidR="002C2323" w:rsidRPr="0054752B">
        <w:rPr>
          <w:rFonts w:ascii="Source Sans Pro" w:hAnsi="Source Sans Pro"/>
          <w:color w:val="000000" w:themeColor="text1"/>
          <w:lang w:val="es"/>
        </w:rPr>
        <w:t xml:space="preserve">que al llamar un servicio de ambulancia por dificultades del </w:t>
      </w:r>
      <w:r w:rsidR="00DE5CBE" w:rsidRPr="0054752B">
        <w:rPr>
          <w:rFonts w:ascii="Source Sans Pro" w:hAnsi="Source Sans Pro"/>
          <w:color w:val="000000" w:themeColor="text1"/>
          <w:lang w:val="es"/>
        </w:rPr>
        <w:t>COVID</w:t>
      </w:r>
      <w:r w:rsidR="002C2323" w:rsidRPr="0054752B">
        <w:rPr>
          <w:rFonts w:ascii="Source Sans Pro" w:hAnsi="Source Sans Pro"/>
          <w:color w:val="000000" w:themeColor="text1"/>
          <w:lang w:val="es"/>
        </w:rPr>
        <w:t xml:space="preserve"> 19, </w:t>
      </w:r>
      <w:r w:rsidR="00DE5CBE" w:rsidRPr="0054752B">
        <w:rPr>
          <w:rFonts w:ascii="Source Sans Pro" w:hAnsi="Source Sans Pro"/>
          <w:color w:val="000000" w:themeColor="text1"/>
          <w:lang w:val="es"/>
        </w:rPr>
        <w:t xml:space="preserve">se le negó la atención por parte del prestador de servicios al enterarse que era </w:t>
      </w:r>
      <w:r w:rsidR="0054752B">
        <w:rPr>
          <w:rFonts w:ascii="Source Sans Pro" w:hAnsi="Source Sans Pro"/>
          <w:color w:val="000000" w:themeColor="text1"/>
          <w:lang w:val="es"/>
        </w:rPr>
        <w:t>una persona viviendo con VIH</w:t>
      </w:r>
      <w:r w:rsidR="009A7EEC" w:rsidRPr="005F165B">
        <w:rPr>
          <w:rStyle w:val="FootnoteReference"/>
          <w:rFonts w:ascii="Source Sans Pro" w:hAnsi="Source Sans Pro"/>
          <w:color w:val="000000" w:themeColor="text1"/>
          <w:lang w:val="es"/>
        </w:rPr>
        <w:footnoteReference w:id="48"/>
      </w:r>
      <w:r w:rsidR="00DE5CBE" w:rsidRPr="0054752B">
        <w:rPr>
          <w:rFonts w:ascii="Source Sans Pro" w:hAnsi="Source Sans Pro"/>
          <w:color w:val="000000" w:themeColor="text1"/>
          <w:lang w:val="es"/>
        </w:rPr>
        <w:t xml:space="preserve">. </w:t>
      </w:r>
    </w:p>
    <w:p w14:paraId="76EC3CC5" w14:textId="52AA95AD" w:rsidR="00865B9E" w:rsidRDefault="00865B9E" w:rsidP="00865B9E">
      <w:pPr>
        <w:jc w:val="both"/>
        <w:rPr>
          <w:rFonts w:ascii="Source Sans Pro" w:hAnsi="Source Sans Pro"/>
          <w:color w:val="000000" w:themeColor="text1"/>
        </w:rPr>
      </w:pPr>
      <w:r>
        <w:rPr>
          <w:rFonts w:ascii="Source Sans Pro" w:hAnsi="Source Sans Pro"/>
          <w:color w:val="000000" w:themeColor="text1"/>
          <w:lang w:val="es"/>
        </w:rPr>
        <w:t xml:space="preserve">En </w:t>
      </w:r>
      <w:r w:rsidRPr="00865B9E">
        <w:rPr>
          <w:rFonts w:ascii="Source Sans Pro" w:hAnsi="Source Sans Pro"/>
          <w:b/>
          <w:bCs/>
          <w:color w:val="000000" w:themeColor="text1"/>
          <w:lang w:val="es"/>
        </w:rPr>
        <w:t>Bolivia,</w:t>
      </w:r>
      <w:r>
        <w:rPr>
          <w:rFonts w:ascii="Source Sans Pro" w:hAnsi="Source Sans Pro"/>
          <w:color w:val="000000" w:themeColor="text1"/>
          <w:lang w:val="es"/>
        </w:rPr>
        <w:t xml:space="preserve"> de otro lado, </w:t>
      </w:r>
      <w:r w:rsidRPr="00865B9E">
        <w:rPr>
          <w:rFonts w:ascii="Source Sans Pro" w:hAnsi="Source Sans Pro"/>
          <w:color w:val="000000" w:themeColor="text1"/>
        </w:rPr>
        <w:t>profunda crisis sanitaria a raíz del COVID-19 ha dificultado el acceso a la salud por dis</w:t>
      </w:r>
      <w:r>
        <w:rPr>
          <w:rFonts w:ascii="Source Sans Pro" w:hAnsi="Source Sans Pro"/>
          <w:color w:val="000000" w:themeColor="text1"/>
        </w:rPr>
        <w:t>c</w:t>
      </w:r>
      <w:r w:rsidRPr="00865B9E">
        <w:rPr>
          <w:rFonts w:ascii="Source Sans Pro" w:hAnsi="Source Sans Pro"/>
          <w:color w:val="000000" w:themeColor="text1"/>
        </w:rPr>
        <w:t>riminación especialmente de personas trans, quienes se vieron gravemente afectadas por la pandemia</w:t>
      </w:r>
      <w:r w:rsidR="00556B7B">
        <w:rPr>
          <w:rStyle w:val="FootnoteReference"/>
          <w:rFonts w:ascii="Source Sans Pro" w:hAnsi="Source Sans Pro"/>
          <w:color w:val="000000" w:themeColor="text1"/>
        </w:rPr>
        <w:footnoteReference w:id="49"/>
      </w:r>
      <w:r w:rsidRPr="00865B9E">
        <w:rPr>
          <w:rFonts w:ascii="Source Sans Pro" w:hAnsi="Source Sans Pro"/>
          <w:color w:val="000000" w:themeColor="text1"/>
        </w:rPr>
        <w:t>. En mayo de 2020, Fernanda Antelo, una joven mujer trans de la zona del Plan 3000 en Santa Cruz, murió en condiciones desafortunadas luego de buscar atención médica en varios centros de salud y pasar dos días durmiendo en las calles a la espera de ser atendida. Fue echada de su alojamiento debido a sus dificultades económicas que se vieron agravadas por las restricciones de la cuarentena</w:t>
      </w:r>
      <w:r w:rsidR="00556B7B">
        <w:rPr>
          <w:rFonts w:ascii="Source Sans Pro" w:hAnsi="Source Sans Pro"/>
          <w:color w:val="000000" w:themeColor="text1"/>
        </w:rPr>
        <w:t xml:space="preserve"> y l</w:t>
      </w:r>
      <w:r w:rsidRPr="00865B9E">
        <w:rPr>
          <w:rFonts w:ascii="Source Sans Pro" w:hAnsi="Source Sans Pro"/>
          <w:color w:val="000000" w:themeColor="text1"/>
        </w:rPr>
        <w:t>os centros de salud se negaron a atenderla por la sospecha de que pudiera portar el coronavirus</w:t>
      </w:r>
      <w:r w:rsidRPr="00865B9E">
        <w:rPr>
          <w:rFonts w:ascii="Source Sans Pro" w:hAnsi="Source Sans Pro"/>
          <w:color w:val="000000" w:themeColor="text1"/>
          <w:vertAlign w:val="superscript"/>
        </w:rPr>
        <w:footnoteReference w:id="50"/>
      </w:r>
      <w:r w:rsidRPr="00865B9E">
        <w:rPr>
          <w:rFonts w:ascii="Source Sans Pro" w:hAnsi="Source Sans Pro"/>
          <w:color w:val="000000" w:themeColor="text1"/>
        </w:rPr>
        <w:t xml:space="preserve">.    </w:t>
      </w:r>
    </w:p>
    <w:p w14:paraId="18087719" w14:textId="4B1C4135" w:rsidR="006C67C6" w:rsidRPr="006C67C6" w:rsidRDefault="006C67C6" w:rsidP="006C67C6">
      <w:pPr>
        <w:jc w:val="both"/>
        <w:rPr>
          <w:rFonts w:ascii="Source Sans Pro" w:hAnsi="Source Sans Pro"/>
          <w:color w:val="000000" w:themeColor="text1"/>
        </w:rPr>
      </w:pPr>
      <w:r w:rsidRPr="006C67C6">
        <w:rPr>
          <w:rFonts w:ascii="Source Sans Pro" w:hAnsi="Source Sans Pro"/>
          <w:color w:val="000000" w:themeColor="text1"/>
        </w:rPr>
        <w:t xml:space="preserve">Asimismo, la situación de </w:t>
      </w:r>
      <w:r>
        <w:rPr>
          <w:rFonts w:ascii="Source Sans Pro" w:hAnsi="Source Sans Pro"/>
          <w:color w:val="000000" w:themeColor="text1"/>
        </w:rPr>
        <w:t>personas LGBT</w:t>
      </w:r>
      <w:r w:rsidRPr="006C67C6">
        <w:rPr>
          <w:rFonts w:ascii="Source Sans Pro" w:hAnsi="Source Sans Pro"/>
          <w:color w:val="000000" w:themeColor="text1"/>
        </w:rPr>
        <w:t xml:space="preserve"> se vio afectada en la pandemia por el COVID – 19, debido a que la crisis económica en muchos de los casos les impidió continuar con sus terapias de remplazo hormonal.</w:t>
      </w:r>
      <w:r>
        <w:rPr>
          <w:rFonts w:ascii="Source Sans Pro" w:hAnsi="Source Sans Pro"/>
          <w:color w:val="000000" w:themeColor="text1"/>
        </w:rPr>
        <w:t xml:space="preserve"> Otras</w:t>
      </w:r>
      <w:r w:rsidRPr="006C67C6">
        <w:rPr>
          <w:rFonts w:ascii="Source Sans Pro" w:hAnsi="Source Sans Pro"/>
          <w:color w:val="000000" w:themeColor="text1"/>
        </w:rPr>
        <w:t xml:space="preserve"> perdi</w:t>
      </w:r>
      <w:r>
        <w:rPr>
          <w:rFonts w:ascii="Source Sans Pro" w:hAnsi="Source Sans Pro"/>
          <w:color w:val="000000" w:themeColor="text1"/>
        </w:rPr>
        <w:t>eron</w:t>
      </w:r>
      <w:r w:rsidRPr="006C67C6">
        <w:rPr>
          <w:rFonts w:ascii="Source Sans Pro" w:hAnsi="Source Sans Pro"/>
          <w:color w:val="000000" w:themeColor="text1"/>
        </w:rPr>
        <w:t xml:space="preserve"> </w:t>
      </w:r>
      <w:r>
        <w:rPr>
          <w:rFonts w:ascii="Source Sans Pro" w:hAnsi="Source Sans Pro"/>
          <w:color w:val="000000" w:themeColor="text1"/>
        </w:rPr>
        <w:t>su</w:t>
      </w:r>
      <w:r w:rsidRPr="006C67C6">
        <w:rPr>
          <w:rFonts w:ascii="Source Sans Pro" w:hAnsi="Source Sans Pro"/>
          <w:color w:val="000000" w:themeColor="text1"/>
        </w:rPr>
        <w:t xml:space="preserve"> vivienda y </w:t>
      </w:r>
      <w:r>
        <w:rPr>
          <w:rFonts w:ascii="Source Sans Pro" w:hAnsi="Source Sans Pro"/>
          <w:color w:val="000000" w:themeColor="text1"/>
        </w:rPr>
        <w:t xml:space="preserve">atravesaron una </w:t>
      </w:r>
      <w:r w:rsidRPr="006C67C6">
        <w:rPr>
          <w:rFonts w:ascii="Source Sans Pro" w:hAnsi="Source Sans Pro"/>
          <w:color w:val="000000" w:themeColor="text1"/>
        </w:rPr>
        <w:t xml:space="preserve">mala alimentación por perdida de recursos económicos, </w:t>
      </w:r>
      <w:r>
        <w:rPr>
          <w:rFonts w:ascii="Source Sans Pro" w:hAnsi="Source Sans Pro"/>
          <w:color w:val="000000" w:themeColor="text1"/>
        </w:rPr>
        <w:t xml:space="preserve">además </w:t>
      </w:r>
      <w:r w:rsidRPr="006C67C6">
        <w:rPr>
          <w:rFonts w:ascii="Source Sans Pro" w:hAnsi="Source Sans Pro"/>
          <w:color w:val="000000" w:themeColor="text1"/>
        </w:rPr>
        <w:t xml:space="preserve">la falta de atención en la tramitación de documentos de identidad no permitió que personas </w:t>
      </w:r>
      <w:r>
        <w:rPr>
          <w:rFonts w:ascii="Source Sans Pro" w:hAnsi="Source Sans Pro"/>
          <w:color w:val="000000" w:themeColor="text1"/>
        </w:rPr>
        <w:t>trans</w:t>
      </w:r>
      <w:r w:rsidRPr="006C67C6">
        <w:rPr>
          <w:rFonts w:ascii="Source Sans Pro" w:hAnsi="Source Sans Pro"/>
          <w:color w:val="000000" w:themeColor="text1"/>
        </w:rPr>
        <w:t xml:space="preserve"> cobraran bonos que por ley el Estado proporcion</w:t>
      </w:r>
      <w:r>
        <w:rPr>
          <w:rFonts w:ascii="Source Sans Pro" w:hAnsi="Source Sans Pro"/>
          <w:color w:val="000000" w:themeColor="text1"/>
        </w:rPr>
        <w:t>ó</w:t>
      </w:r>
      <w:r w:rsidRPr="006C67C6">
        <w:rPr>
          <w:rFonts w:ascii="Source Sans Pro" w:hAnsi="Source Sans Pro"/>
          <w:color w:val="000000" w:themeColor="text1"/>
        </w:rPr>
        <w:t xml:space="preserve"> a la población civil.</w:t>
      </w:r>
    </w:p>
    <w:p w14:paraId="4E78E08B" w14:textId="729B356B" w:rsidR="006C67C6" w:rsidRPr="006C67C6" w:rsidRDefault="006C67C6" w:rsidP="006C67C6">
      <w:pPr>
        <w:jc w:val="both"/>
        <w:rPr>
          <w:rFonts w:ascii="Source Sans Pro" w:hAnsi="Source Sans Pro"/>
          <w:b/>
          <w:bCs/>
          <w:color w:val="000000" w:themeColor="text1"/>
        </w:rPr>
      </w:pPr>
      <w:r>
        <w:rPr>
          <w:rFonts w:ascii="Source Sans Pro" w:hAnsi="Source Sans Pro"/>
          <w:color w:val="000000" w:themeColor="text1"/>
        </w:rPr>
        <w:t>Cabe</w:t>
      </w:r>
      <w:r w:rsidRPr="006C67C6">
        <w:rPr>
          <w:rFonts w:ascii="Source Sans Pro" w:hAnsi="Source Sans Pro"/>
          <w:color w:val="000000" w:themeColor="text1"/>
        </w:rPr>
        <w:t xml:space="preserve"> mencionar </w:t>
      </w:r>
      <w:r>
        <w:rPr>
          <w:rFonts w:ascii="Source Sans Pro" w:hAnsi="Source Sans Pro"/>
          <w:color w:val="000000" w:themeColor="text1"/>
        </w:rPr>
        <w:t xml:space="preserve">que </w:t>
      </w:r>
      <w:r w:rsidRPr="006C67C6">
        <w:rPr>
          <w:rFonts w:ascii="Source Sans Pro" w:hAnsi="Source Sans Pro"/>
          <w:color w:val="000000" w:themeColor="text1"/>
        </w:rPr>
        <w:t xml:space="preserve">la organización IGUAL </w:t>
      </w:r>
      <w:r>
        <w:rPr>
          <w:rFonts w:ascii="Source Sans Pro" w:hAnsi="Source Sans Pro"/>
          <w:color w:val="000000" w:themeColor="text1"/>
        </w:rPr>
        <w:t xml:space="preserve">en Bolivia </w:t>
      </w:r>
      <w:r w:rsidRPr="006C67C6">
        <w:rPr>
          <w:rFonts w:ascii="Source Sans Pro" w:hAnsi="Source Sans Pro"/>
          <w:color w:val="000000" w:themeColor="text1"/>
        </w:rPr>
        <w:t>recibió denuncias durante la cuarentena de personas LGBTI</w:t>
      </w:r>
      <w:r>
        <w:rPr>
          <w:rFonts w:ascii="Source Sans Pro" w:hAnsi="Source Sans Pro"/>
          <w:color w:val="000000" w:themeColor="text1"/>
        </w:rPr>
        <w:t>, principalmente jóvenes y adolescentes,</w:t>
      </w:r>
      <w:r w:rsidRPr="006C67C6">
        <w:rPr>
          <w:rFonts w:ascii="Source Sans Pro" w:hAnsi="Source Sans Pro"/>
          <w:color w:val="000000" w:themeColor="text1"/>
        </w:rPr>
        <w:t xml:space="preserve"> que se encontra</w:t>
      </w:r>
      <w:r>
        <w:rPr>
          <w:rFonts w:ascii="Source Sans Pro" w:hAnsi="Source Sans Pro"/>
          <w:color w:val="000000" w:themeColor="text1"/>
        </w:rPr>
        <w:t>ba</w:t>
      </w:r>
      <w:r w:rsidRPr="006C67C6">
        <w:rPr>
          <w:rFonts w:ascii="Source Sans Pro" w:hAnsi="Source Sans Pro"/>
          <w:color w:val="000000" w:themeColor="text1"/>
        </w:rPr>
        <w:t>n en hogares violentos, donde fueron hostigados y discriminados por familiares, sin posibilidad de realizar las denuncias respectivas por miedo a represarías de sus entornos familiares</w:t>
      </w:r>
      <w:r>
        <w:rPr>
          <w:rFonts w:ascii="Source Sans Pro" w:hAnsi="Source Sans Pro"/>
          <w:color w:val="000000" w:themeColor="text1"/>
        </w:rPr>
        <w:t>.</w:t>
      </w:r>
      <w:r w:rsidRPr="006C67C6">
        <w:rPr>
          <w:rFonts w:ascii="Source Sans Pro" w:hAnsi="Source Sans Pro"/>
          <w:color w:val="000000" w:themeColor="text1"/>
        </w:rPr>
        <w:t xml:space="preserve"> </w:t>
      </w:r>
    </w:p>
    <w:p w14:paraId="14AA1AC1" w14:textId="0431F9BA" w:rsidR="00D44712" w:rsidRPr="0054752B" w:rsidRDefault="00D44712" w:rsidP="0054752B">
      <w:pPr>
        <w:jc w:val="both"/>
        <w:rPr>
          <w:rFonts w:ascii="Source Sans Pro" w:hAnsi="Source Sans Pro"/>
          <w:color w:val="000000" w:themeColor="text1"/>
          <w:lang w:val="es"/>
        </w:rPr>
      </w:pPr>
      <w:r w:rsidRPr="0054752B">
        <w:rPr>
          <w:rFonts w:ascii="Source Sans Pro" w:hAnsi="Source Sans Pro"/>
          <w:color w:val="000000" w:themeColor="text1"/>
          <w:lang w:val="es"/>
        </w:rPr>
        <w:t xml:space="preserve">Por otra parte, </w:t>
      </w:r>
      <w:r w:rsidR="00941D2F" w:rsidRPr="0054752B">
        <w:rPr>
          <w:rFonts w:ascii="Source Sans Pro" w:hAnsi="Source Sans Pro"/>
          <w:color w:val="000000" w:themeColor="text1"/>
          <w:lang w:val="es"/>
        </w:rPr>
        <w:t>autoridades públicas y sanitarias</w:t>
      </w:r>
      <w:r w:rsidR="00CE0EA0" w:rsidRPr="0054752B">
        <w:rPr>
          <w:rFonts w:ascii="Source Sans Pro" w:hAnsi="Source Sans Pro"/>
          <w:color w:val="000000" w:themeColor="text1"/>
          <w:lang w:val="es"/>
        </w:rPr>
        <w:t xml:space="preserve"> han señalado, culpado y encarcelado a</w:t>
      </w:r>
      <w:r w:rsidR="00941D2F" w:rsidRPr="0054752B">
        <w:rPr>
          <w:rFonts w:ascii="Source Sans Pro" w:hAnsi="Source Sans Pro"/>
          <w:color w:val="000000" w:themeColor="text1"/>
          <w:lang w:val="es"/>
        </w:rPr>
        <w:t xml:space="preserve"> las</w:t>
      </w:r>
      <w:r w:rsidRPr="0054752B">
        <w:rPr>
          <w:rFonts w:ascii="Source Sans Pro" w:hAnsi="Source Sans Pro"/>
          <w:color w:val="000000" w:themeColor="text1"/>
        </w:rPr>
        <w:t xml:space="preserve"> personas LGBT por ser “focos” de enfermedades durante la pandemia de COVID-19</w:t>
      </w:r>
      <w:r w:rsidR="006D7195" w:rsidRPr="0054752B">
        <w:rPr>
          <w:rFonts w:ascii="Source Sans Pro" w:hAnsi="Source Sans Pro"/>
          <w:color w:val="000000" w:themeColor="text1"/>
        </w:rPr>
        <w:t>, excusándose en que suelen vivir en espacios comunes abarrotados</w:t>
      </w:r>
      <w:r w:rsidR="006D7195" w:rsidRPr="0054752B">
        <w:rPr>
          <w:rStyle w:val="FootnoteReference"/>
          <w:rFonts w:ascii="Source Sans Pro" w:hAnsi="Source Sans Pro"/>
          <w:color w:val="000000" w:themeColor="text1"/>
        </w:rPr>
        <w:footnoteReference w:id="51"/>
      </w:r>
      <w:r w:rsidR="0054752B">
        <w:rPr>
          <w:rFonts w:ascii="Source Sans Pro" w:hAnsi="Source Sans Pro"/>
          <w:color w:val="000000" w:themeColor="text1"/>
        </w:rPr>
        <w:t xml:space="preserve"> o adjudicándoles ser la causa de la pandemia</w:t>
      </w:r>
      <w:r w:rsidR="0001410E">
        <w:rPr>
          <w:rFonts w:ascii="Source Sans Pro" w:hAnsi="Source Sans Pro"/>
          <w:color w:val="000000" w:themeColor="text1"/>
        </w:rPr>
        <w:t>.</w:t>
      </w:r>
    </w:p>
    <w:p w14:paraId="340A2A75" w14:textId="595FB12E" w:rsidR="00657E31" w:rsidRPr="005F165B" w:rsidRDefault="00657E31" w:rsidP="00657E31">
      <w:pPr>
        <w:pStyle w:val="ListParagraph"/>
        <w:jc w:val="both"/>
        <w:rPr>
          <w:rFonts w:ascii="Source Sans Pro" w:hAnsi="Source Sans Pro"/>
          <w:color w:val="000000" w:themeColor="text1"/>
        </w:rPr>
      </w:pPr>
      <w:r w:rsidRPr="005F165B">
        <w:rPr>
          <w:rFonts w:ascii="Source Sans Pro" w:hAnsi="Source Sans Pro"/>
          <w:color w:val="000000" w:themeColor="text1"/>
        </w:rPr>
        <w:t xml:space="preserve"> </w:t>
      </w:r>
    </w:p>
    <w:p w14:paraId="6F5B710C" w14:textId="7FEE2ABE" w:rsidR="00B66E1A" w:rsidRPr="005F165B" w:rsidRDefault="00B66E1A" w:rsidP="00B66E1A">
      <w:pPr>
        <w:pStyle w:val="ListParagraph"/>
        <w:numPr>
          <w:ilvl w:val="0"/>
          <w:numId w:val="34"/>
        </w:numPr>
        <w:jc w:val="both"/>
        <w:rPr>
          <w:rFonts w:ascii="Source Sans Pro" w:hAnsi="Source Sans Pro"/>
          <w:i/>
          <w:iCs/>
          <w:color w:val="7030A0"/>
        </w:rPr>
      </w:pPr>
      <w:r w:rsidRPr="005F165B">
        <w:rPr>
          <w:rFonts w:ascii="Source Sans Pro" w:hAnsi="Source Sans Pro"/>
          <w:i/>
          <w:iCs/>
          <w:color w:val="7030A0"/>
        </w:rPr>
        <w:t xml:space="preserve">La identificación de las necesidades en relación a temas de salud que tienen las personas LGBTI+ sobrevivientes de las violencias ya mencionadas y sus familias. </w:t>
      </w:r>
    </w:p>
    <w:p w14:paraId="53E258A3" w14:textId="5F49FDFD" w:rsidR="00195CAA" w:rsidRPr="005F165B" w:rsidRDefault="00E73573" w:rsidP="0001410E">
      <w:pPr>
        <w:jc w:val="both"/>
        <w:rPr>
          <w:rFonts w:ascii="Source Sans Pro" w:hAnsi="Source Sans Pro"/>
        </w:rPr>
      </w:pPr>
      <w:r w:rsidRPr="005F165B">
        <w:rPr>
          <w:rFonts w:ascii="Source Sans Pro" w:hAnsi="Source Sans Pro"/>
        </w:rPr>
        <w:t xml:space="preserve">Algunas de las necesidades </w:t>
      </w:r>
      <w:r w:rsidR="0001410E">
        <w:rPr>
          <w:rFonts w:ascii="Source Sans Pro" w:hAnsi="Source Sans Pro"/>
        </w:rPr>
        <w:t xml:space="preserve">de personas LGBTI+ </w:t>
      </w:r>
      <w:r w:rsidRPr="005F165B">
        <w:rPr>
          <w:rFonts w:ascii="Source Sans Pro" w:hAnsi="Source Sans Pro"/>
        </w:rPr>
        <w:t xml:space="preserve">que las organizaciones pertenecientes a la Red </w:t>
      </w:r>
      <w:r w:rsidR="00F909C7" w:rsidRPr="005F165B">
        <w:rPr>
          <w:rFonts w:ascii="Source Sans Pro" w:hAnsi="Source Sans Pro"/>
        </w:rPr>
        <w:t>han identificado de los casos que han trabajado y de la aplicación de los estándares internacionales</w:t>
      </w:r>
      <w:r w:rsidR="00F909C7" w:rsidRPr="005F165B">
        <w:rPr>
          <w:rStyle w:val="FootnoteReference"/>
          <w:rFonts w:ascii="Source Sans Pro" w:hAnsi="Source Sans Pro"/>
        </w:rPr>
        <w:footnoteReference w:id="52"/>
      </w:r>
      <w:r w:rsidR="00F909C7" w:rsidRPr="005F165B">
        <w:rPr>
          <w:rFonts w:ascii="Source Sans Pro" w:hAnsi="Source Sans Pro"/>
        </w:rPr>
        <w:t xml:space="preserve"> en la materia son las siguientes: </w:t>
      </w:r>
    </w:p>
    <w:p w14:paraId="6D98B4AB" w14:textId="1A0D2EC1" w:rsidR="00795ABA" w:rsidRPr="005F165B" w:rsidRDefault="00B56A26" w:rsidP="0001410E">
      <w:pPr>
        <w:pStyle w:val="ListParagraph"/>
        <w:numPr>
          <w:ilvl w:val="0"/>
          <w:numId w:val="41"/>
        </w:numPr>
        <w:ind w:left="426" w:hanging="284"/>
        <w:jc w:val="both"/>
        <w:rPr>
          <w:rFonts w:ascii="Source Sans Pro" w:hAnsi="Source Sans Pro"/>
        </w:rPr>
      </w:pPr>
      <w:r w:rsidRPr="005F165B">
        <w:rPr>
          <w:rFonts w:ascii="Source Sans Pro" w:hAnsi="Source Sans Pro"/>
        </w:rPr>
        <w:t xml:space="preserve">Revisar las prácticas y protocolos médicos vigentes </w:t>
      </w:r>
      <w:r w:rsidR="00AD0C92" w:rsidRPr="005F165B">
        <w:rPr>
          <w:rFonts w:ascii="Source Sans Pro" w:hAnsi="Source Sans Pro"/>
        </w:rPr>
        <w:t>en la realización de intervenciones quirúrgicas</w:t>
      </w:r>
      <w:r w:rsidR="003065D1" w:rsidRPr="005F165B">
        <w:rPr>
          <w:rFonts w:ascii="Source Sans Pro" w:hAnsi="Source Sans Pro"/>
        </w:rPr>
        <w:t xml:space="preserve"> a infancias intersex</w:t>
      </w:r>
      <w:r w:rsidR="00FD38D2" w:rsidRPr="005F165B">
        <w:rPr>
          <w:rFonts w:ascii="Source Sans Pro" w:hAnsi="Source Sans Pro"/>
        </w:rPr>
        <w:t xml:space="preserve">, </w:t>
      </w:r>
      <w:r w:rsidR="00D64744" w:rsidRPr="005F165B">
        <w:rPr>
          <w:rFonts w:ascii="Source Sans Pro" w:hAnsi="Source Sans Pro"/>
        </w:rPr>
        <w:t>y eliminarlas cuando</w:t>
      </w:r>
      <w:r w:rsidR="00DD017B" w:rsidRPr="005F165B">
        <w:rPr>
          <w:rFonts w:ascii="Source Sans Pro" w:hAnsi="Source Sans Pro"/>
        </w:rPr>
        <w:t xml:space="preserve"> son</w:t>
      </w:r>
      <w:r w:rsidR="00AD0C92" w:rsidRPr="005F165B">
        <w:rPr>
          <w:rFonts w:ascii="Source Sans Pro" w:hAnsi="Source Sans Pro"/>
        </w:rPr>
        <w:t xml:space="preserve"> </w:t>
      </w:r>
      <w:r w:rsidR="003065D1" w:rsidRPr="005F165B">
        <w:rPr>
          <w:rFonts w:ascii="Source Sans Pro" w:hAnsi="Source Sans Pro"/>
        </w:rPr>
        <w:t xml:space="preserve">innecesarias </w:t>
      </w:r>
      <w:r w:rsidR="00DD017B" w:rsidRPr="005F165B">
        <w:rPr>
          <w:rFonts w:ascii="Source Sans Pro" w:hAnsi="Source Sans Pro"/>
        </w:rPr>
        <w:t xml:space="preserve">y no cuentan con su conocimiento previo, libre e informado. </w:t>
      </w:r>
    </w:p>
    <w:p w14:paraId="1EA2101A" w14:textId="77777777" w:rsidR="00C477C6" w:rsidRPr="005F165B" w:rsidRDefault="00C477C6" w:rsidP="0001410E">
      <w:pPr>
        <w:pStyle w:val="ListParagraph"/>
        <w:ind w:left="426" w:hanging="284"/>
        <w:jc w:val="both"/>
        <w:rPr>
          <w:rFonts w:ascii="Source Sans Pro" w:hAnsi="Source Sans Pro"/>
        </w:rPr>
      </w:pPr>
    </w:p>
    <w:p w14:paraId="1D76CAB6" w14:textId="2A3FA092" w:rsidR="00C477C6" w:rsidRPr="005F165B" w:rsidRDefault="0064191A" w:rsidP="0001410E">
      <w:pPr>
        <w:pStyle w:val="ListParagraph"/>
        <w:numPr>
          <w:ilvl w:val="0"/>
          <w:numId w:val="41"/>
        </w:numPr>
        <w:ind w:left="426" w:hanging="284"/>
        <w:jc w:val="both"/>
        <w:rPr>
          <w:rFonts w:ascii="Source Sans Pro" w:hAnsi="Source Sans Pro"/>
        </w:rPr>
      </w:pPr>
      <w:r w:rsidRPr="005F165B">
        <w:rPr>
          <w:rFonts w:ascii="Source Sans Pro" w:hAnsi="Source Sans Pro"/>
        </w:rPr>
        <w:t xml:space="preserve">En el caso de países que estén/hayan estado inmersos en un conflicto armado, es necesario el acceso a servicios de salud </w:t>
      </w:r>
      <w:r w:rsidR="00077657" w:rsidRPr="005F165B">
        <w:rPr>
          <w:rFonts w:ascii="Source Sans Pro" w:hAnsi="Source Sans Pro"/>
        </w:rPr>
        <w:t xml:space="preserve">que traten los </w:t>
      </w:r>
      <w:r w:rsidRPr="005F165B">
        <w:rPr>
          <w:rFonts w:ascii="Source Sans Pro" w:hAnsi="Source Sans Pro"/>
        </w:rPr>
        <w:t>efectos psicológicos, traumas severos en el cuerpo</w:t>
      </w:r>
      <w:r w:rsidR="00282F9A" w:rsidRPr="005F165B">
        <w:rPr>
          <w:rFonts w:ascii="Source Sans Pro" w:hAnsi="Source Sans Pro"/>
        </w:rPr>
        <w:t xml:space="preserve"> y </w:t>
      </w:r>
      <w:r w:rsidRPr="005F165B">
        <w:rPr>
          <w:rFonts w:ascii="Source Sans Pro" w:hAnsi="Source Sans Pro"/>
        </w:rPr>
        <w:t>dificultad para construir relaciones interpersonales</w:t>
      </w:r>
      <w:r w:rsidR="00077657" w:rsidRPr="005F165B">
        <w:rPr>
          <w:rFonts w:ascii="Source Sans Pro" w:hAnsi="Source Sans Pro"/>
        </w:rPr>
        <w:t xml:space="preserve"> </w:t>
      </w:r>
      <w:r w:rsidR="00A7789A" w:rsidRPr="005F165B">
        <w:rPr>
          <w:rFonts w:ascii="Source Sans Pro" w:hAnsi="Source Sans Pro"/>
        </w:rPr>
        <w:t xml:space="preserve">y que en consecuencia </w:t>
      </w:r>
      <w:r w:rsidR="00EA3328" w:rsidRPr="005F165B">
        <w:rPr>
          <w:rFonts w:ascii="Source Sans Pro" w:hAnsi="Source Sans Pro"/>
        </w:rPr>
        <w:t xml:space="preserve">afectan gravemente </w:t>
      </w:r>
      <w:r w:rsidR="00BD284B" w:rsidRPr="005F165B">
        <w:rPr>
          <w:rFonts w:ascii="Source Sans Pro" w:hAnsi="Source Sans Pro"/>
        </w:rPr>
        <w:t>la e</w:t>
      </w:r>
      <w:r w:rsidR="00A7789A" w:rsidRPr="005F165B">
        <w:rPr>
          <w:rFonts w:ascii="Source Sans Pro" w:hAnsi="Source Sans Pro"/>
        </w:rPr>
        <w:t xml:space="preserve">xpresión de </w:t>
      </w:r>
      <w:r w:rsidR="0001410E">
        <w:rPr>
          <w:rFonts w:ascii="Source Sans Pro" w:hAnsi="Source Sans Pro"/>
        </w:rPr>
        <w:t>la</w:t>
      </w:r>
      <w:r w:rsidR="00A7789A" w:rsidRPr="005F165B">
        <w:rPr>
          <w:rFonts w:ascii="Source Sans Pro" w:hAnsi="Source Sans Pro"/>
        </w:rPr>
        <w:t xml:space="preserve"> </w:t>
      </w:r>
      <w:r w:rsidR="00EA3328" w:rsidRPr="005F165B">
        <w:rPr>
          <w:rFonts w:ascii="Source Sans Pro" w:hAnsi="Source Sans Pro"/>
        </w:rPr>
        <w:t>identidad</w:t>
      </w:r>
      <w:r w:rsidR="00BD284B" w:rsidRPr="005F165B">
        <w:rPr>
          <w:rFonts w:ascii="Source Sans Pro" w:hAnsi="Source Sans Pro"/>
        </w:rPr>
        <w:t xml:space="preserve"> de género y/o orientación sexual</w:t>
      </w:r>
      <w:r w:rsidR="0001410E">
        <w:rPr>
          <w:rFonts w:ascii="Source Sans Pro" w:hAnsi="Source Sans Pro"/>
        </w:rPr>
        <w:t xml:space="preserve"> de personas LGBT</w:t>
      </w:r>
      <w:r w:rsidR="00C477C6" w:rsidRPr="005F165B">
        <w:rPr>
          <w:rFonts w:ascii="Source Sans Pro" w:hAnsi="Source Sans Pro"/>
        </w:rPr>
        <w:t xml:space="preserve">. </w:t>
      </w:r>
    </w:p>
    <w:p w14:paraId="0BD5A064" w14:textId="77777777" w:rsidR="00C477C6" w:rsidRPr="005F165B" w:rsidRDefault="00C477C6" w:rsidP="0001410E">
      <w:pPr>
        <w:pStyle w:val="ListParagraph"/>
        <w:ind w:left="426" w:hanging="284"/>
        <w:jc w:val="both"/>
        <w:rPr>
          <w:rFonts w:ascii="Source Sans Pro" w:hAnsi="Source Sans Pro"/>
        </w:rPr>
      </w:pPr>
    </w:p>
    <w:p w14:paraId="2F9FB765" w14:textId="65FFD94D" w:rsidR="00BD284B" w:rsidRPr="005F165B" w:rsidRDefault="00C477C6" w:rsidP="0001410E">
      <w:pPr>
        <w:pStyle w:val="ListParagraph"/>
        <w:numPr>
          <w:ilvl w:val="0"/>
          <w:numId w:val="41"/>
        </w:numPr>
        <w:ind w:left="426" w:hanging="284"/>
        <w:jc w:val="both"/>
        <w:rPr>
          <w:rFonts w:ascii="Source Sans Pro" w:hAnsi="Source Sans Pro"/>
        </w:rPr>
      </w:pPr>
      <w:r w:rsidRPr="005F165B">
        <w:rPr>
          <w:rFonts w:ascii="Source Sans Pro" w:hAnsi="Source Sans Pro"/>
          <w:lang w:val="es"/>
        </w:rPr>
        <w:t>Acceso a servicios médicos que traten de manera digna las necesidades de personas que viven con VIH, quienes constantemente deben estar en contacto con los servicios de salud para reconocer y tratar las necesidades de salud que presentan</w:t>
      </w:r>
    </w:p>
    <w:p w14:paraId="4BE00B39" w14:textId="77777777" w:rsidR="00C477C6" w:rsidRPr="005F165B" w:rsidRDefault="00C477C6" w:rsidP="0001410E">
      <w:pPr>
        <w:pStyle w:val="ListParagraph"/>
        <w:ind w:left="426" w:hanging="284"/>
        <w:rPr>
          <w:rFonts w:ascii="Source Sans Pro" w:hAnsi="Source Sans Pro"/>
        </w:rPr>
      </w:pPr>
    </w:p>
    <w:p w14:paraId="16CCDA51" w14:textId="3549D00C" w:rsidR="00C477C6" w:rsidRPr="005F165B" w:rsidRDefault="00C6340F" w:rsidP="0001410E">
      <w:pPr>
        <w:pStyle w:val="ListParagraph"/>
        <w:numPr>
          <w:ilvl w:val="0"/>
          <w:numId w:val="41"/>
        </w:numPr>
        <w:ind w:left="426" w:hanging="284"/>
        <w:jc w:val="both"/>
        <w:rPr>
          <w:rFonts w:ascii="Source Sans Pro" w:hAnsi="Source Sans Pro"/>
        </w:rPr>
      </w:pPr>
      <w:r w:rsidRPr="005F165B">
        <w:rPr>
          <w:rFonts w:ascii="Source Sans Pro" w:hAnsi="Source Sans Pro"/>
        </w:rPr>
        <w:t>La prohibición por parte de</w:t>
      </w:r>
      <w:r w:rsidR="0001410E">
        <w:rPr>
          <w:rFonts w:ascii="Source Sans Pro" w:hAnsi="Source Sans Pro"/>
        </w:rPr>
        <w:t xml:space="preserve"> los</w:t>
      </w:r>
      <w:r w:rsidRPr="005F165B">
        <w:rPr>
          <w:rFonts w:ascii="Source Sans Pro" w:hAnsi="Source Sans Pro"/>
        </w:rPr>
        <w:t xml:space="preserve"> Estado</w:t>
      </w:r>
      <w:r w:rsidR="0001410E">
        <w:rPr>
          <w:rFonts w:ascii="Source Sans Pro" w:hAnsi="Source Sans Pro"/>
        </w:rPr>
        <w:t>s</w:t>
      </w:r>
      <w:r w:rsidRPr="005F165B">
        <w:rPr>
          <w:rFonts w:ascii="Source Sans Pro" w:hAnsi="Source Sans Pro"/>
        </w:rPr>
        <w:t xml:space="preserve"> de los establecimientos </w:t>
      </w:r>
      <w:r w:rsidR="00970A01" w:rsidRPr="005F165B">
        <w:rPr>
          <w:rFonts w:ascii="Source Sans Pro" w:hAnsi="Source Sans Pro"/>
        </w:rPr>
        <w:t xml:space="preserve">que </w:t>
      </w:r>
      <w:r w:rsidR="001A7A5D">
        <w:rPr>
          <w:rFonts w:ascii="Source Sans Pro" w:hAnsi="Source Sans Pro"/>
        </w:rPr>
        <w:t xml:space="preserve">promueven, publicitan u </w:t>
      </w:r>
      <w:r w:rsidR="001A7A5D" w:rsidRPr="005F165B">
        <w:rPr>
          <w:rFonts w:ascii="Source Sans Pro" w:hAnsi="Source Sans Pro"/>
        </w:rPr>
        <w:t>ofrecen “</w:t>
      </w:r>
      <w:r w:rsidR="0001410E">
        <w:rPr>
          <w:rFonts w:ascii="Source Sans Pro" w:hAnsi="Source Sans Pro"/>
        </w:rPr>
        <w:t>terapias de conversión</w:t>
      </w:r>
      <w:r w:rsidR="00C2616F" w:rsidRPr="005F165B">
        <w:rPr>
          <w:rFonts w:ascii="Source Sans Pro" w:hAnsi="Source Sans Pro"/>
        </w:rPr>
        <w:t xml:space="preserve">” o cualquier otro </w:t>
      </w:r>
      <w:r w:rsidR="00361966" w:rsidRPr="005F165B">
        <w:rPr>
          <w:rFonts w:ascii="Source Sans Pro" w:hAnsi="Source Sans Pro"/>
        </w:rPr>
        <w:t xml:space="preserve">servicio que genere daño físico, mental y social </w:t>
      </w:r>
      <w:r w:rsidR="002B4781" w:rsidRPr="005F165B">
        <w:rPr>
          <w:rFonts w:ascii="Source Sans Pro" w:hAnsi="Source Sans Pro"/>
        </w:rPr>
        <w:t xml:space="preserve">en el marco de </w:t>
      </w:r>
      <w:r w:rsidR="00D212C4" w:rsidRPr="005F165B">
        <w:rPr>
          <w:rFonts w:ascii="Source Sans Pro" w:hAnsi="Source Sans Pro"/>
        </w:rPr>
        <w:t xml:space="preserve">prácticas que bajo ninguna circunstancia pueden entenderse como terapias médicas. </w:t>
      </w:r>
    </w:p>
    <w:p w14:paraId="5BCD6F37" w14:textId="77777777" w:rsidR="00D212C4" w:rsidRPr="005F165B" w:rsidRDefault="00D212C4" w:rsidP="0001410E">
      <w:pPr>
        <w:pStyle w:val="ListParagraph"/>
        <w:ind w:left="426" w:hanging="284"/>
        <w:rPr>
          <w:rFonts w:ascii="Source Sans Pro" w:hAnsi="Source Sans Pro"/>
        </w:rPr>
      </w:pPr>
    </w:p>
    <w:p w14:paraId="54CD1C8F" w14:textId="1AAC7014" w:rsidR="00D212C4" w:rsidRPr="005F165B" w:rsidRDefault="0001410E" w:rsidP="0001410E">
      <w:pPr>
        <w:pStyle w:val="ListParagraph"/>
        <w:numPr>
          <w:ilvl w:val="0"/>
          <w:numId w:val="41"/>
        </w:numPr>
        <w:ind w:left="426" w:hanging="284"/>
        <w:jc w:val="both"/>
        <w:rPr>
          <w:rFonts w:ascii="Source Sans Pro" w:hAnsi="Source Sans Pro"/>
        </w:rPr>
      </w:pPr>
      <w:r>
        <w:rPr>
          <w:rFonts w:ascii="Source Sans Pro" w:hAnsi="Source Sans Pro"/>
        </w:rPr>
        <w:t>Brindar especial atención y</w:t>
      </w:r>
      <w:r w:rsidR="004B4847" w:rsidRPr="005F165B">
        <w:rPr>
          <w:rFonts w:ascii="Source Sans Pro" w:hAnsi="Source Sans Pro"/>
        </w:rPr>
        <w:t xml:space="preserve"> protección </w:t>
      </w:r>
      <w:r>
        <w:rPr>
          <w:rFonts w:ascii="Source Sans Pro" w:hAnsi="Source Sans Pro"/>
        </w:rPr>
        <w:t>a</w:t>
      </w:r>
      <w:r w:rsidR="004B4847" w:rsidRPr="005F165B">
        <w:rPr>
          <w:rFonts w:ascii="Source Sans Pro" w:hAnsi="Source Sans Pro"/>
        </w:rPr>
        <w:t xml:space="preserve"> la vejez LGBTI </w:t>
      </w:r>
      <w:r>
        <w:rPr>
          <w:rFonts w:ascii="Source Sans Pro" w:hAnsi="Source Sans Pro"/>
        </w:rPr>
        <w:t xml:space="preserve">quienes debido a la exclusión social muchas veces no cuentan con seguros de salud, redes de apoyo o </w:t>
      </w:r>
      <w:r w:rsidR="0084471A">
        <w:rPr>
          <w:rFonts w:ascii="Source Sans Pro" w:hAnsi="Source Sans Pro"/>
        </w:rPr>
        <w:t>ingresos económicos</w:t>
      </w:r>
      <w:r>
        <w:rPr>
          <w:rFonts w:ascii="Source Sans Pro" w:hAnsi="Source Sans Pro"/>
        </w:rPr>
        <w:t xml:space="preserve"> que solventen su atención en los servicios de salud</w:t>
      </w:r>
      <w:r w:rsidR="0084471A">
        <w:rPr>
          <w:rFonts w:ascii="Source Sans Pro" w:hAnsi="Source Sans Pro"/>
        </w:rPr>
        <w:t>, menos aún al ser víctimas de violencia por parte de personas de las cuales dependen</w:t>
      </w:r>
      <w:r w:rsidR="004B4847" w:rsidRPr="005F165B">
        <w:rPr>
          <w:rFonts w:ascii="Source Sans Pro" w:hAnsi="Source Sans Pro"/>
        </w:rPr>
        <w:t xml:space="preserve">. </w:t>
      </w:r>
    </w:p>
    <w:p w14:paraId="75025EF0" w14:textId="77777777" w:rsidR="004B4847" w:rsidRPr="005F165B" w:rsidRDefault="004B4847" w:rsidP="0001410E">
      <w:pPr>
        <w:pStyle w:val="ListParagraph"/>
        <w:ind w:left="426" w:hanging="284"/>
        <w:rPr>
          <w:rFonts w:ascii="Source Sans Pro" w:hAnsi="Source Sans Pro"/>
        </w:rPr>
      </w:pPr>
    </w:p>
    <w:p w14:paraId="089FA3CC" w14:textId="2C9BD219" w:rsidR="00B66E1A" w:rsidRPr="0084471A" w:rsidRDefault="00C47D8B" w:rsidP="0084471A">
      <w:pPr>
        <w:pStyle w:val="ListParagraph"/>
        <w:numPr>
          <w:ilvl w:val="0"/>
          <w:numId w:val="41"/>
        </w:numPr>
        <w:ind w:left="426" w:hanging="284"/>
        <w:jc w:val="both"/>
        <w:rPr>
          <w:rFonts w:ascii="Source Sans Pro" w:hAnsi="Source Sans Pro"/>
        </w:rPr>
      </w:pPr>
      <w:r w:rsidRPr="005F165B">
        <w:rPr>
          <w:rFonts w:ascii="Source Sans Pro" w:hAnsi="Source Sans Pro"/>
          <w:lang w:val="es"/>
        </w:rPr>
        <w:t xml:space="preserve">Acceso a profesionales de la salud que tengan un conocimiento básico sobre los procesos de reafirmación de género de las personas trans, con el fin de que elles puedan acceder a diversos tratamientos sin que tengan que incurrir en el gasto de viajar a una ciudad principal o que sean trasladadas de profesional en profesional sin recibir una atención adecuada. </w:t>
      </w:r>
    </w:p>
    <w:p w14:paraId="225D899C" w14:textId="77777777" w:rsidR="0084471A" w:rsidRPr="0084471A" w:rsidRDefault="0084471A" w:rsidP="0084471A">
      <w:pPr>
        <w:pStyle w:val="ListParagraph"/>
        <w:rPr>
          <w:rFonts w:ascii="Source Sans Pro" w:hAnsi="Source Sans Pro"/>
        </w:rPr>
      </w:pPr>
    </w:p>
    <w:p w14:paraId="70D7D043" w14:textId="5D688CEB" w:rsidR="0084471A" w:rsidRDefault="0084471A" w:rsidP="0084471A">
      <w:pPr>
        <w:pStyle w:val="ListParagraph"/>
        <w:numPr>
          <w:ilvl w:val="0"/>
          <w:numId w:val="41"/>
        </w:numPr>
        <w:ind w:left="426" w:hanging="284"/>
        <w:jc w:val="both"/>
        <w:rPr>
          <w:rFonts w:ascii="Source Sans Pro" w:hAnsi="Source Sans Pro"/>
        </w:rPr>
      </w:pPr>
      <w:r>
        <w:rPr>
          <w:rFonts w:ascii="Source Sans Pro" w:hAnsi="Source Sans Pro"/>
        </w:rPr>
        <w:t xml:space="preserve">Adoptar lineamientos de atención y capacitar al personal de los servicios de salud para que no discriminen a las personas LGTBI en el acceso y prestación del servicio. </w:t>
      </w:r>
    </w:p>
    <w:p w14:paraId="181B86F3" w14:textId="77777777" w:rsidR="0084471A" w:rsidRPr="0084471A" w:rsidRDefault="0084471A" w:rsidP="0084471A">
      <w:pPr>
        <w:pStyle w:val="ListParagraph"/>
        <w:rPr>
          <w:rFonts w:ascii="Source Sans Pro" w:hAnsi="Source Sans Pro"/>
        </w:rPr>
      </w:pPr>
    </w:p>
    <w:p w14:paraId="0EF2EA84" w14:textId="2CA3803C" w:rsidR="0084471A" w:rsidRPr="0084471A" w:rsidRDefault="0084471A" w:rsidP="0084471A">
      <w:pPr>
        <w:pStyle w:val="ListParagraph"/>
        <w:numPr>
          <w:ilvl w:val="0"/>
          <w:numId w:val="41"/>
        </w:numPr>
        <w:ind w:left="426" w:hanging="284"/>
        <w:jc w:val="both"/>
        <w:rPr>
          <w:rFonts w:ascii="Source Sans Pro" w:hAnsi="Source Sans Pro"/>
        </w:rPr>
      </w:pPr>
      <w:r>
        <w:rPr>
          <w:rFonts w:ascii="Source Sans Pro" w:hAnsi="Source Sans Pro"/>
        </w:rPr>
        <w:t>Asegurar que la normativa y políticas de protección frente a la violencia incluya las necesidades y experiencias de las personas LGBTI desde un enfoque diferencial capaz de atender integralmente las afectaciones en su salud desde una perspectiva no heterocisnormativa.</w:t>
      </w:r>
    </w:p>
    <w:p w14:paraId="4316F1F3" w14:textId="15D9DF0F" w:rsidR="00657E31" w:rsidRPr="005F165B" w:rsidRDefault="00657E31" w:rsidP="00657E31">
      <w:pPr>
        <w:pStyle w:val="ListParagraph"/>
        <w:jc w:val="both"/>
        <w:rPr>
          <w:rFonts w:ascii="Source Sans Pro" w:hAnsi="Source Sans Pro"/>
          <w:color w:val="000000" w:themeColor="text1"/>
        </w:rPr>
      </w:pPr>
    </w:p>
    <w:p w14:paraId="2C8845CA" w14:textId="33D26737" w:rsidR="00715997" w:rsidRDefault="00715997" w:rsidP="00715997">
      <w:pPr>
        <w:jc w:val="both"/>
        <w:rPr>
          <w:rFonts w:ascii="Source Sans Pro" w:hAnsi="Source Sans Pro"/>
          <w:color w:val="000000" w:themeColor="text1"/>
          <w:lang w:val="es-MX"/>
        </w:rPr>
      </w:pPr>
    </w:p>
    <w:p w14:paraId="29CE8059" w14:textId="721EA83A" w:rsidR="00A2715B" w:rsidRDefault="00A2715B" w:rsidP="00715997">
      <w:pPr>
        <w:jc w:val="both"/>
        <w:rPr>
          <w:rFonts w:ascii="Source Sans Pro" w:hAnsi="Source Sans Pro"/>
          <w:color w:val="000000" w:themeColor="text1"/>
          <w:lang w:val="es-MX"/>
        </w:rPr>
      </w:pPr>
    </w:p>
    <w:p w14:paraId="7022EE86" w14:textId="77777777" w:rsidR="00A2715B" w:rsidRPr="00A2715B" w:rsidRDefault="00A2715B" w:rsidP="00A2715B">
      <w:pPr>
        <w:jc w:val="both"/>
        <w:rPr>
          <w:rFonts w:ascii="Source Sans Pro" w:hAnsi="Source Sans Pro"/>
          <w:color w:val="000000" w:themeColor="text1"/>
          <w:lang w:val="es-MX"/>
        </w:rPr>
      </w:pPr>
      <w:r w:rsidRPr="00A2715B">
        <w:rPr>
          <w:rFonts w:ascii="Source Sans Pro" w:hAnsi="Source Sans Pro"/>
          <w:color w:val="000000" w:themeColor="text1"/>
          <w:lang w:val="es-MX"/>
        </w:rPr>
        <w:t>a) Lista de Organizaciones integrantes de la Red de Litigantes LGBTI de las Américas:</w:t>
      </w:r>
    </w:p>
    <w:p w14:paraId="07256D10" w14:textId="77777777" w:rsidR="00A2715B" w:rsidRPr="00A2715B" w:rsidRDefault="00A2715B" w:rsidP="00A2715B">
      <w:pPr>
        <w:jc w:val="both"/>
        <w:rPr>
          <w:rFonts w:ascii="Source Sans Pro" w:hAnsi="Source Sans Pro"/>
          <w:color w:val="000000" w:themeColor="text1"/>
          <w:lang w:val="es-MX"/>
        </w:rPr>
      </w:pPr>
      <w:r w:rsidRPr="00A2715B">
        <w:rPr>
          <w:rFonts w:ascii="Arial" w:hAnsi="Arial" w:cs="Arial"/>
          <w:color w:val="000000" w:themeColor="text1"/>
          <w:lang w:val="es-MX"/>
        </w:rPr>
        <w:t>●</w:t>
      </w:r>
      <w:r w:rsidRPr="00A2715B">
        <w:rPr>
          <w:rFonts w:ascii="Source Sans Pro" w:hAnsi="Source Sans Pro"/>
          <w:color w:val="000000" w:themeColor="text1"/>
          <w:lang w:val="es-MX"/>
        </w:rPr>
        <w:t xml:space="preserve"> Argentina - Abogades por los Derechos Sexuales (AboSex)</w:t>
      </w:r>
    </w:p>
    <w:p w14:paraId="41D5C552" w14:textId="77777777" w:rsidR="00A2715B" w:rsidRPr="00A2715B" w:rsidRDefault="00A2715B" w:rsidP="00A2715B">
      <w:pPr>
        <w:jc w:val="both"/>
        <w:rPr>
          <w:rFonts w:ascii="Source Sans Pro" w:hAnsi="Source Sans Pro"/>
          <w:color w:val="000000" w:themeColor="text1"/>
          <w:lang w:val="es-MX"/>
        </w:rPr>
      </w:pPr>
      <w:r w:rsidRPr="00A2715B">
        <w:rPr>
          <w:rFonts w:ascii="Arial" w:hAnsi="Arial" w:cs="Arial"/>
          <w:color w:val="000000" w:themeColor="text1"/>
          <w:lang w:val="es-MX"/>
        </w:rPr>
        <w:t>●</w:t>
      </w:r>
      <w:r w:rsidRPr="00A2715B">
        <w:rPr>
          <w:rFonts w:ascii="Source Sans Pro" w:hAnsi="Source Sans Pro"/>
          <w:color w:val="000000" w:themeColor="text1"/>
          <w:lang w:val="es-MX"/>
        </w:rPr>
        <w:t xml:space="preserve"> Argentina - CELS (Centro de Estudios Legales y Sociales)</w:t>
      </w:r>
    </w:p>
    <w:p w14:paraId="40FFB1B5" w14:textId="77777777" w:rsidR="00A2715B" w:rsidRPr="00A2715B" w:rsidRDefault="00A2715B" w:rsidP="00A2715B">
      <w:pPr>
        <w:jc w:val="both"/>
        <w:rPr>
          <w:rFonts w:ascii="Source Sans Pro" w:hAnsi="Source Sans Pro"/>
          <w:color w:val="000000" w:themeColor="text1"/>
          <w:lang w:val="es-MX"/>
        </w:rPr>
      </w:pPr>
      <w:r w:rsidRPr="00A2715B">
        <w:rPr>
          <w:rFonts w:ascii="Arial" w:hAnsi="Arial" w:cs="Arial"/>
          <w:color w:val="000000" w:themeColor="text1"/>
          <w:lang w:val="es-MX"/>
        </w:rPr>
        <w:t>●</w:t>
      </w:r>
      <w:r w:rsidRPr="00A2715B">
        <w:rPr>
          <w:rFonts w:ascii="Source Sans Pro" w:hAnsi="Source Sans Pro"/>
          <w:color w:val="000000" w:themeColor="text1"/>
          <w:lang w:val="es-MX"/>
        </w:rPr>
        <w:t xml:space="preserve"> Bolivia - IGUAL</w:t>
      </w:r>
    </w:p>
    <w:p w14:paraId="2C513B35" w14:textId="77777777" w:rsidR="00A2715B" w:rsidRPr="00A2715B" w:rsidRDefault="00A2715B" w:rsidP="00A2715B">
      <w:pPr>
        <w:jc w:val="both"/>
        <w:rPr>
          <w:rFonts w:ascii="Source Sans Pro" w:hAnsi="Source Sans Pro"/>
          <w:color w:val="000000" w:themeColor="text1"/>
          <w:lang w:val="es-MX"/>
        </w:rPr>
      </w:pPr>
      <w:r w:rsidRPr="00A2715B">
        <w:rPr>
          <w:rFonts w:ascii="Arial" w:hAnsi="Arial" w:cs="Arial"/>
          <w:color w:val="000000" w:themeColor="text1"/>
          <w:lang w:val="es-MX"/>
        </w:rPr>
        <w:t>●</w:t>
      </w:r>
      <w:r w:rsidRPr="00A2715B">
        <w:rPr>
          <w:rFonts w:ascii="Source Sans Pro" w:hAnsi="Source Sans Pro"/>
          <w:color w:val="000000" w:themeColor="text1"/>
          <w:lang w:val="es-MX"/>
        </w:rPr>
        <w:t xml:space="preserve"> Brasil - GADVS - grupo de abogados para la diversidad sexual y de g</w:t>
      </w:r>
      <w:r w:rsidRPr="00A2715B">
        <w:rPr>
          <w:rFonts w:ascii="Source Sans Pro" w:hAnsi="Source Sans Pro" w:cs="Source Sans Pro"/>
          <w:color w:val="000000" w:themeColor="text1"/>
          <w:lang w:val="es-MX"/>
        </w:rPr>
        <w:t>é</w:t>
      </w:r>
      <w:r w:rsidRPr="00A2715B">
        <w:rPr>
          <w:rFonts w:ascii="Source Sans Pro" w:hAnsi="Source Sans Pro"/>
          <w:color w:val="000000" w:themeColor="text1"/>
          <w:lang w:val="es-MX"/>
        </w:rPr>
        <w:t>nero</w:t>
      </w:r>
    </w:p>
    <w:p w14:paraId="43591A8C" w14:textId="77777777" w:rsidR="00A2715B" w:rsidRPr="00A2715B" w:rsidRDefault="00A2715B" w:rsidP="00A2715B">
      <w:pPr>
        <w:jc w:val="both"/>
        <w:rPr>
          <w:rFonts w:ascii="Source Sans Pro" w:hAnsi="Source Sans Pro"/>
          <w:color w:val="000000" w:themeColor="text1"/>
          <w:lang w:val="es-MX"/>
        </w:rPr>
      </w:pPr>
      <w:r w:rsidRPr="00A2715B">
        <w:rPr>
          <w:rFonts w:ascii="Arial" w:hAnsi="Arial" w:cs="Arial"/>
          <w:color w:val="000000" w:themeColor="text1"/>
          <w:lang w:val="es-MX"/>
        </w:rPr>
        <w:t>●</w:t>
      </w:r>
      <w:r w:rsidRPr="00A2715B">
        <w:rPr>
          <w:rFonts w:ascii="Source Sans Pro" w:hAnsi="Source Sans Pro"/>
          <w:color w:val="000000" w:themeColor="text1"/>
          <w:lang w:val="es-MX"/>
        </w:rPr>
        <w:t xml:space="preserve"> Brasil - Rede Feminista de Juristas - deFEMde</w:t>
      </w:r>
    </w:p>
    <w:p w14:paraId="4C5C52D6" w14:textId="77777777" w:rsidR="00A2715B" w:rsidRPr="00A2715B" w:rsidRDefault="00A2715B" w:rsidP="00A2715B">
      <w:pPr>
        <w:jc w:val="both"/>
        <w:rPr>
          <w:rFonts w:ascii="Source Sans Pro" w:hAnsi="Source Sans Pro"/>
          <w:color w:val="000000" w:themeColor="text1"/>
          <w:lang w:val="es-MX"/>
        </w:rPr>
      </w:pPr>
      <w:r w:rsidRPr="00A2715B">
        <w:rPr>
          <w:rFonts w:ascii="Arial" w:hAnsi="Arial" w:cs="Arial"/>
          <w:color w:val="000000" w:themeColor="text1"/>
          <w:lang w:val="es-MX"/>
        </w:rPr>
        <w:t>●</w:t>
      </w:r>
      <w:r w:rsidRPr="00A2715B">
        <w:rPr>
          <w:rFonts w:ascii="Source Sans Pro" w:hAnsi="Source Sans Pro"/>
          <w:color w:val="000000" w:themeColor="text1"/>
          <w:lang w:val="es-MX"/>
        </w:rPr>
        <w:t xml:space="preserve"> Chile - Asociaci</w:t>
      </w:r>
      <w:r w:rsidRPr="00A2715B">
        <w:rPr>
          <w:rFonts w:ascii="Source Sans Pro" w:hAnsi="Source Sans Pro" w:cs="Source Sans Pro"/>
          <w:color w:val="000000" w:themeColor="text1"/>
          <w:lang w:val="es-MX"/>
        </w:rPr>
        <w:t>ó</w:t>
      </w:r>
      <w:r w:rsidRPr="00A2715B">
        <w:rPr>
          <w:rFonts w:ascii="Source Sans Pro" w:hAnsi="Source Sans Pro"/>
          <w:color w:val="000000" w:themeColor="text1"/>
          <w:lang w:val="es-MX"/>
        </w:rPr>
        <w:t>n OTD Chile</w:t>
      </w:r>
    </w:p>
    <w:p w14:paraId="0CE2BDC0" w14:textId="77777777" w:rsidR="00A2715B" w:rsidRPr="00A2715B" w:rsidRDefault="00A2715B" w:rsidP="00A2715B">
      <w:pPr>
        <w:jc w:val="both"/>
        <w:rPr>
          <w:rFonts w:ascii="Source Sans Pro" w:hAnsi="Source Sans Pro"/>
          <w:color w:val="000000" w:themeColor="text1"/>
          <w:lang w:val="es-MX"/>
        </w:rPr>
      </w:pPr>
      <w:r w:rsidRPr="00A2715B">
        <w:rPr>
          <w:rFonts w:ascii="Arial" w:hAnsi="Arial" w:cs="Arial"/>
          <w:color w:val="000000" w:themeColor="text1"/>
          <w:lang w:val="es-MX"/>
        </w:rPr>
        <w:t>●</w:t>
      </w:r>
      <w:r w:rsidRPr="00A2715B">
        <w:rPr>
          <w:rFonts w:ascii="Source Sans Pro" w:hAnsi="Source Sans Pro"/>
          <w:color w:val="000000" w:themeColor="text1"/>
          <w:lang w:val="es-MX"/>
        </w:rPr>
        <w:t xml:space="preserve"> Chile - Fundaci</w:t>
      </w:r>
      <w:r w:rsidRPr="00A2715B">
        <w:rPr>
          <w:rFonts w:ascii="Source Sans Pro" w:hAnsi="Source Sans Pro" w:cs="Source Sans Pro"/>
          <w:color w:val="000000" w:themeColor="text1"/>
          <w:lang w:val="es-MX"/>
        </w:rPr>
        <w:t>ó</w:t>
      </w:r>
      <w:r w:rsidRPr="00A2715B">
        <w:rPr>
          <w:rFonts w:ascii="Source Sans Pro" w:hAnsi="Source Sans Pro"/>
          <w:color w:val="000000" w:themeColor="text1"/>
          <w:lang w:val="es-MX"/>
        </w:rPr>
        <w:t>n Iguales Chile</w:t>
      </w:r>
    </w:p>
    <w:p w14:paraId="719638B4" w14:textId="77777777" w:rsidR="00A2715B" w:rsidRPr="00A2715B" w:rsidRDefault="00A2715B" w:rsidP="00A2715B">
      <w:pPr>
        <w:jc w:val="both"/>
        <w:rPr>
          <w:rFonts w:ascii="Source Sans Pro" w:hAnsi="Source Sans Pro"/>
          <w:color w:val="000000" w:themeColor="text1"/>
          <w:lang w:val="es-MX"/>
        </w:rPr>
      </w:pPr>
      <w:r w:rsidRPr="00A2715B">
        <w:rPr>
          <w:rFonts w:ascii="Arial" w:hAnsi="Arial" w:cs="Arial"/>
          <w:color w:val="000000" w:themeColor="text1"/>
          <w:lang w:val="es-MX"/>
        </w:rPr>
        <w:t>●</w:t>
      </w:r>
      <w:r w:rsidRPr="00A2715B">
        <w:rPr>
          <w:rFonts w:ascii="Source Sans Pro" w:hAnsi="Source Sans Pro"/>
          <w:color w:val="000000" w:themeColor="text1"/>
          <w:lang w:val="es-MX"/>
        </w:rPr>
        <w:t xml:space="preserve"> Colombia - Asociaci</w:t>
      </w:r>
      <w:r w:rsidRPr="00A2715B">
        <w:rPr>
          <w:rFonts w:ascii="Source Sans Pro" w:hAnsi="Source Sans Pro" w:cs="Source Sans Pro"/>
          <w:color w:val="000000" w:themeColor="text1"/>
          <w:lang w:val="es-MX"/>
        </w:rPr>
        <w:t>ó</w:t>
      </w:r>
      <w:r w:rsidRPr="00A2715B">
        <w:rPr>
          <w:rFonts w:ascii="Source Sans Pro" w:hAnsi="Source Sans Pro"/>
          <w:color w:val="000000" w:themeColor="text1"/>
          <w:lang w:val="es-MX"/>
        </w:rPr>
        <w:t>n L</w:t>
      </w:r>
      <w:r w:rsidRPr="00A2715B">
        <w:rPr>
          <w:rFonts w:ascii="Source Sans Pro" w:hAnsi="Source Sans Pro" w:cs="Source Sans Pro"/>
          <w:color w:val="000000" w:themeColor="text1"/>
          <w:lang w:val="es-MX"/>
        </w:rPr>
        <w:t>í</w:t>
      </w:r>
      <w:r w:rsidRPr="00A2715B">
        <w:rPr>
          <w:rFonts w:ascii="Source Sans Pro" w:hAnsi="Source Sans Pro"/>
          <w:color w:val="000000" w:themeColor="text1"/>
          <w:lang w:val="es-MX"/>
        </w:rPr>
        <w:t>deres En Acci</w:t>
      </w:r>
      <w:r w:rsidRPr="00A2715B">
        <w:rPr>
          <w:rFonts w:ascii="Source Sans Pro" w:hAnsi="Source Sans Pro" w:cs="Source Sans Pro"/>
          <w:color w:val="000000" w:themeColor="text1"/>
          <w:lang w:val="es-MX"/>
        </w:rPr>
        <w:t>ó</w:t>
      </w:r>
      <w:r w:rsidRPr="00A2715B">
        <w:rPr>
          <w:rFonts w:ascii="Source Sans Pro" w:hAnsi="Source Sans Pro"/>
          <w:color w:val="000000" w:themeColor="text1"/>
          <w:lang w:val="es-MX"/>
        </w:rPr>
        <w:t>n</w:t>
      </w:r>
    </w:p>
    <w:p w14:paraId="2B0A35F2" w14:textId="77777777" w:rsidR="00A2715B" w:rsidRPr="00A2715B" w:rsidRDefault="00A2715B" w:rsidP="00A2715B">
      <w:pPr>
        <w:jc w:val="both"/>
        <w:rPr>
          <w:rFonts w:ascii="Source Sans Pro" w:hAnsi="Source Sans Pro"/>
          <w:color w:val="000000" w:themeColor="text1"/>
          <w:lang w:val="es-MX"/>
        </w:rPr>
      </w:pPr>
      <w:r w:rsidRPr="00A2715B">
        <w:rPr>
          <w:rFonts w:ascii="Arial" w:hAnsi="Arial" w:cs="Arial"/>
          <w:color w:val="000000" w:themeColor="text1"/>
          <w:lang w:val="es-MX"/>
        </w:rPr>
        <w:t>●</w:t>
      </w:r>
      <w:r w:rsidRPr="00A2715B">
        <w:rPr>
          <w:rFonts w:ascii="Source Sans Pro" w:hAnsi="Source Sans Pro"/>
          <w:color w:val="000000" w:themeColor="text1"/>
          <w:lang w:val="es-MX"/>
        </w:rPr>
        <w:t xml:space="preserve"> Colombia - Dejusticia</w:t>
      </w:r>
    </w:p>
    <w:p w14:paraId="41C455C3" w14:textId="77777777" w:rsidR="00A2715B" w:rsidRPr="00A2715B" w:rsidRDefault="00A2715B" w:rsidP="00A2715B">
      <w:pPr>
        <w:jc w:val="both"/>
        <w:rPr>
          <w:rFonts w:ascii="Source Sans Pro" w:hAnsi="Source Sans Pro"/>
          <w:color w:val="000000" w:themeColor="text1"/>
          <w:lang w:val="es-MX"/>
        </w:rPr>
      </w:pPr>
      <w:r w:rsidRPr="00A2715B">
        <w:rPr>
          <w:rFonts w:ascii="Arial" w:hAnsi="Arial" w:cs="Arial"/>
          <w:color w:val="000000" w:themeColor="text1"/>
          <w:lang w:val="es-MX"/>
        </w:rPr>
        <w:t>●</w:t>
      </w:r>
      <w:r w:rsidRPr="00A2715B">
        <w:rPr>
          <w:rFonts w:ascii="Source Sans Pro" w:hAnsi="Source Sans Pro"/>
          <w:color w:val="000000" w:themeColor="text1"/>
          <w:lang w:val="es-MX"/>
        </w:rPr>
        <w:t xml:space="preserve"> Colombia - Colombia Diversa</w:t>
      </w:r>
    </w:p>
    <w:p w14:paraId="241AF34E" w14:textId="77777777" w:rsidR="00A2715B" w:rsidRPr="00A2715B" w:rsidRDefault="00A2715B" w:rsidP="00A2715B">
      <w:pPr>
        <w:jc w:val="both"/>
        <w:rPr>
          <w:rFonts w:ascii="Source Sans Pro" w:hAnsi="Source Sans Pro"/>
          <w:color w:val="000000" w:themeColor="text1"/>
          <w:lang w:val="es-MX"/>
        </w:rPr>
      </w:pPr>
      <w:r w:rsidRPr="00A2715B">
        <w:rPr>
          <w:rFonts w:ascii="Arial" w:hAnsi="Arial" w:cs="Arial"/>
          <w:color w:val="000000" w:themeColor="text1"/>
          <w:lang w:val="es-MX"/>
        </w:rPr>
        <w:t>●</w:t>
      </w:r>
      <w:r w:rsidRPr="00A2715B">
        <w:rPr>
          <w:rFonts w:ascii="Source Sans Pro" w:hAnsi="Source Sans Pro"/>
          <w:color w:val="000000" w:themeColor="text1"/>
          <w:lang w:val="es-MX"/>
        </w:rPr>
        <w:t xml:space="preserve"> Colombia - Diversas Incorrectas</w:t>
      </w:r>
    </w:p>
    <w:p w14:paraId="38F4CC88" w14:textId="77777777" w:rsidR="00A2715B" w:rsidRPr="00A2715B" w:rsidRDefault="00A2715B" w:rsidP="00A2715B">
      <w:pPr>
        <w:jc w:val="both"/>
        <w:rPr>
          <w:rFonts w:ascii="Source Sans Pro" w:hAnsi="Source Sans Pro"/>
          <w:color w:val="000000" w:themeColor="text1"/>
          <w:lang w:val="es-MX"/>
        </w:rPr>
      </w:pPr>
      <w:r w:rsidRPr="00A2715B">
        <w:rPr>
          <w:rFonts w:ascii="Arial" w:hAnsi="Arial" w:cs="Arial"/>
          <w:color w:val="000000" w:themeColor="text1"/>
          <w:lang w:val="es-MX"/>
        </w:rPr>
        <w:t>●</w:t>
      </w:r>
      <w:r w:rsidRPr="00A2715B">
        <w:rPr>
          <w:rFonts w:ascii="Source Sans Pro" w:hAnsi="Source Sans Pro"/>
          <w:color w:val="000000" w:themeColor="text1"/>
          <w:lang w:val="es-MX"/>
        </w:rPr>
        <w:t xml:space="preserve"> Colombia - Fundaci</w:t>
      </w:r>
      <w:r w:rsidRPr="00A2715B">
        <w:rPr>
          <w:rFonts w:ascii="Source Sans Pro" w:hAnsi="Source Sans Pro" w:cs="Source Sans Pro"/>
          <w:color w:val="000000" w:themeColor="text1"/>
          <w:lang w:val="es-MX"/>
        </w:rPr>
        <w:t>ó</w:t>
      </w:r>
      <w:r w:rsidRPr="00A2715B">
        <w:rPr>
          <w:rFonts w:ascii="Source Sans Pro" w:hAnsi="Source Sans Pro"/>
          <w:color w:val="000000" w:themeColor="text1"/>
          <w:lang w:val="es-MX"/>
        </w:rPr>
        <w:t>n Grupo Acci</w:t>
      </w:r>
      <w:r w:rsidRPr="00A2715B">
        <w:rPr>
          <w:rFonts w:ascii="Source Sans Pro" w:hAnsi="Source Sans Pro" w:cs="Source Sans Pro"/>
          <w:color w:val="000000" w:themeColor="text1"/>
          <w:lang w:val="es-MX"/>
        </w:rPr>
        <w:t>ó</w:t>
      </w:r>
      <w:r w:rsidRPr="00A2715B">
        <w:rPr>
          <w:rFonts w:ascii="Source Sans Pro" w:hAnsi="Source Sans Pro"/>
          <w:color w:val="000000" w:themeColor="text1"/>
          <w:lang w:val="es-MX"/>
        </w:rPr>
        <w:t>n y Apoyo a personas Trans - GAAT</w:t>
      </w:r>
    </w:p>
    <w:p w14:paraId="2257450A" w14:textId="77777777" w:rsidR="00A2715B" w:rsidRPr="00A2715B" w:rsidRDefault="00A2715B" w:rsidP="00A2715B">
      <w:pPr>
        <w:jc w:val="both"/>
        <w:rPr>
          <w:rFonts w:ascii="Source Sans Pro" w:hAnsi="Source Sans Pro"/>
          <w:color w:val="000000" w:themeColor="text1"/>
          <w:lang w:val="es-MX"/>
        </w:rPr>
      </w:pPr>
      <w:r w:rsidRPr="00A2715B">
        <w:rPr>
          <w:rFonts w:ascii="Arial" w:hAnsi="Arial" w:cs="Arial"/>
          <w:color w:val="000000" w:themeColor="text1"/>
          <w:lang w:val="es-MX"/>
        </w:rPr>
        <w:t>●</w:t>
      </w:r>
      <w:r w:rsidRPr="00A2715B">
        <w:rPr>
          <w:rFonts w:ascii="Source Sans Pro" w:hAnsi="Source Sans Pro"/>
          <w:color w:val="000000" w:themeColor="text1"/>
          <w:lang w:val="es-MX"/>
        </w:rPr>
        <w:t xml:space="preserve"> Ecuador - Fundaci</w:t>
      </w:r>
      <w:r w:rsidRPr="00A2715B">
        <w:rPr>
          <w:rFonts w:ascii="Source Sans Pro" w:hAnsi="Source Sans Pro" w:cs="Source Sans Pro"/>
          <w:color w:val="000000" w:themeColor="text1"/>
          <w:lang w:val="es-MX"/>
        </w:rPr>
        <w:t>ó</w:t>
      </w:r>
      <w:r w:rsidRPr="00A2715B">
        <w:rPr>
          <w:rFonts w:ascii="Source Sans Pro" w:hAnsi="Source Sans Pro"/>
          <w:color w:val="000000" w:themeColor="text1"/>
          <w:lang w:val="es-MX"/>
        </w:rPr>
        <w:t>n Pakta</w:t>
      </w:r>
    </w:p>
    <w:p w14:paraId="09005CFD" w14:textId="265DC4EE" w:rsidR="00A2715B" w:rsidRDefault="00A2715B" w:rsidP="00A2715B">
      <w:pPr>
        <w:jc w:val="both"/>
        <w:rPr>
          <w:rFonts w:ascii="Source Sans Pro" w:hAnsi="Source Sans Pro"/>
          <w:color w:val="000000" w:themeColor="text1"/>
          <w:lang w:val="es-MX"/>
        </w:rPr>
      </w:pPr>
      <w:r w:rsidRPr="00A2715B">
        <w:rPr>
          <w:rFonts w:ascii="Arial" w:hAnsi="Arial" w:cs="Arial"/>
          <w:color w:val="000000" w:themeColor="text1"/>
          <w:lang w:val="es-MX"/>
        </w:rPr>
        <w:t>●</w:t>
      </w:r>
      <w:r w:rsidRPr="00A2715B">
        <w:rPr>
          <w:rFonts w:ascii="Source Sans Pro" w:hAnsi="Source Sans Pro"/>
          <w:color w:val="000000" w:themeColor="text1"/>
          <w:lang w:val="es-MX"/>
        </w:rPr>
        <w:t xml:space="preserve"> EE. UU </w:t>
      </w:r>
      <w:r w:rsidRPr="00A2715B">
        <w:rPr>
          <w:rFonts w:ascii="Source Sans Pro" w:hAnsi="Source Sans Pro" w:cs="Source Sans Pro"/>
          <w:color w:val="000000" w:themeColor="text1"/>
          <w:lang w:val="es-MX"/>
        </w:rPr>
        <w:t>–</w:t>
      </w:r>
      <w:r w:rsidRPr="00A2715B">
        <w:rPr>
          <w:rFonts w:ascii="Source Sans Pro" w:hAnsi="Source Sans Pro"/>
          <w:color w:val="000000" w:themeColor="text1"/>
          <w:lang w:val="es-MX"/>
        </w:rPr>
        <w:t xml:space="preserve"> Robert F. Kennedy Human Rights</w:t>
      </w:r>
    </w:p>
    <w:p w14:paraId="76589FA5" w14:textId="10C97190" w:rsidR="00A2715B" w:rsidRPr="00A2715B" w:rsidRDefault="00A2715B" w:rsidP="00A2715B">
      <w:pPr>
        <w:pStyle w:val="ListParagraph"/>
        <w:numPr>
          <w:ilvl w:val="0"/>
          <w:numId w:val="42"/>
        </w:numPr>
        <w:ind w:left="142" w:hanging="142"/>
        <w:jc w:val="both"/>
        <w:rPr>
          <w:rFonts w:ascii="Source Sans Pro" w:hAnsi="Source Sans Pro"/>
          <w:color w:val="000000" w:themeColor="text1"/>
          <w:lang w:val="es-MX"/>
        </w:rPr>
      </w:pPr>
      <w:r>
        <w:rPr>
          <w:rFonts w:ascii="Source Sans Pro" w:hAnsi="Source Sans Pro"/>
          <w:color w:val="000000" w:themeColor="text1"/>
          <w:lang w:val="es-MX"/>
        </w:rPr>
        <w:t>EE.UU - Synergía</w:t>
      </w:r>
    </w:p>
    <w:p w14:paraId="6DFC0CE8" w14:textId="77777777" w:rsidR="00A2715B" w:rsidRPr="00A2715B" w:rsidRDefault="00A2715B" w:rsidP="00A2715B">
      <w:pPr>
        <w:jc w:val="both"/>
        <w:rPr>
          <w:rFonts w:ascii="Source Sans Pro" w:hAnsi="Source Sans Pro"/>
          <w:color w:val="000000" w:themeColor="text1"/>
          <w:lang w:val="es-MX"/>
        </w:rPr>
      </w:pPr>
      <w:r w:rsidRPr="00A2715B">
        <w:rPr>
          <w:rFonts w:ascii="Arial" w:hAnsi="Arial" w:cs="Arial"/>
          <w:color w:val="000000" w:themeColor="text1"/>
          <w:lang w:val="es-MX"/>
        </w:rPr>
        <w:t>●</w:t>
      </w:r>
      <w:r w:rsidRPr="00A2715B">
        <w:rPr>
          <w:rFonts w:ascii="Source Sans Pro" w:hAnsi="Source Sans Pro"/>
          <w:color w:val="000000" w:themeColor="text1"/>
          <w:lang w:val="es-MX"/>
        </w:rPr>
        <w:t xml:space="preserve"> Honduras - Cattrachas</w:t>
      </w:r>
    </w:p>
    <w:p w14:paraId="7988068E" w14:textId="77777777" w:rsidR="00A2715B" w:rsidRPr="00A2715B" w:rsidRDefault="00A2715B" w:rsidP="00A2715B">
      <w:pPr>
        <w:jc w:val="both"/>
        <w:rPr>
          <w:rFonts w:ascii="Source Sans Pro" w:hAnsi="Source Sans Pro"/>
          <w:color w:val="000000" w:themeColor="text1"/>
          <w:lang w:val="es-MX"/>
        </w:rPr>
      </w:pPr>
      <w:r w:rsidRPr="00A2715B">
        <w:rPr>
          <w:rFonts w:ascii="Arial" w:hAnsi="Arial" w:cs="Arial"/>
          <w:color w:val="000000" w:themeColor="text1"/>
          <w:lang w:val="es-MX"/>
        </w:rPr>
        <w:t>●</w:t>
      </w:r>
      <w:r w:rsidRPr="00A2715B">
        <w:rPr>
          <w:rFonts w:ascii="Source Sans Pro" w:hAnsi="Source Sans Pro"/>
          <w:color w:val="000000" w:themeColor="text1"/>
          <w:lang w:val="es-MX"/>
        </w:rPr>
        <w:t xml:space="preserve"> M</w:t>
      </w:r>
      <w:r w:rsidRPr="00A2715B">
        <w:rPr>
          <w:rFonts w:ascii="Source Sans Pro" w:hAnsi="Source Sans Pro" w:cs="Source Sans Pro"/>
          <w:color w:val="000000" w:themeColor="text1"/>
          <w:lang w:val="es-MX"/>
        </w:rPr>
        <w:t>é</w:t>
      </w:r>
      <w:r w:rsidRPr="00A2715B">
        <w:rPr>
          <w:rFonts w:ascii="Source Sans Pro" w:hAnsi="Source Sans Pro"/>
          <w:color w:val="000000" w:themeColor="text1"/>
          <w:lang w:val="es-MX"/>
        </w:rPr>
        <w:t>xico - Amicus DH, A.C.</w:t>
      </w:r>
    </w:p>
    <w:p w14:paraId="7270738A" w14:textId="77777777" w:rsidR="00A2715B" w:rsidRPr="00A2715B" w:rsidRDefault="00A2715B" w:rsidP="00A2715B">
      <w:pPr>
        <w:jc w:val="both"/>
        <w:rPr>
          <w:rFonts w:ascii="Source Sans Pro" w:hAnsi="Source Sans Pro"/>
          <w:color w:val="000000" w:themeColor="text1"/>
          <w:lang w:val="es-MX"/>
        </w:rPr>
      </w:pPr>
      <w:r w:rsidRPr="00A2715B">
        <w:rPr>
          <w:rFonts w:ascii="Arial" w:hAnsi="Arial" w:cs="Arial"/>
          <w:color w:val="000000" w:themeColor="text1"/>
          <w:lang w:val="es-MX"/>
        </w:rPr>
        <w:t>●</w:t>
      </w:r>
      <w:r w:rsidRPr="00A2715B">
        <w:rPr>
          <w:rFonts w:ascii="Source Sans Pro" w:hAnsi="Source Sans Pro"/>
          <w:color w:val="000000" w:themeColor="text1"/>
          <w:lang w:val="es-MX"/>
        </w:rPr>
        <w:t xml:space="preserve"> M</w:t>
      </w:r>
      <w:r w:rsidRPr="00A2715B">
        <w:rPr>
          <w:rFonts w:ascii="Source Sans Pro" w:hAnsi="Source Sans Pro" w:cs="Source Sans Pro"/>
          <w:color w:val="000000" w:themeColor="text1"/>
          <w:lang w:val="es-MX"/>
        </w:rPr>
        <w:t>é</w:t>
      </w:r>
      <w:r w:rsidRPr="00A2715B">
        <w:rPr>
          <w:rFonts w:ascii="Source Sans Pro" w:hAnsi="Source Sans Pro"/>
          <w:color w:val="000000" w:themeColor="text1"/>
          <w:lang w:val="es-MX"/>
        </w:rPr>
        <w:t>xico - Equis justicia para las mujeres AC</w:t>
      </w:r>
    </w:p>
    <w:p w14:paraId="5F0D5C02" w14:textId="77777777" w:rsidR="00A2715B" w:rsidRPr="00A2715B" w:rsidRDefault="00A2715B" w:rsidP="00A2715B">
      <w:pPr>
        <w:jc w:val="both"/>
        <w:rPr>
          <w:rFonts w:ascii="Source Sans Pro" w:hAnsi="Source Sans Pro"/>
          <w:color w:val="000000" w:themeColor="text1"/>
          <w:lang w:val="es-MX"/>
        </w:rPr>
      </w:pPr>
      <w:r w:rsidRPr="00A2715B">
        <w:rPr>
          <w:rFonts w:ascii="Arial" w:hAnsi="Arial" w:cs="Arial"/>
          <w:color w:val="000000" w:themeColor="text1"/>
          <w:lang w:val="es-MX"/>
        </w:rPr>
        <w:t>●</w:t>
      </w:r>
      <w:r w:rsidRPr="00A2715B">
        <w:rPr>
          <w:rFonts w:ascii="Source Sans Pro" w:hAnsi="Source Sans Pro"/>
          <w:color w:val="000000" w:themeColor="text1"/>
          <w:lang w:val="es-MX"/>
        </w:rPr>
        <w:t xml:space="preserve"> M</w:t>
      </w:r>
      <w:r w:rsidRPr="00A2715B">
        <w:rPr>
          <w:rFonts w:ascii="Source Sans Pro" w:hAnsi="Source Sans Pro" w:cs="Source Sans Pro"/>
          <w:color w:val="000000" w:themeColor="text1"/>
          <w:lang w:val="es-MX"/>
        </w:rPr>
        <w:t>é</w:t>
      </w:r>
      <w:r w:rsidRPr="00A2715B">
        <w:rPr>
          <w:rFonts w:ascii="Source Sans Pro" w:hAnsi="Source Sans Pro"/>
          <w:color w:val="000000" w:themeColor="text1"/>
          <w:lang w:val="es-MX"/>
        </w:rPr>
        <w:t>xico - Letra eSe</w:t>
      </w:r>
    </w:p>
    <w:p w14:paraId="1E8FA1B4" w14:textId="77777777" w:rsidR="00A2715B" w:rsidRPr="00A2715B" w:rsidRDefault="00A2715B" w:rsidP="00A2715B">
      <w:pPr>
        <w:jc w:val="both"/>
        <w:rPr>
          <w:rFonts w:ascii="Source Sans Pro" w:hAnsi="Source Sans Pro"/>
          <w:color w:val="000000" w:themeColor="text1"/>
          <w:lang w:val="es-MX"/>
        </w:rPr>
      </w:pPr>
      <w:r w:rsidRPr="00A2715B">
        <w:rPr>
          <w:rFonts w:ascii="Arial" w:hAnsi="Arial" w:cs="Arial"/>
          <w:color w:val="000000" w:themeColor="text1"/>
          <w:lang w:val="es-MX"/>
        </w:rPr>
        <w:t>●</w:t>
      </w:r>
      <w:r w:rsidRPr="00A2715B">
        <w:rPr>
          <w:rFonts w:ascii="Source Sans Pro" w:hAnsi="Source Sans Pro"/>
          <w:color w:val="000000" w:themeColor="text1"/>
          <w:lang w:val="es-MX"/>
        </w:rPr>
        <w:t xml:space="preserve"> M</w:t>
      </w:r>
      <w:r w:rsidRPr="00A2715B">
        <w:rPr>
          <w:rFonts w:ascii="Source Sans Pro" w:hAnsi="Source Sans Pro" w:cs="Source Sans Pro"/>
          <w:color w:val="000000" w:themeColor="text1"/>
          <w:lang w:val="es-MX"/>
        </w:rPr>
        <w:t>é</w:t>
      </w:r>
      <w:r w:rsidRPr="00A2715B">
        <w:rPr>
          <w:rFonts w:ascii="Source Sans Pro" w:hAnsi="Source Sans Pro"/>
          <w:color w:val="000000" w:themeColor="text1"/>
          <w:lang w:val="es-MX"/>
        </w:rPr>
        <w:t>xico - Red de Juventudes Trans M</w:t>
      </w:r>
      <w:r w:rsidRPr="00A2715B">
        <w:rPr>
          <w:rFonts w:ascii="Source Sans Pro" w:hAnsi="Source Sans Pro" w:cs="Source Sans Pro"/>
          <w:color w:val="000000" w:themeColor="text1"/>
          <w:lang w:val="es-MX"/>
        </w:rPr>
        <w:t>é</w:t>
      </w:r>
      <w:r w:rsidRPr="00A2715B">
        <w:rPr>
          <w:rFonts w:ascii="Source Sans Pro" w:hAnsi="Source Sans Pro"/>
          <w:color w:val="000000" w:themeColor="text1"/>
          <w:lang w:val="es-MX"/>
        </w:rPr>
        <w:t>xico</w:t>
      </w:r>
    </w:p>
    <w:p w14:paraId="073B3C3A" w14:textId="77777777" w:rsidR="00A2715B" w:rsidRPr="00A2715B" w:rsidRDefault="00A2715B" w:rsidP="00A2715B">
      <w:pPr>
        <w:jc w:val="both"/>
        <w:rPr>
          <w:rFonts w:ascii="Source Sans Pro" w:hAnsi="Source Sans Pro"/>
          <w:color w:val="000000" w:themeColor="text1"/>
          <w:lang w:val="es-MX"/>
        </w:rPr>
      </w:pPr>
      <w:r w:rsidRPr="00A2715B">
        <w:rPr>
          <w:rFonts w:ascii="Arial" w:hAnsi="Arial" w:cs="Arial"/>
          <w:color w:val="000000" w:themeColor="text1"/>
          <w:lang w:val="es-MX"/>
        </w:rPr>
        <w:t>●</w:t>
      </w:r>
      <w:r w:rsidRPr="00A2715B">
        <w:rPr>
          <w:rFonts w:ascii="Source Sans Pro" w:hAnsi="Source Sans Pro"/>
          <w:color w:val="000000" w:themeColor="text1"/>
          <w:lang w:val="es-MX"/>
        </w:rPr>
        <w:t xml:space="preserve"> Panam</w:t>
      </w:r>
      <w:r w:rsidRPr="00A2715B">
        <w:rPr>
          <w:rFonts w:ascii="Source Sans Pro" w:hAnsi="Source Sans Pro" w:cs="Source Sans Pro"/>
          <w:color w:val="000000" w:themeColor="text1"/>
          <w:lang w:val="es-MX"/>
        </w:rPr>
        <w:t>á</w:t>
      </w:r>
      <w:r w:rsidRPr="00A2715B">
        <w:rPr>
          <w:rFonts w:ascii="Source Sans Pro" w:hAnsi="Source Sans Pro"/>
          <w:color w:val="000000" w:themeColor="text1"/>
          <w:lang w:val="es-MX"/>
        </w:rPr>
        <w:t xml:space="preserve"> - Fundación Iguales</w:t>
      </w:r>
    </w:p>
    <w:p w14:paraId="2CED8D2B" w14:textId="33561829" w:rsidR="00A2715B" w:rsidRDefault="00A2715B" w:rsidP="00A2715B">
      <w:pPr>
        <w:jc w:val="both"/>
        <w:rPr>
          <w:rFonts w:ascii="Source Sans Pro" w:hAnsi="Source Sans Pro"/>
          <w:color w:val="000000" w:themeColor="text1"/>
          <w:lang w:val="es-MX"/>
        </w:rPr>
      </w:pPr>
      <w:r w:rsidRPr="00A2715B">
        <w:rPr>
          <w:rFonts w:ascii="Arial" w:hAnsi="Arial" w:cs="Arial"/>
          <w:color w:val="000000" w:themeColor="text1"/>
          <w:lang w:val="es-MX"/>
        </w:rPr>
        <w:t>●</w:t>
      </w:r>
      <w:r w:rsidRPr="00A2715B">
        <w:rPr>
          <w:rFonts w:ascii="Source Sans Pro" w:hAnsi="Source Sans Pro"/>
          <w:color w:val="000000" w:themeColor="text1"/>
          <w:lang w:val="es-MX"/>
        </w:rPr>
        <w:t xml:space="preserve"> Per</w:t>
      </w:r>
      <w:r w:rsidRPr="00A2715B">
        <w:rPr>
          <w:rFonts w:ascii="Source Sans Pro" w:hAnsi="Source Sans Pro" w:cs="Source Sans Pro"/>
          <w:color w:val="000000" w:themeColor="text1"/>
          <w:lang w:val="es-MX"/>
        </w:rPr>
        <w:t>ú</w:t>
      </w:r>
      <w:r w:rsidRPr="00A2715B">
        <w:rPr>
          <w:rFonts w:ascii="Source Sans Pro" w:hAnsi="Source Sans Pro"/>
          <w:color w:val="000000" w:themeColor="text1"/>
          <w:lang w:val="es-MX"/>
        </w:rPr>
        <w:t xml:space="preserve"> </w:t>
      </w:r>
      <w:r>
        <w:rPr>
          <w:rFonts w:ascii="Source Sans Pro" w:hAnsi="Source Sans Pro"/>
          <w:color w:val="000000" w:themeColor="text1"/>
          <w:lang w:val="es-MX"/>
        </w:rPr>
        <w:t>–</w:t>
      </w:r>
      <w:r w:rsidRPr="00A2715B">
        <w:rPr>
          <w:rFonts w:ascii="Source Sans Pro" w:hAnsi="Source Sans Pro"/>
          <w:color w:val="000000" w:themeColor="text1"/>
          <w:lang w:val="es-MX"/>
        </w:rPr>
        <w:t xml:space="preserve"> TRANSformar</w:t>
      </w:r>
    </w:p>
    <w:p w14:paraId="08E9B89C" w14:textId="0B8FCAA5" w:rsidR="00A2715B" w:rsidRPr="00A2715B" w:rsidRDefault="00A2715B" w:rsidP="00A2715B">
      <w:pPr>
        <w:pStyle w:val="ListParagraph"/>
        <w:numPr>
          <w:ilvl w:val="0"/>
          <w:numId w:val="42"/>
        </w:numPr>
        <w:ind w:left="142" w:hanging="142"/>
        <w:jc w:val="both"/>
        <w:rPr>
          <w:rFonts w:ascii="Source Sans Pro" w:hAnsi="Source Sans Pro"/>
          <w:color w:val="000000" w:themeColor="text1"/>
          <w:lang w:val="es-MX"/>
        </w:rPr>
      </w:pPr>
      <w:r>
        <w:rPr>
          <w:rFonts w:ascii="Source Sans Pro" w:hAnsi="Source Sans Pro"/>
          <w:color w:val="000000" w:themeColor="text1"/>
          <w:lang w:val="es-MX"/>
        </w:rPr>
        <w:t>Perú – Centro de Derechos Sexuales y Reproductivos (PROMSEX)</w:t>
      </w:r>
    </w:p>
    <w:sectPr w:rsidR="00A2715B" w:rsidRPr="00A2715B" w:rsidSect="001E0EF4">
      <w:headerReference w:type="default" r:id="rId9"/>
      <w:footerReference w:type="default" r:id="rId10"/>
      <w:pgSz w:w="12240" w:h="15840"/>
      <w:pgMar w:top="1440" w:right="1080" w:bottom="1985"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B439D" w14:textId="77777777" w:rsidR="008C1FE4" w:rsidRDefault="008C1FE4" w:rsidP="00EE4603">
      <w:pPr>
        <w:spacing w:after="0" w:line="240" w:lineRule="auto"/>
      </w:pPr>
      <w:r>
        <w:separator/>
      </w:r>
    </w:p>
  </w:endnote>
  <w:endnote w:type="continuationSeparator" w:id="0">
    <w:p w14:paraId="1C51DDE2" w14:textId="77777777" w:rsidR="008C1FE4" w:rsidRDefault="008C1FE4" w:rsidP="00EE4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Cambria Math"/>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6DFED" w14:textId="26C301C4" w:rsidR="00AD1EF7" w:rsidRPr="00AD1EF7" w:rsidRDefault="00AD1EF7" w:rsidP="00AD1EF7">
    <w:pPr>
      <w:pStyle w:val="Footer"/>
    </w:pPr>
    <w:r>
      <w:rPr>
        <w:noProof/>
        <w:bdr w:val="none" w:sz="0" w:space="0" w:color="auto" w:frame="1"/>
        <w:lang w:val="en-GB" w:eastAsia="en-GB"/>
      </w:rPr>
      <w:drawing>
        <wp:anchor distT="0" distB="0" distL="114300" distR="114300" simplePos="0" relativeHeight="251659264" behindDoc="1" locked="0" layoutInCell="1" allowOverlap="1" wp14:anchorId="10F40168" wp14:editId="78323B38">
          <wp:simplePos x="0" y="0"/>
          <wp:positionH relativeFrom="column">
            <wp:posOffset>4373792</wp:posOffset>
          </wp:positionH>
          <wp:positionV relativeFrom="paragraph">
            <wp:posOffset>-762192</wp:posOffset>
          </wp:positionV>
          <wp:extent cx="2158365" cy="1031240"/>
          <wp:effectExtent l="0" t="0" r="0" b="0"/>
          <wp:wrapNone/>
          <wp:docPr id="12" name="Imagen 12" descr="LOGO_Red_litigantes_LG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ed_litigantes_LGB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103124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7509F" w14:textId="77777777" w:rsidR="008C1FE4" w:rsidRDefault="008C1FE4" w:rsidP="00EE4603">
      <w:pPr>
        <w:spacing w:after="0" w:line="240" w:lineRule="auto"/>
      </w:pPr>
      <w:r>
        <w:separator/>
      </w:r>
    </w:p>
  </w:footnote>
  <w:footnote w:type="continuationSeparator" w:id="0">
    <w:p w14:paraId="4C52CAAE" w14:textId="77777777" w:rsidR="008C1FE4" w:rsidRDefault="008C1FE4" w:rsidP="00EE4603">
      <w:pPr>
        <w:spacing w:after="0" w:line="240" w:lineRule="auto"/>
      </w:pPr>
      <w:r>
        <w:continuationSeparator/>
      </w:r>
    </w:p>
  </w:footnote>
  <w:footnote w:id="1">
    <w:p w14:paraId="0A0BE60C" w14:textId="0BE61F32" w:rsidR="00333F97" w:rsidRPr="00C4701A" w:rsidRDefault="00333F97" w:rsidP="00AB01B2">
      <w:pPr>
        <w:pStyle w:val="FootnoteText"/>
        <w:jc w:val="both"/>
        <w:rPr>
          <w:rFonts w:ascii="Source Sans Pro" w:hAnsi="Source Sans Pro"/>
          <w:sz w:val="18"/>
          <w:szCs w:val="18"/>
        </w:rPr>
      </w:pPr>
      <w:r w:rsidRPr="00C4701A">
        <w:rPr>
          <w:rStyle w:val="FootnoteReference"/>
          <w:rFonts w:ascii="Source Sans Pro" w:hAnsi="Source Sans Pro"/>
          <w:sz w:val="18"/>
          <w:szCs w:val="18"/>
        </w:rPr>
        <w:footnoteRef/>
      </w:r>
      <w:r w:rsidRPr="00C4701A">
        <w:rPr>
          <w:rFonts w:ascii="Source Sans Pro" w:hAnsi="Source Sans Pro"/>
          <w:sz w:val="18"/>
          <w:szCs w:val="18"/>
        </w:rPr>
        <w:t xml:space="preserve"> </w:t>
      </w:r>
      <w:r w:rsidR="007579AD" w:rsidRPr="00C4701A">
        <w:rPr>
          <w:rFonts w:ascii="Source Sans Pro" w:hAnsi="Source Sans Pro"/>
          <w:sz w:val="18"/>
          <w:szCs w:val="18"/>
        </w:rPr>
        <w:t xml:space="preserve">Observatorio SIn Violencia LGBTI. (2019). </w:t>
      </w:r>
      <w:r w:rsidR="007579AD" w:rsidRPr="00C4701A">
        <w:rPr>
          <w:rFonts w:ascii="Source Sans Pro" w:hAnsi="Source Sans Pro"/>
          <w:i/>
          <w:iCs/>
          <w:sz w:val="18"/>
          <w:szCs w:val="18"/>
        </w:rPr>
        <w:t>El prejuicio no conoce fronteras Homicidios de lesbianas, gay, bisexuales, trans e intersex en países de América Latina y el Caribe 2014 - 2019</w:t>
      </w:r>
      <w:r w:rsidR="007579AD" w:rsidRPr="00C4701A">
        <w:rPr>
          <w:rFonts w:ascii="Source Sans Pro" w:hAnsi="Source Sans Pro"/>
          <w:sz w:val="18"/>
          <w:szCs w:val="18"/>
        </w:rPr>
        <w:t xml:space="preserve">. </w:t>
      </w:r>
      <w:hyperlink r:id="rId1" w:history="1">
        <w:r w:rsidR="007579AD" w:rsidRPr="00C4701A">
          <w:rPr>
            <w:rStyle w:val="Hyperlink"/>
            <w:rFonts w:ascii="Source Sans Pro" w:hAnsi="Source Sans Pro"/>
            <w:sz w:val="18"/>
            <w:szCs w:val="18"/>
          </w:rPr>
          <w:t>https://colombiadiversa.org/colombiadiversa2016/wp-content/uploads/2019/08/Informe_Prejuicios_web.pdf</w:t>
        </w:r>
      </w:hyperlink>
      <w:r w:rsidR="007579AD" w:rsidRPr="00C4701A">
        <w:rPr>
          <w:rFonts w:ascii="Source Sans Pro" w:hAnsi="Source Sans Pro"/>
          <w:sz w:val="18"/>
          <w:szCs w:val="18"/>
        </w:rPr>
        <w:t xml:space="preserve"> </w:t>
      </w:r>
    </w:p>
  </w:footnote>
  <w:footnote w:id="2">
    <w:p w14:paraId="45E6DFFD" w14:textId="06A02EFE" w:rsidR="00537DC4" w:rsidRPr="00C4701A" w:rsidRDefault="00537DC4" w:rsidP="00AB01B2">
      <w:pPr>
        <w:spacing w:after="0" w:line="240" w:lineRule="auto"/>
        <w:jc w:val="both"/>
        <w:rPr>
          <w:rFonts w:ascii="Source Sans Pro" w:hAnsi="Source Sans Pro" w:cs="Arial"/>
          <w:sz w:val="18"/>
          <w:szCs w:val="18"/>
        </w:rPr>
      </w:pPr>
      <w:r w:rsidRPr="00C4701A">
        <w:rPr>
          <w:rFonts w:ascii="Source Sans Pro" w:hAnsi="Source Sans Pro" w:cs="Arial"/>
          <w:sz w:val="18"/>
          <w:szCs w:val="18"/>
          <w:vertAlign w:val="superscript"/>
        </w:rPr>
        <w:footnoteRef/>
      </w:r>
      <w:r w:rsidRPr="00C4701A">
        <w:rPr>
          <w:rFonts w:ascii="Source Sans Pro" w:hAnsi="Source Sans Pro" w:cs="Arial"/>
          <w:sz w:val="18"/>
          <w:szCs w:val="18"/>
        </w:rPr>
        <w:t xml:space="preserve"> Red Regional SIn Violencias (2021) Descifrando la Violencias en tiempos de cuarentena Homicidios de lesbianas, gays, bisexuales, trans e intersex en América Latina y el Caribe 2019-2020, pp. 5.</w:t>
      </w:r>
      <w:r w:rsidR="00906178" w:rsidRPr="00C4701A">
        <w:rPr>
          <w:rFonts w:ascii="Source Sans Pro" w:hAnsi="Source Sans Pro" w:cs="Arial"/>
          <w:sz w:val="18"/>
          <w:szCs w:val="18"/>
        </w:rPr>
        <w:t xml:space="preserve"> Disponible en: </w:t>
      </w:r>
      <w:hyperlink r:id="rId2" w:history="1">
        <w:r w:rsidR="00906178" w:rsidRPr="00C4701A">
          <w:rPr>
            <w:rStyle w:val="Hyperlink"/>
            <w:rFonts w:ascii="Source Sans Pro" w:hAnsi="Source Sans Pro"/>
            <w:sz w:val="18"/>
            <w:szCs w:val="18"/>
          </w:rPr>
          <w:t>https://sinviolencia.lgbt/wp-content/uploads/2021/09/DES-CIFRANDO-LA-VIOLENCIA-EN-TIEMPOS-DE-CUARENTENA.pdf</w:t>
        </w:r>
      </w:hyperlink>
      <w:r w:rsidR="00906178" w:rsidRPr="00C4701A">
        <w:rPr>
          <w:rFonts w:ascii="Source Sans Pro" w:hAnsi="Source Sans Pro"/>
          <w:sz w:val="18"/>
          <w:szCs w:val="18"/>
        </w:rPr>
        <w:t xml:space="preserve"> </w:t>
      </w:r>
    </w:p>
  </w:footnote>
  <w:footnote w:id="3">
    <w:p w14:paraId="2281178D" w14:textId="3107FE74" w:rsidR="00FB6DA1" w:rsidRPr="00C4701A" w:rsidRDefault="00FB6DA1" w:rsidP="00AB01B2">
      <w:pPr>
        <w:pStyle w:val="FootnoteText"/>
        <w:jc w:val="both"/>
        <w:rPr>
          <w:rFonts w:ascii="Source Sans Pro" w:hAnsi="Source Sans Pro"/>
          <w:sz w:val="18"/>
          <w:szCs w:val="18"/>
        </w:rPr>
      </w:pPr>
      <w:r w:rsidRPr="00C4701A">
        <w:rPr>
          <w:rStyle w:val="FootnoteReference"/>
          <w:rFonts w:ascii="Source Sans Pro" w:hAnsi="Source Sans Pro"/>
          <w:sz w:val="18"/>
          <w:szCs w:val="18"/>
        </w:rPr>
        <w:footnoteRef/>
      </w:r>
      <w:r w:rsidRPr="00C4701A">
        <w:rPr>
          <w:rFonts w:ascii="Source Sans Pro" w:hAnsi="Source Sans Pro"/>
          <w:sz w:val="18"/>
          <w:szCs w:val="18"/>
        </w:rPr>
        <w:t xml:space="preserve"> </w:t>
      </w:r>
      <w:r w:rsidR="00295EB4" w:rsidRPr="00C4701A">
        <w:rPr>
          <w:rFonts w:ascii="Source Sans Pro" w:hAnsi="Source Sans Pro"/>
          <w:sz w:val="18"/>
          <w:szCs w:val="18"/>
        </w:rPr>
        <w:t xml:space="preserve">Comisión Interamericana de Derechos Humanos, Informe sobre Violencia contra Personas Lesbianas, Gay, Bisexuales, Trans e Intersex en América. 2015. </w:t>
      </w:r>
    </w:p>
  </w:footnote>
  <w:footnote w:id="4">
    <w:p w14:paraId="58EA7614" w14:textId="26405D3B" w:rsidR="00C06A83" w:rsidRPr="00C4701A" w:rsidRDefault="00C06A83" w:rsidP="00AB01B2">
      <w:pPr>
        <w:pStyle w:val="FootnoteText"/>
        <w:jc w:val="both"/>
        <w:rPr>
          <w:rFonts w:ascii="Source Sans Pro" w:hAnsi="Source Sans Pro"/>
          <w:sz w:val="18"/>
          <w:szCs w:val="18"/>
          <w:lang w:val="en-US"/>
        </w:rPr>
      </w:pPr>
      <w:r w:rsidRPr="00C4701A">
        <w:rPr>
          <w:rStyle w:val="FootnoteReference"/>
          <w:rFonts w:ascii="Source Sans Pro" w:hAnsi="Source Sans Pro"/>
          <w:sz w:val="18"/>
          <w:szCs w:val="18"/>
        </w:rPr>
        <w:footnoteRef/>
      </w:r>
      <w:r w:rsidRPr="00C4701A">
        <w:rPr>
          <w:rFonts w:ascii="Source Sans Pro" w:hAnsi="Source Sans Pro"/>
          <w:sz w:val="18"/>
          <w:szCs w:val="18"/>
        </w:rPr>
        <w:t xml:space="preserve"> </w:t>
      </w:r>
      <w:r w:rsidR="00F01CF9" w:rsidRPr="00C4701A">
        <w:rPr>
          <w:rFonts w:ascii="Source Sans Pro" w:hAnsi="Source Sans Pro"/>
          <w:sz w:val="18"/>
          <w:szCs w:val="18"/>
        </w:rPr>
        <w:t xml:space="preserve">Bolsonaro dice que OMS alienta la homosexualidad y la masturbación en los niños - France 24. </w:t>
      </w:r>
      <w:r w:rsidR="00F01CF9" w:rsidRPr="00C4701A">
        <w:rPr>
          <w:rFonts w:ascii="Source Sans Pro" w:hAnsi="Source Sans Pro"/>
          <w:sz w:val="18"/>
          <w:szCs w:val="18"/>
          <w:lang w:val="en-US"/>
        </w:rPr>
        <w:t xml:space="preserve">(2020, April 30). </w:t>
      </w:r>
      <w:r w:rsidR="00F01CF9" w:rsidRPr="00C4701A">
        <w:rPr>
          <w:rFonts w:ascii="Source Sans Pro" w:hAnsi="Source Sans Pro"/>
          <w:i/>
          <w:iCs/>
          <w:sz w:val="18"/>
          <w:szCs w:val="18"/>
          <w:lang w:val="en-US"/>
        </w:rPr>
        <w:t>France 24</w:t>
      </w:r>
      <w:r w:rsidR="00F01CF9" w:rsidRPr="00C4701A">
        <w:rPr>
          <w:rFonts w:ascii="Source Sans Pro" w:hAnsi="Source Sans Pro"/>
          <w:sz w:val="18"/>
          <w:szCs w:val="18"/>
          <w:lang w:val="en-US"/>
        </w:rPr>
        <w:t xml:space="preserve">. </w:t>
      </w:r>
      <w:hyperlink r:id="rId3" w:history="1">
        <w:r w:rsidR="00F01CF9" w:rsidRPr="00C4701A">
          <w:rPr>
            <w:rStyle w:val="Hyperlink"/>
            <w:rFonts w:ascii="Source Sans Pro" w:hAnsi="Source Sans Pro"/>
            <w:sz w:val="18"/>
            <w:szCs w:val="18"/>
            <w:lang w:val="en-US"/>
          </w:rPr>
          <w:t>https://www.france24.com/es/20200430-bolsonaro-dice-que-oms-alienta-la-homosexualidad-y-la-masturbaci%C3%B3n-en-los-ni%C3%B1os</w:t>
        </w:r>
      </w:hyperlink>
      <w:r w:rsidR="00F01CF9" w:rsidRPr="00C4701A">
        <w:rPr>
          <w:rFonts w:ascii="Source Sans Pro" w:hAnsi="Source Sans Pro"/>
          <w:sz w:val="18"/>
          <w:szCs w:val="18"/>
          <w:lang w:val="en-US"/>
        </w:rPr>
        <w:t xml:space="preserve"> </w:t>
      </w:r>
    </w:p>
  </w:footnote>
  <w:footnote w:id="5">
    <w:p w14:paraId="09444CA4" w14:textId="77B04385" w:rsidR="00F01CF9" w:rsidRPr="00C4701A" w:rsidRDefault="00F01CF9" w:rsidP="00AB01B2">
      <w:pPr>
        <w:pStyle w:val="FootnoteText"/>
        <w:jc w:val="both"/>
        <w:rPr>
          <w:rFonts w:ascii="Source Sans Pro" w:hAnsi="Source Sans Pro"/>
          <w:sz w:val="18"/>
          <w:szCs w:val="18"/>
          <w:lang w:val="en-US"/>
        </w:rPr>
      </w:pPr>
      <w:r w:rsidRPr="00C4701A">
        <w:rPr>
          <w:rStyle w:val="FootnoteReference"/>
          <w:rFonts w:ascii="Source Sans Pro" w:hAnsi="Source Sans Pro"/>
          <w:sz w:val="18"/>
          <w:szCs w:val="18"/>
        </w:rPr>
        <w:footnoteRef/>
      </w:r>
      <w:r w:rsidRPr="00C4701A">
        <w:rPr>
          <w:rFonts w:ascii="Source Sans Pro" w:hAnsi="Source Sans Pro"/>
          <w:sz w:val="18"/>
          <w:szCs w:val="18"/>
          <w:lang w:val="en-US"/>
        </w:rPr>
        <w:t xml:space="preserve"> </w:t>
      </w:r>
      <w:r w:rsidR="00CF2DAB" w:rsidRPr="00C4701A">
        <w:rPr>
          <w:rFonts w:ascii="Source Sans Pro" w:hAnsi="Source Sans Pro"/>
          <w:sz w:val="18"/>
          <w:szCs w:val="18"/>
          <w:lang w:val="en-US"/>
        </w:rPr>
        <w:t xml:space="preserve">Micó A. (2020, July 9). </w:t>
      </w:r>
      <w:r w:rsidR="00CF2DAB" w:rsidRPr="00C4701A">
        <w:rPr>
          <w:rFonts w:ascii="Source Sans Pro" w:hAnsi="Source Sans Pro"/>
          <w:i/>
          <w:iCs/>
          <w:sz w:val="18"/>
          <w:szCs w:val="18"/>
          <w:lang w:val="en-US"/>
        </w:rPr>
        <w:t>Coronavirus | Bolsonaro afirma que llevar mascarilla es “cosa de maricas” - AS.com</w:t>
      </w:r>
      <w:r w:rsidR="00CF2DAB" w:rsidRPr="00C4701A">
        <w:rPr>
          <w:rFonts w:ascii="Source Sans Pro" w:hAnsi="Source Sans Pro"/>
          <w:sz w:val="18"/>
          <w:szCs w:val="18"/>
          <w:lang w:val="en-US"/>
        </w:rPr>
        <w:t xml:space="preserve">. Diario AS. </w:t>
      </w:r>
      <w:hyperlink r:id="rId4" w:history="1">
        <w:r w:rsidR="00CF2DAB" w:rsidRPr="00C4701A">
          <w:rPr>
            <w:rStyle w:val="Hyperlink"/>
            <w:rFonts w:ascii="Source Sans Pro" w:hAnsi="Source Sans Pro"/>
            <w:sz w:val="18"/>
            <w:szCs w:val="18"/>
            <w:lang w:val="en-US"/>
          </w:rPr>
          <w:t>https://as.com/diarioas/2020/07/09/actualidad/1594276884_377002.html</w:t>
        </w:r>
      </w:hyperlink>
      <w:r w:rsidR="00CF2DAB" w:rsidRPr="00C4701A">
        <w:rPr>
          <w:rFonts w:ascii="Source Sans Pro" w:hAnsi="Source Sans Pro"/>
          <w:sz w:val="18"/>
          <w:szCs w:val="18"/>
          <w:lang w:val="en-US"/>
        </w:rPr>
        <w:t xml:space="preserve"> </w:t>
      </w:r>
    </w:p>
  </w:footnote>
  <w:footnote w:id="6">
    <w:p w14:paraId="54665FCE" w14:textId="77777777" w:rsidR="00B62B4F" w:rsidRPr="00C4701A" w:rsidRDefault="0074267A" w:rsidP="00AB01B2">
      <w:pPr>
        <w:pStyle w:val="FootnoteText"/>
        <w:jc w:val="both"/>
        <w:rPr>
          <w:rFonts w:ascii="Source Sans Pro" w:hAnsi="Source Sans Pro"/>
          <w:sz w:val="18"/>
          <w:szCs w:val="18"/>
        </w:rPr>
      </w:pPr>
      <w:r w:rsidRPr="00C4701A">
        <w:rPr>
          <w:rStyle w:val="FootnoteReference"/>
          <w:rFonts w:ascii="Source Sans Pro" w:hAnsi="Source Sans Pro"/>
          <w:sz w:val="18"/>
          <w:szCs w:val="18"/>
        </w:rPr>
        <w:footnoteRef/>
      </w:r>
      <w:r w:rsidRPr="00C4701A">
        <w:rPr>
          <w:rFonts w:ascii="Source Sans Pro" w:hAnsi="Source Sans Pro"/>
          <w:sz w:val="18"/>
          <w:szCs w:val="18"/>
        </w:rPr>
        <w:t xml:space="preserve"> </w:t>
      </w:r>
      <w:r w:rsidR="00B62B4F" w:rsidRPr="00C4701A">
        <w:rPr>
          <w:rFonts w:ascii="Source Sans Pro" w:hAnsi="Source Sans Pro"/>
          <w:sz w:val="18"/>
          <w:szCs w:val="18"/>
        </w:rPr>
        <w:t>Corte IDH. Caso Ríos y otros Vs. Venezuela. Excepciones Preliminares, Fondo, Reparaciones y Costas. Sentencia de</w:t>
      </w:r>
    </w:p>
    <w:p w14:paraId="5C952362" w14:textId="2320457A" w:rsidR="0074267A" w:rsidRPr="00C4701A" w:rsidRDefault="00B62B4F" w:rsidP="00AB01B2">
      <w:pPr>
        <w:pStyle w:val="FootnoteText"/>
        <w:jc w:val="both"/>
        <w:rPr>
          <w:rFonts w:ascii="Source Sans Pro" w:hAnsi="Source Sans Pro"/>
          <w:sz w:val="18"/>
          <w:szCs w:val="18"/>
        </w:rPr>
      </w:pPr>
      <w:r w:rsidRPr="00C4701A">
        <w:rPr>
          <w:rFonts w:ascii="Source Sans Pro" w:hAnsi="Source Sans Pro"/>
          <w:sz w:val="18"/>
          <w:szCs w:val="18"/>
        </w:rPr>
        <w:t xml:space="preserve">28 de enero de 2009. Serie C No. 194. párr. 138. </w:t>
      </w:r>
    </w:p>
  </w:footnote>
  <w:footnote w:id="7">
    <w:p w14:paraId="0A944361" w14:textId="3A2F1BE4" w:rsidR="00164E8D" w:rsidRPr="00C4701A" w:rsidRDefault="00164E8D" w:rsidP="00AB01B2">
      <w:pPr>
        <w:pStyle w:val="FootnoteText"/>
        <w:jc w:val="both"/>
        <w:rPr>
          <w:rFonts w:ascii="Source Sans Pro" w:hAnsi="Source Sans Pro"/>
          <w:sz w:val="18"/>
          <w:szCs w:val="18"/>
        </w:rPr>
      </w:pPr>
      <w:r w:rsidRPr="00C4701A">
        <w:rPr>
          <w:rStyle w:val="FootnoteReference"/>
          <w:rFonts w:ascii="Source Sans Pro" w:hAnsi="Source Sans Pro"/>
          <w:sz w:val="18"/>
          <w:szCs w:val="18"/>
        </w:rPr>
        <w:footnoteRef/>
      </w:r>
      <w:r w:rsidRPr="00C4701A">
        <w:rPr>
          <w:rFonts w:ascii="Source Sans Pro" w:hAnsi="Source Sans Pro"/>
          <w:sz w:val="18"/>
          <w:szCs w:val="18"/>
        </w:rPr>
        <w:t xml:space="preserve"> </w:t>
      </w:r>
      <w:r w:rsidR="00494405" w:rsidRPr="00C4701A">
        <w:rPr>
          <w:rFonts w:ascii="Source Sans Pro" w:hAnsi="Source Sans Pro"/>
          <w:sz w:val="18"/>
          <w:szCs w:val="18"/>
        </w:rPr>
        <w:t xml:space="preserve">Sala de redacción, El Tiempo. (2021, August 19). </w:t>
      </w:r>
      <w:r w:rsidR="00494405" w:rsidRPr="00C4701A">
        <w:rPr>
          <w:rFonts w:ascii="Source Sans Pro" w:hAnsi="Source Sans Pro"/>
          <w:i/>
          <w:iCs/>
          <w:sz w:val="18"/>
          <w:szCs w:val="18"/>
        </w:rPr>
        <w:t>Hombre no pudo donar sangre por ser gay, denuncia | LGBT Bogotá - Bogotá - ELTIEMPO.COM</w:t>
      </w:r>
      <w:r w:rsidR="00494405" w:rsidRPr="00C4701A">
        <w:rPr>
          <w:rFonts w:ascii="Source Sans Pro" w:hAnsi="Source Sans Pro"/>
          <w:sz w:val="18"/>
          <w:szCs w:val="18"/>
        </w:rPr>
        <w:t xml:space="preserve">. El Tiempo. </w:t>
      </w:r>
      <w:hyperlink r:id="rId5" w:history="1">
        <w:r w:rsidR="00494405" w:rsidRPr="00C4701A">
          <w:rPr>
            <w:rStyle w:val="Hyperlink"/>
            <w:rFonts w:ascii="Source Sans Pro" w:hAnsi="Source Sans Pro"/>
            <w:sz w:val="18"/>
            <w:szCs w:val="18"/>
          </w:rPr>
          <w:t>https://www.eltiempo.com/bogota/hombre-no-pudo-donar-sangre-por-ser-gay-denuncia-lgbt-bogota-611708</w:t>
        </w:r>
      </w:hyperlink>
      <w:r w:rsidR="00494405" w:rsidRPr="00C4701A">
        <w:rPr>
          <w:rFonts w:ascii="Source Sans Pro" w:hAnsi="Source Sans Pro"/>
          <w:sz w:val="18"/>
          <w:szCs w:val="18"/>
        </w:rPr>
        <w:t xml:space="preserve"> </w:t>
      </w:r>
    </w:p>
  </w:footnote>
  <w:footnote w:id="8">
    <w:p w14:paraId="5B68A8FA" w14:textId="4EFCF1B7" w:rsidR="00E406D6" w:rsidRPr="00C4701A" w:rsidRDefault="00E406D6" w:rsidP="00AB01B2">
      <w:pPr>
        <w:pStyle w:val="FootnoteText"/>
        <w:jc w:val="both"/>
        <w:rPr>
          <w:rFonts w:ascii="Source Sans Pro" w:hAnsi="Source Sans Pro"/>
          <w:sz w:val="18"/>
          <w:szCs w:val="18"/>
        </w:rPr>
      </w:pPr>
      <w:r w:rsidRPr="00C4701A">
        <w:rPr>
          <w:rStyle w:val="FootnoteReference"/>
          <w:rFonts w:ascii="Source Sans Pro" w:hAnsi="Source Sans Pro"/>
          <w:sz w:val="18"/>
          <w:szCs w:val="18"/>
        </w:rPr>
        <w:footnoteRef/>
      </w:r>
      <w:r w:rsidRPr="00C4701A">
        <w:rPr>
          <w:rFonts w:ascii="Source Sans Pro" w:hAnsi="Source Sans Pro"/>
          <w:sz w:val="18"/>
          <w:szCs w:val="18"/>
        </w:rPr>
        <w:t xml:space="preserve"> Comisión Interamericana de Derechos Humanos, Informe sobre Violencia contra Personas Lesbianas, Gay, Bisexuales, Trans e Intersex en América. 2015.</w:t>
      </w:r>
    </w:p>
  </w:footnote>
  <w:footnote w:id="9">
    <w:p w14:paraId="69B90175" w14:textId="6EE28CAF" w:rsidR="008D2E80" w:rsidRPr="00C4701A" w:rsidRDefault="008D2E80" w:rsidP="00AB01B2">
      <w:pPr>
        <w:pStyle w:val="FootnoteText"/>
        <w:jc w:val="both"/>
        <w:rPr>
          <w:rFonts w:ascii="Source Sans Pro" w:hAnsi="Source Sans Pro"/>
          <w:sz w:val="18"/>
          <w:szCs w:val="18"/>
        </w:rPr>
      </w:pPr>
      <w:r w:rsidRPr="00C4701A">
        <w:rPr>
          <w:rStyle w:val="FootnoteReference"/>
          <w:rFonts w:ascii="Source Sans Pro" w:hAnsi="Source Sans Pro"/>
          <w:sz w:val="18"/>
          <w:szCs w:val="18"/>
        </w:rPr>
        <w:footnoteRef/>
      </w:r>
      <w:r w:rsidRPr="00C4701A">
        <w:rPr>
          <w:rFonts w:ascii="Source Sans Pro" w:hAnsi="Source Sans Pro"/>
          <w:sz w:val="18"/>
          <w:szCs w:val="18"/>
        </w:rPr>
        <w:t xml:space="preserve"> </w:t>
      </w:r>
      <w:r w:rsidR="00E406D6" w:rsidRPr="00C4701A">
        <w:rPr>
          <w:rFonts w:ascii="Source Sans Pro" w:hAnsi="Source Sans Pro"/>
          <w:sz w:val="18"/>
          <w:szCs w:val="18"/>
        </w:rPr>
        <w:t>Ibid</w:t>
      </w:r>
      <w:r w:rsidR="001A7A5D">
        <w:rPr>
          <w:rFonts w:ascii="Source Sans Pro" w:hAnsi="Source Sans Pro"/>
          <w:sz w:val="18"/>
          <w:szCs w:val="18"/>
        </w:rPr>
        <w:t>em</w:t>
      </w:r>
      <w:r w:rsidR="00E406D6" w:rsidRPr="00C4701A">
        <w:rPr>
          <w:rFonts w:ascii="Source Sans Pro" w:hAnsi="Source Sans Pro"/>
          <w:sz w:val="18"/>
          <w:szCs w:val="18"/>
        </w:rPr>
        <w:t xml:space="preserve">. </w:t>
      </w:r>
    </w:p>
  </w:footnote>
  <w:footnote w:id="10">
    <w:p w14:paraId="03B1E980" w14:textId="19B30BB4" w:rsidR="00ED0219" w:rsidRPr="00C4701A" w:rsidRDefault="00ED0219" w:rsidP="00AB01B2">
      <w:pPr>
        <w:pStyle w:val="FootnoteText"/>
        <w:jc w:val="both"/>
        <w:rPr>
          <w:rFonts w:ascii="Source Sans Pro" w:hAnsi="Source Sans Pro"/>
          <w:sz w:val="18"/>
          <w:szCs w:val="18"/>
        </w:rPr>
      </w:pPr>
      <w:r w:rsidRPr="00C4701A">
        <w:rPr>
          <w:rStyle w:val="FootnoteReference"/>
          <w:rFonts w:ascii="Source Sans Pro" w:hAnsi="Source Sans Pro"/>
          <w:sz w:val="18"/>
          <w:szCs w:val="18"/>
        </w:rPr>
        <w:footnoteRef/>
      </w:r>
      <w:r w:rsidRPr="00C4701A">
        <w:rPr>
          <w:rFonts w:ascii="Source Sans Pro" w:hAnsi="Source Sans Pro"/>
          <w:sz w:val="18"/>
          <w:szCs w:val="18"/>
        </w:rPr>
        <w:t xml:space="preserve"> </w:t>
      </w:r>
      <w:r w:rsidR="00873CC4" w:rsidRPr="00C4701A">
        <w:rPr>
          <w:rFonts w:ascii="Source Sans Pro" w:hAnsi="Source Sans Pro"/>
          <w:sz w:val="18"/>
          <w:szCs w:val="18"/>
        </w:rPr>
        <w:t>Agrupación Rompiendo el Silencio, Organizando Trans Diversidades – OTD,</w:t>
      </w:r>
      <w:r w:rsidR="00DB46EC" w:rsidRPr="00C4701A">
        <w:rPr>
          <w:rFonts w:ascii="Source Sans Pro" w:hAnsi="Source Sans Pro"/>
          <w:sz w:val="18"/>
          <w:szCs w:val="18"/>
        </w:rPr>
        <w:t xml:space="preserve"> &amp; O</w:t>
      </w:r>
      <w:r w:rsidR="003F1D57" w:rsidRPr="00C4701A">
        <w:rPr>
          <w:rFonts w:ascii="Source Sans Pro" w:hAnsi="Source Sans Pro"/>
          <w:sz w:val="18"/>
          <w:szCs w:val="18"/>
        </w:rPr>
        <w:t xml:space="preserve">tras. </w:t>
      </w:r>
      <w:r w:rsidR="00873CC4" w:rsidRPr="00C4701A">
        <w:rPr>
          <w:rFonts w:ascii="Source Sans Pro" w:hAnsi="Source Sans Pro"/>
          <w:sz w:val="18"/>
          <w:szCs w:val="18"/>
        </w:rPr>
        <w:t xml:space="preserve"> (2020). </w:t>
      </w:r>
      <w:r w:rsidR="00873CC4" w:rsidRPr="00C4701A">
        <w:rPr>
          <w:rFonts w:ascii="Source Sans Pro" w:hAnsi="Source Sans Pro"/>
          <w:i/>
          <w:iCs/>
          <w:sz w:val="18"/>
          <w:szCs w:val="18"/>
        </w:rPr>
        <w:t>Violencia a disidencias sexuales en Chile. El pre, durante y post del Estado de Emergencia del gobierno de Sebastián Piñera.</w:t>
      </w:r>
    </w:p>
  </w:footnote>
  <w:footnote w:id="11">
    <w:p w14:paraId="6A122779" w14:textId="6FC55EBB" w:rsidR="008A57BB" w:rsidRPr="00C4701A" w:rsidRDefault="008A57BB" w:rsidP="00AB01B2">
      <w:pPr>
        <w:pStyle w:val="FootnoteText"/>
        <w:jc w:val="both"/>
        <w:rPr>
          <w:rFonts w:ascii="Source Sans Pro" w:hAnsi="Source Sans Pro"/>
          <w:sz w:val="18"/>
          <w:szCs w:val="18"/>
          <w:lang w:val="en-US"/>
        </w:rPr>
      </w:pPr>
      <w:r w:rsidRPr="00C4701A">
        <w:rPr>
          <w:rStyle w:val="FootnoteReference"/>
          <w:rFonts w:ascii="Source Sans Pro" w:hAnsi="Source Sans Pro"/>
          <w:sz w:val="18"/>
          <w:szCs w:val="18"/>
        </w:rPr>
        <w:footnoteRef/>
      </w:r>
      <w:r w:rsidRPr="00C4701A">
        <w:rPr>
          <w:rFonts w:ascii="Source Sans Pro" w:hAnsi="Source Sans Pro"/>
          <w:sz w:val="18"/>
          <w:szCs w:val="18"/>
        </w:rPr>
        <w:t xml:space="preserve"> </w:t>
      </w:r>
      <w:r w:rsidR="00EC2020" w:rsidRPr="00C4701A">
        <w:rPr>
          <w:rFonts w:ascii="Source Sans Pro" w:hAnsi="Source Sans Pro"/>
          <w:i/>
          <w:iCs/>
          <w:sz w:val="18"/>
          <w:szCs w:val="18"/>
        </w:rPr>
        <w:t>Caso de tortura contra Yefri Peña, mujer trans peruana, será llevado ante el Comité de Derechos Humanos de Naciones Unidas. Promsex</w:t>
      </w:r>
      <w:r w:rsidR="00EC2020" w:rsidRPr="00C4701A">
        <w:rPr>
          <w:rFonts w:ascii="Source Sans Pro" w:hAnsi="Source Sans Pro"/>
          <w:sz w:val="18"/>
          <w:szCs w:val="18"/>
        </w:rPr>
        <w:t xml:space="preserve">. (2020, November 25). </w:t>
      </w:r>
      <w:r w:rsidR="00EC2020" w:rsidRPr="00C4701A">
        <w:rPr>
          <w:rFonts w:ascii="Source Sans Pro" w:hAnsi="Source Sans Pro"/>
          <w:sz w:val="18"/>
          <w:szCs w:val="18"/>
          <w:lang w:val="en-US"/>
        </w:rPr>
        <w:t xml:space="preserve">PROMSEX. </w:t>
      </w:r>
      <w:hyperlink r:id="rId6" w:history="1">
        <w:r w:rsidR="00EC2020" w:rsidRPr="00C4701A">
          <w:rPr>
            <w:rStyle w:val="Hyperlink"/>
            <w:rFonts w:ascii="Source Sans Pro" w:hAnsi="Source Sans Pro"/>
            <w:sz w:val="18"/>
            <w:szCs w:val="18"/>
            <w:lang w:val="en-US"/>
          </w:rPr>
          <w:t>https://promsex.org/caso-de-tortura-contra-yefri-pena-mujer-trans-peruana-sera-llevado-ante-el-comite-de-derechos-humanos-de-naciones-unidas/</w:t>
        </w:r>
      </w:hyperlink>
      <w:r w:rsidR="00EC2020" w:rsidRPr="00C4701A">
        <w:rPr>
          <w:rFonts w:ascii="Source Sans Pro" w:hAnsi="Source Sans Pro"/>
          <w:sz w:val="18"/>
          <w:szCs w:val="18"/>
          <w:lang w:val="en-US"/>
        </w:rPr>
        <w:t xml:space="preserve"> </w:t>
      </w:r>
    </w:p>
  </w:footnote>
  <w:footnote w:id="12">
    <w:p w14:paraId="12CD7914" w14:textId="77777777" w:rsidR="00AB01B2" w:rsidRPr="00C4701A" w:rsidRDefault="00AB01B2" w:rsidP="00AB01B2">
      <w:pPr>
        <w:pBdr>
          <w:top w:val="nil"/>
          <w:left w:val="nil"/>
          <w:bottom w:val="nil"/>
          <w:right w:val="nil"/>
          <w:between w:val="nil"/>
        </w:pBdr>
        <w:spacing w:after="0" w:line="240" w:lineRule="auto"/>
        <w:jc w:val="both"/>
        <w:rPr>
          <w:rFonts w:ascii="Source Sans Pro" w:eastAsia="Quattrocento Sans" w:hAnsi="Source Sans Pro" w:cs="Segoe UI"/>
          <w:color w:val="000000"/>
          <w:sz w:val="18"/>
          <w:szCs w:val="18"/>
        </w:rPr>
      </w:pPr>
      <w:r w:rsidRPr="00C4701A">
        <w:rPr>
          <w:rFonts w:ascii="Source Sans Pro" w:hAnsi="Source Sans Pro" w:cs="Segoe UI"/>
          <w:sz w:val="18"/>
          <w:szCs w:val="18"/>
          <w:vertAlign w:val="superscript"/>
        </w:rPr>
        <w:footnoteRef/>
      </w:r>
      <w:r w:rsidRPr="00C4701A">
        <w:rPr>
          <w:rFonts w:ascii="Source Sans Pro" w:eastAsia="Quattrocento Sans" w:hAnsi="Source Sans Pro" w:cs="Segoe UI"/>
          <w:color w:val="000000"/>
          <w:sz w:val="18"/>
          <w:szCs w:val="18"/>
        </w:rPr>
        <w:t xml:space="preserve"> Cuenta de Twitter de Alex RM. Recuperado de </w:t>
      </w:r>
      <w:hyperlink r:id="rId7">
        <w:r w:rsidRPr="00C4701A">
          <w:rPr>
            <w:rFonts w:ascii="Source Sans Pro" w:eastAsia="Quattrocento Sans" w:hAnsi="Source Sans Pro" w:cs="Segoe UI"/>
            <w:color w:val="0563C1"/>
            <w:sz w:val="18"/>
            <w:szCs w:val="18"/>
            <w:u w:val="single"/>
          </w:rPr>
          <w:t>https://twitter.com/alex_rm2510/status/1246440562338783237</w:t>
        </w:r>
      </w:hyperlink>
      <w:r w:rsidRPr="00C4701A">
        <w:rPr>
          <w:rFonts w:ascii="Source Sans Pro" w:eastAsia="Quattrocento Sans" w:hAnsi="Source Sans Pro" w:cs="Segoe UI"/>
          <w:color w:val="000000"/>
          <w:sz w:val="18"/>
          <w:szCs w:val="18"/>
        </w:rPr>
        <w:t xml:space="preserve"> </w:t>
      </w:r>
    </w:p>
  </w:footnote>
  <w:footnote w:id="13">
    <w:p w14:paraId="6FAAADCF" w14:textId="77777777" w:rsidR="00AB01B2" w:rsidRPr="00C4701A" w:rsidRDefault="00AB01B2" w:rsidP="00AB01B2">
      <w:pPr>
        <w:pBdr>
          <w:top w:val="nil"/>
          <w:left w:val="nil"/>
          <w:bottom w:val="nil"/>
          <w:right w:val="nil"/>
          <w:between w:val="nil"/>
        </w:pBdr>
        <w:spacing w:after="0" w:line="240" w:lineRule="auto"/>
        <w:jc w:val="both"/>
        <w:rPr>
          <w:rFonts w:ascii="Source Sans Pro" w:eastAsia="Quattrocento Sans" w:hAnsi="Source Sans Pro" w:cs="Segoe UI"/>
          <w:color w:val="000000"/>
          <w:sz w:val="18"/>
          <w:szCs w:val="18"/>
        </w:rPr>
      </w:pPr>
      <w:r w:rsidRPr="00C4701A">
        <w:rPr>
          <w:rFonts w:ascii="Source Sans Pro" w:hAnsi="Source Sans Pro" w:cs="Segoe UI"/>
          <w:sz w:val="18"/>
          <w:szCs w:val="18"/>
          <w:vertAlign w:val="superscript"/>
        </w:rPr>
        <w:footnoteRef/>
      </w:r>
      <w:r w:rsidRPr="00C4701A">
        <w:rPr>
          <w:rFonts w:ascii="Source Sans Pro" w:eastAsia="Quattrocento Sans" w:hAnsi="Source Sans Pro" w:cs="Segoe UI"/>
          <w:color w:val="000000"/>
          <w:sz w:val="18"/>
          <w:szCs w:val="18"/>
        </w:rPr>
        <w:t xml:space="preserve"> Diario Peru21 (2020). Indignante: A mujeres trans las hacen gritar “Quiero ser un hombre” y las obligan a hacer ranas en comisaría de Bellavista [VIDEO]. Recuperado de </w:t>
      </w:r>
      <w:hyperlink r:id="rId8">
        <w:r w:rsidRPr="00C4701A">
          <w:rPr>
            <w:rFonts w:ascii="Source Sans Pro" w:eastAsia="Quattrocento Sans" w:hAnsi="Source Sans Pro" w:cs="Segoe UI"/>
            <w:color w:val="0563C1"/>
            <w:sz w:val="18"/>
            <w:szCs w:val="18"/>
            <w:u w:val="single"/>
          </w:rPr>
          <w:t>https://peru21.pe/lima/coronavirus-peru-i-lgtb-i-indignante-a-mujeres-trans-las-hacen-gritar-quiero-ser-un-hombre-y-las-obligan-a-hacer-ranas-en-comisaria-de-bellavista-noticia/</w:t>
        </w:r>
      </w:hyperlink>
      <w:r w:rsidRPr="00C4701A">
        <w:rPr>
          <w:rFonts w:ascii="Source Sans Pro" w:eastAsia="Quattrocento Sans" w:hAnsi="Source Sans Pro" w:cs="Segoe UI"/>
          <w:color w:val="000000"/>
          <w:sz w:val="18"/>
          <w:szCs w:val="18"/>
        </w:rPr>
        <w:t xml:space="preserve"> </w:t>
      </w:r>
    </w:p>
  </w:footnote>
  <w:footnote w:id="14">
    <w:p w14:paraId="30655332" w14:textId="045D2D40" w:rsidR="009F50C2" w:rsidRPr="00C4701A" w:rsidRDefault="009F50C2" w:rsidP="00AB01B2">
      <w:pPr>
        <w:pStyle w:val="FootnoteText"/>
        <w:jc w:val="both"/>
        <w:rPr>
          <w:rFonts w:ascii="Source Sans Pro" w:hAnsi="Source Sans Pro"/>
          <w:sz w:val="18"/>
          <w:szCs w:val="18"/>
        </w:rPr>
      </w:pPr>
      <w:r w:rsidRPr="00C4701A">
        <w:rPr>
          <w:rStyle w:val="FootnoteReference"/>
          <w:rFonts w:ascii="Source Sans Pro" w:hAnsi="Source Sans Pro"/>
          <w:sz w:val="18"/>
          <w:szCs w:val="18"/>
        </w:rPr>
        <w:footnoteRef/>
      </w:r>
      <w:r w:rsidRPr="00C4701A">
        <w:rPr>
          <w:rFonts w:ascii="Source Sans Pro" w:hAnsi="Source Sans Pro"/>
          <w:sz w:val="18"/>
          <w:szCs w:val="18"/>
        </w:rPr>
        <w:t xml:space="preserve"> </w:t>
      </w:r>
      <w:bookmarkStart w:id="3" w:name="_Hlk93387847"/>
      <w:r w:rsidR="004E6E5F" w:rsidRPr="00C4701A">
        <w:rPr>
          <w:rFonts w:ascii="Source Sans Pro" w:hAnsi="Source Sans Pro"/>
          <w:sz w:val="18"/>
          <w:szCs w:val="18"/>
        </w:rPr>
        <w:t>Arias Gómez, C., Pérez Rodríguez, G.</w:t>
      </w:r>
      <w:r w:rsidR="006A1666" w:rsidRPr="00C4701A">
        <w:rPr>
          <w:rFonts w:ascii="Source Sans Pro" w:hAnsi="Source Sans Pro"/>
          <w:sz w:val="18"/>
          <w:szCs w:val="18"/>
        </w:rPr>
        <w:t>&amp; Otros.</w:t>
      </w:r>
      <w:r w:rsidR="004E6E5F" w:rsidRPr="00C4701A">
        <w:rPr>
          <w:rFonts w:ascii="Source Sans Pro" w:hAnsi="Source Sans Pro"/>
          <w:sz w:val="18"/>
          <w:szCs w:val="18"/>
        </w:rPr>
        <w:t xml:space="preserve"> (2021). </w:t>
      </w:r>
      <w:r w:rsidR="004E6E5F" w:rsidRPr="00C4701A">
        <w:rPr>
          <w:rFonts w:ascii="Source Sans Pro" w:hAnsi="Source Sans Pro"/>
          <w:i/>
          <w:iCs/>
          <w:sz w:val="18"/>
          <w:szCs w:val="18"/>
        </w:rPr>
        <w:t>Nada que celebrar. Informe de derechos humanos de personas lesbianas, gays, bisexuales y trans en Colombia 2020</w:t>
      </w:r>
      <w:r w:rsidR="004E6E5F" w:rsidRPr="00C4701A">
        <w:rPr>
          <w:rFonts w:ascii="Source Sans Pro" w:hAnsi="Source Sans Pro"/>
          <w:sz w:val="18"/>
          <w:szCs w:val="18"/>
        </w:rPr>
        <w:t>.</w:t>
      </w:r>
      <w:bookmarkEnd w:id="3"/>
    </w:p>
  </w:footnote>
  <w:footnote w:id="15">
    <w:p w14:paraId="627F10AF" w14:textId="0792D79F" w:rsidR="00162B6B" w:rsidRPr="00C4701A" w:rsidRDefault="00162B6B" w:rsidP="00AB01B2">
      <w:pPr>
        <w:pStyle w:val="FootnoteText"/>
        <w:jc w:val="both"/>
        <w:rPr>
          <w:rFonts w:ascii="Source Sans Pro" w:hAnsi="Source Sans Pro"/>
          <w:sz w:val="18"/>
          <w:szCs w:val="18"/>
        </w:rPr>
      </w:pPr>
      <w:r w:rsidRPr="00C4701A">
        <w:rPr>
          <w:rStyle w:val="FootnoteReference"/>
          <w:rFonts w:ascii="Source Sans Pro" w:hAnsi="Source Sans Pro"/>
          <w:sz w:val="18"/>
          <w:szCs w:val="18"/>
        </w:rPr>
        <w:footnoteRef/>
      </w:r>
      <w:r w:rsidRPr="00C4701A">
        <w:rPr>
          <w:rFonts w:ascii="Source Sans Pro" w:hAnsi="Source Sans Pro"/>
          <w:sz w:val="18"/>
          <w:szCs w:val="18"/>
        </w:rPr>
        <w:t xml:space="preserve"> </w:t>
      </w:r>
      <w:r w:rsidR="00B42992" w:rsidRPr="00C4701A">
        <w:rPr>
          <w:rFonts w:ascii="Source Sans Pro" w:hAnsi="Source Sans Pro"/>
          <w:sz w:val="18"/>
          <w:szCs w:val="18"/>
        </w:rPr>
        <w:t xml:space="preserve">Cuba, L., &amp; Juárez, E. (2018). </w:t>
      </w:r>
      <w:r w:rsidR="001211AD" w:rsidRPr="00C4701A">
        <w:rPr>
          <w:rFonts w:ascii="Source Sans Pro" w:hAnsi="Source Sans Pro"/>
          <w:sz w:val="18"/>
          <w:szCs w:val="18"/>
        </w:rPr>
        <w:t xml:space="preserve">PROMSEX. </w:t>
      </w:r>
      <w:r w:rsidR="00B42992" w:rsidRPr="00C4701A">
        <w:rPr>
          <w:rFonts w:ascii="Source Sans Pro" w:hAnsi="Source Sans Pro"/>
          <w:i/>
          <w:iCs/>
          <w:sz w:val="18"/>
          <w:szCs w:val="18"/>
        </w:rPr>
        <w:t>Crecer siendo diferente: Compilación de tres investigaciones sobre violencia homofóbica, transfóbica y lesbofóbica en la familia y la escuela en el Perú</w:t>
      </w:r>
      <w:r w:rsidR="00B42992" w:rsidRPr="00C4701A">
        <w:rPr>
          <w:rFonts w:ascii="Source Sans Pro" w:hAnsi="Source Sans Pro"/>
          <w:sz w:val="18"/>
          <w:szCs w:val="18"/>
        </w:rPr>
        <w:t xml:space="preserve">. </w:t>
      </w:r>
    </w:p>
  </w:footnote>
  <w:footnote w:id="16">
    <w:p w14:paraId="2AC71EC1" w14:textId="0BB297F1" w:rsidR="00075B53" w:rsidRPr="00C4701A" w:rsidRDefault="00075B53" w:rsidP="00AB01B2">
      <w:pPr>
        <w:pStyle w:val="FootnoteText"/>
        <w:jc w:val="both"/>
        <w:rPr>
          <w:rFonts w:ascii="Source Sans Pro" w:hAnsi="Source Sans Pro"/>
          <w:sz w:val="18"/>
          <w:szCs w:val="18"/>
        </w:rPr>
      </w:pPr>
      <w:r w:rsidRPr="00C4701A">
        <w:rPr>
          <w:rStyle w:val="FootnoteReference"/>
          <w:rFonts w:ascii="Source Sans Pro" w:hAnsi="Source Sans Pro"/>
          <w:sz w:val="18"/>
          <w:szCs w:val="18"/>
        </w:rPr>
        <w:footnoteRef/>
      </w:r>
      <w:r w:rsidRPr="00C4701A">
        <w:rPr>
          <w:rFonts w:ascii="Source Sans Pro" w:hAnsi="Source Sans Pro"/>
          <w:sz w:val="18"/>
          <w:szCs w:val="18"/>
        </w:rPr>
        <w:t xml:space="preserve"> Ibid</w:t>
      </w:r>
      <w:r w:rsidR="001A7A5D">
        <w:rPr>
          <w:rFonts w:ascii="Source Sans Pro" w:hAnsi="Source Sans Pro"/>
          <w:sz w:val="18"/>
          <w:szCs w:val="18"/>
        </w:rPr>
        <w:t>em</w:t>
      </w:r>
      <w:r w:rsidR="001211AD" w:rsidRPr="00C4701A">
        <w:rPr>
          <w:rFonts w:ascii="Source Sans Pro" w:hAnsi="Source Sans Pro"/>
          <w:sz w:val="18"/>
          <w:szCs w:val="18"/>
        </w:rPr>
        <w:t xml:space="preserve">. </w:t>
      </w:r>
    </w:p>
  </w:footnote>
  <w:footnote w:id="17">
    <w:p w14:paraId="2FE1B04E" w14:textId="77777777" w:rsidR="004A1663" w:rsidRPr="00C4701A" w:rsidRDefault="004A1663" w:rsidP="004A1663">
      <w:pPr>
        <w:pStyle w:val="FootnoteText"/>
        <w:jc w:val="both"/>
        <w:rPr>
          <w:rFonts w:ascii="Source Sans Pro" w:hAnsi="Source Sans Pro"/>
          <w:sz w:val="18"/>
          <w:szCs w:val="18"/>
        </w:rPr>
      </w:pPr>
      <w:r w:rsidRPr="00C4701A">
        <w:rPr>
          <w:rStyle w:val="FootnoteReference"/>
          <w:rFonts w:ascii="Source Sans Pro" w:hAnsi="Source Sans Pro"/>
          <w:sz w:val="18"/>
          <w:szCs w:val="18"/>
        </w:rPr>
        <w:footnoteRef/>
      </w:r>
      <w:r w:rsidRPr="00C4701A">
        <w:rPr>
          <w:rFonts w:ascii="Source Sans Pro" w:hAnsi="Source Sans Pro"/>
          <w:sz w:val="18"/>
          <w:szCs w:val="18"/>
        </w:rPr>
        <w:t xml:space="preserve">Cuba, L., &amp; Juárez, E. (2018). PROMSEX. </w:t>
      </w:r>
      <w:r w:rsidRPr="00C4701A">
        <w:rPr>
          <w:rFonts w:ascii="Source Sans Pro" w:hAnsi="Source Sans Pro"/>
          <w:i/>
          <w:iCs/>
          <w:sz w:val="18"/>
          <w:szCs w:val="18"/>
        </w:rPr>
        <w:t>Crecer siendo diferente: Compilación de tres investigaciones sobre violencia homofóbica, transfóbica y lesbofóbica en la familia y la escuela en el Perú</w:t>
      </w:r>
      <w:r w:rsidRPr="00C4701A">
        <w:rPr>
          <w:rFonts w:ascii="Source Sans Pro" w:hAnsi="Source Sans Pro"/>
          <w:sz w:val="18"/>
          <w:szCs w:val="18"/>
        </w:rPr>
        <w:t>.</w:t>
      </w:r>
    </w:p>
  </w:footnote>
  <w:footnote w:id="18">
    <w:p w14:paraId="003571A3" w14:textId="6FC7D494" w:rsidR="004A1663" w:rsidRPr="00C4701A" w:rsidRDefault="004A1663" w:rsidP="004A1663">
      <w:pPr>
        <w:pStyle w:val="FootnoteText"/>
        <w:jc w:val="both"/>
        <w:rPr>
          <w:rFonts w:ascii="Source Sans Pro" w:hAnsi="Source Sans Pro"/>
          <w:sz w:val="18"/>
          <w:szCs w:val="18"/>
        </w:rPr>
      </w:pPr>
      <w:r w:rsidRPr="00C4701A">
        <w:rPr>
          <w:rStyle w:val="FootnoteReference"/>
          <w:rFonts w:ascii="Source Sans Pro" w:hAnsi="Source Sans Pro"/>
          <w:sz w:val="18"/>
          <w:szCs w:val="18"/>
        </w:rPr>
        <w:footnoteRef/>
      </w:r>
      <w:r w:rsidRPr="00C4701A">
        <w:rPr>
          <w:rFonts w:ascii="Source Sans Pro" w:hAnsi="Source Sans Pro"/>
          <w:sz w:val="18"/>
          <w:szCs w:val="18"/>
        </w:rPr>
        <w:t xml:space="preserve"> Ibid</w:t>
      </w:r>
      <w:r w:rsidR="001A7A5D">
        <w:rPr>
          <w:rFonts w:ascii="Source Sans Pro" w:hAnsi="Source Sans Pro"/>
          <w:sz w:val="18"/>
          <w:szCs w:val="18"/>
        </w:rPr>
        <w:t>em</w:t>
      </w:r>
      <w:r w:rsidRPr="00C4701A">
        <w:rPr>
          <w:rFonts w:ascii="Source Sans Pro" w:hAnsi="Source Sans Pro"/>
          <w:sz w:val="18"/>
          <w:szCs w:val="18"/>
        </w:rPr>
        <w:t xml:space="preserve">. </w:t>
      </w:r>
    </w:p>
  </w:footnote>
  <w:footnote w:id="19">
    <w:p w14:paraId="1C006116" w14:textId="21EF6746" w:rsidR="006441B9" w:rsidRPr="00C4701A" w:rsidRDefault="006441B9" w:rsidP="00AB01B2">
      <w:pPr>
        <w:pStyle w:val="FootnoteText"/>
        <w:jc w:val="both"/>
        <w:rPr>
          <w:rFonts w:ascii="Source Sans Pro" w:hAnsi="Source Sans Pro"/>
          <w:sz w:val="18"/>
          <w:szCs w:val="18"/>
        </w:rPr>
      </w:pPr>
      <w:r w:rsidRPr="00C4701A">
        <w:rPr>
          <w:rStyle w:val="FootnoteReference"/>
          <w:rFonts w:ascii="Source Sans Pro" w:hAnsi="Source Sans Pro"/>
          <w:sz w:val="18"/>
          <w:szCs w:val="18"/>
        </w:rPr>
        <w:footnoteRef/>
      </w:r>
      <w:r w:rsidRPr="00C4701A">
        <w:rPr>
          <w:rFonts w:ascii="Source Sans Pro" w:hAnsi="Source Sans Pro"/>
          <w:sz w:val="18"/>
          <w:szCs w:val="18"/>
        </w:rPr>
        <w:t xml:space="preserve"> </w:t>
      </w:r>
      <w:r w:rsidR="002845CB" w:rsidRPr="00C4701A">
        <w:rPr>
          <w:rFonts w:ascii="Source Sans Pro" w:hAnsi="Source Sans Pro"/>
          <w:sz w:val="18"/>
          <w:szCs w:val="18"/>
        </w:rPr>
        <w:t xml:space="preserve">Informe del Experto Independiente sobre la protección contra la violencia y la, &amp; discriminación por motivos de orientación sexual o identidad de género. (2020). </w:t>
      </w:r>
      <w:r w:rsidR="002845CB" w:rsidRPr="00C4701A">
        <w:rPr>
          <w:rFonts w:ascii="Source Sans Pro" w:hAnsi="Source Sans Pro"/>
          <w:i/>
          <w:iCs/>
          <w:sz w:val="18"/>
          <w:szCs w:val="18"/>
        </w:rPr>
        <w:t>INFORME SOBRE TERAPIAS DE CONVERSIÓN</w:t>
      </w:r>
      <w:r w:rsidR="002845CB" w:rsidRPr="00C4701A">
        <w:rPr>
          <w:rFonts w:ascii="Source Sans Pro" w:hAnsi="Source Sans Pro"/>
          <w:sz w:val="18"/>
          <w:szCs w:val="18"/>
        </w:rPr>
        <w:t xml:space="preserve">. </w:t>
      </w:r>
      <w:hyperlink r:id="rId9" w:history="1">
        <w:r w:rsidR="002845CB" w:rsidRPr="00C4701A">
          <w:rPr>
            <w:rStyle w:val="Hyperlink"/>
            <w:rFonts w:ascii="Source Sans Pro" w:hAnsi="Source Sans Pro"/>
            <w:sz w:val="18"/>
            <w:szCs w:val="18"/>
          </w:rPr>
          <w:t>https://www.ohchr.org/Documents/Issues/SexualOrientation/ConversionTherapyReport_SP.pdf</w:t>
        </w:r>
      </w:hyperlink>
      <w:r w:rsidR="002845CB" w:rsidRPr="00C4701A">
        <w:rPr>
          <w:rFonts w:ascii="Source Sans Pro" w:hAnsi="Source Sans Pro"/>
          <w:sz w:val="18"/>
          <w:szCs w:val="18"/>
        </w:rPr>
        <w:t xml:space="preserve"> </w:t>
      </w:r>
    </w:p>
  </w:footnote>
  <w:footnote w:id="20">
    <w:p w14:paraId="7A1633A9" w14:textId="33E02A14" w:rsidR="0084228F" w:rsidRPr="00C4701A" w:rsidRDefault="0084228F" w:rsidP="00AB01B2">
      <w:pPr>
        <w:pStyle w:val="FootnoteText"/>
        <w:jc w:val="both"/>
        <w:rPr>
          <w:rFonts w:ascii="Source Sans Pro" w:hAnsi="Source Sans Pro"/>
          <w:sz w:val="18"/>
          <w:szCs w:val="18"/>
        </w:rPr>
      </w:pPr>
      <w:r w:rsidRPr="00C4701A">
        <w:rPr>
          <w:rStyle w:val="FootnoteReference"/>
          <w:rFonts w:ascii="Source Sans Pro" w:hAnsi="Source Sans Pro"/>
          <w:sz w:val="18"/>
          <w:szCs w:val="18"/>
        </w:rPr>
        <w:footnoteRef/>
      </w:r>
      <w:r w:rsidRPr="00C4701A">
        <w:rPr>
          <w:rFonts w:ascii="Source Sans Pro" w:hAnsi="Source Sans Pro"/>
          <w:sz w:val="18"/>
          <w:szCs w:val="18"/>
        </w:rPr>
        <w:t xml:space="preserve"> Información suministrada por </w:t>
      </w:r>
      <w:bookmarkStart w:id="4" w:name="_Hlk93422822"/>
      <w:r w:rsidRPr="00C4701A">
        <w:rPr>
          <w:rFonts w:ascii="Source Sans Pro" w:hAnsi="Source Sans Pro"/>
          <w:sz w:val="18"/>
          <w:szCs w:val="18"/>
        </w:rPr>
        <w:t>el Grupo de Apoyo y Acción a Personas Trans</w:t>
      </w:r>
      <w:bookmarkEnd w:id="4"/>
      <w:r w:rsidRPr="00C4701A">
        <w:rPr>
          <w:rFonts w:ascii="Source Sans Pro" w:hAnsi="Source Sans Pro"/>
          <w:sz w:val="18"/>
          <w:szCs w:val="18"/>
        </w:rPr>
        <w:t>, GAAT.</w:t>
      </w:r>
    </w:p>
  </w:footnote>
  <w:footnote w:id="21">
    <w:p w14:paraId="4ACE4DB0" w14:textId="77777777" w:rsidR="00A15F9F" w:rsidRPr="00C4701A" w:rsidRDefault="00A15F9F" w:rsidP="00A15F9F">
      <w:pPr>
        <w:pStyle w:val="FootnoteText"/>
        <w:jc w:val="both"/>
        <w:rPr>
          <w:rFonts w:ascii="Source Sans Pro" w:hAnsi="Source Sans Pro"/>
          <w:sz w:val="18"/>
          <w:szCs w:val="18"/>
          <w:lang w:val="es-MX"/>
        </w:rPr>
      </w:pPr>
      <w:r w:rsidRPr="00C4701A">
        <w:rPr>
          <w:rStyle w:val="FootnoteReference"/>
          <w:rFonts w:ascii="Source Sans Pro" w:hAnsi="Source Sans Pro"/>
          <w:sz w:val="18"/>
          <w:szCs w:val="18"/>
        </w:rPr>
        <w:footnoteRef/>
      </w:r>
      <w:r w:rsidRPr="00C4701A">
        <w:rPr>
          <w:rFonts w:ascii="Source Sans Pro" w:hAnsi="Source Sans Pro"/>
          <w:sz w:val="18"/>
          <w:szCs w:val="18"/>
        </w:rPr>
        <w:t xml:space="preserve"> Corte IDH, Caso Poblete Vilchez y otros vs. Chile. Fondo, Reparaciones y Costas. Sentencia de 8 de marzo de 2018. Serie C No. 349 </w:t>
      </w:r>
    </w:p>
  </w:footnote>
  <w:footnote w:id="22">
    <w:p w14:paraId="5FE77873" w14:textId="0D72B5A4" w:rsidR="007143A6" w:rsidRPr="00C4701A" w:rsidRDefault="007143A6" w:rsidP="00AB01B2">
      <w:pPr>
        <w:pStyle w:val="FootnoteText"/>
        <w:jc w:val="both"/>
        <w:rPr>
          <w:rFonts w:ascii="Source Sans Pro" w:hAnsi="Source Sans Pro"/>
          <w:sz w:val="18"/>
          <w:szCs w:val="18"/>
          <w:lang w:val="es-MX"/>
        </w:rPr>
      </w:pPr>
      <w:r w:rsidRPr="00C4701A">
        <w:rPr>
          <w:rStyle w:val="FootnoteReference"/>
          <w:rFonts w:ascii="Source Sans Pro" w:hAnsi="Source Sans Pro"/>
          <w:sz w:val="18"/>
          <w:szCs w:val="18"/>
        </w:rPr>
        <w:footnoteRef/>
      </w:r>
      <w:r w:rsidRPr="00C4701A">
        <w:rPr>
          <w:rFonts w:ascii="Source Sans Pro" w:hAnsi="Source Sans Pro"/>
          <w:sz w:val="18"/>
          <w:szCs w:val="18"/>
        </w:rPr>
        <w:t xml:space="preserve"> </w:t>
      </w:r>
      <w:r w:rsidR="001E1A4B" w:rsidRPr="00C4701A">
        <w:rPr>
          <w:rFonts w:ascii="Source Sans Pro" w:hAnsi="Source Sans Pro"/>
          <w:sz w:val="18"/>
          <w:szCs w:val="18"/>
        </w:rPr>
        <w:t>“</w:t>
      </w:r>
      <w:r w:rsidR="001E1A4B" w:rsidRPr="00C4701A">
        <w:rPr>
          <w:rFonts w:ascii="Source Sans Pro" w:hAnsi="Source Sans Pro"/>
          <w:i/>
          <w:iCs/>
          <w:sz w:val="18"/>
          <w:szCs w:val="18"/>
        </w:rPr>
        <w:t>Así, la discriminación de este grupo humano no solo lesiona el derecho a la salud individual (artículo 5.1), sino también a la salud pública (artículo 26 de la Convención y artículo 10.1 del Protocolo de San Salvador), que es resultado de las condiciones de salud de los habitantes”</w:t>
      </w:r>
      <w:r w:rsidR="001E1A4B" w:rsidRPr="00C4701A">
        <w:rPr>
          <w:rFonts w:ascii="Source Sans Pro" w:hAnsi="Source Sans Pro"/>
          <w:sz w:val="18"/>
          <w:szCs w:val="18"/>
        </w:rPr>
        <w:t xml:space="preserve"> </w:t>
      </w:r>
      <w:r w:rsidRPr="00C4701A">
        <w:rPr>
          <w:rFonts w:ascii="Source Sans Pro" w:hAnsi="Source Sans Pro"/>
          <w:sz w:val="18"/>
          <w:szCs w:val="18"/>
        </w:rPr>
        <w:t xml:space="preserve">Corte IDH. Identidad de género, e igualdad y no discriminación a parejas del mismo sexo, Opinión Consultiva OC-24/17 del 24 de noviembre de 2017, párr. 49 </w:t>
      </w:r>
    </w:p>
  </w:footnote>
  <w:footnote w:id="23">
    <w:p w14:paraId="073D0EF0" w14:textId="0D1C26AE" w:rsidR="00D0108A" w:rsidRPr="00C4701A" w:rsidRDefault="00D0108A" w:rsidP="00AB01B2">
      <w:pPr>
        <w:pStyle w:val="FootnoteText"/>
        <w:jc w:val="both"/>
        <w:rPr>
          <w:rFonts w:ascii="Source Sans Pro" w:hAnsi="Source Sans Pro"/>
          <w:sz w:val="18"/>
          <w:szCs w:val="18"/>
        </w:rPr>
      </w:pPr>
      <w:r w:rsidRPr="00C4701A">
        <w:rPr>
          <w:rStyle w:val="FootnoteReference"/>
          <w:rFonts w:ascii="Source Sans Pro" w:hAnsi="Source Sans Pro"/>
          <w:sz w:val="18"/>
          <w:szCs w:val="18"/>
        </w:rPr>
        <w:footnoteRef/>
      </w:r>
      <w:r w:rsidRPr="00C4701A">
        <w:rPr>
          <w:rFonts w:ascii="Source Sans Pro" w:hAnsi="Source Sans Pro"/>
          <w:sz w:val="18"/>
          <w:szCs w:val="18"/>
        </w:rPr>
        <w:t xml:space="preserve"> </w:t>
      </w:r>
      <w:r w:rsidR="00674920" w:rsidRPr="00C4701A">
        <w:rPr>
          <w:rFonts w:ascii="Source Sans Pro" w:hAnsi="Source Sans Pro"/>
          <w:sz w:val="18"/>
          <w:szCs w:val="18"/>
        </w:rPr>
        <w:t xml:space="preserve">Comisión Interamericana de Derechos Humanos. Informe sobre Personas Trans y de Género Diverso y sus derechos económicos, sociales, culturales y ambientales. </w:t>
      </w:r>
      <w:r w:rsidR="00605253" w:rsidRPr="00C4701A">
        <w:rPr>
          <w:rFonts w:ascii="Source Sans Pro" w:hAnsi="Source Sans Pro"/>
          <w:sz w:val="18"/>
          <w:szCs w:val="18"/>
        </w:rPr>
        <w:t>2020.</w:t>
      </w:r>
    </w:p>
  </w:footnote>
  <w:footnote w:id="24">
    <w:p w14:paraId="6BB45E96" w14:textId="761D0C47" w:rsidR="0065737B" w:rsidRPr="00C4701A" w:rsidRDefault="0065737B" w:rsidP="00AB01B2">
      <w:pPr>
        <w:pStyle w:val="FootnoteText"/>
        <w:jc w:val="both"/>
        <w:rPr>
          <w:rFonts w:ascii="Source Sans Pro" w:hAnsi="Source Sans Pro"/>
          <w:sz w:val="18"/>
          <w:szCs w:val="18"/>
          <w:lang w:val="es-MX"/>
        </w:rPr>
      </w:pPr>
      <w:r w:rsidRPr="00C4701A">
        <w:rPr>
          <w:rStyle w:val="FootnoteReference"/>
          <w:rFonts w:ascii="Source Sans Pro" w:hAnsi="Source Sans Pro"/>
          <w:sz w:val="18"/>
          <w:szCs w:val="18"/>
        </w:rPr>
        <w:footnoteRef/>
      </w:r>
      <w:r w:rsidRPr="00C4701A">
        <w:rPr>
          <w:rFonts w:ascii="Source Sans Pro" w:hAnsi="Source Sans Pro"/>
          <w:sz w:val="18"/>
          <w:szCs w:val="18"/>
        </w:rPr>
        <w:t xml:space="preserve"> </w:t>
      </w:r>
      <w:r w:rsidRPr="00C4701A">
        <w:rPr>
          <w:rFonts w:ascii="Source Sans Pro" w:hAnsi="Source Sans Pro"/>
          <w:sz w:val="18"/>
          <w:szCs w:val="18"/>
          <w:lang w:val="es-MX"/>
        </w:rPr>
        <w:t>Ibid</w:t>
      </w:r>
      <w:r w:rsidR="001A7A5D">
        <w:rPr>
          <w:rFonts w:ascii="Source Sans Pro" w:hAnsi="Source Sans Pro"/>
          <w:sz w:val="18"/>
          <w:szCs w:val="18"/>
          <w:lang w:val="es-MX"/>
        </w:rPr>
        <w:t>em.</w:t>
      </w:r>
    </w:p>
  </w:footnote>
  <w:footnote w:id="25">
    <w:p w14:paraId="048C5DF9" w14:textId="16EF7AA3" w:rsidR="00A25ECB" w:rsidRPr="00C4701A" w:rsidRDefault="00A25ECB" w:rsidP="00AB01B2">
      <w:pPr>
        <w:pStyle w:val="FootnoteText"/>
        <w:jc w:val="both"/>
        <w:rPr>
          <w:rFonts w:ascii="Source Sans Pro" w:hAnsi="Source Sans Pro"/>
          <w:sz w:val="18"/>
          <w:szCs w:val="18"/>
          <w:lang w:val="es-MX"/>
        </w:rPr>
      </w:pPr>
      <w:r w:rsidRPr="00C4701A">
        <w:rPr>
          <w:rStyle w:val="FootnoteReference"/>
          <w:rFonts w:ascii="Source Sans Pro" w:hAnsi="Source Sans Pro"/>
          <w:sz w:val="18"/>
          <w:szCs w:val="18"/>
        </w:rPr>
        <w:footnoteRef/>
      </w:r>
      <w:r w:rsidRPr="00C4701A">
        <w:rPr>
          <w:rFonts w:ascii="Source Sans Pro" w:hAnsi="Source Sans Pro"/>
          <w:sz w:val="18"/>
          <w:szCs w:val="18"/>
        </w:rPr>
        <w:t xml:space="preserve"> </w:t>
      </w:r>
      <w:r w:rsidRPr="00C4701A">
        <w:rPr>
          <w:rFonts w:ascii="Source Sans Pro" w:hAnsi="Source Sans Pro"/>
          <w:sz w:val="18"/>
          <w:szCs w:val="18"/>
          <w:lang w:val="es-MX"/>
        </w:rPr>
        <w:t>Información suministrada por Colombia Diversa.</w:t>
      </w:r>
    </w:p>
  </w:footnote>
  <w:footnote w:id="26">
    <w:p w14:paraId="3B68E488" w14:textId="365B38FA" w:rsidR="00DE3D1A" w:rsidRPr="00C4701A" w:rsidRDefault="00DE3D1A" w:rsidP="00AB01B2">
      <w:pPr>
        <w:pStyle w:val="FootnoteText"/>
        <w:jc w:val="both"/>
        <w:rPr>
          <w:rFonts w:ascii="Source Sans Pro" w:hAnsi="Source Sans Pro"/>
          <w:sz w:val="18"/>
          <w:szCs w:val="18"/>
        </w:rPr>
      </w:pPr>
      <w:r w:rsidRPr="00C4701A">
        <w:rPr>
          <w:rStyle w:val="FootnoteReference"/>
          <w:rFonts w:ascii="Source Sans Pro" w:hAnsi="Source Sans Pro"/>
          <w:sz w:val="18"/>
          <w:szCs w:val="18"/>
        </w:rPr>
        <w:footnoteRef/>
      </w:r>
      <w:r w:rsidRPr="00C4701A">
        <w:rPr>
          <w:rFonts w:ascii="Source Sans Pro" w:hAnsi="Source Sans Pro"/>
          <w:sz w:val="18"/>
          <w:szCs w:val="18"/>
        </w:rPr>
        <w:t xml:space="preserve"> </w:t>
      </w:r>
      <w:r w:rsidR="00CA14D3" w:rsidRPr="00C4701A">
        <w:rPr>
          <w:rFonts w:ascii="Source Sans Pro" w:hAnsi="Source Sans Pro"/>
          <w:sz w:val="18"/>
          <w:szCs w:val="18"/>
        </w:rPr>
        <w:t xml:space="preserve">Kyu Choi, S., Divsalar, S., Flórez-Donado, J.,&amp; otros. (2019). </w:t>
      </w:r>
      <w:r w:rsidR="00CA14D3" w:rsidRPr="00C4701A">
        <w:rPr>
          <w:rFonts w:ascii="Source Sans Pro" w:hAnsi="Source Sans Pro"/>
          <w:i/>
          <w:iCs/>
          <w:sz w:val="18"/>
          <w:szCs w:val="18"/>
        </w:rPr>
        <w:t>ESTRÉS, SALUD Y BIENESTAR DE LAS PERSONAS LGBT EN COLOMBIA Resultados de una encuesta nacional</w:t>
      </w:r>
      <w:r w:rsidR="00CA14D3" w:rsidRPr="00C4701A">
        <w:rPr>
          <w:rFonts w:ascii="Source Sans Pro" w:hAnsi="Source Sans Pro"/>
          <w:sz w:val="18"/>
          <w:szCs w:val="18"/>
        </w:rPr>
        <w:t xml:space="preserve">. </w:t>
      </w:r>
    </w:p>
  </w:footnote>
  <w:footnote w:id="27">
    <w:p w14:paraId="76EA0743" w14:textId="77777777" w:rsidR="0004595C" w:rsidRPr="00C4701A" w:rsidRDefault="0004595C" w:rsidP="0004595C">
      <w:pPr>
        <w:pStyle w:val="FootnoteText"/>
        <w:jc w:val="both"/>
        <w:rPr>
          <w:rFonts w:ascii="Source Sans Pro" w:hAnsi="Source Sans Pro"/>
          <w:sz w:val="18"/>
          <w:szCs w:val="18"/>
        </w:rPr>
      </w:pPr>
      <w:r w:rsidRPr="00C4701A">
        <w:rPr>
          <w:rStyle w:val="FootnoteReference"/>
          <w:rFonts w:ascii="Source Sans Pro" w:hAnsi="Source Sans Pro"/>
          <w:sz w:val="18"/>
          <w:szCs w:val="18"/>
        </w:rPr>
        <w:footnoteRef/>
      </w:r>
      <w:r w:rsidRPr="00C4701A">
        <w:rPr>
          <w:rFonts w:ascii="Source Sans Pro" w:hAnsi="Source Sans Pro"/>
          <w:sz w:val="18"/>
          <w:szCs w:val="18"/>
          <w:lang w:val="en-US"/>
        </w:rPr>
        <w:t xml:space="preserve"> OPS/OMS. </w:t>
      </w:r>
      <w:r w:rsidRPr="00C4701A">
        <w:rPr>
          <w:rFonts w:ascii="Source Sans Pro" w:hAnsi="Source Sans Pro"/>
          <w:sz w:val="18"/>
          <w:szCs w:val="18"/>
        </w:rPr>
        <w:t xml:space="preserve">(2015). </w:t>
      </w:r>
      <w:r w:rsidRPr="00C4701A">
        <w:rPr>
          <w:rFonts w:ascii="Source Sans Pro" w:hAnsi="Source Sans Pro"/>
          <w:i/>
          <w:iCs/>
          <w:sz w:val="18"/>
          <w:szCs w:val="18"/>
        </w:rPr>
        <w:t>Avances y desafíos de la situación de las personas LGBT a 15 años de que la homosexualidad dejó de ser considerada una enfermedad</w:t>
      </w:r>
      <w:r w:rsidRPr="00C4701A">
        <w:rPr>
          <w:rFonts w:ascii="Source Sans Pro" w:hAnsi="Source Sans Pro"/>
          <w:sz w:val="18"/>
          <w:szCs w:val="18"/>
        </w:rPr>
        <w:t xml:space="preserve">. </w:t>
      </w:r>
      <w:hyperlink r:id="rId10" w:history="1">
        <w:r w:rsidRPr="00C4701A">
          <w:rPr>
            <w:rStyle w:val="Hyperlink"/>
            <w:rFonts w:ascii="Source Sans Pro" w:hAnsi="Source Sans Pro"/>
            <w:sz w:val="18"/>
            <w:szCs w:val="18"/>
          </w:rPr>
          <w:t>https://www3.paho.org/hq/index.php?option=com_content&amp;view=article&amp;id=10964:2015-lgbt-health-sees-progress-and-challenges&amp;Itemid=1926&amp;lang=es</w:t>
        </w:r>
      </w:hyperlink>
    </w:p>
  </w:footnote>
  <w:footnote w:id="28">
    <w:p w14:paraId="5F64B7EB" w14:textId="5C42EA31" w:rsidR="00B24914" w:rsidRPr="00C4701A" w:rsidRDefault="00B24914" w:rsidP="00AB01B2">
      <w:pPr>
        <w:pStyle w:val="FootnoteText"/>
        <w:jc w:val="both"/>
        <w:rPr>
          <w:rFonts w:ascii="Source Sans Pro" w:hAnsi="Source Sans Pro"/>
          <w:sz w:val="18"/>
          <w:szCs w:val="18"/>
        </w:rPr>
      </w:pPr>
      <w:r w:rsidRPr="00C4701A">
        <w:rPr>
          <w:rStyle w:val="FootnoteReference"/>
          <w:rFonts w:ascii="Source Sans Pro" w:hAnsi="Source Sans Pro"/>
          <w:sz w:val="18"/>
          <w:szCs w:val="18"/>
        </w:rPr>
        <w:footnoteRef/>
      </w:r>
      <w:r w:rsidRPr="00C4701A">
        <w:rPr>
          <w:rFonts w:ascii="Source Sans Pro" w:hAnsi="Source Sans Pro"/>
          <w:sz w:val="18"/>
          <w:szCs w:val="18"/>
        </w:rPr>
        <w:t xml:space="preserve"> Comisión Interamericana de Derechos Humanos. Informe sobre Personas Trans y de Género Diverso y sus derechos económicos, sociales, culturales y ambientales. 2020</w:t>
      </w:r>
    </w:p>
  </w:footnote>
  <w:footnote w:id="29">
    <w:p w14:paraId="2BCFBF60" w14:textId="56C7F7C5" w:rsidR="00AE23B8" w:rsidRPr="00C4701A" w:rsidRDefault="00AE23B8" w:rsidP="00AB01B2">
      <w:pPr>
        <w:pStyle w:val="FootnoteText"/>
        <w:jc w:val="both"/>
        <w:rPr>
          <w:rFonts w:ascii="Source Sans Pro" w:hAnsi="Source Sans Pro"/>
          <w:sz w:val="18"/>
          <w:szCs w:val="18"/>
          <w:lang w:val="es-MX"/>
        </w:rPr>
      </w:pPr>
      <w:r w:rsidRPr="00C4701A">
        <w:rPr>
          <w:rStyle w:val="FootnoteReference"/>
          <w:rFonts w:ascii="Source Sans Pro" w:hAnsi="Source Sans Pro"/>
          <w:sz w:val="18"/>
          <w:szCs w:val="18"/>
        </w:rPr>
        <w:footnoteRef/>
      </w:r>
      <w:r w:rsidRPr="00C4701A">
        <w:rPr>
          <w:rFonts w:ascii="Source Sans Pro" w:hAnsi="Source Sans Pro"/>
          <w:sz w:val="18"/>
          <w:szCs w:val="18"/>
        </w:rPr>
        <w:t xml:space="preserve"> </w:t>
      </w:r>
      <w:r w:rsidR="006E56AA" w:rsidRPr="00C4701A">
        <w:rPr>
          <w:rFonts w:ascii="Source Sans Pro" w:hAnsi="Source Sans Pro"/>
          <w:sz w:val="18"/>
          <w:szCs w:val="18"/>
        </w:rPr>
        <w:t>Comisión Interamericana de Derechos Humanos, Informe sobre Violencia contra Personas Lesbianas, Gay, Bisexuales, Trans e Intersex en América. 2015.</w:t>
      </w:r>
    </w:p>
  </w:footnote>
  <w:footnote w:id="30">
    <w:p w14:paraId="0D36D81A" w14:textId="36EB5370" w:rsidR="00357647" w:rsidRPr="00C4701A" w:rsidRDefault="00357647" w:rsidP="00AB01B2">
      <w:pPr>
        <w:pStyle w:val="FootnoteText"/>
        <w:jc w:val="both"/>
        <w:rPr>
          <w:rFonts w:ascii="Source Sans Pro" w:hAnsi="Source Sans Pro"/>
          <w:sz w:val="18"/>
          <w:szCs w:val="18"/>
        </w:rPr>
      </w:pPr>
      <w:r w:rsidRPr="00C4701A">
        <w:rPr>
          <w:rStyle w:val="FootnoteReference"/>
          <w:rFonts w:ascii="Source Sans Pro" w:hAnsi="Source Sans Pro"/>
          <w:sz w:val="18"/>
          <w:szCs w:val="18"/>
        </w:rPr>
        <w:footnoteRef/>
      </w:r>
      <w:r w:rsidRPr="00C4701A">
        <w:rPr>
          <w:rFonts w:ascii="Source Sans Pro" w:hAnsi="Source Sans Pro"/>
          <w:sz w:val="18"/>
          <w:szCs w:val="18"/>
        </w:rPr>
        <w:t xml:space="preserve"> </w:t>
      </w:r>
      <w:r w:rsidR="00161826" w:rsidRPr="00C4701A">
        <w:rPr>
          <w:rFonts w:ascii="Source Sans Pro" w:hAnsi="Source Sans Pro"/>
          <w:sz w:val="18"/>
          <w:szCs w:val="18"/>
        </w:rPr>
        <w:t xml:space="preserve">Red Global de Proyectos de Trabajo Sexual. (2017). </w:t>
      </w:r>
      <w:r w:rsidR="00161826" w:rsidRPr="00C4701A">
        <w:rPr>
          <w:rFonts w:ascii="Source Sans Pro" w:hAnsi="Source Sans Pro"/>
          <w:i/>
          <w:iCs/>
          <w:sz w:val="18"/>
          <w:szCs w:val="18"/>
        </w:rPr>
        <w:t>Global Network of Sex Work Projects 1 Trabajo Sexual como Trabajo DOCUMENTO DE POLÍTICA</w:t>
      </w:r>
      <w:r w:rsidR="00161826" w:rsidRPr="00C4701A">
        <w:rPr>
          <w:rFonts w:ascii="Source Sans Pro" w:hAnsi="Source Sans Pro"/>
          <w:sz w:val="18"/>
          <w:szCs w:val="18"/>
        </w:rPr>
        <w:t xml:space="preserve">. </w:t>
      </w:r>
      <w:hyperlink r:id="rId11" w:history="1">
        <w:r w:rsidR="00161826" w:rsidRPr="00C4701A">
          <w:rPr>
            <w:rStyle w:val="Hyperlink"/>
            <w:rFonts w:ascii="Source Sans Pro" w:hAnsi="Source Sans Pro"/>
            <w:sz w:val="18"/>
            <w:szCs w:val="18"/>
          </w:rPr>
          <w:t>http://nswp.org/sites/default/files/documento_de_politica_trabajo_sexual_como_trabajo_nswp_-_2017.pdf</w:t>
        </w:r>
      </w:hyperlink>
      <w:r w:rsidR="00161826" w:rsidRPr="00C4701A">
        <w:rPr>
          <w:rFonts w:ascii="Source Sans Pro" w:hAnsi="Source Sans Pro"/>
          <w:sz w:val="18"/>
          <w:szCs w:val="18"/>
        </w:rPr>
        <w:t xml:space="preserve"> </w:t>
      </w:r>
    </w:p>
  </w:footnote>
  <w:footnote w:id="31">
    <w:p w14:paraId="4FCA5B08" w14:textId="53C37B90" w:rsidR="007700BA" w:rsidRPr="00C4701A" w:rsidRDefault="007700BA" w:rsidP="00AB01B2">
      <w:pPr>
        <w:pStyle w:val="FootnoteText"/>
        <w:jc w:val="both"/>
        <w:rPr>
          <w:rFonts w:ascii="Source Sans Pro" w:hAnsi="Source Sans Pro"/>
          <w:sz w:val="18"/>
          <w:szCs w:val="18"/>
        </w:rPr>
      </w:pPr>
      <w:r w:rsidRPr="00C4701A">
        <w:rPr>
          <w:rStyle w:val="FootnoteReference"/>
          <w:rFonts w:ascii="Source Sans Pro" w:hAnsi="Source Sans Pro"/>
          <w:sz w:val="18"/>
          <w:szCs w:val="18"/>
        </w:rPr>
        <w:footnoteRef/>
      </w:r>
      <w:r w:rsidRPr="00C4701A">
        <w:rPr>
          <w:rFonts w:ascii="Source Sans Pro" w:hAnsi="Source Sans Pro"/>
          <w:sz w:val="18"/>
          <w:szCs w:val="18"/>
        </w:rPr>
        <w:t xml:space="preserve"> </w:t>
      </w:r>
      <w:r w:rsidR="00357647" w:rsidRPr="00C4701A">
        <w:rPr>
          <w:rFonts w:ascii="Source Sans Pro" w:hAnsi="Source Sans Pro"/>
          <w:sz w:val="18"/>
          <w:szCs w:val="18"/>
        </w:rPr>
        <w:t xml:space="preserve">BBC NEWS. </w:t>
      </w:r>
      <w:r w:rsidR="00357647" w:rsidRPr="00C4701A">
        <w:rPr>
          <w:rFonts w:ascii="Source Sans Pro" w:hAnsi="Source Sans Pro"/>
          <w:i/>
          <w:iCs/>
          <w:sz w:val="18"/>
          <w:szCs w:val="18"/>
        </w:rPr>
        <w:t>Caso Camila Díaz en El Salvador: la histórica condena a 3 policías por el asesinato de una mujer transgénero - BBC News Mundo</w:t>
      </w:r>
      <w:r w:rsidR="00357647" w:rsidRPr="00C4701A">
        <w:rPr>
          <w:rFonts w:ascii="Source Sans Pro" w:hAnsi="Source Sans Pro"/>
          <w:sz w:val="18"/>
          <w:szCs w:val="18"/>
        </w:rPr>
        <w:t xml:space="preserve">. (2020)., from </w:t>
      </w:r>
      <w:hyperlink r:id="rId12" w:history="1">
        <w:r w:rsidR="00357647" w:rsidRPr="00C4701A">
          <w:rPr>
            <w:rStyle w:val="Hyperlink"/>
            <w:rFonts w:ascii="Source Sans Pro" w:hAnsi="Source Sans Pro"/>
            <w:sz w:val="18"/>
            <w:szCs w:val="18"/>
          </w:rPr>
          <w:t>https://www.bbc.com/mundo/noticias-america-latina-53580686</w:t>
        </w:r>
      </w:hyperlink>
      <w:r w:rsidR="00357647" w:rsidRPr="00C4701A">
        <w:rPr>
          <w:rFonts w:ascii="Source Sans Pro" w:hAnsi="Source Sans Pro"/>
          <w:sz w:val="18"/>
          <w:szCs w:val="18"/>
        </w:rPr>
        <w:t xml:space="preserve"> </w:t>
      </w:r>
    </w:p>
  </w:footnote>
  <w:footnote w:id="32">
    <w:p w14:paraId="0FDDACEF" w14:textId="77777777" w:rsidR="00FC6CDF" w:rsidRPr="00C4701A" w:rsidRDefault="00FC6CDF" w:rsidP="00FC6CDF">
      <w:pPr>
        <w:pStyle w:val="FootnoteText"/>
        <w:jc w:val="both"/>
        <w:rPr>
          <w:rFonts w:ascii="Source Sans Pro" w:hAnsi="Source Sans Pro" w:cs="Segoe UI Light"/>
          <w:sz w:val="18"/>
          <w:szCs w:val="18"/>
          <w:lang w:val="es-MX"/>
        </w:rPr>
      </w:pPr>
      <w:r w:rsidRPr="00C4701A">
        <w:rPr>
          <w:rStyle w:val="FootnoteReference"/>
          <w:rFonts w:ascii="Source Sans Pro" w:hAnsi="Source Sans Pro" w:cs="Segoe UI Light"/>
          <w:sz w:val="18"/>
          <w:szCs w:val="18"/>
        </w:rPr>
        <w:footnoteRef/>
      </w:r>
      <w:r w:rsidRPr="00C4701A">
        <w:rPr>
          <w:rFonts w:ascii="Source Sans Pro" w:hAnsi="Source Sans Pro" w:cs="Segoe UI Light"/>
          <w:sz w:val="18"/>
          <w:szCs w:val="18"/>
        </w:rPr>
        <w:t xml:space="preserve"> </w:t>
      </w:r>
      <w:r w:rsidRPr="00C4701A">
        <w:rPr>
          <w:rFonts w:ascii="Source Sans Pro" w:hAnsi="Source Sans Pro" w:cs="Segoe UI Light"/>
          <w:sz w:val="18"/>
          <w:szCs w:val="18"/>
          <w:lang w:val="es-MX"/>
        </w:rPr>
        <w:t xml:space="preserve">Promsex. </w:t>
      </w:r>
      <w:r w:rsidRPr="00C4701A">
        <w:rPr>
          <w:rFonts w:ascii="Source Sans Pro" w:hAnsi="Source Sans Pro" w:cs="Segoe UI Light"/>
          <w:i/>
          <w:iCs/>
          <w:sz w:val="18"/>
          <w:szCs w:val="18"/>
          <w:lang w:val="es-MX"/>
        </w:rPr>
        <w:t>Informe Anual Sobre derechos humanos de personas TLGB en el Perú 2015-2016</w:t>
      </w:r>
      <w:r w:rsidRPr="00C4701A">
        <w:rPr>
          <w:rFonts w:ascii="Source Sans Pro" w:hAnsi="Source Sans Pro" w:cs="Segoe UI Light"/>
          <w:sz w:val="18"/>
          <w:szCs w:val="18"/>
          <w:lang w:val="es-MX"/>
        </w:rPr>
        <w:t xml:space="preserve">, </w:t>
      </w:r>
      <w:r w:rsidRPr="00C4701A">
        <w:rPr>
          <w:rFonts w:ascii="Source Sans Pro" w:hAnsi="Source Sans Pro" w:cs="Segoe UI Light"/>
          <w:sz w:val="18"/>
          <w:szCs w:val="18"/>
        </w:rPr>
        <w:t>pp. 65.</w:t>
      </w:r>
    </w:p>
  </w:footnote>
  <w:footnote w:id="33">
    <w:p w14:paraId="463FF3C9" w14:textId="77777777" w:rsidR="00FC6CDF" w:rsidRPr="00C4701A" w:rsidRDefault="00FC6CDF" w:rsidP="00FC6CDF">
      <w:pPr>
        <w:pStyle w:val="FootnoteText"/>
        <w:jc w:val="both"/>
        <w:rPr>
          <w:rFonts w:ascii="Source Sans Pro" w:hAnsi="Source Sans Pro" w:cs="Segoe UI Light"/>
          <w:sz w:val="18"/>
          <w:szCs w:val="18"/>
          <w:lang w:val="es-MX"/>
        </w:rPr>
      </w:pPr>
      <w:r w:rsidRPr="00C4701A">
        <w:rPr>
          <w:rStyle w:val="FootnoteReference"/>
          <w:rFonts w:ascii="Source Sans Pro" w:hAnsi="Source Sans Pro" w:cs="Segoe UI Light"/>
          <w:sz w:val="18"/>
          <w:szCs w:val="18"/>
        </w:rPr>
        <w:footnoteRef/>
      </w:r>
      <w:r w:rsidRPr="00C4701A">
        <w:rPr>
          <w:rFonts w:ascii="Source Sans Pro" w:hAnsi="Source Sans Pro" w:cs="Segoe UI Light"/>
          <w:sz w:val="18"/>
          <w:szCs w:val="18"/>
        </w:rPr>
        <w:t xml:space="preserve"> </w:t>
      </w:r>
      <w:r w:rsidRPr="00C4701A">
        <w:rPr>
          <w:rFonts w:ascii="Source Sans Pro" w:hAnsi="Source Sans Pro" w:cs="Segoe UI Light"/>
          <w:sz w:val="18"/>
          <w:szCs w:val="18"/>
          <w:lang w:val="es-MX"/>
        </w:rPr>
        <w:t>Ibidem., pp.66</w:t>
      </w:r>
    </w:p>
  </w:footnote>
  <w:footnote w:id="34">
    <w:p w14:paraId="1E78513F" w14:textId="77777777" w:rsidR="00FC6CDF" w:rsidRPr="00C4701A" w:rsidRDefault="00FC6CDF" w:rsidP="00FC6CDF">
      <w:pPr>
        <w:pStyle w:val="FootnoteText"/>
        <w:jc w:val="both"/>
        <w:rPr>
          <w:rFonts w:ascii="Source Sans Pro" w:hAnsi="Source Sans Pro" w:cs="Segoe UI Light"/>
          <w:sz w:val="18"/>
          <w:szCs w:val="18"/>
        </w:rPr>
      </w:pPr>
      <w:r w:rsidRPr="00C4701A">
        <w:rPr>
          <w:rStyle w:val="FootnoteReference"/>
          <w:rFonts w:ascii="Source Sans Pro" w:hAnsi="Source Sans Pro" w:cs="Segoe UI Light"/>
          <w:sz w:val="18"/>
          <w:szCs w:val="18"/>
        </w:rPr>
        <w:footnoteRef/>
      </w:r>
      <w:r w:rsidRPr="00C4701A">
        <w:rPr>
          <w:rFonts w:ascii="Source Sans Pro" w:hAnsi="Source Sans Pro" w:cs="Segoe UI Light"/>
          <w:sz w:val="18"/>
          <w:szCs w:val="18"/>
        </w:rPr>
        <w:t xml:space="preserve"> Corresponden a los distritos de Barranco, Cieneguilla, Comas, La Victoria, Lima Cercado, Lima Metropolitana, San Juan de Lurigancho, San Luis, San Martín de Porres, San Miguel y Santiago de Surco.</w:t>
      </w:r>
    </w:p>
  </w:footnote>
  <w:footnote w:id="35">
    <w:p w14:paraId="08D18E98" w14:textId="77777777" w:rsidR="00FC6CDF" w:rsidRPr="00C4701A" w:rsidRDefault="00FC6CDF" w:rsidP="00FC6CDF">
      <w:pPr>
        <w:pStyle w:val="FootnoteText"/>
        <w:jc w:val="both"/>
        <w:rPr>
          <w:rFonts w:ascii="Source Sans Pro" w:hAnsi="Source Sans Pro" w:cs="Segoe UI Light"/>
          <w:sz w:val="18"/>
          <w:szCs w:val="18"/>
          <w:lang w:val="es-MX"/>
        </w:rPr>
      </w:pPr>
      <w:r w:rsidRPr="00C4701A">
        <w:rPr>
          <w:rStyle w:val="FootnoteReference"/>
          <w:rFonts w:ascii="Source Sans Pro" w:hAnsi="Source Sans Pro" w:cs="Segoe UI Light"/>
          <w:sz w:val="18"/>
          <w:szCs w:val="18"/>
        </w:rPr>
        <w:footnoteRef/>
      </w:r>
      <w:r w:rsidRPr="00C4701A">
        <w:rPr>
          <w:rFonts w:ascii="Source Sans Pro" w:hAnsi="Source Sans Pro" w:cs="Segoe UI Light"/>
          <w:sz w:val="18"/>
          <w:szCs w:val="18"/>
        </w:rPr>
        <w:t xml:space="preserve"> Ver más en: </w:t>
      </w:r>
      <w:hyperlink r:id="rId13" w:history="1">
        <w:r w:rsidRPr="00C4701A">
          <w:rPr>
            <w:rStyle w:val="Hyperlink"/>
            <w:rFonts w:ascii="Source Sans Pro" w:hAnsi="Source Sans Pro" w:cs="Segoe UI Light"/>
            <w:sz w:val="18"/>
            <w:szCs w:val="18"/>
          </w:rPr>
          <w:t>https://www.americatv.com.pe/noticias/redes-sociales/smp-contempla-erradicacion-homosexuales-su-plan-seguridad-ciudadana-n291529</w:t>
        </w:r>
      </w:hyperlink>
      <w:r w:rsidRPr="00C4701A">
        <w:rPr>
          <w:rFonts w:ascii="Source Sans Pro" w:hAnsi="Source Sans Pro" w:cs="Segoe UI Light"/>
          <w:sz w:val="18"/>
          <w:szCs w:val="18"/>
        </w:rPr>
        <w:t xml:space="preserve"> y </w:t>
      </w:r>
      <w:hyperlink r:id="rId14" w:history="1">
        <w:r w:rsidRPr="00C4701A">
          <w:rPr>
            <w:rStyle w:val="Hyperlink"/>
            <w:rFonts w:ascii="Source Sans Pro" w:hAnsi="Source Sans Pro" w:cs="Segoe UI Light"/>
            <w:sz w:val="18"/>
            <w:szCs w:val="18"/>
          </w:rPr>
          <w:t>https://elcomercio.pe/lima/sucesos/discriminacion-municipal-distritos-contemplan-erradicacion-homosexuales-noticia-457704-noticia/</w:t>
        </w:r>
      </w:hyperlink>
      <w:r w:rsidRPr="00C4701A">
        <w:rPr>
          <w:rFonts w:ascii="Source Sans Pro" w:hAnsi="Source Sans Pro" w:cs="Segoe UI Light"/>
          <w:sz w:val="18"/>
          <w:szCs w:val="18"/>
        </w:rPr>
        <w:t xml:space="preserve"> </w:t>
      </w:r>
    </w:p>
  </w:footnote>
  <w:footnote w:id="36">
    <w:p w14:paraId="1A9A22D6" w14:textId="0D51ABDB" w:rsidR="00897D25" w:rsidRPr="00C4701A" w:rsidRDefault="00897D25" w:rsidP="00AB01B2">
      <w:pPr>
        <w:pStyle w:val="FootnoteText"/>
        <w:jc w:val="both"/>
        <w:rPr>
          <w:rFonts w:ascii="Source Sans Pro" w:hAnsi="Source Sans Pro"/>
          <w:sz w:val="18"/>
          <w:szCs w:val="18"/>
          <w:lang w:val="en-US"/>
        </w:rPr>
      </w:pPr>
      <w:r w:rsidRPr="00C4701A">
        <w:rPr>
          <w:rStyle w:val="FootnoteReference"/>
          <w:rFonts w:ascii="Source Sans Pro" w:hAnsi="Source Sans Pro"/>
          <w:sz w:val="18"/>
          <w:szCs w:val="18"/>
        </w:rPr>
        <w:footnoteRef/>
      </w:r>
      <w:r w:rsidRPr="00C4701A">
        <w:rPr>
          <w:rFonts w:ascii="Source Sans Pro" w:hAnsi="Source Sans Pro"/>
          <w:sz w:val="18"/>
          <w:szCs w:val="18"/>
        </w:rPr>
        <w:t xml:space="preserve"> </w:t>
      </w:r>
      <w:r w:rsidR="00CD1B6B" w:rsidRPr="00C4701A">
        <w:rPr>
          <w:rFonts w:ascii="Source Sans Pro" w:hAnsi="Source Sans Pro"/>
          <w:i/>
          <w:iCs/>
          <w:sz w:val="18"/>
          <w:szCs w:val="18"/>
        </w:rPr>
        <w:t>DATOS CLAVE SOBRE EL ABORTO - Amnistía Internacional</w:t>
      </w:r>
      <w:r w:rsidR="00CD1B6B" w:rsidRPr="00C4701A">
        <w:rPr>
          <w:rFonts w:ascii="Source Sans Pro" w:hAnsi="Source Sans Pro"/>
          <w:sz w:val="18"/>
          <w:szCs w:val="18"/>
        </w:rPr>
        <w:t xml:space="preserve">. </w:t>
      </w:r>
      <w:r w:rsidR="00CD1B6B" w:rsidRPr="00C4701A">
        <w:rPr>
          <w:rFonts w:ascii="Source Sans Pro" w:hAnsi="Source Sans Pro"/>
          <w:sz w:val="18"/>
          <w:szCs w:val="18"/>
          <w:lang w:val="en-US"/>
        </w:rPr>
        <w:t xml:space="preserve">(n.d.). Retrieved January 13, 2022, from </w:t>
      </w:r>
      <w:hyperlink r:id="rId15" w:history="1">
        <w:r w:rsidR="00CD1B6B" w:rsidRPr="00C4701A">
          <w:rPr>
            <w:rStyle w:val="Hyperlink"/>
            <w:rFonts w:ascii="Source Sans Pro" w:hAnsi="Source Sans Pro"/>
            <w:sz w:val="18"/>
            <w:szCs w:val="18"/>
            <w:lang w:val="en-US"/>
          </w:rPr>
          <w:t>https://www.amnesty.org/es/what-we-do/sexual-and-reproductive-rights/abortion-facts/</w:t>
        </w:r>
      </w:hyperlink>
      <w:r w:rsidR="00CD1B6B" w:rsidRPr="00C4701A">
        <w:rPr>
          <w:rFonts w:ascii="Source Sans Pro" w:hAnsi="Source Sans Pro"/>
          <w:sz w:val="18"/>
          <w:szCs w:val="18"/>
          <w:lang w:val="en-US"/>
        </w:rPr>
        <w:t xml:space="preserve"> </w:t>
      </w:r>
    </w:p>
  </w:footnote>
  <w:footnote w:id="37">
    <w:p w14:paraId="696A8D90" w14:textId="113AAB3B" w:rsidR="001F66AE" w:rsidRPr="00C4701A" w:rsidRDefault="001F66AE" w:rsidP="00AB01B2">
      <w:pPr>
        <w:pStyle w:val="FootnoteText"/>
        <w:jc w:val="both"/>
        <w:rPr>
          <w:rFonts w:ascii="Source Sans Pro" w:hAnsi="Source Sans Pro"/>
          <w:sz w:val="18"/>
          <w:szCs w:val="18"/>
          <w:lang w:val="en-US"/>
        </w:rPr>
      </w:pPr>
      <w:r w:rsidRPr="00C4701A">
        <w:rPr>
          <w:rStyle w:val="FootnoteReference"/>
          <w:rFonts w:ascii="Source Sans Pro" w:hAnsi="Source Sans Pro"/>
          <w:sz w:val="18"/>
          <w:szCs w:val="18"/>
        </w:rPr>
        <w:footnoteRef/>
      </w:r>
      <w:r w:rsidRPr="00C4701A">
        <w:rPr>
          <w:rFonts w:ascii="Source Sans Pro" w:hAnsi="Source Sans Pro"/>
          <w:sz w:val="18"/>
          <w:szCs w:val="18"/>
        </w:rPr>
        <w:t xml:space="preserve"> </w:t>
      </w:r>
      <w:r w:rsidR="00F07FD5" w:rsidRPr="00C4701A">
        <w:rPr>
          <w:rFonts w:ascii="Source Sans Pro" w:hAnsi="Source Sans Pro"/>
          <w:sz w:val="18"/>
          <w:szCs w:val="18"/>
        </w:rPr>
        <w:t xml:space="preserve">PROMSEX. </w:t>
      </w:r>
      <w:r w:rsidR="00F07FD5" w:rsidRPr="00C4701A">
        <w:rPr>
          <w:rFonts w:ascii="Source Sans Pro" w:hAnsi="Source Sans Pro"/>
          <w:i/>
          <w:iCs/>
          <w:sz w:val="18"/>
          <w:szCs w:val="18"/>
        </w:rPr>
        <w:t>INVESTIGACIÓN SOBRE ABORTO EN AMÉRICA LATINA Y EL CARIBE UNA AGENDA RENOVADA PARA INFORMAR POLÍTICAS PÚBLICAS E INCIDENCIA</w:t>
      </w:r>
      <w:r w:rsidR="00F07FD5" w:rsidRPr="00C4701A">
        <w:rPr>
          <w:rFonts w:ascii="Source Sans Pro" w:hAnsi="Source Sans Pro"/>
          <w:sz w:val="18"/>
          <w:szCs w:val="18"/>
        </w:rPr>
        <w:t xml:space="preserve">. </w:t>
      </w:r>
      <w:r w:rsidR="00F07FD5" w:rsidRPr="00C4701A">
        <w:rPr>
          <w:rFonts w:ascii="Source Sans Pro" w:hAnsi="Source Sans Pro"/>
          <w:sz w:val="18"/>
          <w:szCs w:val="18"/>
          <w:lang w:val="en-US"/>
        </w:rPr>
        <w:t xml:space="preserve">2015. from </w:t>
      </w:r>
      <w:hyperlink r:id="rId16" w:history="1">
        <w:r w:rsidR="00F07FD5" w:rsidRPr="00C4701A">
          <w:rPr>
            <w:rStyle w:val="Hyperlink"/>
            <w:rFonts w:ascii="Source Sans Pro" w:hAnsi="Source Sans Pro"/>
            <w:sz w:val="18"/>
            <w:szCs w:val="18"/>
            <w:lang w:val="en-US"/>
          </w:rPr>
          <w:t>https://promsex.org/wp-content/uploads/2015/09/InvestigacionAbortoALC.compressed.pdf</w:t>
        </w:r>
      </w:hyperlink>
      <w:r w:rsidR="00F07FD5" w:rsidRPr="00C4701A">
        <w:rPr>
          <w:rFonts w:ascii="Source Sans Pro" w:hAnsi="Source Sans Pro"/>
          <w:sz w:val="18"/>
          <w:szCs w:val="18"/>
          <w:lang w:val="en-US"/>
        </w:rPr>
        <w:t xml:space="preserve"> </w:t>
      </w:r>
    </w:p>
  </w:footnote>
  <w:footnote w:id="38">
    <w:p w14:paraId="2DF5D11E" w14:textId="590A8A08" w:rsidR="00954AA0" w:rsidRPr="00C4701A" w:rsidRDefault="00954AA0" w:rsidP="00AB01B2">
      <w:pPr>
        <w:pStyle w:val="FootnoteText"/>
        <w:jc w:val="both"/>
        <w:rPr>
          <w:rFonts w:ascii="Source Sans Pro" w:hAnsi="Source Sans Pro"/>
          <w:sz w:val="18"/>
          <w:szCs w:val="18"/>
          <w:lang w:val="es-MX"/>
        </w:rPr>
      </w:pPr>
      <w:r w:rsidRPr="00C4701A">
        <w:rPr>
          <w:rStyle w:val="FootnoteReference"/>
          <w:rFonts w:ascii="Source Sans Pro" w:hAnsi="Source Sans Pro"/>
          <w:sz w:val="18"/>
          <w:szCs w:val="18"/>
        </w:rPr>
        <w:footnoteRef/>
      </w:r>
      <w:r w:rsidRPr="00C4701A">
        <w:rPr>
          <w:rFonts w:ascii="Source Sans Pro" w:hAnsi="Source Sans Pro"/>
          <w:sz w:val="18"/>
          <w:szCs w:val="18"/>
        </w:rPr>
        <w:t xml:space="preserve"> </w:t>
      </w:r>
      <w:r w:rsidR="00CD1B6B" w:rsidRPr="00C4701A">
        <w:rPr>
          <w:rFonts w:ascii="Source Sans Pro" w:hAnsi="Source Sans Pro"/>
          <w:sz w:val="18"/>
          <w:szCs w:val="18"/>
        </w:rPr>
        <w:t xml:space="preserve">Información suministrada por el Grupo de Apoyo y Acción a Personas Trans, GAAT. </w:t>
      </w:r>
    </w:p>
  </w:footnote>
  <w:footnote w:id="39">
    <w:p w14:paraId="64B17143" w14:textId="17671F6B" w:rsidR="00EA28B0" w:rsidRPr="00C4701A" w:rsidRDefault="00EA28B0" w:rsidP="00AB01B2">
      <w:pPr>
        <w:jc w:val="both"/>
        <w:rPr>
          <w:rFonts w:ascii="Source Sans Pro" w:eastAsia="Times New Roman" w:hAnsi="Source Sans Pro" w:cstheme="minorHAnsi"/>
          <w:sz w:val="18"/>
          <w:szCs w:val="18"/>
          <w:lang w:val="en-US" w:eastAsia="es-CO"/>
        </w:rPr>
      </w:pPr>
      <w:r w:rsidRPr="00C4701A">
        <w:rPr>
          <w:rStyle w:val="FootnoteReference"/>
          <w:rFonts w:ascii="Source Sans Pro" w:hAnsi="Source Sans Pro"/>
          <w:sz w:val="18"/>
          <w:szCs w:val="18"/>
        </w:rPr>
        <w:footnoteRef/>
      </w:r>
      <w:r w:rsidRPr="00C4701A">
        <w:rPr>
          <w:rFonts w:ascii="Source Sans Pro" w:hAnsi="Source Sans Pro"/>
          <w:sz w:val="18"/>
          <w:szCs w:val="18"/>
        </w:rPr>
        <w:t xml:space="preserve"> </w:t>
      </w:r>
      <w:r w:rsidR="00CD1B6B" w:rsidRPr="00C4701A">
        <w:rPr>
          <w:rFonts w:ascii="Source Sans Pro" w:eastAsia="Times New Roman" w:hAnsi="Source Sans Pro" w:cstheme="minorHAnsi"/>
          <w:i/>
          <w:iCs/>
          <w:sz w:val="18"/>
          <w:szCs w:val="18"/>
          <w:lang w:eastAsia="es-CO"/>
        </w:rPr>
        <w:t>DATOS CLAVE SOBRE EL ABORTO - Amnistía Internacional</w:t>
      </w:r>
      <w:r w:rsidR="00CD1B6B" w:rsidRPr="00C4701A">
        <w:rPr>
          <w:rFonts w:ascii="Source Sans Pro" w:eastAsia="Times New Roman" w:hAnsi="Source Sans Pro" w:cstheme="minorHAnsi"/>
          <w:sz w:val="18"/>
          <w:szCs w:val="18"/>
          <w:lang w:eastAsia="es-CO"/>
        </w:rPr>
        <w:t xml:space="preserve">. </w:t>
      </w:r>
      <w:r w:rsidR="00CD1B6B" w:rsidRPr="00C4701A">
        <w:rPr>
          <w:rFonts w:ascii="Source Sans Pro" w:eastAsia="Times New Roman" w:hAnsi="Source Sans Pro" w:cstheme="minorHAnsi"/>
          <w:sz w:val="18"/>
          <w:szCs w:val="18"/>
          <w:lang w:val="en-US" w:eastAsia="es-CO"/>
        </w:rPr>
        <w:t xml:space="preserve">(n.d.). Retrieved January 13, 2022, from </w:t>
      </w:r>
      <w:hyperlink r:id="rId17" w:history="1">
        <w:r w:rsidR="00ED61FE" w:rsidRPr="00C4701A">
          <w:rPr>
            <w:rStyle w:val="Hyperlink"/>
            <w:rFonts w:ascii="Source Sans Pro" w:eastAsia="Times New Roman" w:hAnsi="Source Sans Pro" w:cstheme="minorHAnsi"/>
            <w:sz w:val="18"/>
            <w:szCs w:val="18"/>
            <w:lang w:val="en-US" w:eastAsia="es-CO"/>
          </w:rPr>
          <w:t>https://www.amnesty.org/es/what-we-do/sexual-and-reproductive-rights/abortion-facts/</w:t>
        </w:r>
      </w:hyperlink>
      <w:r w:rsidR="00CD1B6B" w:rsidRPr="00C4701A">
        <w:rPr>
          <w:rFonts w:ascii="Source Sans Pro" w:eastAsia="Times New Roman" w:hAnsi="Source Sans Pro" w:cstheme="minorHAnsi"/>
          <w:sz w:val="18"/>
          <w:szCs w:val="18"/>
          <w:lang w:val="en-US" w:eastAsia="es-CO"/>
        </w:rPr>
        <w:t xml:space="preserve"> </w:t>
      </w:r>
    </w:p>
  </w:footnote>
  <w:footnote w:id="40">
    <w:p w14:paraId="4C426F5A" w14:textId="1C6218EB" w:rsidR="00634514" w:rsidRPr="00634514" w:rsidRDefault="00634514">
      <w:pPr>
        <w:pStyle w:val="FootnoteText"/>
        <w:rPr>
          <w:lang w:val="es-MX"/>
        </w:rPr>
      </w:pPr>
      <w:r>
        <w:rPr>
          <w:rStyle w:val="FootnoteReference"/>
        </w:rPr>
        <w:footnoteRef/>
      </w:r>
      <w:r>
        <w:t xml:space="preserve"> </w:t>
      </w:r>
      <w:r>
        <w:rPr>
          <w:lang w:val="es-MX"/>
        </w:rPr>
        <w:t>CIDH. Violencia hacia las personas LGBTI en las Américas, 2015, párr. 170</w:t>
      </w:r>
    </w:p>
  </w:footnote>
  <w:footnote w:id="41">
    <w:p w14:paraId="565015FF" w14:textId="3060DB25" w:rsidR="00634514" w:rsidRPr="00634514" w:rsidRDefault="00634514">
      <w:pPr>
        <w:pStyle w:val="FootnoteText"/>
        <w:rPr>
          <w:lang w:val="es-MX"/>
        </w:rPr>
      </w:pPr>
      <w:r>
        <w:rPr>
          <w:rStyle w:val="FootnoteReference"/>
        </w:rPr>
        <w:footnoteRef/>
      </w:r>
      <w:r>
        <w:t xml:space="preserve"> </w:t>
      </w:r>
      <w:r>
        <w:rPr>
          <w:lang w:val="es-MX"/>
        </w:rPr>
        <w:t>Ibídem.</w:t>
      </w:r>
    </w:p>
  </w:footnote>
  <w:footnote w:id="42">
    <w:p w14:paraId="36D13011" w14:textId="30CD4E73" w:rsidR="00B5697D" w:rsidRPr="00C4701A" w:rsidRDefault="00B5697D" w:rsidP="00AB01B2">
      <w:pPr>
        <w:pStyle w:val="FootnoteText"/>
        <w:jc w:val="both"/>
        <w:rPr>
          <w:rFonts w:ascii="Source Sans Pro" w:hAnsi="Source Sans Pro"/>
          <w:sz w:val="18"/>
          <w:szCs w:val="18"/>
        </w:rPr>
      </w:pPr>
      <w:r w:rsidRPr="00C4701A">
        <w:rPr>
          <w:rStyle w:val="FootnoteReference"/>
          <w:rFonts w:ascii="Source Sans Pro" w:hAnsi="Source Sans Pro"/>
          <w:sz w:val="18"/>
          <w:szCs w:val="18"/>
        </w:rPr>
        <w:footnoteRef/>
      </w:r>
      <w:r w:rsidRPr="00C4701A">
        <w:rPr>
          <w:rFonts w:ascii="Source Sans Pro" w:hAnsi="Source Sans Pro"/>
          <w:sz w:val="18"/>
          <w:szCs w:val="18"/>
        </w:rPr>
        <w:t xml:space="preserve"> </w:t>
      </w:r>
      <w:r w:rsidRPr="00C4701A">
        <w:rPr>
          <w:rFonts w:ascii="Source Sans Pro" w:hAnsi="Source Sans Pro"/>
          <w:i/>
          <w:iCs/>
          <w:sz w:val="18"/>
          <w:szCs w:val="18"/>
        </w:rPr>
        <w:t>ATENCIÓN DE LA SALUD INTEGRAL DE PERSONAS TRANS, TRAVESTIS Y NO BINARIAS Guía para equipos de salud</w:t>
      </w:r>
      <w:r w:rsidRPr="00C4701A">
        <w:rPr>
          <w:rFonts w:ascii="Source Sans Pro" w:hAnsi="Source Sans Pro"/>
          <w:sz w:val="18"/>
          <w:szCs w:val="18"/>
        </w:rPr>
        <w:t xml:space="preserve">, </w:t>
      </w:r>
      <w:r w:rsidR="001656BB" w:rsidRPr="00C4701A">
        <w:rPr>
          <w:rFonts w:ascii="Source Sans Pro" w:hAnsi="Source Sans Pro"/>
          <w:sz w:val="18"/>
          <w:szCs w:val="18"/>
        </w:rPr>
        <w:t>Ministerio de Salud de la República Argentina</w:t>
      </w:r>
      <w:r w:rsidRPr="00C4701A">
        <w:rPr>
          <w:rFonts w:ascii="Source Sans Pro" w:hAnsi="Source Sans Pro"/>
          <w:sz w:val="18"/>
          <w:szCs w:val="18"/>
        </w:rPr>
        <w:t xml:space="preserve">(2020). </w:t>
      </w:r>
    </w:p>
  </w:footnote>
  <w:footnote w:id="43">
    <w:p w14:paraId="5E0EA8C3" w14:textId="5EF9CB86" w:rsidR="003D71D4" w:rsidRPr="00C4701A" w:rsidRDefault="003D71D4" w:rsidP="00AB01B2">
      <w:pPr>
        <w:pStyle w:val="FootnoteText"/>
        <w:jc w:val="both"/>
        <w:rPr>
          <w:rFonts w:ascii="Source Sans Pro" w:hAnsi="Source Sans Pro"/>
          <w:sz w:val="18"/>
          <w:szCs w:val="18"/>
        </w:rPr>
      </w:pPr>
      <w:r w:rsidRPr="00C4701A">
        <w:rPr>
          <w:rStyle w:val="FootnoteReference"/>
          <w:rFonts w:ascii="Source Sans Pro" w:hAnsi="Source Sans Pro"/>
          <w:sz w:val="18"/>
          <w:szCs w:val="18"/>
        </w:rPr>
        <w:footnoteRef/>
      </w:r>
      <w:r w:rsidRPr="00C4701A">
        <w:rPr>
          <w:rFonts w:ascii="Source Sans Pro" w:hAnsi="Source Sans Pro"/>
          <w:sz w:val="18"/>
          <w:szCs w:val="18"/>
        </w:rPr>
        <w:t xml:space="preserve"> </w:t>
      </w:r>
      <w:r w:rsidR="001656BB" w:rsidRPr="00C4701A">
        <w:rPr>
          <w:rFonts w:ascii="Source Sans Pro" w:hAnsi="Source Sans Pro"/>
          <w:i/>
          <w:iCs/>
          <w:sz w:val="18"/>
          <w:szCs w:val="18"/>
        </w:rPr>
        <w:t>POLÍTICA DE SALUD PARA EL ABORDAJE DE LAS VIOLENCIAS DE GÉNERO</w:t>
      </w:r>
      <w:r w:rsidR="001656BB" w:rsidRPr="00C4701A">
        <w:rPr>
          <w:rFonts w:ascii="Source Sans Pro" w:hAnsi="Source Sans Pro"/>
          <w:sz w:val="18"/>
          <w:szCs w:val="18"/>
        </w:rPr>
        <w:t>, (</w:t>
      </w:r>
      <w:r w:rsidR="00967ACC" w:rsidRPr="00C4701A">
        <w:rPr>
          <w:rFonts w:ascii="Source Sans Pro" w:hAnsi="Source Sans Pro"/>
          <w:sz w:val="18"/>
          <w:szCs w:val="18"/>
        </w:rPr>
        <w:t xml:space="preserve">Ministerio de Salud del Gobierno de Chile) </w:t>
      </w:r>
      <w:r w:rsidR="001656BB" w:rsidRPr="00C4701A">
        <w:rPr>
          <w:rFonts w:ascii="Source Sans Pro" w:hAnsi="Source Sans Pro"/>
          <w:sz w:val="18"/>
          <w:szCs w:val="18"/>
        </w:rPr>
        <w:t>2021).</w:t>
      </w:r>
    </w:p>
  </w:footnote>
  <w:footnote w:id="44">
    <w:p w14:paraId="36C5D8D0" w14:textId="35450D72" w:rsidR="006C0618" w:rsidRPr="00C4701A" w:rsidRDefault="006C0618" w:rsidP="00AB01B2">
      <w:pPr>
        <w:pStyle w:val="FootnoteText"/>
        <w:jc w:val="both"/>
        <w:rPr>
          <w:rFonts w:ascii="Source Sans Pro" w:hAnsi="Source Sans Pro"/>
          <w:sz w:val="18"/>
          <w:szCs w:val="18"/>
        </w:rPr>
      </w:pPr>
      <w:r w:rsidRPr="00C4701A">
        <w:rPr>
          <w:rStyle w:val="FootnoteReference"/>
          <w:rFonts w:ascii="Source Sans Pro" w:hAnsi="Source Sans Pro"/>
          <w:sz w:val="18"/>
          <w:szCs w:val="18"/>
        </w:rPr>
        <w:footnoteRef/>
      </w:r>
      <w:r w:rsidRPr="00C4701A">
        <w:rPr>
          <w:rFonts w:ascii="Source Sans Pro" w:hAnsi="Source Sans Pro"/>
          <w:sz w:val="18"/>
          <w:szCs w:val="18"/>
        </w:rPr>
        <w:t xml:space="preserve"> </w:t>
      </w:r>
      <w:r w:rsidR="000A0DE8" w:rsidRPr="00C4701A">
        <w:rPr>
          <w:rFonts w:ascii="Source Sans Pro" w:hAnsi="Source Sans Pro"/>
          <w:i/>
          <w:iCs/>
          <w:sz w:val="18"/>
          <w:szCs w:val="18"/>
        </w:rPr>
        <w:t xml:space="preserve">Salud y diversidad sexual. Guía para profesionales de la salud. </w:t>
      </w:r>
      <w:r w:rsidR="000A0DE8" w:rsidRPr="00C4701A">
        <w:rPr>
          <w:rFonts w:ascii="Source Sans Pro" w:hAnsi="Source Sans Pro"/>
          <w:sz w:val="18"/>
          <w:szCs w:val="18"/>
        </w:rPr>
        <w:t xml:space="preserve">. (2016). </w:t>
      </w:r>
      <w:hyperlink r:id="rId18" w:history="1">
        <w:r w:rsidR="000A0DE8" w:rsidRPr="00C4701A">
          <w:rPr>
            <w:rStyle w:val="Hyperlink"/>
            <w:rFonts w:ascii="Source Sans Pro" w:hAnsi="Source Sans Pro"/>
            <w:sz w:val="18"/>
            <w:szCs w:val="18"/>
          </w:rPr>
          <w:t>https://psico.edu.uy/sites/default/files/files_ftp/libros/guia-salud-y-diversidad-sexual.pdf</w:t>
        </w:r>
      </w:hyperlink>
      <w:r w:rsidR="000A0DE8" w:rsidRPr="00C4701A">
        <w:rPr>
          <w:rFonts w:ascii="Source Sans Pro" w:hAnsi="Source Sans Pro"/>
          <w:sz w:val="18"/>
          <w:szCs w:val="18"/>
        </w:rPr>
        <w:t xml:space="preserve"> </w:t>
      </w:r>
    </w:p>
  </w:footnote>
  <w:footnote w:id="45">
    <w:p w14:paraId="13CE6798" w14:textId="09FD3CC1" w:rsidR="00D0323C" w:rsidRPr="00C4701A" w:rsidRDefault="00D0323C" w:rsidP="00AB01B2">
      <w:pPr>
        <w:pStyle w:val="FootnoteText"/>
        <w:jc w:val="both"/>
        <w:rPr>
          <w:rFonts w:ascii="Source Sans Pro" w:hAnsi="Source Sans Pro"/>
          <w:sz w:val="18"/>
          <w:szCs w:val="18"/>
          <w:lang w:val="es-MX"/>
        </w:rPr>
      </w:pPr>
      <w:r w:rsidRPr="00C4701A">
        <w:rPr>
          <w:rStyle w:val="FootnoteReference"/>
          <w:rFonts w:ascii="Source Sans Pro" w:hAnsi="Source Sans Pro"/>
          <w:sz w:val="18"/>
          <w:szCs w:val="18"/>
        </w:rPr>
        <w:footnoteRef/>
      </w:r>
      <w:r w:rsidRPr="00C4701A">
        <w:rPr>
          <w:rFonts w:ascii="Source Sans Pro" w:hAnsi="Source Sans Pro"/>
          <w:sz w:val="18"/>
          <w:szCs w:val="18"/>
        </w:rPr>
        <w:t xml:space="preserve"> Información suministrada por el Grupo de Apoyo y Acción a Personas Trans, GAAT. </w:t>
      </w:r>
    </w:p>
  </w:footnote>
  <w:footnote w:id="46">
    <w:p w14:paraId="07FCC6A9" w14:textId="1FCD0253" w:rsidR="002B4671" w:rsidRPr="00C4701A" w:rsidRDefault="002B4671" w:rsidP="00AB01B2">
      <w:pPr>
        <w:pStyle w:val="FootnoteText"/>
        <w:jc w:val="both"/>
        <w:rPr>
          <w:rFonts w:ascii="Source Sans Pro" w:hAnsi="Source Sans Pro"/>
          <w:sz w:val="18"/>
          <w:szCs w:val="18"/>
          <w:lang w:val="es-MX"/>
        </w:rPr>
      </w:pPr>
      <w:r w:rsidRPr="00C4701A">
        <w:rPr>
          <w:rStyle w:val="FootnoteReference"/>
          <w:rFonts w:ascii="Source Sans Pro" w:hAnsi="Source Sans Pro"/>
          <w:sz w:val="18"/>
          <w:szCs w:val="18"/>
        </w:rPr>
        <w:footnoteRef/>
      </w:r>
      <w:r w:rsidRPr="00C4701A">
        <w:rPr>
          <w:rFonts w:ascii="Source Sans Pro" w:hAnsi="Source Sans Pro"/>
          <w:sz w:val="18"/>
          <w:szCs w:val="18"/>
        </w:rPr>
        <w:t xml:space="preserve"> </w:t>
      </w:r>
      <w:bookmarkStart w:id="5" w:name="_Hlk93031796"/>
      <w:r w:rsidR="009E6D91" w:rsidRPr="00C4701A">
        <w:rPr>
          <w:rFonts w:ascii="Source Sans Pro" w:hAnsi="Source Sans Pro"/>
          <w:sz w:val="18"/>
          <w:szCs w:val="18"/>
          <w:lang w:val="es-419"/>
        </w:rPr>
        <w:t>Encuesta en salud de personas con experiencias de vida Trans colombianas y migrantes, 2021</w:t>
      </w:r>
      <w:bookmarkEnd w:id="5"/>
      <w:r w:rsidR="009E6D91" w:rsidRPr="00C4701A">
        <w:rPr>
          <w:rFonts w:ascii="Source Sans Pro" w:hAnsi="Source Sans Pro"/>
          <w:sz w:val="18"/>
          <w:szCs w:val="18"/>
          <w:lang w:val="es-419"/>
        </w:rPr>
        <w:t xml:space="preserve">. GAAT. </w:t>
      </w:r>
    </w:p>
  </w:footnote>
  <w:footnote w:id="47">
    <w:p w14:paraId="5144A513" w14:textId="54600689" w:rsidR="009B67DB" w:rsidRPr="00C4701A" w:rsidRDefault="009B67DB" w:rsidP="00AB01B2">
      <w:pPr>
        <w:pStyle w:val="FootnoteText"/>
        <w:jc w:val="both"/>
        <w:rPr>
          <w:rFonts w:ascii="Source Sans Pro" w:hAnsi="Source Sans Pro"/>
          <w:sz w:val="18"/>
          <w:szCs w:val="18"/>
          <w:lang w:val="es-MX"/>
        </w:rPr>
      </w:pPr>
      <w:r w:rsidRPr="00C4701A">
        <w:rPr>
          <w:rStyle w:val="FootnoteReference"/>
          <w:rFonts w:ascii="Source Sans Pro" w:hAnsi="Source Sans Pro"/>
          <w:sz w:val="18"/>
          <w:szCs w:val="18"/>
        </w:rPr>
        <w:footnoteRef/>
      </w:r>
      <w:r w:rsidRPr="00C4701A">
        <w:rPr>
          <w:rFonts w:ascii="Source Sans Pro" w:hAnsi="Source Sans Pro"/>
          <w:sz w:val="18"/>
          <w:szCs w:val="18"/>
        </w:rPr>
        <w:t xml:space="preserve"> </w:t>
      </w:r>
      <w:r w:rsidRPr="00C4701A">
        <w:rPr>
          <w:rFonts w:ascii="Source Sans Pro" w:hAnsi="Source Sans Pro"/>
          <w:sz w:val="18"/>
          <w:szCs w:val="18"/>
          <w:lang w:val="es-MX"/>
        </w:rPr>
        <w:t>Información suministrada por Colombia Divers</w:t>
      </w:r>
      <w:r w:rsidR="00B66E1A" w:rsidRPr="00C4701A">
        <w:rPr>
          <w:rFonts w:ascii="Source Sans Pro" w:hAnsi="Source Sans Pro"/>
          <w:sz w:val="18"/>
          <w:szCs w:val="18"/>
          <w:lang w:val="es-MX"/>
        </w:rPr>
        <w:t xml:space="preserve">a e IGUALES, Bolivia. </w:t>
      </w:r>
    </w:p>
  </w:footnote>
  <w:footnote w:id="48">
    <w:p w14:paraId="273774D4" w14:textId="10E9C0DB" w:rsidR="009A7EEC" w:rsidRPr="00C4701A" w:rsidRDefault="009A7EEC" w:rsidP="00AB01B2">
      <w:pPr>
        <w:pStyle w:val="FootnoteText"/>
        <w:jc w:val="both"/>
        <w:rPr>
          <w:rFonts w:ascii="Source Sans Pro" w:hAnsi="Source Sans Pro"/>
          <w:sz w:val="18"/>
          <w:szCs w:val="18"/>
          <w:lang w:val="es-MX"/>
        </w:rPr>
      </w:pPr>
      <w:r w:rsidRPr="00C4701A">
        <w:rPr>
          <w:rStyle w:val="FootnoteReference"/>
          <w:rFonts w:ascii="Source Sans Pro" w:hAnsi="Source Sans Pro"/>
          <w:sz w:val="18"/>
          <w:szCs w:val="18"/>
        </w:rPr>
        <w:footnoteRef/>
      </w:r>
      <w:r w:rsidRPr="00C4701A">
        <w:rPr>
          <w:rFonts w:ascii="Source Sans Pro" w:hAnsi="Source Sans Pro"/>
          <w:sz w:val="18"/>
          <w:szCs w:val="18"/>
        </w:rPr>
        <w:t xml:space="preserve"> El Espectador. ¡Queremos verdad! #Justiciaparaalejandra. Disponible en: </w:t>
      </w:r>
      <w:hyperlink r:id="rId19" w:history="1">
        <w:r w:rsidRPr="00C4701A">
          <w:rPr>
            <w:rStyle w:val="Hyperlink"/>
            <w:rFonts w:ascii="Source Sans Pro" w:hAnsi="Source Sans Pro"/>
            <w:sz w:val="18"/>
            <w:szCs w:val="18"/>
          </w:rPr>
          <w:t>https://www.elespectador.com/colombia/mas-regiones/queremos-la-verdad-justiciaparaalejandra-la-disidencia-article/</w:t>
        </w:r>
      </w:hyperlink>
      <w:r w:rsidRPr="00C4701A">
        <w:rPr>
          <w:rFonts w:ascii="Source Sans Pro" w:hAnsi="Source Sans Pro"/>
          <w:sz w:val="18"/>
          <w:szCs w:val="18"/>
        </w:rPr>
        <w:t xml:space="preserve"> </w:t>
      </w:r>
    </w:p>
  </w:footnote>
  <w:footnote w:id="49">
    <w:p w14:paraId="5C569283" w14:textId="017A6529" w:rsidR="00556B7B" w:rsidRPr="00556B7B" w:rsidRDefault="00556B7B">
      <w:pPr>
        <w:pStyle w:val="FootnoteText"/>
        <w:rPr>
          <w:lang w:val="es-MX"/>
        </w:rPr>
      </w:pPr>
      <w:r>
        <w:rPr>
          <w:rStyle w:val="FootnoteReference"/>
        </w:rPr>
        <w:footnoteRef/>
      </w:r>
      <w:r>
        <w:t xml:space="preserve"> </w:t>
      </w:r>
      <w:r>
        <w:rPr>
          <w:lang w:val="es-MX"/>
        </w:rPr>
        <w:t>Información proporcionada por la organización IGUALES, Bolivia.</w:t>
      </w:r>
    </w:p>
  </w:footnote>
  <w:footnote w:id="50">
    <w:p w14:paraId="56B258B1" w14:textId="77777777" w:rsidR="00865B9E" w:rsidRPr="00FD7CC2" w:rsidRDefault="00865B9E" w:rsidP="00865B9E">
      <w:pPr>
        <w:pStyle w:val="FootnoteText"/>
        <w:rPr>
          <w:lang w:val="es-MX"/>
        </w:rPr>
      </w:pPr>
      <w:r>
        <w:rPr>
          <w:rStyle w:val="FootnoteReference"/>
        </w:rPr>
        <w:footnoteRef/>
      </w:r>
      <w:r>
        <w:t xml:space="preserve"> </w:t>
      </w:r>
      <w:r w:rsidRPr="00FD7CC2">
        <w:t xml:space="preserve">Consultar la nota en </w:t>
      </w:r>
      <w:hyperlink r:id="rId20" w:history="1">
        <w:r w:rsidRPr="00A63DB5">
          <w:rPr>
            <w:rStyle w:val="Hyperlink"/>
          </w:rPr>
          <w:t>https://erbol.com.bo/nacional/fallece-mujer-trans-en-condiciones-dram%C3%A1ticas-luego-de-peregrinar-por-tres-centros-de-salud</w:t>
        </w:r>
      </w:hyperlink>
      <w:r>
        <w:t xml:space="preserve"> </w:t>
      </w:r>
    </w:p>
  </w:footnote>
  <w:footnote w:id="51">
    <w:p w14:paraId="24867432" w14:textId="537F581F" w:rsidR="006D7195" w:rsidRPr="00C4701A" w:rsidRDefault="006D7195" w:rsidP="00AB01B2">
      <w:pPr>
        <w:pStyle w:val="FootnoteText"/>
        <w:jc w:val="both"/>
        <w:rPr>
          <w:rFonts w:ascii="Source Sans Pro" w:hAnsi="Source Sans Pro"/>
          <w:sz w:val="18"/>
          <w:szCs w:val="18"/>
        </w:rPr>
      </w:pPr>
      <w:r w:rsidRPr="00C4701A">
        <w:rPr>
          <w:rStyle w:val="FootnoteReference"/>
          <w:rFonts w:ascii="Source Sans Pro" w:hAnsi="Source Sans Pro"/>
          <w:sz w:val="18"/>
          <w:szCs w:val="18"/>
        </w:rPr>
        <w:footnoteRef/>
      </w:r>
      <w:r w:rsidRPr="00C4701A">
        <w:rPr>
          <w:rFonts w:ascii="Source Sans Pro" w:hAnsi="Source Sans Pro"/>
          <w:sz w:val="18"/>
          <w:szCs w:val="18"/>
        </w:rPr>
        <w:t xml:space="preserve"> Experto independiente de Naciones Unidas en protección contra la violencia y, &amp; la discriminación por orientación sexual e identidad de género - IESOGI. (2020). Informe a la Asamblea General de la ONU: EL IMPACTO DE LA PANDEMIA DE COVID-19 EN LOS DERECHOS HUMANOS DE LAS PERSONAS LGBT. </w:t>
      </w:r>
    </w:p>
  </w:footnote>
  <w:footnote w:id="52">
    <w:p w14:paraId="2B5E5936" w14:textId="65751617" w:rsidR="00F909C7" w:rsidRPr="00C4701A" w:rsidRDefault="00F909C7" w:rsidP="00AB01B2">
      <w:pPr>
        <w:pStyle w:val="FootnoteText"/>
        <w:jc w:val="both"/>
        <w:rPr>
          <w:rFonts w:ascii="Source Sans Pro" w:hAnsi="Source Sans Pro"/>
          <w:sz w:val="18"/>
          <w:szCs w:val="18"/>
          <w:lang w:val="es-MX"/>
        </w:rPr>
      </w:pPr>
      <w:r w:rsidRPr="00C4701A">
        <w:rPr>
          <w:rStyle w:val="FootnoteReference"/>
          <w:rFonts w:ascii="Source Sans Pro" w:hAnsi="Source Sans Pro"/>
          <w:sz w:val="18"/>
          <w:szCs w:val="18"/>
        </w:rPr>
        <w:footnoteRef/>
      </w:r>
      <w:r w:rsidRPr="00C4701A">
        <w:rPr>
          <w:rFonts w:ascii="Source Sans Pro" w:hAnsi="Source Sans Pro"/>
          <w:sz w:val="18"/>
          <w:szCs w:val="18"/>
        </w:rPr>
        <w:t xml:space="preserve"> </w:t>
      </w:r>
      <w:r w:rsidR="00750723" w:rsidRPr="00C4701A">
        <w:rPr>
          <w:rFonts w:ascii="Source Sans Pro" w:hAnsi="Source Sans Pro"/>
          <w:sz w:val="18"/>
          <w:szCs w:val="18"/>
        </w:rPr>
        <w:t xml:space="preserve">Comisión Interamericana de Derechos Humanos, Informe sobre </w:t>
      </w:r>
      <w:r w:rsidR="00795ABA" w:rsidRPr="00C4701A">
        <w:rPr>
          <w:rFonts w:ascii="Source Sans Pro" w:hAnsi="Source Sans Pro"/>
          <w:sz w:val="18"/>
          <w:szCs w:val="18"/>
        </w:rPr>
        <w:t>Reconocimiento de Derechos de Personas LGBTI</w:t>
      </w:r>
      <w:r w:rsidR="00D0108A" w:rsidRPr="00C4701A">
        <w:rPr>
          <w:rFonts w:ascii="Source Sans Pro" w:hAnsi="Source Sans Pro"/>
          <w:sz w:val="18"/>
          <w:szCs w:val="18"/>
        </w:rPr>
        <w:t xml:space="preserve">. </w:t>
      </w:r>
      <w:r w:rsidR="005D02A5" w:rsidRPr="00C4701A">
        <w:rPr>
          <w:rFonts w:ascii="Source Sans Pro" w:hAnsi="Source Sans Pro"/>
          <w:sz w:val="18"/>
          <w:szCs w:val="18"/>
        </w:rPr>
        <w:t>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06D94" w14:textId="0A509A85" w:rsidR="00EE4603" w:rsidRDefault="00EE4603">
    <w:pPr>
      <w:pStyle w:val="Header"/>
    </w:pPr>
    <w:r>
      <w:rPr>
        <w:noProof/>
        <w:lang w:val="en-GB" w:eastAsia="en-GB"/>
      </w:rPr>
      <w:drawing>
        <wp:anchor distT="0" distB="0" distL="114300" distR="114300" simplePos="0" relativeHeight="251658240" behindDoc="1" locked="0" layoutInCell="1" allowOverlap="1" wp14:anchorId="51448EFF" wp14:editId="22808F74">
          <wp:simplePos x="0" y="0"/>
          <wp:positionH relativeFrom="page">
            <wp:align>left</wp:align>
          </wp:positionH>
          <wp:positionV relativeFrom="paragraph">
            <wp:posOffset>-444040</wp:posOffset>
          </wp:positionV>
          <wp:extent cx="7923740" cy="1759039"/>
          <wp:effectExtent l="0" t="0" r="1270" b="0"/>
          <wp:wrapNone/>
          <wp:docPr id="11" name="Imagen 11" descr="Interfaz de usuario gráfica,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Patrón de fond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923740" cy="175903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2591"/>
    <w:multiLevelType w:val="hybridMultilevel"/>
    <w:tmpl w:val="B1E088E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 w15:restartNumberingAfterBreak="0">
    <w:nsid w:val="04876237"/>
    <w:multiLevelType w:val="hybridMultilevel"/>
    <w:tmpl w:val="C1F0A910"/>
    <w:lvl w:ilvl="0" w:tplc="04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D4E06"/>
    <w:multiLevelType w:val="hybridMultilevel"/>
    <w:tmpl w:val="E37A847C"/>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3" w15:restartNumberingAfterBreak="0">
    <w:nsid w:val="0E2B46EC"/>
    <w:multiLevelType w:val="hybridMultilevel"/>
    <w:tmpl w:val="D08E90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F8172DB"/>
    <w:multiLevelType w:val="multilevel"/>
    <w:tmpl w:val="3168E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9325D6"/>
    <w:multiLevelType w:val="hybridMultilevel"/>
    <w:tmpl w:val="500C6820"/>
    <w:lvl w:ilvl="0" w:tplc="4AB0CFBE">
      <w:start w:val="1"/>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19064CD"/>
    <w:multiLevelType w:val="multilevel"/>
    <w:tmpl w:val="AFB67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57455A"/>
    <w:multiLevelType w:val="hybridMultilevel"/>
    <w:tmpl w:val="86980D26"/>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1B3457C2"/>
    <w:multiLevelType w:val="multilevel"/>
    <w:tmpl w:val="F710AE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F06533"/>
    <w:multiLevelType w:val="multilevel"/>
    <w:tmpl w:val="472E2A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002087"/>
    <w:multiLevelType w:val="hybridMultilevel"/>
    <w:tmpl w:val="2D06AD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99F6EF8"/>
    <w:multiLevelType w:val="hybridMultilevel"/>
    <w:tmpl w:val="E382A7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DE2600"/>
    <w:multiLevelType w:val="multilevel"/>
    <w:tmpl w:val="F424D07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0E3145"/>
    <w:multiLevelType w:val="multilevel"/>
    <w:tmpl w:val="B3CADE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025CF3"/>
    <w:multiLevelType w:val="multilevel"/>
    <w:tmpl w:val="6396F3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61396B"/>
    <w:multiLevelType w:val="multilevel"/>
    <w:tmpl w:val="01CEB58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972739"/>
    <w:multiLevelType w:val="hybridMultilevel"/>
    <w:tmpl w:val="F220355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3CBD5C4D"/>
    <w:multiLevelType w:val="multilevel"/>
    <w:tmpl w:val="8E90BF0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C91797"/>
    <w:multiLevelType w:val="hybridMultilevel"/>
    <w:tmpl w:val="88267ED8"/>
    <w:lvl w:ilvl="0" w:tplc="8A763758">
      <w:start w:val="1"/>
      <w:numFmt w:val="decimal"/>
      <w:lvlText w:val="%1."/>
      <w:lvlJc w:val="left"/>
      <w:pPr>
        <w:ind w:left="720" w:hanging="360"/>
      </w:pPr>
      <w:rPr>
        <w:i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0DF60FB"/>
    <w:multiLevelType w:val="multilevel"/>
    <w:tmpl w:val="90707E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8A5FA5"/>
    <w:multiLevelType w:val="multilevel"/>
    <w:tmpl w:val="F274E2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D33BFA"/>
    <w:multiLevelType w:val="multilevel"/>
    <w:tmpl w:val="51BC13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17620B"/>
    <w:multiLevelType w:val="hybridMultilevel"/>
    <w:tmpl w:val="BBBA637A"/>
    <w:lvl w:ilvl="0" w:tplc="240A0001">
      <w:start w:val="1"/>
      <w:numFmt w:val="bullet"/>
      <w:lvlText w:val=""/>
      <w:lvlJc w:val="left"/>
      <w:pPr>
        <w:ind w:left="770" w:hanging="360"/>
      </w:pPr>
      <w:rPr>
        <w:rFonts w:ascii="Symbol" w:hAnsi="Symbol" w:hint="default"/>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23" w15:restartNumberingAfterBreak="0">
    <w:nsid w:val="5813182E"/>
    <w:multiLevelType w:val="hybridMultilevel"/>
    <w:tmpl w:val="81E017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AAF287C"/>
    <w:multiLevelType w:val="multilevel"/>
    <w:tmpl w:val="C24EDA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CD173F"/>
    <w:multiLevelType w:val="hybridMultilevel"/>
    <w:tmpl w:val="DAE880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D2353AE"/>
    <w:multiLevelType w:val="hybridMultilevel"/>
    <w:tmpl w:val="56BCC68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32E1732"/>
    <w:multiLevelType w:val="hybridMultilevel"/>
    <w:tmpl w:val="BD862E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3341A1B"/>
    <w:multiLevelType w:val="hybridMultilevel"/>
    <w:tmpl w:val="02F6EE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34D3F91"/>
    <w:multiLevelType w:val="hybridMultilevel"/>
    <w:tmpl w:val="CC0A25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65D5860"/>
    <w:multiLevelType w:val="hybridMultilevel"/>
    <w:tmpl w:val="FB521E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7E62364"/>
    <w:multiLevelType w:val="hybridMultilevel"/>
    <w:tmpl w:val="ED160E6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2" w15:restartNumberingAfterBreak="0">
    <w:nsid w:val="6A7C7434"/>
    <w:multiLevelType w:val="multilevel"/>
    <w:tmpl w:val="888A96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C318F4"/>
    <w:multiLevelType w:val="hybridMultilevel"/>
    <w:tmpl w:val="14C2DC4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41357FF"/>
    <w:multiLevelType w:val="hybridMultilevel"/>
    <w:tmpl w:val="57BC334E"/>
    <w:lvl w:ilvl="0" w:tplc="0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43B5879"/>
    <w:multiLevelType w:val="multilevel"/>
    <w:tmpl w:val="E91C8B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604459"/>
    <w:multiLevelType w:val="hybridMultilevel"/>
    <w:tmpl w:val="7A4E91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5905F99"/>
    <w:multiLevelType w:val="multilevel"/>
    <w:tmpl w:val="76B09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3D3390"/>
    <w:multiLevelType w:val="hybridMultilevel"/>
    <w:tmpl w:val="BA4479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7A262C1"/>
    <w:multiLevelType w:val="multilevel"/>
    <w:tmpl w:val="96D4E9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9A3CB4"/>
    <w:multiLevelType w:val="hybridMultilevel"/>
    <w:tmpl w:val="121867F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1" w15:restartNumberingAfterBreak="0">
    <w:nsid w:val="7CEC338D"/>
    <w:multiLevelType w:val="multilevel"/>
    <w:tmpl w:val="B6BCF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A20F2C"/>
    <w:multiLevelType w:val="hybridMultilevel"/>
    <w:tmpl w:val="A90CA2C6"/>
    <w:lvl w:ilvl="0" w:tplc="4DA2B704">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0"/>
  </w:num>
  <w:num w:numId="2">
    <w:abstractNumId w:val="5"/>
  </w:num>
  <w:num w:numId="3">
    <w:abstractNumId w:val="29"/>
  </w:num>
  <w:num w:numId="4">
    <w:abstractNumId w:val="30"/>
  </w:num>
  <w:num w:numId="5">
    <w:abstractNumId w:val="42"/>
  </w:num>
  <w:num w:numId="6">
    <w:abstractNumId w:val="38"/>
  </w:num>
  <w:num w:numId="7">
    <w:abstractNumId w:val="31"/>
  </w:num>
  <w:num w:numId="8">
    <w:abstractNumId w:val="22"/>
  </w:num>
  <w:num w:numId="9">
    <w:abstractNumId w:val="36"/>
  </w:num>
  <w:num w:numId="10">
    <w:abstractNumId w:val="33"/>
  </w:num>
  <w:num w:numId="11">
    <w:abstractNumId w:val="11"/>
  </w:num>
  <w:num w:numId="12">
    <w:abstractNumId w:val="40"/>
  </w:num>
  <w:num w:numId="13">
    <w:abstractNumId w:val="4"/>
  </w:num>
  <w:num w:numId="14">
    <w:abstractNumId w:val="21"/>
    <w:lvlOverride w:ilvl="0">
      <w:lvl w:ilvl="0">
        <w:numFmt w:val="decimal"/>
        <w:lvlText w:val="%1."/>
        <w:lvlJc w:val="left"/>
      </w:lvl>
    </w:lvlOverride>
  </w:num>
  <w:num w:numId="15">
    <w:abstractNumId w:val="39"/>
    <w:lvlOverride w:ilvl="0">
      <w:lvl w:ilvl="0">
        <w:numFmt w:val="decimal"/>
        <w:lvlText w:val="%1."/>
        <w:lvlJc w:val="left"/>
      </w:lvl>
    </w:lvlOverride>
  </w:num>
  <w:num w:numId="16">
    <w:abstractNumId w:val="14"/>
    <w:lvlOverride w:ilvl="0">
      <w:lvl w:ilvl="0">
        <w:numFmt w:val="decimal"/>
        <w:lvlText w:val="%1."/>
        <w:lvlJc w:val="left"/>
      </w:lvl>
    </w:lvlOverride>
  </w:num>
  <w:num w:numId="17">
    <w:abstractNumId w:val="32"/>
    <w:lvlOverride w:ilvl="0">
      <w:lvl w:ilvl="0">
        <w:numFmt w:val="decimal"/>
        <w:lvlText w:val="%1."/>
        <w:lvlJc w:val="left"/>
      </w:lvl>
    </w:lvlOverride>
  </w:num>
  <w:num w:numId="18">
    <w:abstractNumId w:val="9"/>
    <w:lvlOverride w:ilvl="0">
      <w:lvl w:ilvl="0">
        <w:numFmt w:val="decimal"/>
        <w:lvlText w:val="%1."/>
        <w:lvlJc w:val="left"/>
      </w:lvl>
    </w:lvlOverride>
  </w:num>
  <w:num w:numId="19">
    <w:abstractNumId w:val="24"/>
    <w:lvlOverride w:ilvl="0">
      <w:lvl w:ilvl="0">
        <w:numFmt w:val="decimal"/>
        <w:lvlText w:val="%1."/>
        <w:lvlJc w:val="left"/>
      </w:lvl>
    </w:lvlOverride>
  </w:num>
  <w:num w:numId="20">
    <w:abstractNumId w:val="19"/>
    <w:lvlOverride w:ilvl="0">
      <w:lvl w:ilvl="0">
        <w:numFmt w:val="decimal"/>
        <w:lvlText w:val="%1."/>
        <w:lvlJc w:val="left"/>
      </w:lvl>
    </w:lvlOverride>
  </w:num>
  <w:num w:numId="21">
    <w:abstractNumId w:val="13"/>
    <w:lvlOverride w:ilvl="0">
      <w:lvl w:ilvl="0">
        <w:numFmt w:val="decimal"/>
        <w:lvlText w:val="%1."/>
        <w:lvlJc w:val="left"/>
      </w:lvl>
    </w:lvlOverride>
  </w:num>
  <w:num w:numId="22">
    <w:abstractNumId w:val="20"/>
    <w:lvlOverride w:ilvl="0">
      <w:lvl w:ilvl="0">
        <w:numFmt w:val="decimal"/>
        <w:lvlText w:val="%1."/>
        <w:lvlJc w:val="left"/>
      </w:lvl>
    </w:lvlOverride>
  </w:num>
  <w:num w:numId="23">
    <w:abstractNumId w:val="17"/>
    <w:lvlOverride w:ilvl="0">
      <w:lvl w:ilvl="0">
        <w:numFmt w:val="decimal"/>
        <w:lvlText w:val="%1."/>
        <w:lvlJc w:val="left"/>
      </w:lvl>
    </w:lvlOverride>
  </w:num>
  <w:num w:numId="24">
    <w:abstractNumId w:val="15"/>
    <w:lvlOverride w:ilvl="0">
      <w:lvl w:ilvl="0">
        <w:numFmt w:val="decimal"/>
        <w:lvlText w:val="%1."/>
        <w:lvlJc w:val="left"/>
      </w:lvl>
    </w:lvlOverride>
  </w:num>
  <w:num w:numId="25">
    <w:abstractNumId w:val="12"/>
    <w:lvlOverride w:ilvl="0">
      <w:lvl w:ilvl="0">
        <w:numFmt w:val="decimal"/>
        <w:lvlText w:val="%1."/>
        <w:lvlJc w:val="left"/>
      </w:lvl>
    </w:lvlOverride>
  </w:num>
  <w:num w:numId="26">
    <w:abstractNumId w:val="6"/>
  </w:num>
  <w:num w:numId="27">
    <w:abstractNumId w:val="41"/>
  </w:num>
  <w:num w:numId="28">
    <w:abstractNumId w:val="37"/>
  </w:num>
  <w:num w:numId="29">
    <w:abstractNumId w:val="8"/>
    <w:lvlOverride w:ilvl="0">
      <w:lvl w:ilvl="0">
        <w:numFmt w:val="decimal"/>
        <w:lvlText w:val="%1."/>
        <w:lvlJc w:val="left"/>
      </w:lvl>
    </w:lvlOverride>
  </w:num>
  <w:num w:numId="30">
    <w:abstractNumId w:val="35"/>
    <w:lvlOverride w:ilvl="0">
      <w:lvl w:ilvl="0">
        <w:numFmt w:val="decimal"/>
        <w:lvlText w:val="%1."/>
        <w:lvlJc w:val="left"/>
      </w:lvl>
    </w:lvlOverride>
  </w:num>
  <w:num w:numId="31">
    <w:abstractNumId w:val="0"/>
  </w:num>
  <w:num w:numId="32">
    <w:abstractNumId w:val="26"/>
  </w:num>
  <w:num w:numId="33">
    <w:abstractNumId w:val="1"/>
  </w:num>
  <w:num w:numId="34">
    <w:abstractNumId w:val="25"/>
  </w:num>
  <w:num w:numId="35">
    <w:abstractNumId w:val="34"/>
  </w:num>
  <w:num w:numId="36">
    <w:abstractNumId w:val="3"/>
  </w:num>
  <w:num w:numId="37">
    <w:abstractNumId w:val="2"/>
  </w:num>
  <w:num w:numId="38">
    <w:abstractNumId w:val="28"/>
  </w:num>
  <w:num w:numId="39">
    <w:abstractNumId w:val="27"/>
  </w:num>
  <w:num w:numId="40">
    <w:abstractNumId w:val="16"/>
  </w:num>
  <w:num w:numId="41">
    <w:abstractNumId w:val="7"/>
  </w:num>
  <w:num w:numId="42">
    <w:abstractNumId w:val="23"/>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603"/>
    <w:rsid w:val="0000300E"/>
    <w:rsid w:val="00010727"/>
    <w:rsid w:val="000109F9"/>
    <w:rsid w:val="0001410E"/>
    <w:rsid w:val="0002040F"/>
    <w:rsid w:val="00023E8F"/>
    <w:rsid w:val="00023F56"/>
    <w:rsid w:val="00034F5F"/>
    <w:rsid w:val="0003676D"/>
    <w:rsid w:val="00037887"/>
    <w:rsid w:val="000409A1"/>
    <w:rsid w:val="0004595C"/>
    <w:rsid w:val="00046117"/>
    <w:rsid w:val="00047B51"/>
    <w:rsid w:val="00054CB1"/>
    <w:rsid w:val="00061383"/>
    <w:rsid w:val="0006780C"/>
    <w:rsid w:val="00067824"/>
    <w:rsid w:val="00071326"/>
    <w:rsid w:val="00073480"/>
    <w:rsid w:val="00075B53"/>
    <w:rsid w:val="0007737E"/>
    <w:rsid w:val="00077657"/>
    <w:rsid w:val="000803BC"/>
    <w:rsid w:val="00080597"/>
    <w:rsid w:val="0008288B"/>
    <w:rsid w:val="000856C9"/>
    <w:rsid w:val="0008666D"/>
    <w:rsid w:val="00090DB1"/>
    <w:rsid w:val="00091131"/>
    <w:rsid w:val="00091B63"/>
    <w:rsid w:val="00091C97"/>
    <w:rsid w:val="0009430E"/>
    <w:rsid w:val="00095395"/>
    <w:rsid w:val="00095A69"/>
    <w:rsid w:val="000A0DE8"/>
    <w:rsid w:val="000A113F"/>
    <w:rsid w:val="000A4FD3"/>
    <w:rsid w:val="000B0079"/>
    <w:rsid w:val="000B31ED"/>
    <w:rsid w:val="000B31F5"/>
    <w:rsid w:val="000B4F5D"/>
    <w:rsid w:val="000B6DAF"/>
    <w:rsid w:val="000C639E"/>
    <w:rsid w:val="000D1ADF"/>
    <w:rsid w:val="000D363F"/>
    <w:rsid w:val="000D5693"/>
    <w:rsid w:val="000E06D3"/>
    <w:rsid w:val="000E1D29"/>
    <w:rsid w:val="000E6749"/>
    <w:rsid w:val="000F2B2F"/>
    <w:rsid w:val="000F4DD0"/>
    <w:rsid w:val="00100AA6"/>
    <w:rsid w:val="00103550"/>
    <w:rsid w:val="001067BF"/>
    <w:rsid w:val="00111E48"/>
    <w:rsid w:val="00113475"/>
    <w:rsid w:val="00113620"/>
    <w:rsid w:val="00115FC7"/>
    <w:rsid w:val="00120DCE"/>
    <w:rsid w:val="001211AD"/>
    <w:rsid w:val="001226CF"/>
    <w:rsid w:val="00125499"/>
    <w:rsid w:val="001430D9"/>
    <w:rsid w:val="001451F6"/>
    <w:rsid w:val="00147FD2"/>
    <w:rsid w:val="00154B8F"/>
    <w:rsid w:val="0015634F"/>
    <w:rsid w:val="00157439"/>
    <w:rsid w:val="001578B8"/>
    <w:rsid w:val="0016089A"/>
    <w:rsid w:val="00161826"/>
    <w:rsid w:val="00162162"/>
    <w:rsid w:val="00162B6B"/>
    <w:rsid w:val="00163404"/>
    <w:rsid w:val="00164E8D"/>
    <w:rsid w:val="001656BB"/>
    <w:rsid w:val="0016680C"/>
    <w:rsid w:val="00171BEF"/>
    <w:rsid w:val="001812BC"/>
    <w:rsid w:val="00183B6E"/>
    <w:rsid w:val="00184A80"/>
    <w:rsid w:val="0019189C"/>
    <w:rsid w:val="00194D85"/>
    <w:rsid w:val="00195CAA"/>
    <w:rsid w:val="001A0869"/>
    <w:rsid w:val="001A2D2B"/>
    <w:rsid w:val="001A365A"/>
    <w:rsid w:val="001A5187"/>
    <w:rsid w:val="001A51BC"/>
    <w:rsid w:val="001A55CF"/>
    <w:rsid w:val="001A7A5D"/>
    <w:rsid w:val="001B23A1"/>
    <w:rsid w:val="001B2F34"/>
    <w:rsid w:val="001B7AD7"/>
    <w:rsid w:val="001C0E2A"/>
    <w:rsid w:val="001C3707"/>
    <w:rsid w:val="001C4A63"/>
    <w:rsid w:val="001D42C4"/>
    <w:rsid w:val="001D4325"/>
    <w:rsid w:val="001D756E"/>
    <w:rsid w:val="001E0EF4"/>
    <w:rsid w:val="001E11F0"/>
    <w:rsid w:val="001E1A4B"/>
    <w:rsid w:val="001E5DC3"/>
    <w:rsid w:val="001F34C9"/>
    <w:rsid w:val="001F66AE"/>
    <w:rsid w:val="00201422"/>
    <w:rsid w:val="00201FCC"/>
    <w:rsid w:val="002035FE"/>
    <w:rsid w:val="00205A8A"/>
    <w:rsid w:val="00206C5A"/>
    <w:rsid w:val="00212742"/>
    <w:rsid w:val="0021683B"/>
    <w:rsid w:val="002212A5"/>
    <w:rsid w:val="00222C10"/>
    <w:rsid w:val="00222C37"/>
    <w:rsid w:val="002304F1"/>
    <w:rsid w:val="00232DDC"/>
    <w:rsid w:val="00234882"/>
    <w:rsid w:val="00237BF8"/>
    <w:rsid w:val="002404E6"/>
    <w:rsid w:val="0024186F"/>
    <w:rsid w:val="00252B41"/>
    <w:rsid w:val="002562FB"/>
    <w:rsid w:val="0026338F"/>
    <w:rsid w:val="00263FC3"/>
    <w:rsid w:val="00264365"/>
    <w:rsid w:val="00266493"/>
    <w:rsid w:val="00270DCA"/>
    <w:rsid w:val="0027114C"/>
    <w:rsid w:val="0027203B"/>
    <w:rsid w:val="0027296E"/>
    <w:rsid w:val="002739F5"/>
    <w:rsid w:val="00280BA7"/>
    <w:rsid w:val="00282F9A"/>
    <w:rsid w:val="002845CB"/>
    <w:rsid w:val="00286538"/>
    <w:rsid w:val="002872D0"/>
    <w:rsid w:val="0029518A"/>
    <w:rsid w:val="00295796"/>
    <w:rsid w:val="00295EB4"/>
    <w:rsid w:val="002977F2"/>
    <w:rsid w:val="002979BA"/>
    <w:rsid w:val="002B3309"/>
    <w:rsid w:val="002B341F"/>
    <w:rsid w:val="002B4220"/>
    <w:rsid w:val="002B4671"/>
    <w:rsid w:val="002B4781"/>
    <w:rsid w:val="002C020C"/>
    <w:rsid w:val="002C0234"/>
    <w:rsid w:val="002C2323"/>
    <w:rsid w:val="002C4DAC"/>
    <w:rsid w:val="002C59F2"/>
    <w:rsid w:val="002C6FE8"/>
    <w:rsid w:val="002D4684"/>
    <w:rsid w:val="002E0FCD"/>
    <w:rsid w:val="002E12DC"/>
    <w:rsid w:val="002E2E6C"/>
    <w:rsid w:val="002E4B35"/>
    <w:rsid w:val="002E5BC4"/>
    <w:rsid w:val="002E6C98"/>
    <w:rsid w:val="002F290A"/>
    <w:rsid w:val="00301E6B"/>
    <w:rsid w:val="00302FEC"/>
    <w:rsid w:val="003057FC"/>
    <w:rsid w:val="003065D1"/>
    <w:rsid w:val="0030669A"/>
    <w:rsid w:val="0031059A"/>
    <w:rsid w:val="00311DA0"/>
    <w:rsid w:val="003129F1"/>
    <w:rsid w:val="003145B5"/>
    <w:rsid w:val="003171C4"/>
    <w:rsid w:val="0032199B"/>
    <w:rsid w:val="00322D67"/>
    <w:rsid w:val="0032382A"/>
    <w:rsid w:val="0032505F"/>
    <w:rsid w:val="00326077"/>
    <w:rsid w:val="00330E73"/>
    <w:rsid w:val="003314A2"/>
    <w:rsid w:val="00333F97"/>
    <w:rsid w:val="00340847"/>
    <w:rsid w:val="00352E33"/>
    <w:rsid w:val="00357215"/>
    <w:rsid w:val="00357647"/>
    <w:rsid w:val="0036153D"/>
    <w:rsid w:val="00361966"/>
    <w:rsid w:val="00367DBA"/>
    <w:rsid w:val="00370EFF"/>
    <w:rsid w:val="00381F86"/>
    <w:rsid w:val="003857A8"/>
    <w:rsid w:val="00386826"/>
    <w:rsid w:val="00393295"/>
    <w:rsid w:val="003B0C88"/>
    <w:rsid w:val="003C0790"/>
    <w:rsid w:val="003C6D6A"/>
    <w:rsid w:val="003C7A9E"/>
    <w:rsid w:val="003D31E3"/>
    <w:rsid w:val="003D71D4"/>
    <w:rsid w:val="003E0B80"/>
    <w:rsid w:val="003E2ABC"/>
    <w:rsid w:val="003E457F"/>
    <w:rsid w:val="003E68F7"/>
    <w:rsid w:val="003E7DF8"/>
    <w:rsid w:val="003F1D57"/>
    <w:rsid w:val="003F5921"/>
    <w:rsid w:val="00400F22"/>
    <w:rsid w:val="00402C30"/>
    <w:rsid w:val="00403F8C"/>
    <w:rsid w:val="004049B8"/>
    <w:rsid w:val="0040579E"/>
    <w:rsid w:val="004116C5"/>
    <w:rsid w:val="0041549B"/>
    <w:rsid w:val="00420C5A"/>
    <w:rsid w:val="00421E15"/>
    <w:rsid w:val="00424A83"/>
    <w:rsid w:val="00426637"/>
    <w:rsid w:val="0043052E"/>
    <w:rsid w:val="00431699"/>
    <w:rsid w:val="00431E1E"/>
    <w:rsid w:val="004328FE"/>
    <w:rsid w:val="00440219"/>
    <w:rsid w:val="00441205"/>
    <w:rsid w:val="004420D3"/>
    <w:rsid w:val="00443302"/>
    <w:rsid w:val="00444F81"/>
    <w:rsid w:val="00447758"/>
    <w:rsid w:val="00447DC1"/>
    <w:rsid w:val="00456CD4"/>
    <w:rsid w:val="004653FD"/>
    <w:rsid w:val="00465804"/>
    <w:rsid w:val="004674CC"/>
    <w:rsid w:val="00471AFF"/>
    <w:rsid w:val="004728B0"/>
    <w:rsid w:val="00474020"/>
    <w:rsid w:val="00475D30"/>
    <w:rsid w:val="0048072F"/>
    <w:rsid w:val="00482D6E"/>
    <w:rsid w:val="00486BD2"/>
    <w:rsid w:val="00486E8C"/>
    <w:rsid w:val="00492AFA"/>
    <w:rsid w:val="00493E5E"/>
    <w:rsid w:val="00494405"/>
    <w:rsid w:val="004A1663"/>
    <w:rsid w:val="004A6ACB"/>
    <w:rsid w:val="004A7038"/>
    <w:rsid w:val="004A7C1B"/>
    <w:rsid w:val="004B374D"/>
    <w:rsid w:val="004B4847"/>
    <w:rsid w:val="004B5389"/>
    <w:rsid w:val="004B5F09"/>
    <w:rsid w:val="004C5BE3"/>
    <w:rsid w:val="004C689C"/>
    <w:rsid w:val="004D011E"/>
    <w:rsid w:val="004D0C72"/>
    <w:rsid w:val="004D61E8"/>
    <w:rsid w:val="004E653E"/>
    <w:rsid w:val="004E675C"/>
    <w:rsid w:val="004E6E5F"/>
    <w:rsid w:val="004E70CD"/>
    <w:rsid w:val="004E7FDB"/>
    <w:rsid w:val="004F0F0A"/>
    <w:rsid w:val="004F4386"/>
    <w:rsid w:val="00501BA8"/>
    <w:rsid w:val="0051172F"/>
    <w:rsid w:val="00512F8B"/>
    <w:rsid w:val="00513753"/>
    <w:rsid w:val="005271D2"/>
    <w:rsid w:val="005304D8"/>
    <w:rsid w:val="00533225"/>
    <w:rsid w:val="005357F8"/>
    <w:rsid w:val="00537DC4"/>
    <w:rsid w:val="0054100C"/>
    <w:rsid w:val="00541ED3"/>
    <w:rsid w:val="00542029"/>
    <w:rsid w:val="0054230D"/>
    <w:rsid w:val="00546312"/>
    <w:rsid w:val="00546EF9"/>
    <w:rsid w:val="0054752B"/>
    <w:rsid w:val="0055038E"/>
    <w:rsid w:val="00553060"/>
    <w:rsid w:val="00556B7B"/>
    <w:rsid w:val="005609DF"/>
    <w:rsid w:val="00562C06"/>
    <w:rsid w:val="00565A16"/>
    <w:rsid w:val="005711B2"/>
    <w:rsid w:val="005727C3"/>
    <w:rsid w:val="00577681"/>
    <w:rsid w:val="00592BEF"/>
    <w:rsid w:val="005978BA"/>
    <w:rsid w:val="005A49D2"/>
    <w:rsid w:val="005A60FD"/>
    <w:rsid w:val="005A6CD4"/>
    <w:rsid w:val="005A7CFC"/>
    <w:rsid w:val="005B18B2"/>
    <w:rsid w:val="005B454A"/>
    <w:rsid w:val="005B5BB3"/>
    <w:rsid w:val="005C047C"/>
    <w:rsid w:val="005D02A5"/>
    <w:rsid w:val="005D4573"/>
    <w:rsid w:val="005D4832"/>
    <w:rsid w:val="005D66FC"/>
    <w:rsid w:val="005E4242"/>
    <w:rsid w:val="005E5BF1"/>
    <w:rsid w:val="005F086E"/>
    <w:rsid w:val="005F1469"/>
    <w:rsid w:val="005F165B"/>
    <w:rsid w:val="005F1E3F"/>
    <w:rsid w:val="005F22F4"/>
    <w:rsid w:val="005F3479"/>
    <w:rsid w:val="005F5134"/>
    <w:rsid w:val="00602622"/>
    <w:rsid w:val="006037C0"/>
    <w:rsid w:val="00605253"/>
    <w:rsid w:val="006055A8"/>
    <w:rsid w:val="00605E1B"/>
    <w:rsid w:val="00607D24"/>
    <w:rsid w:val="00612946"/>
    <w:rsid w:val="00615537"/>
    <w:rsid w:val="006165B1"/>
    <w:rsid w:val="00621E2F"/>
    <w:rsid w:val="00624331"/>
    <w:rsid w:val="006251C0"/>
    <w:rsid w:val="00634514"/>
    <w:rsid w:val="006354AC"/>
    <w:rsid w:val="00636A60"/>
    <w:rsid w:val="0064191A"/>
    <w:rsid w:val="00641D96"/>
    <w:rsid w:val="00642617"/>
    <w:rsid w:val="006441B9"/>
    <w:rsid w:val="0064662B"/>
    <w:rsid w:val="00653BA2"/>
    <w:rsid w:val="0065737B"/>
    <w:rsid w:val="006576AA"/>
    <w:rsid w:val="00657E31"/>
    <w:rsid w:val="00665537"/>
    <w:rsid w:val="00674920"/>
    <w:rsid w:val="00674D36"/>
    <w:rsid w:val="00675029"/>
    <w:rsid w:val="0068069C"/>
    <w:rsid w:val="00682659"/>
    <w:rsid w:val="006832D2"/>
    <w:rsid w:val="00686048"/>
    <w:rsid w:val="00687210"/>
    <w:rsid w:val="006942FF"/>
    <w:rsid w:val="00694DB0"/>
    <w:rsid w:val="00695204"/>
    <w:rsid w:val="006A0B8E"/>
    <w:rsid w:val="006A1666"/>
    <w:rsid w:val="006A1940"/>
    <w:rsid w:val="006A340C"/>
    <w:rsid w:val="006B4FC1"/>
    <w:rsid w:val="006B587E"/>
    <w:rsid w:val="006B5E38"/>
    <w:rsid w:val="006C0618"/>
    <w:rsid w:val="006C3EDE"/>
    <w:rsid w:val="006C5414"/>
    <w:rsid w:val="006C5FB9"/>
    <w:rsid w:val="006C67B9"/>
    <w:rsid w:val="006C67C6"/>
    <w:rsid w:val="006C6C6D"/>
    <w:rsid w:val="006D14BB"/>
    <w:rsid w:val="006D1A2A"/>
    <w:rsid w:val="006D7195"/>
    <w:rsid w:val="006D7FCF"/>
    <w:rsid w:val="006E2314"/>
    <w:rsid w:val="006E2CCC"/>
    <w:rsid w:val="006E56AA"/>
    <w:rsid w:val="006E5914"/>
    <w:rsid w:val="006E5FF2"/>
    <w:rsid w:val="006F7403"/>
    <w:rsid w:val="006F7869"/>
    <w:rsid w:val="0070010E"/>
    <w:rsid w:val="0070303C"/>
    <w:rsid w:val="007044F4"/>
    <w:rsid w:val="007102CA"/>
    <w:rsid w:val="007143A6"/>
    <w:rsid w:val="00715997"/>
    <w:rsid w:val="00716570"/>
    <w:rsid w:val="00717EBE"/>
    <w:rsid w:val="00726121"/>
    <w:rsid w:val="00726899"/>
    <w:rsid w:val="007366CF"/>
    <w:rsid w:val="00737BF9"/>
    <w:rsid w:val="00740D22"/>
    <w:rsid w:val="0074267A"/>
    <w:rsid w:val="00750723"/>
    <w:rsid w:val="0075133E"/>
    <w:rsid w:val="007579AD"/>
    <w:rsid w:val="00763064"/>
    <w:rsid w:val="00764AFF"/>
    <w:rsid w:val="007700BA"/>
    <w:rsid w:val="0077537C"/>
    <w:rsid w:val="00777063"/>
    <w:rsid w:val="0077710F"/>
    <w:rsid w:val="0078060B"/>
    <w:rsid w:val="00781E75"/>
    <w:rsid w:val="00783464"/>
    <w:rsid w:val="0078350B"/>
    <w:rsid w:val="00795ABA"/>
    <w:rsid w:val="007A49BC"/>
    <w:rsid w:val="007A7CA5"/>
    <w:rsid w:val="007B65C2"/>
    <w:rsid w:val="007B6C4C"/>
    <w:rsid w:val="007C1B6D"/>
    <w:rsid w:val="007C3B2D"/>
    <w:rsid w:val="007D6473"/>
    <w:rsid w:val="007D72F3"/>
    <w:rsid w:val="007E25D3"/>
    <w:rsid w:val="007E4099"/>
    <w:rsid w:val="007E6BFD"/>
    <w:rsid w:val="007F3FD6"/>
    <w:rsid w:val="007F5F7F"/>
    <w:rsid w:val="008010D5"/>
    <w:rsid w:val="00801255"/>
    <w:rsid w:val="008059A7"/>
    <w:rsid w:val="00821BD5"/>
    <w:rsid w:val="008252ED"/>
    <w:rsid w:val="00827BF5"/>
    <w:rsid w:val="0083538C"/>
    <w:rsid w:val="00835969"/>
    <w:rsid w:val="00837190"/>
    <w:rsid w:val="0084228F"/>
    <w:rsid w:val="00842557"/>
    <w:rsid w:val="008426C0"/>
    <w:rsid w:val="0084471A"/>
    <w:rsid w:val="00850F29"/>
    <w:rsid w:val="00851737"/>
    <w:rsid w:val="00853649"/>
    <w:rsid w:val="008600B3"/>
    <w:rsid w:val="00860AD0"/>
    <w:rsid w:val="0086197D"/>
    <w:rsid w:val="00862694"/>
    <w:rsid w:val="00862ABF"/>
    <w:rsid w:val="0086479F"/>
    <w:rsid w:val="00865B9E"/>
    <w:rsid w:val="00866AE4"/>
    <w:rsid w:val="00873CC4"/>
    <w:rsid w:val="00873EFA"/>
    <w:rsid w:val="00874E22"/>
    <w:rsid w:val="00874F37"/>
    <w:rsid w:val="0087505E"/>
    <w:rsid w:val="00882D90"/>
    <w:rsid w:val="00892FDB"/>
    <w:rsid w:val="0089431C"/>
    <w:rsid w:val="008974B1"/>
    <w:rsid w:val="00897D25"/>
    <w:rsid w:val="008A2070"/>
    <w:rsid w:val="008A4BE1"/>
    <w:rsid w:val="008A5750"/>
    <w:rsid w:val="008A57BB"/>
    <w:rsid w:val="008A72D0"/>
    <w:rsid w:val="008B0495"/>
    <w:rsid w:val="008B0496"/>
    <w:rsid w:val="008B4151"/>
    <w:rsid w:val="008B50F2"/>
    <w:rsid w:val="008C1FE4"/>
    <w:rsid w:val="008D2E80"/>
    <w:rsid w:val="008D3874"/>
    <w:rsid w:val="008E12F6"/>
    <w:rsid w:val="008E35DD"/>
    <w:rsid w:val="008E53BA"/>
    <w:rsid w:val="008E7613"/>
    <w:rsid w:val="008F2E2C"/>
    <w:rsid w:val="008F52B0"/>
    <w:rsid w:val="008F556F"/>
    <w:rsid w:val="00906178"/>
    <w:rsid w:val="0092041E"/>
    <w:rsid w:val="00922C22"/>
    <w:rsid w:val="009255DB"/>
    <w:rsid w:val="0092564C"/>
    <w:rsid w:val="00934EBC"/>
    <w:rsid w:val="00935137"/>
    <w:rsid w:val="00937A0B"/>
    <w:rsid w:val="009405C1"/>
    <w:rsid w:val="00940E85"/>
    <w:rsid w:val="009414A4"/>
    <w:rsid w:val="00941D2F"/>
    <w:rsid w:val="0094386D"/>
    <w:rsid w:val="009443DD"/>
    <w:rsid w:val="00944F26"/>
    <w:rsid w:val="00954AA0"/>
    <w:rsid w:val="009566B0"/>
    <w:rsid w:val="0096273B"/>
    <w:rsid w:val="009639F5"/>
    <w:rsid w:val="00963CC4"/>
    <w:rsid w:val="00967ACC"/>
    <w:rsid w:val="00970007"/>
    <w:rsid w:val="00970A01"/>
    <w:rsid w:val="00972800"/>
    <w:rsid w:val="00974B57"/>
    <w:rsid w:val="0097646A"/>
    <w:rsid w:val="00997033"/>
    <w:rsid w:val="009A1267"/>
    <w:rsid w:val="009A12BF"/>
    <w:rsid w:val="009A4F17"/>
    <w:rsid w:val="009A6565"/>
    <w:rsid w:val="009A7EEC"/>
    <w:rsid w:val="009B67DB"/>
    <w:rsid w:val="009B7B00"/>
    <w:rsid w:val="009C2167"/>
    <w:rsid w:val="009C2F91"/>
    <w:rsid w:val="009C3525"/>
    <w:rsid w:val="009C6E32"/>
    <w:rsid w:val="009C7656"/>
    <w:rsid w:val="009D1F24"/>
    <w:rsid w:val="009D431D"/>
    <w:rsid w:val="009D75CE"/>
    <w:rsid w:val="009D7E1C"/>
    <w:rsid w:val="009E20D9"/>
    <w:rsid w:val="009E6231"/>
    <w:rsid w:val="009E6D91"/>
    <w:rsid w:val="009F2282"/>
    <w:rsid w:val="009F50C2"/>
    <w:rsid w:val="009F5191"/>
    <w:rsid w:val="009F5D99"/>
    <w:rsid w:val="00A0042A"/>
    <w:rsid w:val="00A02C96"/>
    <w:rsid w:val="00A04D1A"/>
    <w:rsid w:val="00A10697"/>
    <w:rsid w:val="00A118D4"/>
    <w:rsid w:val="00A15F9F"/>
    <w:rsid w:val="00A24A85"/>
    <w:rsid w:val="00A25ECB"/>
    <w:rsid w:val="00A26856"/>
    <w:rsid w:val="00A2715B"/>
    <w:rsid w:val="00A31ACB"/>
    <w:rsid w:val="00A35E0C"/>
    <w:rsid w:val="00A406D8"/>
    <w:rsid w:val="00A43149"/>
    <w:rsid w:val="00A45873"/>
    <w:rsid w:val="00A4644C"/>
    <w:rsid w:val="00A61DD4"/>
    <w:rsid w:val="00A65D52"/>
    <w:rsid w:val="00A73186"/>
    <w:rsid w:val="00A735EB"/>
    <w:rsid w:val="00A7697C"/>
    <w:rsid w:val="00A7789A"/>
    <w:rsid w:val="00A80C35"/>
    <w:rsid w:val="00A83702"/>
    <w:rsid w:val="00A83BDE"/>
    <w:rsid w:val="00A93F26"/>
    <w:rsid w:val="00A94402"/>
    <w:rsid w:val="00AB01B2"/>
    <w:rsid w:val="00AB1126"/>
    <w:rsid w:val="00AB1319"/>
    <w:rsid w:val="00AB19D0"/>
    <w:rsid w:val="00AB239B"/>
    <w:rsid w:val="00AC1FA6"/>
    <w:rsid w:val="00AC43A4"/>
    <w:rsid w:val="00AC59A8"/>
    <w:rsid w:val="00AD0C92"/>
    <w:rsid w:val="00AD1EF7"/>
    <w:rsid w:val="00AD40C4"/>
    <w:rsid w:val="00AD5091"/>
    <w:rsid w:val="00AD5D74"/>
    <w:rsid w:val="00AD6F94"/>
    <w:rsid w:val="00AE1279"/>
    <w:rsid w:val="00AE23B8"/>
    <w:rsid w:val="00AE24D6"/>
    <w:rsid w:val="00AE7E1B"/>
    <w:rsid w:val="00AF2CC8"/>
    <w:rsid w:val="00AF75EF"/>
    <w:rsid w:val="00AF7C07"/>
    <w:rsid w:val="00B04489"/>
    <w:rsid w:val="00B0536B"/>
    <w:rsid w:val="00B05645"/>
    <w:rsid w:val="00B10452"/>
    <w:rsid w:val="00B1739E"/>
    <w:rsid w:val="00B17D1F"/>
    <w:rsid w:val="00B17D60"/>
    <w:rsid w:val="00B24914"/>
    <w:rsid w:val="00B25A9F"/>
    <w:rsid w:val="00B26A52"/>
    <w:rsid w:val="00B30EF5"/>
    <w:rsid w:val="00B33226"/>
    <w:rsid w:val="00B33441"/>
    <w:rsid w:val="00B338F3"/>
    <w:rsid w:val="00B34C51"/>
    <w:rsid w:val="00B36F3F"/>
    <w:rsid w:val="00B40D09"/>
    <w:rsid w:val="00B40EE9"/>
    <w:rsid w:val="00B4188F"/>
    <w:rsid w:val="00B42358"/>
    <w:rsid w:val="00B42992"/>
    <w:rsid w:val="00B430B4"/>
    <w:rsid w:val="00B46206"/>
    <w:rsid w:val="00B468E7"/>
    <w:rsid w:val="00B551E3"/>
    <w:rsid w:val="00B5697D"/>
    <w:rsid w:val="00B56A26"/>
    <w:rsid w:val="00B60561"/>
    <w:rsid w:val="00B61039"/>
    <w:rsid w:val="00B62B4F"/>
    <w:rsid w:val="00B66E1A"/>
    <w:rsid w:val="00B67B6D"/>
    <w:rsid w:val="00B7065E"/>
    <w:rsid w:val="00B74642"/>
    <w:rsid w:val="00B7527E"/>
    <w:rsid w:val="00B825F6"/>
    <w:rsid w:val="00B86215"/>
    <w:rsid w:val="00B92584"/>
    <w:rsid w:val="00B938CF"/>
    <w:rsid w:val="00BA1631"/>
    <w:rsid w:val="00BA1E5B"/>
    <w:rsid w:val="00BA2706"/>
    <w:rsid w:val="00BC196D"/>
    <w:rsid w:val="00BD284B"/>
    <w:rsid w:val="00BD5E64"/>
    <w:rsid w:val="00BE16E9"/>
    <w:rsid w:val="00BE2F35"/>
    <w:rsid w:val="00BE7581"/>
    <w:rsid w:val="00BF0B05"/>
    <w:rsid w:val="00BF1771"/>
    <w:rsid w:val="00BF27F3"/>
    <w:rsid w:val="00BF3B76"/>
    <w:rsid w:val="00BF400A"/>
    <w:rsid w:val="00BF5C45"/>
    <w:rsid w:val="00BF6F50"/>
    <w:rsid w:val="00C03937"/>
    <w:rsid w:val="00C06A83"/>
    <w:rsid w:val="00C114F8"/>
    <w:rsid w:val="00C164D3"/>
    <w:rsid w:val="00C172E2"/>
    <w:rsid w:val="00C178C5"/>
    <w:rsid w:val="00C17AE3"/>
    <w:rsid w:val="00C22E5D"/>
    <w:rsid w:val="00C24AEF"/>
    <w:rsid w:val="00C2616F"/>
    <w:rsid w:val="00C268C9"/>
    <w:rsid w:val="00C335BF"/>
    <w:rsid w:val="00C4224B"/>
    <w:rsid w:val="00C4701A"/>
    <w:rsid w:val="00C477C6"/>
    <w:rsid w:val="00C47D8B"/>
    <w:rsid w:val="00C50D4E"/>
    <w:rsid w:val="00C5374B"/>
    <w:rsid w:val="00C6340F"/>
    <w:rsid w:val="00C64115"/>
    <w:rsid w:val="00C64806"/>
    <w:rsid w:val="00C6492A"/>
    <w:rsid w:val="00C64AF9"/>
    <w:rsid w:val="00C7047E"/>
    <w:rsid w:val="00C711C5"/>
    <w:rsid w:val="00C72838"/>
    <w:rsid w:val="00C75B2C"/>
    <w:rsid w:val="00C76339"/>
    <w:rsid w:val="00C807FA"/>
    <w:rsid w:val="00C9327F"/>
    <w:rsid w:val="00C93384"/>
    <w:rsid w:val="00C93F82"/>
    <w:rsid w:val="00C95616"/>
    <w:rsid w:val="00C968D5"/>
    <w:rsid w:val="00CA14D3"/>
    <w:rsid w:val="00CA5E08"/>
    <w:rsid w:val="00CB0AAB"/>
    <w:rsid w:val="00CB6643"/>
    <w:rsid w:val="00CC31F4"/>
    <w:rsid w:val="00CD1B6B"/>
    <w:rsid w:val="00CD1ECE"/>
    <w:rsid w:val="00CD7076"/>
    <w:rsid w:val="00CD76FD"/>
    <w:rsid w:val="00CE0643"/>
    <w:rsid w:val="00CE0EA0"/>
    <w:rsid w:val="00CE3A51"/>
    <w:rsid w:val="00CF2CC2"/>
    <w:rsid w:val="00CF2DAB"/>
    <w:rsid w:val="00CF48CD"/>
    <w:rsid w:val="00D0108A"/>
    <w:rsid w:val="00D0323C"/>
    <w:rsid w:val="00D07015"/>
    <w:rsid w:val="00D10597"/>
    <w:rsid w:val="00D11F27"/>
    <w:rsid w:val="00D13029"/>
    <w:rsid w:val="00D13364"/>
    <w:rsid w:val="00D15F5A"/>
    <w:rsid w:val="00D1772A"/>
    <w:rsid w:val="00D21026"/>
    <w:rsid w:val="00D212C4"/>
    <w:rsid w:val="00D249DD"/>
    <w:rsid w:val="00D24C37"/>
    <w:rsid w:val="00D26CFF"/>
    <w:rsid w:val="00D32A03"/>
    <w:rsid w:val="00D32A20"/>
    <w:rsid w:val="00D42A16"/>
    <w:rsid w:val="00D44712"/>
    <w:rsid w:val="00D46D65"/>
    <w:rsid w:val="00D624E3"/>
    <w:rsid w:val="00D64744"/>
    <w:rsid w:val="00D662E3"/>
    <w:rsid w:val="00D74DB2"/>
    <w:rsid w:val="00D820B4"/>
    <w:rsid w:val="00D85695"/>
    <w:rsid w:val="00D91096"/>
    <w:rsid w:val="00D93134"/>
    <w:rsid w:val="00D9514E"/>
    <w:rsid w:val="00DA52BB"/>
    <w:rsid w:val="00DB1531"/>
    <w:rsid w:val="00DB46EC"/>
    <w:rsid w:val="00DC3954"/>
    <w:rsid w:val="00DD017B"/>
    <w:rsid w:val="00DD1A15"/>
    <w:rsid w:val="00DD6C05"/>
    <w:rsid w:val="00DD6ECB"/>
    <w:rsid w:val="00DE03E4"/>
    <w:rsid w:val="00DE0736"/>
    <w:rsid w:val="00DE0A64"/>
    <w:rsid w:val="00DE2C6F"/>
    <w:rsid w:val="00DE3D1A"/>
    <w:rsid w:val="00DE5CBE"/>
    <w:rsid w:val="00DE6F71"/>
    <w:rsid w:val="00DF1D94"/>
    <w:rsid w:val="00DF4097"/>
    <w:rsid w:val="00DF7DD9"/>
    <w:rsid w:val="00E04467"/>
    <w:rsid w:val="00E077FE"/>
    <w:rsid w:val="00E12325"/>
    <w:rsid w:val="00E209C8"/>
    <w:rsid w:val="00E23527"/>
    <w:rsid w:val="00E23A6D"/>
    <w:rsid w:val="00E273DE"/>
    <w:rsid w:val="00E319DB"/>
    <w:rsid w:val="00E352D0"/>
    <w:rsid w:val="00E406D6"/>
    <w:rsid w:val="00E409C1"/>
    <w:rsid w:val="00E45065"/>
    <w:rsid w:val="00E46419"/>
    <w:rsid w:val="00E510CE"/>
    <w:rsid w:val="00E511DB"/>
    <w:rsid w:val="00E51431"/>
    <w:rsid w:val="00E53BED"/>
    <w:rsid w:val="00E54177"/>
    <w:rsid w:val="00E543F0"/>
    <w:rsid w:val="00E5741D"/>
    <w:rsid w:val="00E575B5"/>
    <w:rsid w:val="00E60F2B"/>
    <w:rsid w:val="00E6128D"/>
    <w:rsid w:val="00E62586"/>
    <w:rsid w:val="00E62A0E"/>
    <w:rsid w:val="00E65F9C"/>
    <w:rsid w:val="00E679C0"/>
    <w:rsid w:val="00E71613"/>
    <w:rsid w:val="00E73573"/>
    <w:rsid w:val="00E73C95"/>
    <w:rsid w:val="00E77944"/>
    <w:rsid w:val="00E9050D"/>
    <w:rsid w:val="00E90DA7"/>
    <w:rsid w:val="00E92338"/>
    <w:rsid w:val="00E927D0"/>
    <w:rsid w:val="00EA28B0"/>
    <w:rsid w:val="00EA2EBD"/>
    <w:rsid w:val="00EA3328"/>
    <w:rsid w:val="00EA4242"/>
    <w:rsid w:val="00EA531C"/>
    <w:rsid w:val="00EB14CC"/>
    <w:rsid w:val="00EB24FA"/>
    <w:rsid w:val="00EB2994"/>
    <w:rsid w:val="00EC2020"/>
    <w:rsid w:val="00EC45ED"/>
    <w:rsid w:val="00EC6710"/>
    <w:rsid w:val="00ED0219"/>
    <w:rsid w:val="00ED2D28"/>
    <w:rsid w:val="00ED38C9"/>
    <w:rsid w:val="00ED39E1"/>
    <w:rsid w:val="00ED411F"/>
    <w:rsid w:val="00ED438F"/>
    <w:rsid w:val="00ED61FE"/>
    <w:rsid w:val="00EE1252"/>
    <w:rsid w:val="00EE271C"/>
    <w:rsid w:val="00EE4603"/>
    <w:rsid w:val="00EE5149"/>
    <w:rsid w:val="00EE6EF2"/>
    <w:rsid w:val="00EE7033"/>
    <w:rsid w:val="00EF2D12"/>
    <w:rsid w:val="00EF6933"/>
    <w:rsid w:val="00F0197A"/>
    <w:rsid w:val="00F01CF9"/>
    <w:rsid w:val="00F022E9"/>
    <w:rsid w:val="00F02593"/>
    <w:rsid w:val="00F02A5B"/>
    <w:rsid w:val="00F02DE8"/>
    <w:rsid w:val="00F03E83"/>
    <w:rsid w:val="00F07FD5"/>
    <w:rsid w:val="00F1006B"/>
    <w:rsid w:val="00F1348E"/>
    <w:rsid w:val="00F15341"/>
    <w:rsid w:val="00F15A84"/>
    <w:rsid w:val="00F22BE9"/>
    <w:rsid w:val="00F23F9C"/>
    <w:rsid w:val="00F27921"/>
    <w:rsid w:val="00F34978"/>
    <w:rsid w:val="00F34A84"/>
    <w:rsid w:val="00F34AD2"/>
    <w:rsid w:val="00F451B8"/>
    <w:rsid w:val="00F461FB"/>
    <w:rsid w:val="00F46B01"/>
    <w:rsid w:val="00F51AA5"/>
    <w:rsid w:val="00F56823"/>
    <w:rsid w:val="00F64260"/>
    <w:rsid w:val="00F801D0"/>
    <w:rsid w:val="00F81601"/>
    <w:rsid w:val="00F8398F"/>
    <w:rsid w:val="00F85BA6"/>
    <w:rsid w:val="00F909C7"/>
    <w:rsid w:val="00F90B7C"/>
    <w:rsid w:val="00F94342"/>
    <w:rsid w:val="00F96F1C"/>
    <w:rsid w:val="00FA3765"/>
    <w:rsid w:val="00FA61DC"/>
    <w:rsid w:val="00FA7CAC"/>
    <w:rsid w:val="00FB242C"/>
    <w:rsid w:val="00FB2C68"/>
    <w:rsid w:val="00FB621F"/>
    <w:rsid w:val="00FB6DA1"/>
    <w:rsid w:val="00FB6E74"/>
    <w:rsid w:val="00FC3423"/>
    <w:rsid w:val="00FC49C0"/>
    <w:rsid w:val="00FC6CDF"/>
    <w:rsid w:val="00FD38D2"/>
    <w:rsid w:val="00FE09F1"/>
    <w:rsid w:val="00FF1318"/>
    <w:rsid w:val="00FF47A5"/>
    <w:rsid w:val="00FF6F61"/>
    <w:rsid w:val="00FF767C"/>
    <w:rsid w:val="00FF77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831E95"/>
  <w15:docId w15:val="{1B11203E-0374-42C9-B9E0-02A39D3BD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603"/>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4603"/>
  </w:style>
  <w:style w:type="paragraph" w:styleId="Footer">
    <w:name w:val="footer"/>
    <w:basedOn w:val="Normal"/>
    <w:link w:val="FooterChar"/>
    <w:uiPriority w:val="99"/>
    <w:unhideWhenUsed/>
    <w:rsid w:val="00EE4603"/>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4603"/>
  </w:style>
  <w:style w:type="paragraph" w:styleId="ListParagraph">
    <w:name w:val="List Paragraph"/>
    <w:basedOn w:val="Normal"/>
    <w:uiPriority w:val="34"/>
    <w:qFormat/>
    <w:rsid w:val="006E5914"/>
    <w:pPr>
      <w:ind w:left="720"/>
      <w:contextualSpacing/>
    </w:pPr>
  </w:style>
  <w:style w:type="character" w:styleId="Hyperlink">
    <w:name w:val="Hyperlink"/>
    <w:basedOn w:val="DefaultParagraphFont"/>
    <w:uiPriority w:val="99"/>
    <w:unhideWhenUsed/>
    <w:rsid w:val="005711B2"/>
    <w:rPr>
      <w:color w:val="0563C1" w:themeColor="hyperlink"/>
      <w:u w:val="single"/>
    </w:rPr>
  </w:style>
  <w:style w:type="character" w:customStyle="1" w:styleId="UnresolvedMention">
    <w:name w:val="Unresolved Mention"/>
    <w:basedOn w:val="DefaultParagraphFont"/>
    <w:uiPriority w:val="99"/>
    <w:semiHidden/>
    <w:unhideWhenUsed/>
    <w:rsid w:val="005711B2"/>
    <w:rPr>
      <w:color w:val="605E5C"/>
      <w:shd w:val="clear" w:color="auto" w:fill="E1DFDD"/>
    </w:rPr>
  </w:style>
  <w:style w:type="paragraph" w:styleId="NormalWeb">
    <w:name w:val="Normal (Web)"/>
    <w:basedOn w:val="Normal"/>
    <w:uiPriority w:val="99"/>
    <w:semiHidden/>
    <w:unhideWhenUsed/>
    <w:rsid w:val="00FA7CA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FollowedHyperlink">
    <w:name w:val="FollowedHyperlink"/>
    <w:basedOn w:val="DefaultParagraphFont"/>
    <w:uiPriority w:val="99"/>
    <w:semiHidden/>
    <w:unhideWhenUsed/>
    <w:rsid w:val="00D15F5A"/>
    <w:rPr>
      <w:color w:val="954F72" w:themeColor="followedHyperlink"/>
      <w:u w:val="single"/>
    </w:rPr>
  </w:style>
  <w:style w:type="paragraph" w:styleId="FootnoteText">
    <w:name w:val="footnote text"/>
    <w:basedOn w:val="Normal"/>
    <w:link w:val="FootnoteTextChar"/>
    <w:uiPriority w:val="99"/>
    <w:semiHidden/>
    <w:unhideWhenUsed/>
    <w:rsid w:val="00B605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0561"/>
    <w:rPr>
      <w:sz w:val="20"/>
      <w:szCs w:val="20"/>
    </w:rPr>
  </w:style>
  <w:style w:type="character" w:styleId="FootnoteReference">
    <w:name w:val="footnote reference"/>
    <w:aliases w:val="16 Point,Superscript 6 Point,Footnote Reference.SES,Ref,de nota al pie,Appel note de bas de page,Texto de nota al pie,Ref. de nota al pie.,Footnotes refss,Footnote number,referencia nota al pie,BVI fnr,4_G,Texto nota al pie, BVI fnr"/>
    <w:basedOn w:val="DefaultParagraphFont"/>
    <w:uiPriority w:val="99"/>
    <w:unhideWhenUsed/>
    <w:qFormat/>
    <w:rsid w:val="00B60561"/>
    <w:rPr>
      <w:vertAlign w:val="superscript"/>
    </w:rPr>
  </w:style>
  <w:style w:type="table" w:styleId="TableGrid">
    <w:name w:val="Table Grid"/>
    <w:basedOn w:val="TableNormal"/>
    <w:uiPriority w:val="39"/>
    <w:rsid w:val="007F5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7808">
      <w:bodyDiv w:val="1"/>
      <w:marLeft w:val="0"/>
      <w:marRight w:val="0"/>
      <w:marTop w:val="0"/>
      <w:marBottom w:val="0"/>
      <w:divBdr>
        <w:top w:val="none" w:sz="0" w:space="0" w:color="auto"/>
        <w:left w:val="none" w:sz="0" w:space="0" w:color="auto"/>
        <w:bottom w:val="none" w:sz="0" w:space="0" w:color="auto"/>
        <w:right w:val="none" w:sz="0" w:space="0" w:color="auto"/>
      </w:divBdr>
      <w:divsChild>
        <w:div w:id="2089038268">
          <w:marLeft w:val="0"/>
          <w:marRight w:val="0"/>
          <w:marTop w:val="0"/>
          <w:marBottom w:val="0"/>
          <w:divBdr>
            <w:top w:val="none" w:sz="0" w:space="0" w:color="auto"/>
            <w:left w:val="none" w:sz="0" w:space="0" w:color="auto"/>
            <w:bottom w:val="none" w:sz="0" w:space="0" w:color="auto"/>
            <w:right w:val="none" w:sz="0" w:space="0" w:color="auto"/>
          </w:divBdr>
        </w:div>
      </w:divsChild>
    </w:div>
    <w:div w:id="28918559">
      <w:bodyDiv w:val="1"/>
      <w:marLeft w:val="0"/>
      <w:marRight w:val="0"/>
      <w:marTop w:val="0"/>
      <w:marBottom w:val="0"/>
      <w:divBdr>
        <w:top w:val="none" w:sz="0" w:space="0" w:color="auto"/>
        <w:left w:val="none" w:sz="0" w:space="0" w:color="auto"/>
        <w:bottom w:val="none" w:sz="0" w:space="0" w:color="auto"/>
        <w:right w:val="none" w:sz="0" w:space="0" w:color="auto"/>
      </w:divBdr>
      <w:divsChild>
        <w:div w:id="2011718566">
          <w:marLeft w:val="0"/>
          <w:marRight w:val="0"/>
          <w:marTop w:val="0"/>
          <w:marBottom w:val="0"/>
          <w:divBdr>
            <w:top w:val="none" w:sz="0" w:space="0" w:color="auto"/>
            <w:left w:val="none" w:sz="0" w:space="0" w:color="auto"/>
            <w:bottom w:val="none" w:sz="0" w:space="0" w:color="auto"/>
            <w:right w:val="none" w:sz="0" w:space="0" w:color="auto"/>
          </w:divBdr>
        </w:div>
      </w:divsChild>
    </w:div>
    <w:div w:id="45378763">
      <w:bodyDiv w:val="1"/>
      <w:marLeft w:val="0"/>
      <w:marRight w:val="0"/>
      <w:marTop w:val="0"/>
      <w:marBottom w:val="0"/>
      <w:divBdr>
        <w:top w:val="none" w:sz="0" w:space="0" w:color="auto"/>
        <w:left w:val="none" w:sz="0" w:space="0" w:color="auto"/>
        <w:bottom w:val="none" w:sz="0" w:space="0" w:color="auto"/>
        <w:right w:val="none" w:sz="0" w:space="0" w:color="auto"/>
      </w:divBdr>
      <w:divsChild>
        <w:div w:id="2001689223">
          <w:marLeft w:val="0"/>
          <w:marRight w:val="0"/>
          <w:marTop w:val="0"/>
          <w:marBottom w:val="0"/>
          <w:divBdr>
            <w:top w:val="none" w:sz="0" w:space="0" w:color="auto"/>
            <w:left w:val="none" w:sz="0" w:space="0" w:color="auto"/>
            <w:bottom w:val="none" w:sz="0" w:space="0" w:color="auto"/>
            <w:right w:val="none" w:sz="0" w:space="0" w:color="auto"/>
          </w:divBdr>
        </w:div>
      </w:divsChild>
    </w:div>
    <w:div w:id="94639487">
      <w:bodyDiv w:val="1"/>
      <w:marLeft w:val="0"/>
      <w:marRight w:val="0"/>
      <w:marTop w:val="0"/>
      <w:marBottom w:val="0"/>
      <w:divBdr>
        <w:top w:val="none" w:sz="0" w:space="0" w:color="auto"/>
        <w:left w:val="none" w:sz="0" w:space="0" w:color="auto"/>
        <w:bottom w:val="none" w:sz="0" w:space="0" w:color="auto"/>
        <w:right w:val="none" w:sz="0" w:space="0" w:color="auto"/>
      </w:divBdr>
      <w:divsChild>
        <w:div w:id="2025016205">
          <w:marLeft w:val="0"/>
          <w:marRight w:val="0"/>
          <w:marTop w:val="0"/>
          <w:marBottom w:val="0"/>
          <w:divBdr>
            <w:top w:val="none" w:sz="0" w:space="0" w:color="auto"/>
            <w:left w:val="none" w:sz="0" w:space="0" w:color="auto"/>
            <w:bottom w:val="none" w:sz="0" w:space="0" w:color="auto"/>
            <w:right w:val="none" w:sz="0" w:space="0" w:color="auto"/>
          </w:divBdr>
        </w:div>
      </w:divsChild>
    </w:div>
    <w:div w:id="132452676">
      <w:bodyDiv w:val="1"/>
      <w:marLeft w:val="0"/>
      <w:marRight w:val="0"/>
      <w:marTop w:val="0"/>
      <w:marBottom w:val="0"/>
      <w:divBdr>
        <w:top w:val="none" w:sz="0" w:space="0" w:color="auto"/>
        <w:left w:val="none" w:sz="0" w:space="0" w:color="auto"/>
        <w:bottom w:val="none" w:sz="0" w:space="0" w:color="auto"/>
        <w:right w:val="none" w:sz="0" w:space="0" w:color="auto"/>
      </w:divBdr>
      <w:divsChild>
        <w:div w:id="1184128150">
          <w:marLeft w:val="0"/>
          <w:marRight w:val="0"/>
          <w:marTop w:val="0"/>
          <w:marBottom w:val="0"/>
          <w:divBdr>
            <w:top w:val="none" w:sz="0" w:space="0" w:color="auto"/>
            <w:left w:val="none" w:sz="0" w:space="0" w:color="auto"/>
            <w:bottom w:val="none" w:sz="0" w:space="0" w:color="auto"/>
            <w:right w:val="none" w:sz="0" w:space="0" w:color="auto"/>
          </w:divBdr>
        </w:div>
      </w:divsChild>
    </w:div>
    <w:div w:id="140540415">
      <w:bodyDiv w:val="1"/>
      <w:marLeft w:val="0"/>
      <w:marRight w:val="0"/>
      <w:marTop w:val="0"/>
      <w:marBottom w:val="0"/>
      <w:divBdr>
        <w:top w:val="none" w:sz="0" w:space="0" w:color="auto"/>
        <w:left w:val="none" w:sz="0" w:space="0" w:color="auto"/>
        <w:bottom w:val="none" w:sz="0" w:space="0" w:color="auto"/>
        <w:right w:val="none" w:sz="0" w:space="0" w:color="auto"/>
      </w:divBdr>
      <w:divsChild>
        <w:div w:id="1020425171">
          <w:marLeft w:val="0"/>
          <w:marRight w:val="0"/>
          <w:marTop w:val="0"/>
          <w:marBottom w:val="0"/>
          <w:divBdr>
            <w:top w:val="none" w:sz="0" w:space="0" w:color="auto"/>
            <w:left w:val="none" w:sz="0" w:space="0" w:color="auto"/>
            <w:bottom w:val="none" w:sz="0" w:space="0" w:color="auto"/>
            <w:right w:val="none" w:sz="0" w:space="0" w:color="auto"/>
          </w:divBdr>
        </w:div>
      </w:divsChild>
    </w:div>
    <w:div w:id="159084195">
      <w:bodyDiv w:val="1"/>
      <w:marLeft w:val="0"/>
      <w:marRight w:val="0"/>
      <w:marTop w:val="0"/>
      <w:marBottom w:val="0"/>
      <w:divBdr>
        <w:top w:val="none" w:sz="0" w:space="0" w:color="auto"/>
        <w:left w:val="none" w:sz="0" w:space="0" w:color="auto"/>
        <w:bottom w:val="none" w:sz="0" w:space="0" w:color="auto"/>
        <w:right w:val="none" w:sz="0" w:space="0" w:color="auto"/>
      </w:divBdr>
      <w:divsChild>
        <w:div w:id="657347316">
          <w:marLeft w:val="0"/>
          <w:marRight w:val="0"/>
          <w:marTop w:val="0"/>
          <w:marBottom w:val="0"/>
          <w:divBdr>
            <w:top w:val="none" w:sz="0" w:space="0" w:color="auto"/>
            <w:left w:val="none" w:sz="0" w:space="0" w:color="auto"/>
            <w:bottom w:val="none" w:sz="0" w:space="0" w:color="auto"/>
            <w:right w:val="none" w:sz="0" w:space="0" w:color="auto"/>
          </w:divBdr>
        </w:div>
      </w:divsChild>
    </w:div>
    <w:div w:id="241450684">
      <w:bodyDiv w:val="1"/>
      <w:marLeft w:val="0"/>
      <w:marRight w:val="0"/>
      <w:marTop w:val="0"/>
      <w:marBottom w:val="0"/>
      <w:divBdr>
        <w:top w:val="none" w:sz="0" w:space="0" w:color="auto"/>
        <w:left w:val="none" w:sz="0" w:space="0" w:color="auto"/>
        <w:bottom w:val="none" w:sz="0" w:space="0" w:color="auto"/>
        <w:right w:val="none" w:sz="0" w:space="0" w:color="auto"/>
      </w:divBdr>
      <w:divsChild>
        <w:div w:id="34281961">
          <w:marLeft w:val="0"/>
          <w:marRight w:val="0"/>
          <w:marTop w:val="0"/>
          <w:marBottom w:val="0"/>
          <w:divBdr>
            <w:top w:val="none" w:sz="0" w:space="0" w:color="auto"/>
            <w:left w:val="none" w:sz="0" w:space="0" w:color="auto"/>
            <w:bottom w:val="none" w:sz="0" w:space="0" w:color="auto"/>
            <w:right w:val="none" w:sz="0" w:space="0" w:color="auto"/>
          </w:divBdr>
        </w:div>
      </w:divsChild>
    </w:div>
    <w:div w:id="282154875">
      <w:bodyDiv w:val="1"/>
      <w:marLeft w:val="0"/>
      <w:marRight w:val="0"/>
      <w:marTop w:val="0"/>
      <w:marBottom w:val="0"/>
      <w:divBdr>
        <w:top w:val="none" w:sz="0" w:space="0" w:color="auto"/>
        <w:left w:val="none" w:sz="0" w:space="0" w:color="auto"/>
        <w:bottom w:val="none" w:sz="0" w:space="0" w:color="auto"/>
        <w:right w:val="none" w:sz="0" w:space="0" w:color="auto"/>
      </w:divBdr>
      <w:divsChild>
        <w:div w:id="1653288380">
          <w:marLeft w:val="0"/>
          <w:marRight w:val="0"/>
          <w:marTop w:val="0"/>
          <w:marBottom w:val="0"/>
          <w:divBdr>
            <w:top w:val="none" w:sz="0" w:space="0" w:color="auto"/>
            <w:left w:val="none" w:sz="0" w:space="0" w:color="auto"/>
            <w:bottom w:val="none" w:sz="0" w:space="0" w:color="auto"/>
            <w:right w:val="none" w:sz="0" w:space="0" w:color="auto"/>
          </w:divBdr>
        </w:div>
      </w:divsChild>
    </w:div>
    <w:div w:id="296424073">
      <w:bodyDiv w:val="1"/>
      <w:marLeft w:val="0"/>
      <w:marRight w:val="0"/>
      <w:marTop w:val="0"/>
      <w:marBottom w:val="0"/>
      <w:divBdr>
        <w:top w:val="none" w:sz="0" w:space="0" w:color="auto"/>
        <w:left w:val="none" w:sz="0" w:space="0" w:color="auto"/>
        <w:bottom w:val="none" w:sz="0" w:space="0" w:color="auto"/>
        <w:right w:val="none" w:sz="0" w:space="0" w:color="auto"/>
      </w:divBdr>
      <w:divsChild>
        <w:div w:id="1627927132">
          <w:marLeft w:val="0"/>
          <w:marRight w:val="0"/>
          <w:marTop w:val="0"/>
          <w:marBottom w:val="0"/>
          <w:divBdr>
            <w:top w:val="none" w:sz="0" w:space="0" w:color="auto"/>
            <w:left w:val="none" w:sz="0" w:space="0" w:color="auto"/>
            <w:bottom w:val="none" w:sz="0" w:space="0" w:color="auto"/>
            <w:right w:val="none" w:sz="0" w:space="0" w:color="auto"/>
          </w:divBdr>
        </w:div>
      </w:divsChild>
    </w:div>
    <w:div w:id="380522887">
      <w:bodyDiv w:val="1"/>
      <w:marLeft w:val="0"/>
      <w:marRight w:val="0"/>
      <w:marTop w:val="0"/>
      <w:marBottom w:val="0"/>
      <w:divBdr>
        <w:top w:val="none" w:sz="0" w:space="0" w:color="auto"/>
        <w:left w:val="none" w:sz="0" w:space="0" w:color="auto"/>
        <w:bottom w:val="none" w:sz="0" w:space="0" w:color="auto"/>
        <w:right w:val="none" w:sz="0" w:space="0" w:color="auto"/>
      </w:divBdr>
      <w:divsChild>
        <w:div w:id="406732995">
          <w:marLeft w:val="0"/>
          <w:marRight w:val="0"/>
          <w:marTop w:val="0"/>
          <w:marBottom w:val="0"/>
          <w:divBdr>
            <w:top w:val="none" w:sz="0" w:space="0" w:color="auto"/>
            <w:left w:val="none" w:sz="0" w:space="0" w:color="auto"/>
            <w:bottom w:val="none" w:sz="0" w:space="0" w:color="auto"/>
            <w:right w:val="none" w:sz="0" w:space="0" w:color="auto"/>
          </w:divBdr>
        </w:div>
      </w:divsChild>
    </w:div>
    <w:div w:id="420101809">
      <w:bodyDiv w:val="1"/>
      <w:marLeft w:val="0"/>
      <w:marRight w:val="0"/>
      <w:marTop w:val="0"/>
      <w:marBottom w:val="0"/>
      <w:divBdr>
        <w:top w:val="none" w:sz="0" w:space="0" w:color="auto"/>
        <w:left w:val="none" w:sz="0" w:space="0" w:color="auto"/>
        <w:bottom w:val="none" w:sz="0" w:space="0" w:color="auto"/>
        <w:right w:val="none" w:sz="0" w:space="0" w:color="auto"/>
      </w:divBdr>
      <w:divsChild>
        <w:div w:id="1751544070">
          <w:marLeft w:val="0"/>
          <w:marRight w:val="0"/>
          <w:marTop w:val="0"/>
          <w:marBottom w:val="0"/>
          <w:divBdr>
            <w:top w:val="none" w:sz="0" w:space="0" w:color="auto"/>
            <w:left w:val="none" w:sz="0" w:space="0" w:color="auto"/>
            <w:bottom w:val="none" w:sz="0" w:space="0" w:color="auto"/>
            <w:right w:val="none" w:sz="0" w:space="0" w:color="auto"/>
          </w:divBdr>
        </w:div>
      </w:divsChild>
    </w:div>
    <w:div w:id="442848151">
      <w:bodyDiv w:val="1"/>
      <w:marLeft w:val="0"/>
      <w:marRight w:val="0"/>
      <w:marTop w:val="0"/>
      <w:marBottom w:val="0"/>
      <w:divBdr>
        <w:top w:val="none" w:sz="0" w:space="0" w:color="auto"/>
        <w:left w:val="none" w:sz="0" w:space="0" w:color="auto"/>
        <w:bottom w:val="none" w:sz="0" w:space="0" w:color="auto"/>
        <w:right w:val="none" w:sz="0" w:space="0" w:color="auto"/>
      </w:divBdr>
      <w:divsChild>
        <w:div w:id="456602388">
          <w:marLeft w:val="0"/>
          <w:marRight w:val="0"/>
          <w:marTop w:val="0"/>
          <w:marBottom w:val="0"/>
          <w:divBdr>
            <w:top w:val="none" w:sz="0" w:space="0" w:color="auto"/>
            <w:left w:val="none" w:sz="0" w:space="0" w:color="auto"/>
            <w:bottom w:val="none" w:sz="0" w:space="0" w:color="auto"/>
            <w:right w:val="none" w:sz="0" w:space="0" w:color="auto"/>
          </w:divBdr>
        </w:div>
      </w:divsChild>
    </w:div>
    <w:div w:id="474447514">
      <w:bodyDiv w:val="1"/>
      <w:marLeft w:val="0"/>
      <w:marRight w:val="0"/>
      <w:marTop w:val="0"/>
      <w:marBottom w:val="0"/>
      <w:divBdr>
        <w:top w:val="none" w:sz="0" w:space="0" w:color="auto"/>
        <w:left w:val="none" w:sz="0" w:space="0" w:color="auto"/>
        <w:bottom w:val="none" w:sz="0" w:space="0" w:color="auto"/>
        <w:right w:val="none" w:sz="0" w:space="0" w:color="auto"/>
      </w:divBdr>
      <w:divsChild>
        <w:div w:id="675614148">
          <w:marLeft w:val="0"/>
          <w:marRight w:val="0"/>
          <w:marTop w:val="0"/>
          <w:marBottom w:val="0"/>
          <w:divBdr>
            <w:top w:val="none" w:sz="0" w:space="0" w:color="auto"/>
            <w:left w:val="none" w:sz="0" w:space="0" w:color="auto"/>
            <w:bottom w:val="none" w:sz="0" w:space="0" w:color="auto"/>
            <w:right w:val="none" w:sz="0" w:space="0" w:color="auto"/>
          </w:divBdr>
        </w:div>
      </w:divsChild>
    </w:div>
    <w:div w:id="479230472">
      <w:bodyDiv w:val="1"/>
      <w:marLeft w:val="0"/>
      <w:marRight w:val="0"/>
      <w:marTop w:val="0"/>
      <w:marBottom w:val="0"/>
      <w:divBdr>
        <w:top w:val="none" w:sz="0" w:space="0" w:color="auto"/>
        <w:left w:val="none" w:sz="0" w:space="0" w:color="auto"/>
        <w:bottom w:val="none" w:sz="0" w:space="0" w:color="auto"/>
        <w:right w:val="none" w:sz="0" w:space="0" w:color="auto"/>
      </w:divBdr>
      <w:divsChild>
        <w:div w:id="981009542">
          <w:marLeft w:val="0"/>
          <w:marRight w:val="0"/>
          <w:marTop w:val="0"/>
          <w:marBottom w:val="0"/>
          <w:divBdr>
            <w:top w:val="none" w:sz="0" w:space="0" w:color="auto"/>
            <w:left w:val="none" w:sz="0" w:space="0" w:color="auto"/>
            <w:bottom w:val="none" w:sz="0" w:space="0" w:color="auto"/>
            <w:right w:val="none" w:sz="0" w:space="0" w:color="auto"/>
          </w:divBdr>
        </w:div>
      </w:divsChild>
    </w:div>
    <w:div w:id="488599550">
      <w:bodyDiv w:val="1"/>
      <w:marLeft w:val="0"/>
      <w:marRight w:val="0"/>
      <w:marTop w:val="0"/>
      <w:marBottom w:val="0"/>
      <w:divBdr>
        <w:top w:val="none" w:sz="0" w:space="0" w:color="auto"/>
        <w:left w:val="none" w:sz="0" w:space="0" w:color="auto"/>
        <w:bottom w:val="none" w:sz="0" w:space="0" w:color="auto"/>
        <w:right w:val="none" w:sz="0" w:space="0" w:color="auto"/>
      </w:divBdr>
      <w:divsChild>
        <w:div w:id="2085760901">
          <w:marLeft w:val="0"/>
          <w:marRight w:val="0"/>
          <w:marTop w:val="0"/>
          <w:marBottom w:val="0"/>
          <w:divBdr>
            <w:top w:val="none" w:sz="0" w:space="0" w:color="auto"/>
            <w:left w:val="none" w:sz="0" w:space="0" w:color="auto"/>
            <w:bottom w:val="none" w:sz="0" w:space="0" w:color="auto"/>
            <w:right w:val="none" w:sz="0" w:space="0" w:color="auto"/>
          </w:divBdr>
        </w:div>
      </w:divsChild>
    </w:div>
    <w:div w:id="557790646">
      <w:bodyDiv w:val="1"/>
      <w:marLeft w:val="0"/>
      <w:marRight w:val="0"/>
      <w:marTop w:val="0"/>
      <w:marBottom w:val="0"/>
      <w:divBdr>
        <w:top w:val="none" w:sz="0" w:space="0" w:color="auto"/>
        <w:left w:val="none" w:sz="0" w:space="0" w:color="auto"/>
        <w:bottom w:val="none" w:sz="0" w:space="0" w:color="auto"/>
        <w:right w:val="none" w:sz="0" w:space="0" w:color="auto"/>
      </w:divBdr>
      <w:divsChild>
        <w:div w:id="1244990052">
          <w:marLeft w:val="0"/>
          <w:marRight w:val="0"/>
          <w:marTop w:val="0"/>
          <w:marBottom w:val="0"/>
          <w:divBdr>
            <w:top w:val="none" w:sz="0" w:space="0" w:color="auto"/>
            <w:left w:val="none" w:sz="0" w:space="0" w:color="auto"/>
            <w:bottom w:val="none" w:sz="0" w:space="0" w:color="auto"/>
            <w:right w:val="none" w:sz="0" w:space="0" w:color="auto"/>
          </w:divBdr>
        </w:div>
      </w:divsChild>
    </w:div>
    <w:div w:id="568538637">
      <w:bodyDiv w:val="1"/>
      <w:marLeft w:val="0"/>
      <w:marRight w:val="0"/>
      <w:marTop w:val="0"/>
      <w:marBottom w:val="0"/>
      <w:divBdr>
        <w:top w:val="none" w:sz="0" w:space="0" w:color="auto"/>
        <w:left w:val="none" w:sz="0" w:space="0" w:color="auto"/>
        <w:bottom w:val="none" w:sz="0" w:space="0" w:color="auto"/>
        <w:right w:val="none" w:sz="0" w:space="0" w:color="auto"/>
      </w:divBdr>
      <w:divsChild>
        <w:div w:id="194124179">
          <w:marLeft w:val="0"/>
          <w:marRight w:val="0"/>
          <w:marTop w:val="0"/>
          <w:marBottom w:val="0"/>
          <w:divBdr>
            <w:top w:val="none" w:sz="0" w:space="0" w:color="auto"/>
            <w:left w:val="none" w:sz="0" w:space="0" w:color="auto"/>
            <w:bottom w:val="none" w:sz="0" w:space="0" w:color="auto"/>
            <w:right w:val="none" w:sz="0" w:space="0" w:color="auto"/>
          </w:divBdr>
        </w:div>
      </w:divsChild>
    </w:div>
    <w:div w:id="605423251">
      <w:bodyDiv w:val="1"/>
      <w:marLeft w:val="0"/>
      <w:marRight w:val="0"/>
      <w:marTop w:val="0"/>
      <w:marBottom w:val="0"/>
      <w:divBdr>
        <w:top w:val="none" w:sz="0" w:space="0" w:color="auto"/>
        <w:left w:val="none" w:sz="0" w:space="0" w:color="auto"/>
        <w:bottom w:val="none" w:sz="0" w:space="0" w:color="auto"/>
        <w:right w:val="none" w:sz="0" w:space="0" w:color="auto"/>
      </w:divBdr>
      <w:divsChild>
        <w:div w:id="258098365">
          <w:marLeft w:val="0"/>
          <w:marRight w:val="0"/>
          <w:marTop w:val="0"/>
          <w:marBottom w:val="0"/>
          <w:divBdr>
            <w:top w:val="none" w:sz="0" w:space="0" w:color="auto"/>
            <w:left w:val="none" w:sz="0" w:space="0" w:color="auto"/>
            <w:bottom w:val="none" w:sz="0" w:space="0" w:color="auto"/>
            <w:right w:val="none" w:sz="0" w:space="0" w:color="auto"/>
          </w:divBdr>
        </w:div>
      </w:divsChild>
    </w:div>
    <w:div w:id="642395656">
      <w:bodyDiv w:val="1"/>
      <w:marLeft w:val="0"/>
      <w:marRight w:val="0"/>
      <w:marTop w:val="0"/>
      <w:marBottom w:val="0"/>
      <w:divBdr>
        <w:top w:val="none" w:sz="0" w:space="0" w:color="auto"/>
        <w:left w:val="none" w:sz="0" w:space="0" w:color="auto"/>
        <w:bottom w:val="none" w:sz="0" w:space="0" w:color="auto"/>
        <w:right w:val="none" w:sz="0" w:space="0" w:color="auto"/>
      </w:divBdr>
      <w:divsChild>
        <w:div w:id="294990008">
          <w:marLeft w:val="0"/>
          <w:marRight w:val="0"/>
          <w:marTop w:val="0"/>
          <w:marBottom w:val="0"/>
          <w:divBdr>
            <w:top w:val="none" w:sz="0" w:space="0" w:color="auto"/>
            <w:left w:val="none" w:sz="0" w:space="0" w:color="auto"/>
            <w:bottom w:val="none" w:sz="0" w:space="0" w:color="auto"/>
            <w:right w:val="none" w:sz="0" w:space="0" w:color="auto"/>
          </w:divBdr>
        </w:div>
      </w:divsChild>
    </w:div>
    <w:div w:id="661664389">
      <w:bodyDiv w:val="1"/>
      <w:marLeft w:val="0"/>
      <w:marRight w:val="0"/>
      <w:marTop w:val="0"/>
      <w:marBottom w:val="0"/>
      <w:divBdr>
        <w:top w:val="none" w:sz="0" w:space="0" w:color="auto"/>
        <w:left w:val="none" w:sz="0" w:space="0" w:color="auto"/>
        <w:bottom w:val="none" w:sz="0" w:space="0" w:color="auto"/>
        <w:right w:val="none" w:sz="0" w:space="0" w:color="auto"/>
      </w:divBdr>
      <w:divsChild>
        <w:div w:id="2145461578">
          <w:marLeft w:val="0"/>
          <w:marRight w:val="0"/>
          <w:marTop w:val="0"/>
          <w:marBottom w:val="0"/>
          <w:divBdr>
            <w:top w:val="none" w:sz="0" w:space="0" w:color="auto"/>
            <w:left w:val="none" w:sz="0" w:space="0" w:color="auto"/>
            <w:bottom w:val="none" w:sz="0" w:space="0" w:color="auto"/>
            <w:right w:val="none" w:sz="0" w:space="0" w:color="auto"/>
          </w:divBdr>
        </w:div>
      </w:divsChild>
    </w:div>
    <w:div w:id="802845657">
      <w:bodyDiv w:val="1"/>
      <w:marLeft w:val="0"/>
      <w:marRight w:val="0"/>
      <w:marTop w:val="0"/>
      <w:marBottom w:val="0"/>
      <w:divBdr>
        <w:top w:val="none" w:sz="0" w:space="0" w:color="auto"/>
        <w:left w:val="none" w:sz="0" w:space="0" w:color="auto"/>
        <w:bottom w:val="none" w:sz="0" w:space="0" w:color="auto"/>
        <w:right w:val="none" w:sz="0" w:space="0" w:color="auto"/>
      </w:divBdr>
      <w:divsChild>
        <w:div w:id="744254943">
          <w:marLeft w:val="0"/>
          <w:marRight w:val="0"/>
          <w:marTop w:val="0"/>
          <w:marBottom w:val="0"/>
          <w:divBdr>
            <w:top w:val="none" w:sz="0" w:space="0" w:color="auto"/>
            <w:left w:val="none" w:sz="0" w:space="0" w:color="auto"/>
            <w:bottom w:val="none" w:sz="0" w:space="0" w:color="auto"/>
            <w:right w:val="none" w:sz="0" w:space="0" w:color="auto"/>
          </w:divBdr>
        </w:div>
      </w:divsChild>
    </w:div>
    <w:div w:id="855996441">
      <w:bodyDiv w:val="1"/>
      <w:marLeft w:val="0"/>
      <w:marRight w:val="0"/>
      <w:marTop w:val="0"/>
      <w:marBottom w:val="0"/>
      <w:divBdr>
        <w:top w:val="none" w:sz="0" w:space="0" w:color="auto"/>
        <w:left w:val="none" w:sz="0" w:space="0" w:color="auto"/>
        <w:bottom w:val="none" w:sz="0" w:space="0" w:color="auto"/>
        <w:right w:val="none" w:sz="0" w:space="0" w:color="auto"/>
      </w:divBdr>
      <w:divsChild>
        <w:div w:id="1159687083">
          <w:marLeft w:val="0"/>
          <w:marRight w:val="0"/>
          <w:marTop w:val="0"/>
          <w:marBottom w:val="0"/>
          <w:divBdr>
            <w:top w:val="none" w:sz="0" w:space="0" w:color="auto"/>
            <w:left w:val="none" w:sz="0" w:space="0" w:color="auto"/>
            <w:bottom w:val="none" w:sz="0" w:space="0" w:color="auto"/>
            <w:right w:val="none" w:sz="0" w:space="0" w:color="auto"/>
          </w:divBdr>
        </w:div>
      </w:divsChild>
    </w:div>
    <w:div w:id="874661876">
      <w:bodyDiv w:val="1"/>
      <w:marLeft w:val="0"/>
      <w:marRight w:val="0"/>
      <w:marTop w:val="0"/>
      <w:marBottom w:val="0"/>
      <w:divBdr>
        <w:top w:val="none" w:sz="0" w:space="0" w:color="auto"/>
        <w:left w:val="none" w:sz="0" w:space="0" w:color="auto"/>
        <w:bottom w:val="none" w:sz="0" w:space="0" w:color="auto"/>
        <w:right w:val="none" w:sz="0" w:space="0" w:color="auto"/>
      </w:divBdr>
      <w:divsChild>
        <w:div w:id="1184830573">
          <w:marLeft w:val="0"/>
          <w:marRight w:val="0"/>
          <w:marTop w:val="0"/>
          <w:marBottom w:val="0"/>
          <w:divBdr>
            <w:top w:val="none" w:sz="0" w:space="0" w:color="auto"/>
            <w:left w:val="none" w:sz="0" w:space="0" w:color="auto"/>
            <w:bottom w:val="none" w:sz="0" w:space="0" w:color="auto"/>
            <w:right w:val="none" w:sz="0" w:space="0" w:color="auto"/>
          </w:divBdr>
        </w:div>
      </w:divsChild>
    </w:div>
    <w:div w:id="909123082">
      <w:bodyDiv w:val="1"/>
      <w:marLeft w:val="0"/>
      <w:marRight w:val="0"/>
      <w:marTop w:val="0"/>
      <w:marBottom w:val="0"/>
      <w:divBdr>
        <w:top w:val="none" w:sz="0" w:space="0" w:color="auto"/>
        <w:left w:val="none" w:sz="0" w:space="0" w:color="auto"/>
        <w:bottom w:val="none" w:sz="0" w:space="0" w:color="auto"/>
        <w:right w:val="none" w:sz="0" w:space="0" w:color="auto"/>
      </w:divBdr>
      <w:divsChild>
        <w:div w:id="378670409">
          <w:marLeft w:val="0"/>
          <w:marRight w:val="0"/>
          <w:marTop w:val="0"/>
          <w:marBottom w:val="0"/>
          <w:divBdr>
            <w:top w:val="none" w:sz="0" w:space="0" w:color="auto"/>
            <w:left w:val="none" w:sz="0" w:space="0" w:color="auto"/>
            <w:bottom w:val="none" w:sz="0" w:space="0" w:color="auto"/>
            <w:right w:val="none" w:sz="0" w:space="0" w:color="auto"/>
          </w:divBdr>
        </w:div>
      </w:divsChild>
    </w:div>
    <w:div w:id="973825174">
      <w:bodyDiv w:val="1"/>
      <w:marLeft w:val="0"/>
      <w:marRight w:val="0"/>
      <w:marTop w:val="0"/>
      <w:marBottom w:val="0"/>
      <w:divBdr>
        <w:top w:val="none" w:sz="0" w:space="0" w:color="auto"/>
        <w:left w:val="none" w:sz="0" w:space="0" w:color="auto"/>
        <w:bottom w:val="none" w:sz="0" w:space="0" w:color="auto"/>
        <w:right w:val="none" w:sz="0" w:space="0" w:color="auto"/>
      </w:divBdr>
      <w:divsChild>
        <w:div w:id="708533936">
          <w:marLeft w:val="0"/>
          <w:marRight w:val="0"/>
          <w:marTop w:val="0"/>
          <w:marBottom w:val="0"/>
          <w:divBdr>
            <w:top w:val="none" w:sz="0" w:space="0" w:color="auto"/>
            <w:left w:val="none" w:sz="0" w:space="0" w:color="auto"/>
            <w:bottom w:val="none" w:sz="0" w:space="0" w:color="auto"/>
            <w:right w:val="none" w:sz="0" w:space="0" w:color="auto"/>
          </w:divBdr>
        </w:div>
      </w:divsChild>
    </w:div>
    <w:div w:id="1010911275">
      <w:bodyDiv w:val="1"/>
      <w:marLeft w:val="0"/>
      <w:marRight w:val="0"/>
      <w:marTop w:val="0"/>
      <w:marBottom w:val="0"/>
      <w:divBdr>
        <w:top w:val="none" w:sz="0" w:space="0" w:color="auto"/>
        <w:left w:val="none" w:sz="0" w:space="0" w:color="auto"/>
        <w:bottom w:val="none" w:sz="0" w:space="0" w:color="auto"/>
        <w:right w:val="none" w:sz="0" w:space="0" w:color="auto"/>
      </w:divBdr>
      <w:divsChild>
        <w:div w:id="306083339">
          <w:marLeft w:val="0"/>
          <w:marRight w:val="0"/>
          <w:marTop w:val="0"/>
          <w:marBottom w:val="0"/>
          <w:divBdr>
            <w:top w:val="none" w:sz="0" w:space="0" w:color="auto"/>
            <w:left w:val="none" w:sz="0" w:space="0" w:color="auto"/>
            <w:bottom w:val="none" w:sz="0" w:space="0" w:color="auto"/>
            <w:right w:val="none" w:sz="0" w:space="0" w:color="auto"/>
          </w:divBdr>
        </w:div>
      </w:divsChild>
    </w:div>
    <w:div w:id="1027176773">
      <w:bodyDiv w:val="1"/>
      <w:marLeft w:val="0"/>
      <w:marRight w:val="0"/>
      <w:marTop w:val="0"/>
      <w:marBottom w:val="0"/>
      <w:divBdr>
        <w:top w:val="none" w:sz="0" w:space="0" w:color="auto"/>
        <w:left w:val="none" w:sz="0" w:space="0" w:color="auto"/>
        <w:bottom w:val="none" w:sz="0" w:space="0" w:color="auto"/>
        <w:right w:val="none" w:sz="0" w:space="0" w:color="auto"/>
      </w:divBdr>
      <w:divsChild>
        <w:div w:id="1475373455">
          <w:marLeft w:val="0"/>
          <w:marRight w:val="0"/>
          <w:marTop w:val="0"/>
          <w:marBottom w:val="0"/>
          <w:divBdr>
            <w:top w:val="none" w:sz="0" w:space="0" w:color="auto"/>
            <w:left w:val="none" w:sz="0" w:space="0" w:color="auto"/>
            <w:bottom w:val="none" w:sz="0" w:space="0" w:color="auto"/>
            <w:right w:val="none" w:sz="0" w:space="0" w:color="auto"/>
          </w:divBdr>
        </w:div>
      </w:divsChild>
    </w:div>
    <w:div w:id="1029837979">
      <w:bodyDiv w:val="1"/>
      <w:marLeft w:val="0"/>
      <w:marRight w:val="0"/>
      <w:marTop w:val="0"/>
      <w:marBottom w:val="0"/>
      <w:divBdr>
        <w:top w:val="none" w:sz="0" w:space="0" w:color="auto"/>
        <w:left w:val="none" w:sz="0" w:space="0" w:color="auto"/>
        <w:bottom w:val="none" w:sz="0" w:space="0" w:color="auto"/>
        <w:right w:val="none" w:sz="0" w:space="0" w:color="auto"/>
      </w:divBdr>
      <w:divsChild>
        <w:div w:id="762263634">
          <w:marLeft w:val="0"/>
          <w:marRight w:val="0"/>
          <w:marTop w:val="0"/>
          <w:marBottom w:val="0"/>
          <w:divBdr>
            <w:top w:val="none" w:sz="0" w:space="0" w:color="auto"/>
            <w:left w:val="none" w:sz="0" w:space="0" w:color="auto"/>
            <w:bottom w:val="none" w:sz="0" w:space="0" w:color="auto"/>
            <w:right w:val="none" w:sz="0" w:space="0" w:color="auto"/>
          </w:divBdr>
        </w:div>
      </w:divsChild>
    </w:div>
    <w:div w:id="1184398500">
      <w:bodyDiv w:val="1"/>
      <w:marLeft w:val="0"/>
      <w:marRight w:val="0"/>
      <w:marTop w:val="0"/>
      <w:marBottom w:val="0"/>
      <w:divBdr>
        <w:top w:val="none" w:sz="0" w:space="0" w:color="auto"/>
        <w:left w:val="none" w:sz="0" w:space="0" w:color="auto"/>
        <w:bottom w:val="none" w:sz="0" w:space="0" w:color="auto"/>
        <w:right w:val="none" w:sz="0" w:space="0" w:color="auto"/>
      </w:divBdr>
      <w:divsChild>
        <w:div w:id="954016992">
          <w:marLeft w:val="0"/>
          <w:marRight w:val="0"/>
          <w:marTop w:val="0"/>
          <w:marBottom w:val="0"/>
          <w:divBdr>
            <w:top w:val="none" w:sz="0" w:space="0" w:color="auto"/>
            <w:left w:val="none" w:sz="0" w:space="0" w:color="auto"/>
            <w:bottom w:val="none" w:sz="0" w:space="0" w:color="auto"/>
            <w:right w:val="none" w:sz="0" w:space="0" w:color="auto"/>
          </w:divBdr>
        </w:div>
      </w:divsChild>
    </w:div>
    <w:div w:id="1266420010">
      <w:bodyDiv w:val="1"/>
      <w:marLeft w:val="0"/>
      <w:marRight w:val="0"/>
      <w:marTop w:val="0"/>
      <w:marBottom w:val="0"/>
      <w:divBdr>
        <w:top w:val="none" w:sz="0" w:space="0" w:color="auto"/>
        <w:left w:val="none" w:sz="0" w:space="0" w:color="auto"/>
        <w:bottom w:val="none" w:sz="0" w:space="0" w:color="auto"/>
        <w:right w:val="none" w:sz="0" w:space="0" w:color="auto"/>
      </w:divBdr>
    </w:div>
    <w:div w:id="1274701775">
      <w:bodyDiv w:val="1"/>
      <w:marLeft w:val="0"/>
      <w:marRight w:val="0"/>
      <w:marTop w:val="0"/>
      <w:marBottom w:val="0"/>
      <w:divBdr>
        <w:top w:val="none" w:sz="0" w:space="0" w:color="auto"/>
        <w:left w:val="none" w:sz="0" w:space="0" w:color="auto"/>
        <w:bottom w:val="none" w:sz="0" w:space="0" w:color="auto"/>
        <w:right w:val="none" w:sz="0" w:space="0" w:color="auto"/>
      </w:divBdr>
    </w:div>
    <w:div w:id="1327787870">
      <w:bodyDiv w:val="1"/>
      <w:marLeft w:val="0"/>
      <w:marRight w:val="0"/>
      <w:marTop w:val="0"/>
      <w:marBottom w:val="0"/>
      <w:divBdr>
        <w:top w:val="none" w:sz="0" w:space="0" w:color="auto"/>
        <w:left w:val="none" w:sz="0" w:space="0" w:color="auto"/>
        <w:bottom w:val="none" w:sz="0" w:space="0" w:color="auto"/>
        <w:right w:val="none" w:sz="0" w:space="0" w:color="auto"/>
      </w:divBdr>
    </w:div>
    <w:div w:id="1339383080">
      <w:bodyDiv w:val="1"/>
      <w:marLeft w:val="0"/>
      <w:marRight w:val="0"/>
      <w:marTop w:val="0"/>
      <w:marBottom w:val="0"/>
      <w:divBdr>
        <w:top w:val="none" w:sz="0" w:space="0" w:color="auto"/>
        <w:left w:val="none" w:sz="0" w:space="0" w:color="auto"/>
        <w:bottom w:val="none" w:sz="0" w:space="0" w:color="auto"/>
        <w:right w:val="none" w:sz="0" w:space="0" w:color="auto"/>
      </w:divBdr>
      <w:divsChild>
        <w:div w:id="73279963">
          <w:marLeft w:val="0"/>
          <w:marRight w:val="0"/>
          <w:marTop w:val="0"/>
          <w:marBottom w:val="0"/>
          <w:divBdr>
            <w:top w:val="none" w:sz="0" w:space="0" w:color="auto"/>
            <w:left w:val="none" w:sz="0" w:space="0" w:color="auto"/>
            <w:bottom w:val="none" w:sz="0" w:space="0" w:color="auto"/>
            <w:right w:val="none" w:sz="0" w:space="0" w:color="auto"/>
          </w:divBdr>
        </w:div>
      </w:divsChild>
    </w:div>
    <w:div w:id="1365671047">
      <w:bodyDiv w:val="1"/>
      <w:marLeft w:val="0"/>
      <w:marRight w:val="0"/>
      <w:marTop w:val="0"/>
      <w:marBottom w:val="0"/>
      <w:divBdr>
        <w:top w:val="none" w:sz="0" w:space="0" w:color="auto"/>
        <w:left w:val="none" w:sz="0" w:space="0" w:color="auto"/>
        <w:bottom w:val="none" w:sz="0" w:space="0" w:color="auto"/>
        <w:right w:val="none" w:sz="0" w:space="0" w:color="auto"/>
      </w:divBdr>
    </w:div>
    <w:div w:id="1442648441">
      <w:bodyDiv w:val="1"/>
      <w:marLeft w:val="0"/>
      <w:marRight w:val="0"/>
      <w:marTop w:val="0"/>
      <w:marBottom w:val="0"/>
      <w:divBdr>
        <w:top w:val="none" w:sz="0" w:space="0" w:color="auto"/>
        <w:left w:val="none" w:sz="0" w:space="0" w:color="auto"/>
        <w:bottom w:val="none" w:sz="0" w:space="0" w:color="auto"/>
        <w:right w:val="none" w:sz="0" w:space="0" w:color="auto"/>
      </w:divBdr>
      <w:divsChild>
        <w:div w:id="1990133419">
          <w:marLeft w:val="0"/>
          <w:marRight w:val="0"/>
          <w:marTop w:val="0"/>
          <w:marBottom w:val="0"/>
          <w:divBdr>
            <w:top w:val="none" w:sz="0" w:space="0" w:color="auto"/>
            <w:left w:val="none" w:sz="0" w:space="0" w:color="auto"/>
            <w:bottom w:val="none" w:sz="0" w:space="0" w:color="auto"/>
            <w:right w:val="none" w:sz="0" w:space="0" w:color="auto"/>
          </w:divBdr>
        </w:div>
      </w:divsChild>
    </w:div>
    <w:div w:id="1494178915">
      <w:bodyDiv w:val="1"/>
      <w:marLeft w:val="0"/>
      <w:marRight w:val="0"/>
      <w:marTop w:val="0"/>
      <w:marBottom w:val="0"/>
      <w:divBdr>
        <w:top w:val="none" w:sz="0" w:space="0" w:color="auto"/>
        <w:left w:val="none" w:sz="0" w:space="0" w:color="auto"/>
        <w:bottom w:val="none" w:sz="0" w:space="0" w:color="auto"/>
        <w:right w:val="none" w:sz="0" w:space="0" w:color="auto"/>
      </w:divBdr>
      <w:divsChild>
        <w:div w:id="1049186959">
          <w:marLeft w:val="0"/>
          <w:marRight w:val="0"/>
          <w:marTop w:val="0"/>
          <w:marBottom w:val="0"/>
          <w:divBdr>
            <w:top w:val="none" w:sz="0" w:space="0" w:color="auto"/>
            <w:left w:val="none" w:sz="0" w:space="0" w:color="auto"/>
            <w:bottom w:val="none" w:sz="0" w:space="0" w:color="auto"/>
            <w:right w:val="none" w:sz="0" w:space="0" w:color="auto"/>
          </w:divBdr>
        </w:div>
      </w:divsChild>
    </w:div>
    <w:div w:id="1496647233">
      <w:bodyDiv w:val="1"/>
      <w:marLeft w:val="0"/>
      <w:marRight w:val="0"/>
      <w:marTop w:val="0"/>
      <w:marBottom w:val="0"/>
      <w:divBdr>
        <w:top w:val="none" w:sz="0" w:space="0" w:color="auto"/>
        <w:left w:val="none" w:sz="0" w:space="0" w:color="auto"/>
        <w:bottom w:val="none" w:sz="0" w:space="0" w:color="auto"/>
        <w:right w:val="none" w:sz="0" w:space="0" w:color="auto"/>
      </w:divBdr>
      <w:divsChild>
        <w:div w:id="186794898">
          <w:marLeft w:val="0"/>
          <w:marRight w:val="0"/>
          <w:marTop w:val="0"/>
          <w:marBottom w:val="0"/>
          <w:divBdr>
            <w:top w:val="none" w:sz="0" w:space="0" w:color="auto"/>
            <w:left w:val="none" w:sz="0" w:space="0" w:color="auto"/>
            <w:bottom w:val="none" w:sz="0" w:space="0" w:color="auto"/>
            <w:right w:val="none" w:sz="0" w:space="0" w:color="auto"/>
          </w:divBdr>
        </w:div>
      </w:divsChild>
    </w:div>
    <w:div w:id="1596791894">
      <w:bodyDiv w:val="1"/>
      <w:marLeft w:val="0"/>
      <w:marRight w:val="0"/>
      <w:marTop w:val="0"/>
      <w:marBottom w:val="0"/>
      <w:divBdr>
        <w:top w:val="none" w:sz="0" w:space="0" w:color="auto"/>
        <w:left w:val="none" w:sz="0" w:space="0" w:color="auto"/>
        <w:bottom w:val="none" w:sz="0" w:space="0" w:color="auto"/>
        <w:right w:val="none" w:sz="0" w:space="0" w:color="auto"/>
      </w:divBdr>
      <w:divsChild>
        <w:div w:id="1541015345">
          <w:marLeft w:val="0"/>
          <w:marRight w:val="0"/>
          <w:marTop w:val="0"/>
          <w:marBottom w:val="0"/>
          <w:divBdr>
            <w:top w:val="none" w:sz="0" w:space="0" w:color="auto"/>
            <w:left w:val="none" w:sz="0" w:space="0" w:color="auto"/>
            <w:bottom w:val="none" w:sz="0" w:space="0" w:color="auto"/>
            <w:right w:val="none" w:sz="0" w:space="0" w:color="auto"/>
          </w:divBdr>
        </w:div>
      </w:divsChild>
    </w:div>
    <w:div w:id="1756627429">
      <w:bodyDiv w:val="1"/>
      <w:marLeft w:val="0"/>
      <w:marRight w:val="0"/>
      <w:marTop w:val="0"/>
      <w:marBottom w:val="0"/>
      <w:divBdr>
        <w:top w:val="none" w:sz="0" w:space="0" w:color="auto"/>
        <w:left w:val="none" w:sz="0" w:space="0" w:color="auto"/>
        <w:bottom w:val="none" w:sz="0" w:space="0" w:color="auto"/>
        <w:right w:val="none" w:sz="0" w:space="0" w:color="auto"/>
      </w:divBdr>
      <w:divsChild>
        <w:div w:id="858936058">
          <w:marLeft w:val="0"/>
          <w:marRight w:val="0"/>
          <w:marTop w:val="0"/>
          <w:marBottom w:val="0"/>
          <w:divBdr>
            <w:top w:val="none" w:sz="0" w:space="0" w:color="auto"/>
            <w:left w:val="none" w:sz="0" w:space="0" w:color="auto"/>
            <w:bottom w:val="none" w:sz="0" w:space="0" w:color="auto"/>
            <w:right w:val="none" w:sz="0" w:space="0" w:color="auto"/>
          </w:divBdr>
        </w:div>
      </w:divsChild>
    </w:div>
    <w:div w:id="1771317720">
      <w:bodyDiv w:val="1"/>
      <w:marLeft w:val="0"/>
      <w:marRight w:val="0"/>
      <w:marTop w:val="0"/>
      <w:marBottom w:val="0"/>
      <w:divBdr>
        <w:top w:val="none" w:sz="0" w:space="0" w:color="auto"/>
        <w:left w:val="none" w:sz="0" w:space="0" w:color="auto"/>
        <w:bottom w:val="none" w:sz="0" w:space="0" w:color="auto"/>
        <w:right w:val="none" w:sz="0" w:space="0" w:color="auto"/>
      </w:divBdr>
      <w:divsChild>
        <w:div w:id="1266842772">
          <w:marLeft w:val="0"/>
          <w:marRight w:val="0"/>
          <w:marTop w:val="0"/>
          <w:marBottom w:val="0"/>
          <w:divBdr>
            <w:top w:val="none" w:sz="0" w:space="0" w:color="auto"/>
            <w:left w:val="none" w:sz="0" w:space="0" w:color="auto"/>
            <w:bottom w:val="none" w:sz="0" w:space="0" w:color="auto"/>
            <w:right w:val="none" w:sz="0" w:space="0" w:color="auto"/>
          </w:divBdr>
        </w:div>
      </w:divsChild>
    </w:div>
    <w:div w:id="1778595706">
      <w:bodyDiv w:val="1"/>
      <w:marLeft w:val="0"/>
      <w:marRight w:val="0"/>
      <w:marTop w:val="0"/>
      <w:marBottom w:val="0"/>
      <w:divBdr>
        <w:top w:val="none" w:sz="0" w:space="0" w:color="auto"/>
        <w:left w:val="none" w:sz="0" w:space="0" w:color="auto"/>
        <w:bottom w:val="none" w:sz="0" w:space="0" w:color="auto"/>
        <w:right w:val="none" w:sz="0" w:space="0" w:color="auto"/>
      </w:divBdr>
      <w:divsChild>
        <w:div w:id="273875574">
          <w:marLeft w:val="0"/>
          <w:marRight w:val="0"/>
          <w:marTop w:val="0"/>
          <w:marBottom w:val="0"/>
          <w:divBdr>
            <w:top w:val="none" w:sz="0" w:space="0" w:color="auto"/>
            <w:left w:val="none" w:sz="0" w:space="0" w:color="auto"/>
            <w:bottom w:val="none" w:sz="0" w:space="0" w:color="auto"/>
            <w:right w:val="none" w:sz="0" w:space="0" w:color="auto"/>
          </w:divBdr>
        </w:div>
      </w:divsChild>
    </w:div>
    <w:div w:id="1785616136">
      <w:bodyDiv w:val="1"/>
      <w:marLeft w:val="0"/>
      <w:marRight w:val="0"/>
      <w:marTop w:val="0"/>
      <w:marBottom w:val="0"/>
      <w:divBdr>
        <w:top w:val="none" w:sz="0" w:space="0" w:color="auto"/>
        <w:left w:val="none" w:sz="0" w:space="0" w:color="auto"/>
        <w:bottom w:val="none" w:sz="0" w:space="0" w:color="auto"/>
        <w:right w:val="none" w:sz="0" w:space="0" w:color="auto"/>
      </w:divBdr>
      <w:divsChild>
        <w:div w:id="309092298">
          <w:marLeft w:val="0"/>
          <w:marRight w:val="0"/>
          <w:marTop w:val="0"/>
          <w:marBottom w:val="0"/>
          <w:divBdr>
            <w:top w:val="none" w:sz="0" w:space="0" w:color="auto"/>
            <w:left w:val="none" w:sz="0" w:space="0" w:color="auto"/>
            <w:bottom w:val="none" w:sz="0" w:space="0" w:color="auto"/>
            <w:right w:val="none" w:sz="0" w:space="0" w:color="auto"/>
          </w:divBdr>
        </w:div>
      </w:divsChild>
    </w:div>
    <w:div w:id="1865704918">
      <w:bodyDiv w:val="1"/>
      <w:marLeft w:val="0"/>
      <w:marRight w:val="0"/>
      <w:marTop w:val="0"/>
      <w:marBottom w:val="0"/>
      <w:divBdr>
        <w:top w:val="none" w:sz="0" w:space="0" w:color="auto"/>
        <w:left w:val="none" w:sz="0" w:space="0" w:color="auto"/>
        <w:bottom w:val="none" w:sz="0" w:space="0" w:color="auto"/>
        <w:right w:val="none" w:sz="0" w:space="0" w:color="auto"/>
      </w:divBdr>
      <w:divsChild>
        <w:div w:id="354113201">
          <w:marLeft w:val="0"/>
          <w:marRight w:val="0"/>
          <w:marTop w:val="0"/>
          <w:marBottom w:val="0"/>
          <w:divBdr>
            <w:top w:val="none" w:sz="0" w:space="0" w:color="auto"/>
            <w:left w:val="none" w:sz="0" w:space="0" w:color="auto"/>
            <w:bottom w:val="none" w:sz="0" w:space="0" w:color="auto"/>
            <w:right w:val="none" w:sz="0" w:space="0" w:color="auto"/>
          </w:divBdr>
        </w:div>
      </w:divsChild>
    </w:div>
    <w:div w:id="1879123375">
      <w:bodyDiv w:val="1"/>
      <w:marLeft w:val="0"/>
      <w:marRight w:val="0"/>
      <w:marTop w:val="0"/>
      <w:marBottom w:val="0"/>
      <w:divBdr>
        <w:top w:val="none" w:sz="0" w:space="0" w:color="auto"/>
        <w:left w:val="none" w:sz="0" w:space="0" w:color="auto"/>
        <w:bottom w:val="none" w:sz="0" w:space="0" w:color="auto"/>
        <w:right w:val="none" w:sz="0" w:space="0" w:color="auto"/>
      </w:divBdr>
      <w:divsChild>
        <w:div w:id="1348287922">
          <w:marLeft w:val="0"/>
          <w:marRight w:val="0"/>
          <w:marTop w:val="0"/>
          <w:marBottom w:val="0"/>
          <w:divBdr>
            <w:top w:val="none" w:sz="0" w:space="0" w:color="auto"/>
            <w:left w:val="none" w:sz="0" w:space="0" w:color="auto"/>
            <w:bottom w:val="none" w:sz="0" w:space="0" w:color="auto"/>
            <w:right w:val="none" w:sz="0" w:space="0" w:color="auto"/>
          </w:divBdr>
        </w:div>
      </w:divsChild>
    </w:div>
    <w:div w:id="1890336230">
      <w:bodyDiv w:val="1"/>
      <w:marLeft w:val="0"/>
      <w:marRight w:val="0"/>
      <w:marTop w:val="0"/>
      <w:marBottom w:val="0"/>
      <w:divBdr>
        <w:top w:val="none" w:sz="0" w:space="0" w:color="auto"/>
        <w:left w:val="none" w:sz="0" w:space="0" w:color="auto"/>
        <w:bottom w:val="none" w:sz="0" w:space="0" w:color="auto"/>
        <w:right w:val="none" w:sz="0" w:space="0" w:color="auto"/>
      </w:divBdr>
      <w:divsChild>
        <w:div w:id="232474055">
          <w:marLeft w:val="0"/>
          <w:marRight w:val="0"/>
          <w:marTop w:val="0"/>
          <w:marBottom w:val="0"/>
          <w:divBdr>
            <w:top w:val="none" w:sz="0" w:space="0" w:color="auto"/>
            <w:left w:val="none" w:sz="0" w:space="0" w:color="auto"/>
            <w:bottom w:val="none" w:sz="0" w:space="0" w:color="auto"/>
            <w:right w:val="none" w:sz="0" w:space="0" w:color="auto"/>
          </w:divBdr>
        </w:div>
      </w:divsChild>
    </w:div>
    <w:div w:id="1928610792">
      <w:bodyDiv w:val="1"/>
      <w:marLeft w:val="0"/>
      <w:marRight w:val="0"/>
      <w:marTop w:val="0"/>
      <w:marBottom w:val="0"/>
      <w:divBdr>
        <w:top w:val="none" w:sz="0" w:space="0" w:color="auto"/>
        <w:left w:val="none" w:sz="0" w:space="0" w:color="auto"/>
        <w:bottom w:val="none" w:sz="0" w:space="0" w:color="auto"/>
        <w:right w:val="none" w:sz="0" w:space="0" w:color="auto"/>
      </w:divBdr>
      <w:divsChild>
        <w:div w:id="1166238393">
          <w:marLeft w:val="0"/>
          <w:marRight w:val="0"/>
          <w:marTop w:val="0"/>
          <w:marBottom w:val="0"/>
          <w:divBdr>
            <w:top w:val="none" w:sz="0" w:space="0" w:color="auto"/>
            <w:left w:val="none" w:sz="0" w:space="0" w:color="auto"/>
            <w:bottom w:val="none" w:sz="0" w:space="0" w:color="auto"/>
            <w:right w:val="none" w:sz="0" w:space="0" w:color="auto"/>
          </w:divBdr>
        </w:div>
      </w:divsChild>
    </w:div>
    <w:div w:id="1956013784">
      <w:bodyDiv w:val="1"/>
      <w:marLeft w:val="0"/>
      <w:marRight w:val="0"/>
      <w:marTop w:val="0"/>
      <w:marBottom w:val="0"/>
      <w:divBdr>
        <w:top w:val="none" w:sz="0" w:space="0" w:color="auto"/>
        <w:left w:val="none" w:sz="0" w:space="0" w:color="auto"/>
        <w:bottom w:val="none" w:sz="0" w:space="0" w:color="auto"/>
        <w:right w:val="none" w:sz="0" w:space="0" w:color="auto"/>
      </w:divBdr>
      <w:divsChild>
        <w:div w:id="838732547">
          <w:marLeft w:val="0"/>
          <w:marRight w:val="0"/>
          <w:marTop w:val="0"/>
          <w:marBottom w:val="0"/>
          <w:divBdr>
            <w:top w:val="none" w:sz="0" w:space="0" w:color="auto"/>
            <w:left w:val="none" w:sz="0" w:space="0" w:color="auto"/>
            <w:bottom w:val="none" w:sz="0" w:space="0" w:color="auto"/>
            <w:right w:val="none" w:sz="0" w:space="0" w:color="auto"/>
          </w:divBdr>
        </w:div>
      </w:divsChild>
    </w:div>
    <w:div w:id="1972707586">
      <w:bodyDiv w:val="1"/>
      <w:marLeft w:val="0"/>
      <w:marRight w:val="0"/>
      <w:marTop w:val="0"/>
      <w:marBottom w:val="0"/>
      <w:divBdr>
        <w:top w:val="none" w:sz="0" w:space="0" w:color="auto"/>
        <w:left w:val="none" w:sz="0" w:space="0" w:color="auto"/>
        <w:bottom w:val="none" w:sz="0" w:space="0" w:color="auto"/>
        <w:right w:val="none" w:sz="0" w:space="0" w:color="auto"/>
      </w:divBdr>
      <w:divsChild>
        <w:div w:id="2078505538">
          <w:marLeft w:val="0"/>
          <w:marRight w:val="0"/>
          <w:marTop w:val="0"/>
          <w:marBottom w:val="0"/>
          <w:divBdr>
            <w:top w:val="none" w:sz="0" w:space="0" w:color="auto"/>
            <w:left w:val="none" w:sz="0" w:space="0" w:color="auto"/>
            <w:bottom w:val="none" w:sz="0" w:space="0" w:color="auto"/>
            <w:right w:val="none" w:sz="0" w:space="0" w:color="auto"/>
          </w:divBdr>
        </w:div>
      </w:divsChild>
    </w:div>
    <w:div w:id="2055225954">
      <w:bodyDiv w:val="1"/>
      <w:marLeft w:val="0"/>
      <w:marRight w:val="0"/>
      <w:marTop w:val="0"/>
      <w:marBottom w:val="0"/>
      <w:divBdr>
        <w:top w:val="none" w:sz="0" w:space="0" w:color="auto"/>
        <w:left w:val="none" w:sz="0" w:space="0" w:color="auto"/>
        <w:bottom w:val="none" w:sz="0" w:space="0" w:color="auto"/>
        <w:right w:val="none" w:sz="0" w:space="0" w:color="auto"/>
      </w:divBdr>
      <w:divsChild>
        <w:div w:id="1450278607">
          <w:marLeft w:val="0"/>
          <w:marRight w:val="0"/>
          <w:marTop w:val="0"/>
          <w:marBottom w:val="0"/>
          <w:divBdr>
            <w:top w:val="none" w:sz="0" w:space="0" w:color="auto"/>
            <w:left w:val="none" w:sz="0" w:space="0" w:color="auto"/>
            <w:bottom w:val="none" w:sz="0" w:space="0" w:color="auto"/>
            <w:right w:val="none" w:sz="0" w:space="0" w:color="auto"/>
          </w:divBdr>
        </w:div>
      </w:divsChild>
    </w:div>
    <w:div w:id="2105957855">
      <w:bodyDiv w:val="1"/>
      <w:marLeft w:val="0"/>
      <w:marRight w:val="0"/>
      <w:marTop w:val="0"/>
      <w:marBottom w:val="0"/>
      <w:divBdr>
        <w:top w:val="none" w:sz="0" w:space="0" w:color="auto"/>
        <w:left w:val="none" w:sz="0" w:space="0" w:color="auto"/>
        <w:bottom w:val="none" w:sz="0" w:space="0" w:color="auto"/>
        <w:right w:val="none" w:sz="0" w:space="0" w:color="auto"/>
      </w:divBdr>
      <w:divsChild>
        <w:div w:id="6300122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hchr-srhealth@un.org"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peru21.pe/lima/coronavirus-peru-i-lgtb-i-indignante-a-mujeres-trans-las-hacen-gritar-quiero-ser-un-hombre-y-las-obligan-a-hacer-ranas-en-comisaria-de-bellavista-noticia/" TargetMode="External"/><Relationship Id="rId13" Type="http://schemas.openxmlformats.org/officeDocument/2006/relationships/hyperlink" Target="https://www.americatv.com.pe/noticias/redes-sociales/smp-contempla-erradicacion-homosexuales-su-plan-seguridad-ciudadana-n291529" TargetMode="External"/><Relationship Id="rId18" Type="http://schemas.openxmlformats.org/officeDocument/2006/relationships/hyperlink" Target="https://psico.edu.uy/sites/default/files/files_ftp/libros/guia-salud-y-diversidad-sexual.pdf" TargetMode="External"/><Relationship Id="rId3" Type="http://schemas.openxmlformats.org/officeDocument/2006/relationships/hyperlink" Target="https://www.france24.com/es/20200430-bolsonaro-dice-que-oms-alienta-la-homosexualidad-y-la-masturbaci%C3%B3n-en-los-ni%C3%B1os" TargetMode="External"/><Relationship Id="rId7" Type="http://schemas.openxmlformats.org/officeDocument/2006/relationships/hyperlink" Target="https://twitter.com/alex_rm2510/status/1246440562338783237?s=21" TargetMode="External"/><Relationship Id="rId12" Type="http://schemas.openxmlformats.org/officeDocument/2006/relationships/hyperlink" Target="https://www.bbc.com/mundo/noticias-america-latina-53580686" TargetMode="External"/><Relationship Id="rId17" Type="http://schemas.openxmlformats.org/officeDocument/2006/relationships/hyperlink" Target="https://www.amnesty.org/es/what-we-do/sexual-and-reproductive-rights/abortion-facts/" TargetMode="External"/><Relationship Id="rId2" Type="http://schemas.openxmlformats.org/officeDocument/2006/relationships/hyperlink" Target="https://sinviolencia.lgbt/wp-content/uploads/2021/09/DES-CIFRANDO-LA-VIOLENCIA-EN-TIEMPOS-DE-CUARENTENA.pdf" TargetMode="External"/><Relationship Id="rId16" Type="http://schemas.openxmlformats.org/officeDocument/2006/relationships/hyperlink" Target="https://promsex.org/wp-content/uploads/2015/09/InvestigacionAbortoALC.compressed.pdf" TargetMode="External"/><Relationship Id="rId20" Type="http://schemas.openxmlformats.org/officeDocument/2006/relationships/hyperlink" Target="https://erbol.com.bo/nacional/fallece-mujer-trans-en-condiciones-dram%C3%A1ticas-luego-de-peregrinar-por-tres-centros-de-salud" TargetMode="External"/><Relationship Id="rId1" Type="http://schemas.openxmlformats.org/officeDocument/2006/relationships/hyperlink" Target="https://colombiadiversa.org/colombiadiversa2016/wp-content/uploads/2019/08/Informe_Prejuicios_web.pdf" TargetMode="External"/><Relationship Id="rId6" Type="http://schemas.openxmlformats.org/officeDocument/2006/relationships/hyperlink" Target="https://promsex.org/caso-de-tortura-contra-yefri-pena-mujer-trans-peruana-sera-llevado-ante-el-comite-de-derechos-humanos-de-naciones-unidas/" TargetMode="External"/><Relationship Id="rId11" Type="http://schemas.openxmlformats.org/officeDocument/2006/relationships/hyperlink" Target="http://nswp.org/sites/default/files/documento_de_politica_trabajo_sexual_como_trabajo_nswp_-_2017.pdf" TargetMode="External"/><Relationship Id="rId5" Type="http://schemas.openxmlformats.org/officeDocument/2006/relationships/hyperlink" Target="https://www.eltiempo.com/bogota/hombre-no-pudo-donar-sangre-por-ser-gay-denuncia-lgbt-bogota-611708" TargetMode="External"/><Relationship Id="rId15" Type="http://schemas.openxmlformats.org/officeDocument/2006/relationships/hyperlink" Target="https://www.amnesty.org/es/what-we-do/sexual-and-reproductive-rights/abortion-facts/" TargetMode="External"/><Relationship Id="rId10" Type="http://schemas.openxmlformats.org/officeDocument/2006/relationships/hyperlink" Target="https://www3.paho.org/hq/index.php?option=com_content&amp;view=article&amp;id=10964:2015-lgbt-health-sees-progress-and-challenges&amp;Itemid=1926&amp;lang=es" TargetMode="External"/><Relationship Id="rId19" Type="http://schemas.openxmlformats.org/officeDocument/2006/relationships/hyperlink" Target="https://www.elespectador.com/colombia/mas-regiones/queremos-la-verdad-justiciaparaalejandra-la-disidencia-article/" TargetMode="External"/><Relationship Id="rId4" Type="http://schemas.openxmlformats.org/officeDocument/2006/relationships/hyperlink" Target="https://as.com/diarioas/2020/07/09/actualidad/1594276884_377002.html" TargetMode="External"/><Relationship Id="rId9" Type="http://schemas.openxmlformats.org/officeDocument/2006/relationships/hyperlink" Target="https://www.ohchr.org/Documents/Issues/SexualOrientation/ConversionTherapyReport_SP.pdf" TargetMode="External"/><Relationship Id="rId14" Type="http://schemas.openxmlformats.org/officeDocument/2006/relationships/hyperlink" Target="https://elcomercio.pe/lima/sucesos/discriminacion-municipal-distritos-contemplan-erradicacion-homosexuales-noticia-457704-notic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E3F2BCE7-DEE3-44A8-892E-E0711534C458}">
  <ds:schemaRefs>
    <ds:schemaRef ds:uri="http://schemas.openxmlformats.org/officeDocument/2006/bibliography"/>
  </ds:schemaRefs>
</ds:datastoreItem>
</file>

<file path=customXml/itemProps2.xml><?xml version="1.0" encoding="utf-8"?>
<ds:datastoreItem xmlns:ds="http://schemas.openxmlformats.org/officeDocument/2006/customXml" ds:itemID="{50C97BDF-DDC0-4E35-ACC7-D93142791780}"/>
</file>

<file path=customXml/itemProps3.xml><?xml version="1.0" encoding="utf-8"?>
<ds:datastoreItem xmlns:ds="http://schemas.openxmlformats.org/officeDocument/2006/customXml" ds:itemID="{5B92D0EA-064E-4F64-A91A-3D646C989AEA}"/>
</file>

<file path=customXml/itemProps4.xml><?xml version="1.0" encoding="utf-8"?>
<ds:datastoreItem xmlns:ds="http://schemas.openxmlformats.org/officeDocument/2006/customXml" ds:itemID="{AFB5935C-0FCF-49A2-954F-C92E59F2660B}"/>
</file>

<file path=docProps/app.xml><?xml version="1.0" encoding="utf-8"?>
<Properties xmlns="http://schemas.openxmlformats.org/officeDocument/2006/extended-properties" xmlns:vt="http://schemas.openxmlformats.org/officeDocument/2006/docPropsVTypes">
  <Template>Normal.dotm</Template>
  <TotalTime>2</TotalTime>
  <Pages>12</Pages>
  <Words>4583</Words>
  <Characters>26124</Characters>
  <Application>Microsoft Office Word</Application>
  <DocSecurity>4</DocSecurity>
  <Lines>217</Lines>
  <Paragraphs>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Anaya</dc:creator>
  <cp:keywords/>
  <dc:description/>
  <cp:lastModifiedBy>Adriana Zarraluqui</cp:lastModifiedBy>
  <cp:revision>2</cp:revision>
  <dcterms:created xsi:type="dcterms:W3CDTF">2022-01-26T16:29:00Z</dcterms:created>
  <dcterms:modified xsi:type="dcterms:W3CDTF">2022-01-26T16:29:00Z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