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r w:rsidRPr="00F97B8B">
        <w:rPr>
          <w:b/>
          <w:sz w:val="28"/>
          <w:szCs w:val="28"/>
          <w:u w:val="single"/>
        </w:rPr>
        <w:t>QUESTIONNAIRE</w:t>
      </w:r>
    </w:p>
    <w:p w14:paraId="77D8E42C" w14:textId="77777777" w:rsidR="009F00AF" w:rsidRPr="00F97B8B" w:rsidRDefault="009F00AF" w:rsidP="009F00AF">
      <w:pPr>
        <w:ind w:left="2160" w:firstLine="720"/>
        <w:rPr>
          <w:b/>
          <w:sz w:val="28"/>
          <w:szCs w:val="28"/>
          <w:u w:val="single"/>
        </w:rPr>
      </w:pP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2F026387" w14:textId="77777777" w:rsidR="009F00AF" w:rsidRDefault="009F00AF" w:rsidP="009F00AF">
      <w:pPr>
        <w:ind w:firstLine="567"/>
        <w:rPr>
          <w:bCs/>
          <w:sz w:val="24"/>
          <w:szCs w:val="24"/>
        </w:rPr>
      </w:pPr>
    </w:p>
    <w:p w14:paraId="09B107EA" w14:textId="77777777" w:rsidR="009F00AF" w:rsidRPr="00C73FDC" w:rsidRDefault="009F00AF" w:rsidP="009F00AF">
      <w:pPr>
        <w:ind w:firstLine="567"/>
        <w:rPr>
          <w:bCs/>
          <w:sz w:val="24"/>
          <w:szCs w:val="24"/>
        </w:rPr>
      </w:pPr>
      <w:r w:rsidRPr="00C73FDC">
        <w:rPr>
          <w:bCs/>
          <w:sz w:val="24"/>
          <w:szCs w:val="24"/>
        </w:rPr>
        <w:t>I have the honour to address you in my capacity as Special Rapporteur on the right of everyone to the enjoyment of the highest attainable standard of physic</w:t>
      </w:r>
      <w:r w:rsidRPr="00C73FDC">
        <w:rPr>
          <w:sz w:val="24"/>
          <w:szCs w:val="24"/>
        </w:rPr>
        <w:t>al and mental health</w:t>
      </w:r>
      <w:r w:rsidRPr="00C73FDC">
        <w:rPr>
          <w:bCs/>
          <w:sz w:val="24"/>
          <w:szCs w:val="24"/>
        </w:rPr>
        <w:t xml:space="preserve">, pursuant to Human Rights Council resolution 42/16.  </w:t>
      </w:r>
    </w:p>
    <w:p w14:paraId="678955A0" w14:textId="77777777" w:rsidR="009F00AF" w:rsidRPr="00C73FDC" w:rsidRDefault="009F00AF" w:rsidP="009F00AF">
      <w:pPr>
        <w:tabs>
          <w:tab w:val="left" w:pos="680"/>
          <w:tab w:val="left" w:pos="709"/>
          <w:tab w:val="left" w:pos="1360"/>
          <w:tab w:val="left" w:pos="1984"/>
          <w:tab w:val="left" w:pos="6349"/>
          <w:tab w:val="left" w:pos="6916"/>
        </w:tabs>
        <w:jc w:val="both"/>
        <w:rPr>
          <w:sz w:val="24"/>
          <w:szCs w:val="24"/>
        </w:rPr>
      </w:pPr>
    </w:p>
    <w:p w14:paraId="1AA6CF1E" w14:textId="77777777" w:rsidR="009F00AF" w:rsidRPr="00C73FDC" w:rsidRDefault="009F00AF" w:rsidP="009F00AF">
      <w:pPr>
        <w:pStyle w:val="BodyA"/>
        <w:spacing w:line="240" w:lineRule="atLeast"/>
        <w:ind w:firstLine="567"/>
        <w:rPr>
          <w:rFonts w:ascii="Times New Roman" w:eastAsia="Times New Roman" w:hAnsi="Times New Roman" w:cs="Times New Roman"/>
        </w:rPr>
      </w:pPr>
      <w:r w:rsidRPr="00C73FDC">
        <w:rPr>
          <w:rFonts w:ascii="Times New Roman" w:hAnsi="Times New Roman" w:cs="Times New Roman"/>
        </w:rPr>
        <w:t xml:space="preserve">I would like to invite you to respond to the questionnaire below. Submissions received will inform my next thematic report on </w:t>
      </w:r>
      <w:r>
        <w:rPr>
          <w:rFonts w:ascii="Times New Roman" w:hAnsi="Times New Roman" w:cs="Times New Roman"/>
        </w:rPr>
        <w:t>“Violence and its impact on the right to health”</w:t>
      </w:r>
      <w:r w:rsidRPr="00FD7550">
        <w:rPr>
          <w:rFonts w:ascii="Times New Roman" w:hAnsi="Times New Roman" w:cs="Times New Roman"/>
        </w:rPr>
        <w:t xml:space="preserve">, which will be presented to </w:t>
      </w:r>
      <w:r>
        <w:rPr>
          <w:rFonts w:ascii="Times New Roman" w:hAnsi="Times New Roman" w:cs="Times New Roman"/>
        </w:rPr>
        <w:t>the Human Rights Council in June 2022</w:t>
      </w:r>
      <w:r w:rsidRPr="00C73FDC">
        <w:rPr>
          <w:rFonts w:ascii="Times New Roman" w:hAnsi="Times New Roman" w:cs="Times New Roman"/>
        </w:rPr>
        <w:t xml:space="preserve">. </w:t>
      </w:r>
    </w:p>
    <w:p w14:paraId="0C646C45" w14:textId="77777777" w:rsidR="009F00AF" w:rsidRPr="00C73FDC" w:rsidRDefault="009F00AF" w:rsidP="009F00AF">
      <w:pPr>
        <w:pStyle w:val="BodyA"/>
        <w:spacing w:line="240" w:lineRule="atLeast"/>
        <w:ind w:firstLine="567"/>
        <w:rPr>
          <w:rFonts w:ascii="Times New Roman" w:eastAsia="Times New Roman" w:hAnsi="Times New Roman" w:cs="Times New Roman"/>
        </w:rPr>
      </w:pPr>
    </w:p>
    <w:p w14:paraId="039A59A7" w14:textId="77777777" w:rsidR="009F00AF" w:rsidRPr="00C73FDC" w:rsidRDefault="009F00AF" w:rsidP="009F00AF">
      <w:pPr>
        <w:pStyle w:val="BodyA"/>
        <w:spacing w:line="240" w:lineRule="atLeast"/>
        <w:ind w:firstLine="567"/>
        <w:rPr>
          <w:rStyle w:val="None"/>
          <w:rFonts w:ascii="Times New Roman" w:eastAsia="Times New Roman" w:hAnsi="Times New Roman" w:cs="Times New Roman"/>
        </w:rPr>
      </w:pPr>
      <w:r w:rsidRPr="00C73FDC">
        <w:rPr>
          <w:rFonts w:ascii="Times New Roman" w:hAnsi="Times New Roman" w:cs="Times New Roman"/>
        </w:rPr>
        <w:t>The questionnaire on the report is available at OHCHR website in English (original language) as well as in French, and Spanish: (</w:t>
      </w:r>
      <w:hyperlink r:id="rId11" w:history="1">
        <w:r w:rsidRPr="00C73FDC">
          <w:rPr>
            <w:rStyle w:val="Hyperlink"/>
            <w:rFonts w:ascii="Times New Roman" w:hAnsi="Times New Roman" w:cs="Times New Roman"/>
            <w:u w:color="0000FF"/>
          </w:rPr>
          <w:t>https://www.ohchr.org/EN/Issues/health/pages/srrighthealthindex.aspx</w:t>
        </w:r>
      </w:hyperlink>
      <w:r w:rsidRPr="00C73FDC">
        <w:rPr>
          <w:rStyle w:val="None"/>
          <w:rFonts w:ascii="Times New Roman" w:hAnsi="Times New Roman" w:cs="Times New Roman"/>
        </w:rPr>
        <w:t>).</w:t>
      </w:r>
    </w:p>
    <w:p w14:paraId="536E1330" w14:textId="77777777" w:rsidR="009F00AF" w:rsidRPr="00C73FDC" w:rsidRDefault="009F00AF" w:rsidP="009F00AF">
      <w:pPr>
        <w:pStyle w:val="Default"/>
        <w:shd w:val="clear" w:color="auto" w:fill="FFFFFF"/>
        <w:ind w:firstLine="567"/>
        <w:rPr>
          <w:rStyle w:val="None"/>
          <w:rFonts w:ascii="Times New Roman" w:hAnsi="Times New Roman" w:cs="Times New Roman"/>
        </w:rPr>
      </w:pPr>
    </w:p>
    <w:p w14:paraId="40E30921" w14:textId="77777777" w:rsidR="009F00AF" w:rsidRPr="00C73FDC" w:rsidRDefault="009F00AF" w:rsidP="009F00AF">
      <w:pPr>
        <w:pStyle w:val="Default"/>
        <w:shd w:val="clear" w:color="auto" w:fill="FFFFFF"/>
        <w:ind w:firstLine="567"/>
        <w:rPr>
          <w:rStyle w:val="None"/>
          <w:rFonts w:ascii="Times New Roman" w:hAnsi="Times New Roman" w:cs="Times New Roman"/>
        </w:rPr>
      </w:pPr>
      <w:r w:rsidRPr="00C73FDC">
        <w:rPr>
          <w:rStyle w:val="None"/>
          <w:rFonts w:ascii="Times New Roman" w:hAnsi="Times New Roman" w:cs="Times New Roman"/>
        </w:rPr>
        <w:t xml:space="preserve">All submissions received will be published in the aforementioned website, unless it is indicated that the submission should be kept confidential. </w:t>
      </w:r>
    </w:p>
    <w:p w14:paraId="60E21805"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5CC05A45" w14:textId="77777777" w:rsidR="009F00AF" w:rsidRPr="00FD7550" w:rsidRDefault="009F00AF" w:rsidP="009F00AF">
      <w:pPr>
        <w:pStyle w:val="BodyA"/>
        <w:ind w:firstLine="567"/>
        <w:rPr>
          <w:rStyle w:val="None"/>
          <w:rFonts w:ascii="Times New Roman" w:eastAsia="Times New Roman" w:hAnsi="Times New Roman" w:cs="Times New Roman"/>
        </w:rPr>
      </w:pPr>
      <w:r>
        <w:rPr>
          <w:rStyle w:val="None"/>
          <w:rFonts w:ascii="Times New Roman" w:hAnsi="Times New Roman" w:cs="Times New Roman"/>
        </w:rPr>
        <w:t>There is a word limit of 75</w:t>
      </w:r>
      <w:r w:rsidRPr="00FD7550">
        <w:rPr>
          <w:rStyle w:val="None"/>
          <w:rFonts w:ascii="Times New Roman" w:hAnsi="Times New Roman" w:cs="Times New Roman"/>
        </w:rPr>
        <w:t xml:space="preserve">0 words per question. Please submit the completed questionnaire to </w:t>
      </w:r>
      <w:r w:rsidRPr="008656C2">
        <w:rPr>
          <w:rStyle w:val="Hyperlink"/>
          <w:u w:color="0000FF"/>
          <w:lang w:val="pt-PT"/>
        </w:rPr>
        <w:t>ohchr-</w:t>
      </w:r>
      <w:hyperlink r:id="rId12" w:history="1">
        <w:r w:rsidRPr="0029073B">
          <w:rPr>
            <w:rStyle w:val="Hyperlink"/>
            <w:rFonts w:ascii="Times New Roman" w:hAnsi="Times New Roman" w:cs="Times New Roman"/>
            <w:u w:color="0000FF"/>
            <w:lang w:val="pt-PT"/>
          </w:rPr>
          <w:t>srhealth@un.org</w:t>
        </w:r>
      </w:hyperlink>
      <w:r w:rsidRPr="00FD7550">
        <w:rPr>
          <w:rStyle w:val="Hyperlink1"/>
          <w:rFonts w:eastAsia="Arial Unicode MS"/>
        </w:rPr>
        <w:t xml:space="preserve">. </w:t>
      </w:r>
      <w:r w:rsidRPr="00FD7550">
        <w:rPr>
          <w:rStyle w:val="None"/>
          <w:rFonts w:ascii="Times New Roman" w:hAnsi="Times New Roman" w:cs="Times New Roman"/>
        </w:rPr>
        <w:t xml:space="preserve">The deadline for submissions is: </w:t>
      </w:r>
      <w:r>
        <w:rPr>
          <w:rStyle w:val="None"/>
          <w:rFonts w:ascii="Times New Roman" w:hAnsi="Times New Roman" w:cs="Times New Roman"/>
          <w:b/>
          <w:bCs/>
        </w:rPr>
        <w:t>18 January 2022</w:t>
      </w:r>
      <w:r w:rsidRPr="00FD7550">
        <w:rPr>
          <w:rStyle w:val="None"/>
          <w:rFonts w:ascii="Times New Roman" w:hAnsi="Times New Roman" w:cs="Times New Roman"/>
          <w:b/>
          <w:bCs/>
        </w:rPr>
        <w:t>.</w:t>
      </w:r>
    </w:p>
    <w:p w14:paraId="5A53FCD4" w14:textId="77777777" w:rsidR="009F00AF" w:rsidRPr="00C73FDC" w:rsidRDefault="009F00AF" w:rsidP="009F00AF">
      <w:pPr>
        <w:pStyle w:val="BodyA"/>
        <w:rPr>
          <w:rStyle w:val="None"/>
          <w:rFonts w:ascii="Times New Roman" w:eastAsia="Times New Roman" w:hAnsi="Times New Roman" w:cs="Times New Roman"/>
        </w:rPr>
      </w:pPr>
    </w:p>
    <w:p w14:paraId="63174334" w14:textId="77777777" w:rsidR="009F00AF" w:rsidRPr="006512F6" w:rsidRDefault="009F00AF" w:rsidP="009F00AF">
      <w:pPr>
        <w:keepNext/>
        <w:jc w:val="center"/>
        <w:rPr>
          <w:sz w:val="24"/>
          <w:szCs w:val="24"/>
          <w:lang w:eastAsia="en-GB"/>
        </w:rPr>
      </w:pPr>
      <w:bookmarkStart w:id="0" w:name="allegation"/>
      <w:bookmarkEnd w:id="0"/>
    </w:p>
    <w:p w14:paraId="0E7A1B34" w14:textId="77777777" w:rsidR="009F00AF" w:rsidRPr="006512F6" w:rsidRDefault="009F00AF" w:rsidP="009F00AF">
      <w:pPr>
        <w:keepNext/>
        <w:jc w:val="center"/>
        <w:rPr>
          <w:rFonts w:eastAsiaTheme="minorHAnsi"/>
          <w:sz w:val="24"/>
          <w:szCs w:val="24"/>
        </w:rPr>
      </w:pPr>
      <w:r w:rsidRPr="006512F6">
        <w:rPr>
          <w:sz w:val="24"/>
          <w:szCs w:val="24"/>
        </w:rPr>
        <w:t>Tlaleng Mofokeng</w:t>
      </w:r>
    </w:p>
    <w:p w14:paraId="7D725049" w14:textId="77777777" w:rsidR="009F00AF" w:rsidRPr="00CB33B2" w:rsidRDefault="009F00AF" w:rsidP="009F00AF">
      <w:pPr>
        <w:jc w:val="center"/>
        <w:rPr>
          <w:sz w:val="24"/>
          <w:szCs w:val="24"/>
          <w:lang w:eastAsia="en-GB"/>
        </w:rPr>
      </w:pPr>
      <w:r w:rsidRPr="006512F6">
        <w:rPr>
          <w:sz w:val="24"/>
          <w:szCs w:val="24"/>
        </w:rPr>
        <w:t>Special Rapporteur on the right of everyone to the enjoyment of the highest attainable standard of physical and mental health</w:t>
      </w:r>
    </w:p>
    <w:p w14:paraId="257EFBC7" w14:textId="77777777" w:rsidR="009F00AF" w:rsidRDefault="009F00AF" w:rsidP="009F00AF">
      <w:pPr>
        <w:pBdr>
          <w:bottom w:val="single" w:sz="6" w:space="1" w:color="auto"/>
        </w:pBdr>
        <w:jc w:val="center"/>
        <w:rPr>
          <w:sz w:val="24"/>
          <w:szCs w:val="24"/>
        </w:rPr>
      </w:pPr>
    </w:p>
    <w:p w14:paraId="138DD37E" w14:textId="77777777" w:rsidR="00AB5B6F" w:rsidRDefault="00AB5B6F" w:rsidP="009F00AF">
      <w:pPr>
        <w:jc w:val="center"/>
        <w:rPr>
          <w:sz w:val="24"/>
          <w:szCs w:val="24"/>
        </w:rPr>
      </w:pPr>
    </w:p>
    <w:p w14:paraId="42F74637" w14:textId="77777777" w:rsidR="009F00AF" w:rsidRDefault="009F00AF" w:rsidP="009F00AF">
      <w:pPr>
        <w:pStyle w:val="BodyA"/>
        <w:outlineLvl w:val="0"/>
        <w:rPr>
          <w:rFonts w:ascii="Times New Roman" w:eastAsia="Times New Roman" w:hAnsi="Times New Roman" w:cs="Times New Roman"/>
          <w:b/>
          <w:color w:val="auto"/>
          <w:u w:val="single"/>
          <w:bdr w:val="none" w:sz="0" w:space="0" w:color="auto"/>
          <w:lang w:val="en-GB" w:eastAsia="en-US"/>
          <w14:textOutline w14:w="0" w14:cap="rnd" w14:cmpd="sng" w14:algn="ctr">
            <w14:noFill/>
            <w14:prstDash w14:val="solid"/>
            <w14:bevel/>
          </w14:textOutline>
        </w:rPr>
      </w:pP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r w:rsidRPr="006512F6">
        <w:rPr>
          <w:rStyle w:val="None"/>
          <w:rFonts w:ascii="Times New Roman" w:hAnsi="Times New Roman" w:cs="Times New Roman"/>
          <w:b/>
          <w:bCs/>
        </w:rPr>
        <w:t>Contact Details</w:t>
      </w:r>
    </w:p>
    <w:p w14:paraId="6FC31E94" w14:textId="77777777" w:rsidR="009F00AF" w:rsidRPr="006512F6" w:rsidRDefault="009F00AF" w:rsidP="009F00AF">
      <w:pPr>
        <w:pStyle w:val="BodyA"/>
        <w:rPr>
          <w:rStyle w:val="None"/>
          <w:rFonts w:ascii="Times New Roman" w:eastAsia="Times New Roman" w:hAnsi="Times New Roman" w:cs="Times New Roman"/>
        </w:rPr>
      </w:pPr>
    </w:p>
    <w:p w14:paraId="2B7913D2" w14:textId="77777777" w:rsidR="009F00AF" w:rsidRPr="006512F6" w:rsidRDefault="009F00AF" w:rsidP="009F00AF">
      <w:pPr>
        <w:pStyle w:val="BodyA"/>
        <w:rPr>
          <w:rStyle w:val="None"/>
          <w:rFonts w:ascii="Times New Roman" w:eastAsia="Times New Roman" w:hAnsi="Times New Roman" w:cs="Times New Roman"/>
        </w:rPr>
      </w:pPr>
      <w:r w:rsidRPr="006512F6">
        <w:rPr>
          <w:rStyle w:val="None"/>
          <w:rFonts w:ascii="Times New Roman" w:hAnsi="Times New Roman" w:cs="Times New Roman"/>
        </w:rPr>
        <w:t>Please provide your contact details in case we need to contact you in connection with this survey. Note that this is optional.</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BE02E5">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BE02E5">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6512F6" w:rsidRDefault="009F00AF" w:rsidP="00BE02E5">
            <w:pPr>
              <w:rPr>
                <w:sz w:val="24"/>
                <w:szCs w:val="24"/>
              </w:rPr>
            </w:pPr>
            <w:r w:rsidRPr="006512F6">
              <w:rPr>
                <w:sz w:val="24"/>
                <w:szCs w:val="24"/>
              </w:rPr>
              <w:fldChar w:fldCharType="begin">
                <w:ffData>
                  <w:name w:val="Check3"/>
                  <w:enabled/>
                  <w:calcOnExit w:val="0"/>
                  <w:checkBox>
                    <w:sizeAuto/>
                    <w:default w:val="0"/>
                  </w:checkBox>
                </w:ffData>
              </w:fldChar>
            </w:r>
            <w:bookmarkStart w:id="1" w:name="Check3"/>
            <w:r w:rsidRPr="006512F6">
              <w:rPr>
                <w:sz w:val="24"/>
                <w:szCs w:val="24"/>
              </w:rPr>
              <w:instrText xml:space="preserve"> FORMCHECKBOX </w:instrText>
            </w:r>
            <w:r w:rsidR="005479C4">
              <w:rPr>
                <w:sz w:val="24"/>
                <w:szCs w:val="24"/>
              </w:rPr>
            </w:r>
            <w:r w:rsidR="005479C4">
              <w:rPr>
                <w:sz w:val="24"/>
                <w:szCs w:val="24"/>
              </w:rPr>
              <w:fldChar w:fldCharType="separate"/>
            </w:r>
            <w:r w:rsidRPr="006512F6">
              <w:rPr>
                <w:sz w:val="24"/>
                <w:szCs w:val="24"/>
              </w:rPr>
              <w:fldChar w:fldCharType="end"/>
            </w:r>
            <w:bookmarkEnd w:id="1"/>
            <w:r w:rsidRPr="006512F6">
              <w:rPr>
                <w:sz w:val="24"/>
                <w:szCs w:val="24"/>
              </w:rPr>
              <w:t xml:space="preserve">  Member State     </w:t>
            </w:r>
          </w:p>
          <w:p w14:paraId="064105A3" w14:textId="254345BD" w:rsidR="009F00AF" w:rsidRPr="006512F6" w:rsidRDefault="009F00AF" w:rsidP="00BE02E5">
            <w:pPr>
              <w:ind w:left="394" w:hanging="394"/>
              <w:rPr>
                <w:sz w:val="24"/>
                <w:szCs w:val="24"/>
              </w:rPr>
            </w:pPr>
            <w:r w:rsidRPr="006512F6">
              <w:rPr>
                <w:sz w:val="24"/>
                <w:szCs w:val="24"/>
              </w:rPr>
              <w:fldChar w:fldCharType="begin">
                <w:ffData>
                  <w:name w:val=""/>
                  <w:enabled/>
                  <w:calcOnExit w:val="0"/>
                  <w:checkBox>
                    <w:sizeAuto/>
                    <w:default w:val="0"/>
                  </w:checkBox>
                </w:ffData>
              </w:fldChar>
            </w:r>
            <w:r w:rsidRPr="006512F6">
              <w:rPr>
                <w:sz w:val="24"/>
                <w:szCs w:val="24"/>
              </w:rPr>
              <w:instrText xml:space="preserve"> FORMCHECKBOX </w:instrText>
            </w:r>
            <w:r w:rsidR="005479C4">
              <w:rPr>
                <w:sz w:val="24"/>
                <w:szCs w:val="24"/>
              </w:rPr>
            </w:r>
            <w:r w:rsidR="005479C4">
              <w:rPr>
                <w:sz w:val="24"/>
                <w:szCs w:val="24"/>
              </w:rPr>
              <w:fldChar w:fldCharType="separate"/>
            </w:r>
            <w:r w:rsidRPr="006512F6">
              <w:rPr>
                <w:sz w:val="24"/>
                <w:szCs w:val="24"/>
              </w:rPr>
              <w:fldChar w:fldCharType="end"/>
            </w:r>
            <w:r w:rsidRPr="006512F6">
              <w:rPr>
                <w:sz w:val="24"/>
                <w:szCs w:val="24"/>
              </w:rPr>
              <w:t xml:space="preserve">  Observer State</w:t>
            </w:r>
          </w:p>
          <w:p w14:paraId="0781E329" w14:textId="25828743" w:rsidR="009F00AF" w:rsidRPr="006512F6" w:rsidRDefault="00735CD8" w:rsidP="00BE02E5">
            <w:pPr>
              <w:ind w:left="394" w:hanging="394"/>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5479C4">
              <w:rPr>
                <w:sz w:val="24"/>
                <w:szCs w:val="24"/>
              </w:rPr>
            </w:r>
            <w:r w:rsidR="005479C4">
              <w:rPr>
                <w:sz w:val="24"/>
                <w:szCs w:val="24"/>
              </w:rPr>
              <w:fldChar w:fldCharType="separate"/>
            </w:r>
            <w:r>
              <w:rPr>
                <w:sz w:val="24"/>
                <w:szCs w:val="24"/>
              </w:rPr>
              <w:fldChar w:fldCharType="end"/>
            </w:r>
            <w:r w:rsidR="009F00AF" w:rsidRPr="006512F6">
              <w:rPr>
                <w:sz w:val="24"/>
                <w:szCs w:val="24"/>
              </w:rPr>
              <w:t xml:space="preserve">  Other (please specify)</w:t>
            </w:r>
            <w:r w:rsidR="00227E63">
              <w:rPr>
                <w:sz w:val="24"/>
                <w:szCs w:val="24"/>
              </w:rPr>
              <w:t xml:space="preserve"> NGO</w:t>
            </w:r>
          </w:p>
        </w:tc>
      </w:tr>
      <w:tr w:rsidR="009F00AF" w:rsidRPr="005479C4" w14:paraId="17F5FE06" w14:textId="77777777" w:rsidTr="00BE02E5">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BE02E5">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BE02E5">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C20B7" w14:textId="77777777" w:rsidR="009F00AF" w:rsidRPr="00CF3C95" w:rsidRDefault="00227E63" w:rsidP="00BE02E5">
            <w:pPr>
              <w:rPr>
                <w:sz w:val="24"/>
                <w:szCs w:val="24"/>
                <w:lang w:val="fr-FR"/>
              </w:rPr>
            </w:pPr>
            <w:r w:rsidRPr="00CF3C95">
              <w:rPr>
                <w:sz w:val="24"/>
                <w:szCs w:val="24"/>
                <w:lang w:val="fr-FR"/>
              </w:rPr>
              <w:t>Region: Europe</w:t>
            </w:r>
          </w:p>
          <w:p w14:paraId="2A65A19E" w14:textId="5A622671" w:rsidR="00227E63" w:rsidRPr="00227E63" w:rsidRDefault="00227E63" w:rsidP="00BE02E5">
            <w:pPr>
              <w:rPr>
                <w:sz w:val="24"/>
                <w:szCs w:val="24"/>
                <w:lang w:val="fr-FR"/>
              </w:rPr>
            </w:pPr>
            <w:r w:rsidRPr="00227E63">
              <w:rPr>
                <w:sz w:val="24"/>
                <w:szCs w:val="24"/>
                <w:lang w:val="fr-FR"/>
              </w:rPr>
              <w:t>Organisation Intersex International Europe (OII Europe)</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bookmarkStart w:id="2" w:name="_GoBack"/>
      <w:bookmarkEnd w:id="2"/>
    </w:p>
    <w:p w14:paraId="4C768660" w14:textId="77777777" w:rsidR="009F00AF" w:rsidRDefault="009F00AF" w:rsidP="009F00AF">
      <w:pPr>
        <w:pStyle w:val="Heading1"/>
        <w:ind w:left="0"/>
        <w:jc w:val="left"/>
        <w:rPr>
          <w:rStyle w:val="Instructions"/>
          <w:sz w:val="24"/>
          <w:szCs w:val="24"/>
        </w:rPr>
      </w:pPr>
      <w:bookmarkStart w:id="3" w:name="_Toc48734679"/>
      <w:r w:rsidRPr="006512F6">
        <w:rPr>
          <w:sz w:val="24"/>
          <w:szCs w:val="24"/>
        </w:rPr>
        <w:t>Background</w:t>
      </w:r>
      <w:r w:rsidRPr="006512F6">
        <w:rPr>
          <w:rStyle w:val="Instructions"/>
          <w:sz w:val="24"/>
          <w:szCs w:val="24"/>
        </w:rPr>
        <w:t xml:space="preserve"> </w:t>
      </w:r>
      <w:bookmarkStart w:id="4" w:name="_Toc48734680"/>
      <w:bookmarkEnd w:id="3"/>
    </w:p>
    <w:p w14:paraId="7A0E004A" w14:textId="77777777" w:rsidR="009F00AF" w:rsidRPr="005879B6" w:rsidRDefault="009F00AF" w:rsidP="009F00AF"/>
    <w:p w14:paraId="062E1AE9" w14:textId="77777777" w:rsidR="009F00AF" w:rsidRPr="0096645F" w:rsidRDefault="009F00AF" w:rsidP="009F00AF">
      <w:pPr>
        <w:shd w:val="clear" w:color="auto" w:fill="FFFFFF"/>
        <w:jc w:val="both"/>
        <w:outlineLvl w:val="2"/>
        <w:rPr>
          <w:color w:val="000000"/>
          <w:sz w:val="24"/>
          <w:szCs w:val="24"/>
          <w:lang w:eastAsia="en-GB"/>
        </w:rPr>
      </w:pPr>
      <w:r w:rsidRPr="00FD7550">
        <w:rPr>
          <w:color w:val="000000"/>
          <w:sz w:val="24"/>
          <w:szCs w:val="24"/>
          <w:lang w:eastAsia="en-GB"/>
        </w:rPr>
        <w:t xml:space="preserve">Within the framework of Human Rights Council resolution 42/16, the Special </w:t>
      </w:r>
      <w:r>
        <w:rPr>
          <w:color w:val="000000"/>
          <w:sz w:val="24"/>
          <w:szCs w:val="24"/>
          <w:lang w:eastAsia="en-GB"/>
        </w:rPr>
        <w:t>R</w:t>
      </w:r>
      <w:r w:rsidRPr="00FD7550">
        <w:rPr>
          <w:color w:val="000000"/>
          <w:sz w:val="24"/>
          <w:szCs w:val="24"/>
          <w:lang w:eastAsia="en-GB"/>
        </w:rPr>
        <w:t xml:space="preserve">apporteur on the highest attainable standard of physical and mental health has identified sexuality, gender based violence and femicide as one of her priorities during her tenure (See </w:t>
      </w:r>
      <w:hyperlink r:id="rId13" w:history="1">
        <w:r w:rsidRPr="00FD7550">
          <w:rPr>
            <w:rStyle w:val="Hyperlink"/>
            <w:sz w:val="24"/>
            <w:szCs w:val="24"/>
            <w:lang w:eastAsia="en-GB"/>
          </w:rPr>
          <w:t>A/HRC/47/28</w:t>
        </w:r>
      </w:hyperlink>
      <w:r w:rsidRPr="00FD7550">
        <w:rPr>
          <w:color w:val="000000"/>
          <w:sz w:val="24"/>
          <w:szCs w:val="24"/>
          <w:lang w:eastAsia="en-GB"/>
        </w:rPr>
        <w:t xml:space="preserve"> paras 50-64). In compliance with her mandate and in line with this priority she has decided to devote her next thematic report to the 50</w:t>
      </w:r>
      <w:r w:rsidRPr="00FD7550">
        <w:rPr>
          <w:color w:val="000000"/>
          <w:sz w:val="24"/>
          <w:szCs w:val="24"/>
          <w:vertAlign w:val="superscript"/>
          <w:lang w:eastAsia="en-GB"/>
        </w:rPr>
        <w:t>th</w:t>
      </w:r>
      <w:r w:rsidRPr="00FD7550">
        <w:rPr>
          <w:color w:val="000000"/>
          <w:sz w:val="24"/>
          <w:szCs w:val="24"/>
          <w:lang w:eastAsia="en-GB"/>
        </w:rPr>
        <w:t xml:space="preserve"> session of the Human Rig</w:t>
      </w:r>
      <w:r>
        <w:rPr>
          <w:color w:val="000000"/>
          <w:sz w:val="24"/>
          <w:szCs w:val="24"/>
          <w:lang w:eastAsia="en-GB"/>
        </w:rPr>
        <w:t xml:space="preserve">hts Council in June 2022 to the theme </w:t>
      </w:r>
      <w:r w:rsidRPr="0096645F">
        <w:rPr>
          <w:color w:val="000000"/>
          <w:sz w:val="24"/>
          <w:szCs w:val="24"/>
          <w:lang w:eastAsia="en-GB"/>
        </w:rPr>
        <w:t xml:space="preserve">of “Violence and its impact on the right to health.” </w:t>
      </w:r>
    </w:p>
    <w:p w14:paraId="31CB1238" w14:textId="77777777" w:rsidR="009F00AF" w:rsidRDefault="009F00AF" w:rsidP="009F00AF">
      <w:pPr>
        <w:pStyle w:val="Heading1"/>
        <w:ind w:firstLine="563"/>
        <w:jc w:val="left"/>
        <w:rPr>
          <w:sz w:val="24"/>
          <w:szCs w:val="24"/>
        </w:rPr>
      </w:pPr>
    </w:p>
    <w:p w14:paraId="5686C350" w14:textId="77777777" w:rsidR="009F00AF" w:rsidRDefault="009F00AF" w:rsidP="009F00AF">
      <w:pPr>
        <w:pStyle w:val="Heading1"/>
        <w:ind w:firstLine="563"/>
        <w:jc w:val="left"/>
        <w:rPr>
          <w:sz w:val="24"/>
          <w:szCs w:val="24"/>
        </w:rPr>
      </w:pPr>
      <w:r w:rsidRPr="006512F6">
        <w:rPr>
          <w:sz w:val="24"/>
          <w:szCs w:val="24"/>
        </w:rPr>
        <w:t>Objectives</w:t>
      </w:r>
      <w:bookmarkEnd w:id="4"/>
      <w:r w:rsidRPr="006512F6">
        <w:rPr>
          <w:sz w:val="24"/>
          <w:szCs w:val="24"/>
        </w:rPr>
        <w:t xml:space="preserve"> of the report</w:t>
      </w:r>
    </w:p>
    <w:p w14:paraId="0AFFAD28" w14:textId="77777777" w:rsidR="009F00AF" w:rsidRPr="005879B6" w:rsidRDefault="009F00AF" w:rsidP="009F00AF">
      <w:pPr>
        <w:jc w:val="both"/>
      </w:pPr>
    </w:p>
    <w:p w14:paraId="0DA289E3" w14:textId="77777777" w:rsidR="009F00AF" w:rsidRPr="0096645F" w:rsidRDefault="009F00AF" w:rsidP="009F00AF">
      <w:pPr>
        <w:shd w:val="clear" w:color="auto" w:fill="FFFFFF"/>
        <w:jc w:val="both"/>
        <w:outlineLvl w:val="2"/>
        <w:rPr>
          <w:color w:val="000000"/>
          <w:sz w:val="24"/>
          <w:szCs w:val="24"/>
          <w:lang w:eastAsia="en-GB"/>
        </w:rPr>
      </w:pPr>
      <w:bookmarkStart w:id="5" w:name="_Toc48734681"/>
      <w:r w:rsidRPr="00FD7550">
        <w:rPr>
          <w:color w:val="000000"/>
          <w:sz w:val="24"/>
          <w:szCs w:val="24"/>
          <w:lang w:eastAsia="en-GB"/>
        </w:rPr>
        <w:t xml:space="preserve">The Special Rapporteur intends to shed light on who is seen as victims of violence, and who is affected by what type of violence, with </w:t>
      </w:r>
      <w:r w:rsidRPr="0096645F">
        <w:rPr>
          <w:color w:val="000000"/>
          <w:sz w:val="24"/>
          <w:szCs w:val="24"/>
          <w:lang w:eastAsia="en-GB"/>
        </w:rPr>
        <w:t xml:space="preserve">emphasis on the violence experienced by women, children, LGBTI persons </w:t>
      </w:r>
      <w:r w:rsidRPr="0096645F">
        <w:rPr>
          <w:sz w:val="24"/>
          <w:szCs w:val="24"/>
          <w:lang w:eastAsia="en-GB"/>
        </w:rPr>
        <w:t>and conflict related gender based violence. She will also explore the role of men as perpetrato</w:t>
      </w:r>
      <w:r w:rsidRPr="0096645F">
        <w:rPr>
          <w:color w:val="000000"/>
          <w:sz w:val="24"/>
          <w:szCs w:val="24"/>
          <w:lang w:eastAsia="en-GB"/>
        </w:rPr>
        <w:t>rs and their experience as victims of violence. Her analysis will look into the responses that survivors of violence receive</w:t>
      </w:r>
      <w:r w:rsidRPr="0096645F">
        <w:rPr>
          <w:color w:val="FF0000"/>
          <w:sz w:val="24"/>
          <w:szCs w:val="24"/>
          <w:lang w:eastAsia="en-GB"/>
        </w:rPr>
        <w:t xml:space="preserve"> </w:t>
      </w:r>
      <w:r w:rsidRPr="0096645F">
        <w:rPr>
          <w:color w:val="000000"/>
          <w:sz w:val="24"/>
          <w:szCs w:val="24"/>
          <w:lang w:eastAsia="en-GB"/>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14:paraId="2F907F57" w14:textId="31A65C84" w:rsidR="009F00AF" w:rsidRPr="00FD7550" w:rsidRDefault="009F00AF" w:rsidP="009F00AF">
      <w:pPr>
        <w:shd w:val="clear" w:color="auto" w:fill="FFFFFF"/>
        <w:spacing w:before="100" w:beforeAutospacing="1" w:after="100" w:afterAutospacing="1"/>
        <w:jc w:val="both"/>
        <w:outlineLvl w:val="2"/>
        <w:rPr>
          <w:color w:val="000000" w:themeColor="text1"/>
          <w:sz w:val="24"/>
          <w:szCs w:val="24"/>
          <w:lang w:eastAsia="en-GB"/>
        </w:rPr>
      </w:pPr>
      <w:r w:rsidRPr="0096645F">
        <w:rPr>
          <w:color w:val="000000"/>
          <w:sz w:val="24"/>
          <w:szCs w:val="24"/>
          <w:lang w:eastAsia="en-GB"/>
        </w:rPr>
        <w:t xml:space="preserve">In her report, the Special Rapporteur will address, inter alia, issues related to gender based violence, (including inter-personal and intimate violence), as well as structural </w:t>
      </w:r>
      <w:r w:rsidRPr="0096645F">
        <w:rPr>
          <w:sz w:val="24"/>
          <w:szCs w:val="24"/>
          <w:lang w:eastAsia="en-GB"/>
        </w:rPr>
        <w:t>violence. She will also assess the impact of the criminalization of sex work, same sex relations, transgender persons, abortion, drug use etc</w:t>
      </w:r>
      <w:r w:rsidR="003830AB">
        <w:rPr>
          <w:sz w:val="24"/>
          <w:szCs w:val="24"/>
          <w:lang w:eastAsia="en-GB"/>
        </w:rPr>
        <w:t>.</w:t>
      </w:r>
      <w:r w:rsidR="00C86EEC">
        <w:rPr>
          <w:sz w:val="24"/>
          <w:szCs w:val="24"/>
          <w:lang w:eastAsia="en-GB"/>
        </w:rPr>
        <w:t xml:space="preserve"> on the enjoyment of the right to health</w:t>
      </w:r>
      <w:r w:rsidRPr="0096645F">
        <w:rPr>
          <w:sz w:val="24"/>
          <w:szCs w:val="24"/>
          <w:lang w:eastAsia="en-GB"/>
        </w:rPr>
        <w:t xml:space="preserve">. </w:t>
      </w:r>
      <w:r w:rsidRPr="00FD7550">
        <w:rPr>
          <w:color w:val="000000"/>
          <w:sz w:val="24"/>
          <w:szCs w:val="24"/>
          <w:lang w:eastAsia="en-GB"/>
        </w:rPr>
        <w:t xml:space="preserve">The Special Rapporteur would like to </w:t>
      </w:r>
      <w:r w:rsidRPr="0096645F">
        <w:rPr>
          <w:color w:val="000000"/>
          <w:sz w:val="24"/>
          <w:szCs w:val="24"/>
          <w:lang w:eastAsia="en-GB"/>
        </w:rPr>
        <w:t xml:space="preserve">identify good practices and examples of comprehensive health responses to survivors of violence, and to identify lessons learned at the </w:t>
      </w:r>
      <w:r w:rsidRPr="0096645F">
        <w:rPr>
          <w:color w:val="000000" w:themeColor="text1"/>
          <w:sz w:val="24"/>
          <w:szCs w:val="24"/>
          <w:lang w:eastAsia="en-GB"/>
        </w:rPr>
        <w:t>community, national, regional and international</w:t>
      </w:r>
      <w:r w:rsidRPr="00FD7550">
        <w:rPr>
          <w:color w:val="000000" w:themeColor="text1"/>
          <w:sz w:val="24"/>
          <w:szCs w:val="24"/>
          <w:lang w:eastAsia="en-GB"/>
        </w:rPr>
        <w:t xml:space="preserve"> levels.</w:t>
      </w:r>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r w:rsidRPr="00373EF9">
        <w:rPr>
          <w:sz w:val="24"/>
          <w:szCs w:val="24"/>
        </w:rPr>
        <w:t xml:space="preserve">Key questions </w:t>
      </w:r>
      <w:bookmarkEnd w:id="5"/>
    </w:p>
    <w:p w14:paraId="1020CF9A" w14:textId="77777777" w:rsidR="009F00AF" w:rsidRPr="0096645F" w:rsidRDefault="009F00AF" w:rsidP="009F00AF">
      <w:pPr>
        <w:rPr>
          <w:sz w:val="24"/>
          <w:szCs w:val="24"/>
        </w:rPr>
      </w:pPr>
    </w:p>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answer all or some of the questions below. (750 words limit per question).</w:t>
      </w:r>
    </w:p>
    <w:p w14:paraId="1A4A3243" w14:textId="77777777" w:rsidR="009F00AF" w:rsidRDefault="009F00AF" w:rsidP="009F00AF">
      <w:pPr>
        <w:shd w:val="clear" w:color="auto" w:fill="FFFFFF"/>
        <w:spacing w:line="259" w:lineRule="auto"/>
        <w:outlineLvl w:val="2"/>
        <w:rPr>
          <w:color w:val="000000"/>
          <w:sz w:val="24"/>
          <w:szCs w:val="24"/>
          <w:lang w:eastAsia="en-GB"/>
        </w:rPr>
      </w:pPr>
    </w:p>
    <w:p w14:paraId="2B76F920" w14:textId="77777777" w:rsidR="009F00AF" w:rsidRDefault="009F00AF" w:rsidP="009F00AF">
      <w:pPr>
        <w:shd w:val="clear" w:color="auto" w:fill="FFFFFF"/>
        <w:spacing w:line="259" w:lineRule="auto"/>
        <w:outlineLvl w:val="2"/>
        <w:rPr>
          <w:color w:val="000000"/>
          <w:sz w:val="24"/>
          <w:szCs w:val="24"/>
          <w:lang w:eastAsia="en-GB"/>
        </w:rPr>
      </w:pPr>
      <w:r w:rsidRPr="0096645F">
        <w:rPr>
          <w:color w:val="000000"/>
          <w:sz w:val="24"/>
          <w:szCs w:val="24"/>
          <w:lang w:eastAsia="en-GB"/>
        </w:rPr>
        <w:t xml:space="preserve">When responding to the questions below, please use the glossary with definitions at the end of the questionnaire, and refer to all or some of </w:t>
      </w:r>
      <w:r>
        <w:rPr>
          <w:color w:val="000000"/>
          <w:sz w:val="24"/>
          <w:szCs w:val="24"/>
          <w:lang w:eastAsia="en-GB"/>
        </w:rPr>
        <w:t xml:space="preserve">the </w:t>
      </w:r>
      <w:r w:rsidRPr="0096645F">
        <w:rPr>
          <w:color w:val="000000"/>
          <w:sz w:val="24"/>
          <w:szCs w:val="24"/>
          <w:lang w:eastAsia="en-GB"/>
        </w:rPr>
        <w:t>forms of violence in focus for this study as applicable in your country, countries or region in focus:</w:t>
      </w:r>
    </w:p>
    <w:p w14:paraId="0E4010BA" w14:textId="77777777" w:rsidR="009F00AF" w:rsidRPr="0096645F" w:rsidRDefault="009F00AF" w:rsidP="009F00AF">
      <w:pPr>
        <w:shd w:val="clear" w:color="auto" w:fill="FFFFFF"/>
        <w:spacing w:line="259" w:lineRule="auto"/>
        <w:outlineLvl w:val="2"/>
        <w:rPr>
          <w:color w:val="000000"/>
          <w:sz w:val="24"/>
          <w:szCs w:val="24"/>
          <w:lang w:eastAsia="en-GB"/>
        </w:rPr>
      </w:pPr>
    </w:p>
    <w:p w14:paraId="4ACE69B7" w14:textId="77777777" w:rsidR="009F00AF" w:rsidRPr="00D90F79" w:rsidRDefault="009F00AF" w:rsidP="009F00AF">
      <w:pPr>
        <w:pStyle w:val="ListParagraph"/>
        <w:numPr>
          <w:ilvl w:val="0"/>
          <w:numId w:val="1"/>
        </w:numPr>
        <w:shd w:val="clear" w:color="auto" w:fill="FFFFFF"/>
        <w:spacing w:line="259" w:lineRule="auto"/>
        <w:outlineLvl w:val="2"/>
        <w:rPr>
          <w:color w:val="1F4E79" w:themeColor="accent1" w:themeShade="80"/>
          <w:sz w:val="24"/>
          <w:szCs w:val="24"/>
          <w:lang w:eastAsia="en-GB"/>
        </w:rPr>
      </w:pPr>
      <w:r w:rsidRPr="00D90F79">
        <w:rPr>
          <w:color w:val="1F4E79" w:themeColor="accent1" w:themeShade="80"/>
          <w:sz w:val="24"/>
          <w:szCs w:val="24"/>
          <w:lang w:eastAsia="en-GB"/>
        </w:rPr>
        <w:t xml:space="preserve">Please describe, share </w:t>
      </w:r>
      <w:r w:rsidRPr="00D90F79">
        <w:rPr>
          <w:color w:val="1F4E79" w:themeColor="accent1" w:themeShade="80"/>
          <w:sz w:val="24"/>
          <w:szCs w:val="24"/>
          <w:u w:val="single"/>
          <w:lang w:eastAsia="en-GB"/>
        </w:rPr>
        <w:t>data and information on the characteristics, number of cases, and the profile of victims and perpetrators</w:t>
      </w:r>
      <w:r w:rsidRPr="00D90F79">
        <w:rPr>
          <w:color w:val="1F4E79" w:themeColor="accent1" w:themeShade="80"/>
          <w:sz w:val="24"/>
          <w:szCs w:val="24"/>
          <w:lang w:eastAsia="en-GB"/>
        </w:rPr>
        <w:t xml:space="preserve"> in your country/ies or region(s) regarding:</w:t>
      </w:r>
    </w:p>
    <w:p w14:paraId="6BBA6985" w14:textId="77777777" w:rsidR="009F00AF" w:rsidRPr="00D90F79" w:rsidRDefault="009F00AF" w:rsidP="009F00AF">
      <w:pPr>
        <w:pStyle w:val="ListParagraph"/>
        <w:shd w:val="clear" w:color="auto" w:fill="FFFFFF"/>
        <w:spacing w:line="259" w:lineRule="auto"/>
        <w:ind w:left="360"/>
        <w:outlineLvl w:val="2"/>
        <w:rPr>
          <w:color w:val="1F4E79" w:themeColor="accent1" w:themeShade="80"/>
          <w:sz w:val="24"/>
          <w:szCs w:val="24"/>
          <w:lang w:eastAsia="en-GB"/>
        </w:rPr>
      </w:pPr>
    </w:p>
    <w:p w14:paraId="696EFD90" w14:textId="77777777" w:rsidR="009F00AF" w:rsidRPr="00D90F79" w:rsidRDefault="009F00AF" w:rsidP="009F00AF">
      <w:pPr>
        <w:pStyle w:val="ListParagraph"/>
        <w:numPr>
          <w:ilvl w:val="1"/>
          <w:numId w:val="2"/>
        </w:numPr>
        <w:shd w:val="clear" w:color="auto" w:fill="FFFFFF"/>
        <w:spacing w:line="259" w:lineRule="auto"/>
        <w:outlineLvl w:val="2"/>
        <w:rPr>
          <w:color w:val="1F4E79" w:themeColor="accent1" w:themeShade="80"/>
          <w:sz w:val="24"/>
          <w:szCs w:val="24"/>
          <w:lang w:eastAsia="en-GB"/>
        </w:rPr>
      </w:pPr>
      <w:r w:rsidRPr="00D90F79">
        <w:rPr>
          <w:color w:val="1F4E79" w:themeColor="accent1" w:themeShade="80"/>
          <w:sz w:val="24"/>
          <w:szCs w:val="24"/>
          <w:lang w:eastAsia="en-GB"/>
        </w:rPr>
        <w:t xml:space="preserve">gender based violence against women </w:t>
      </w:r>
    </w:p>
    <w:p w14:paraId="62026D07" w14:textId="77777777" w:rsidR="009F00AF" w:rsidRPr="00D90F79" w:rsidRDefault="009F00AF" w:rsidP="009F00AF">
      <w:pPr>
        <w:pStyle w:val="ListParagraph"/>
        <w:numPr>
          <w:ilvl w:val="1"/>
          <w:numId w:val="2"/>
        </w:numPr>
        <w:shd w:val="clear" w:color="auto" w:fill="FFFFFF"/>
        <w:spacing w:line="259" w:lineRule="auto"/>
        <w:outlineLvl w:val="2"/>
        <w:rPr>
          <w:color w:val="1F4E79" w:themeColor="accent1" w:themeShade="80"/>
          <w:sz w:val="24"/>
          <w:szCs w:val="24"/>
          <w:lang w:eastAsia="en-GB"/>
        </w:rPr>
      </w:pPr>
      <w:r w:rsidRPr="00D90F79">
        <w:rPr>
          <w:color w:val="1F4E79" w:themeColor="accent1" w:themeShade="80"/>
          <w:sz w:val="24"/>
          <w:szCs w:val="24"/>
          <w:lang w:eastAsia="en-GB"/>
        </w:rPr>
        <w:t>gender based violence and other forms of violence against children:</w:t>
      </w:r>
    </w:p>
    <w:p w14:paraId="121D9F14" w14:textId="77777777" w:rsidR="009F00AF" w:rsidRPr="00D90F79" w:rsidRDefault="009F00AF" w:rsidP="009F00AF">
      <w:pPr>
        <w:pStyle w:val="ListParagraph"/>
        <w:numPr>
          <w:ilvl w:val="1"/>
          <w:numId w:val="2"/>
        </w:numPr>
        <w:shd w:val="clear" w:color="auto" w:fill="FFFFFF"/>
        <w:spacing w:line="259" w:lineRule="auto"/>
        <w:outlineLvl w:val="2"/>
        <w:rPr>
          <w:color w:val="1F4E79" w:themeColor="accent1" w:themeShade="80"/>
          <w:sz w:val="24"/>
          <w:szCs w:val="24"/>
          <w:lang w:eastAsia="en-GB"/>
        </w:rPr>
      </w:pPr>
      <w:r w:rsidRPr="00D90F79">
        <w:rPr>
          <w:color w:val="1F4E79" w:themeColor="accent1" w:themeShade="80"/>
          <w:sz w:val="24"/>
          <w:szCs w:val="24"/>
          <w:u w:val="single"/>
          <w:lang w:eastAsia="en-GB"/>
        </w:rPr>
        <w:t>gender based violence against LGBTI or other persons based on real or imputed sexual orientation, sex characteristics, and gender identity</w:t>
      </w:r>
      <w:r w:rsidRPr="00D90F79">
        <w:rPr>
          <w:color w:val="1F4E79" w:themeColor="accent1" w:themeShade="80"/>
          <w:sz w:val="24"/>
          <w:szCs w:val="24"/>
          <w:lang w:eastAsia="en-GB"/>
        </w:rPr>
        <w:t xml:space="preserve">: </w:t>
      </w:r>
    </w:p>
    <w:p w14:paraId="156C8D92" w14:textId="77777777" w:rsidR="009F00AF" w:rsidRPr="00D90F79" w:rsidRDefault="009F00AF" w:rsidP="009F00AF">
      <w:pPr>
        <w:pStyle w:val="ListParagraph"/>
        <w:numPr>
          <w:ilvl w:val="1"/>
          <w:numId w:val="2"/>
        </w:numPr>
        <w:shd w:val="clear" w:color="auto" w:fill="FFFFFF"/>
        <w:spacing w:line="259" w:lineRule="auto"/>
        <w:outlineLvl w:val="2"/>
        <w:rPr>
          <w:color w:val="1F4E79" w:themeColor="accent1" w:themeShade="80"/>
          <w:sz w:val="24"/>
          <w:szCs w:val="24"/>
          <w:lang w:eastAsia="en-GB"/>
        </w:rPr>
      </w:pPr>
      <w:r w:rsidRPr="00D90F79">
        <w:rPr>
          <w:color w:val="1F4E79" w:themeColor="accent1" w:themeShade="80"/>
          <w:sz w:val="24"/>
          <w:szCs w:val="24"/>
          <w:lang w:eastAsia="en-GB"/>
        </w:rPr>
        <w:t>violence against persons with disabilities, including GBV.</w:t>
      </w:r>
    </w:p>
    <w:p w14:paraId="007FE293" w14:textId="77777777" w:rsidR="009F00AF" w:rsidRPr="00D90F79" w:rsidRDefault="009F00AF" w:rsidP="009F00AF">
      <w:pPr>
        <w:pStyle w:val="ListParagraph"/>
        <w:numPr>
          <w:ilvl w:val="1"/>
          <w:numId w:val="2"/>
        </w:numPr>
        <w:shd w:val="clear" w:color="auto" w:fill="FFFFFF"/>
        <w:spacing w:line="259" w:lineRule="auto"/>
        <w:outlineLvl w:val="2"/>
        <w:rPr>
          <w:color w:val="1F4E79" w:themeColor="accent1" w:themeShade="80"/>
          <w:sz w:val="24"/>
          <w:szCs w:val="24"/>
          <w:lang w:eastAsia="en-GB"/>
        </w:rPr>
      </w:pPr>
      <w:r w:rsidRPr="00D90F79">
        <w:rPr>
          <w:color w:val="1F4E79" w:themeColor="accent1" w:themeShade="80"/>
          <w:sz w:val="24"/>
          <w:szCs w:val="24"/>
          <w:lang w:eastAsia="en-GB"/>
        </w:rPr>
        <w:t>gender based violence against men</w:t>
      </w:r>
    </w:p>
    <w:p w14:paraId="4523CE49" w14:textId="77777777" w:rsidR="009F00AF" w:rsidRPr="00D90F79" w:rsidRDefault="009F00AF" w:rsidP="009F00AF">
      <w:pPr>
        <w:pStyle w:val="ListParagraph"/>
        <w:numPr>
          <w:ilvl w:val="1"/>
          <w:numId w:val="2"/>
        </w:numPr>
        <w:shd w:val="clear" w:color="auto" w:fill="FFFFFF"/>
        <w:spacing w:line="259" w:lineRule="auto"/>
        <w:outlineLvl w:val="2"/>
        <w:rPr>
          <w:color w:val="1F4E79" w:themeColor="accent1" w:themeShade="80"/>
          <w:sz w:val="24"/>
          <w:szCs w:val="24"/>
          <w:lang w:eastAsia="en-GB"/>
        </w:rPr>
      </w:pPr>
      <w:r w:rsidRPr="00D90F79">
        <w:rPr>
          <w:color w:val="1F4E79" w:themeColor="accent1" w:themeShade="80"/>
          <w:sz w:val="24"/>
          <w:szCs w:val="24"/>
          <w:lang w:eastAsia="en-GB"/>
        </w:rPr>
        <w:t>conflict gender based violence, including sexual violence</w:t>
      </w:r>
    </w:p>
    <w:p w14:paraId="09AD98CC" w14:textId="77777777" w:rsidR="009F00AF" w:rsidRPr="00FD6BE7" w:rsidRDefault="009F00AF" w:rsidP="009F00AF">
      <w:pPr>
        <w:pStyle w:val="ListParagraph"/>
        <w:numPr>
          <w:ilvl w:val="1"/>
          <w:numId w:val="2"/>
        </w:numPr>
        <w:shd w:val="clear" w:color="auto" w:fill="FFFFFF"/>
        <w:spacing w:line="259" w:lineRule="auto"/>
        <w:outlineLvl w:val="2"/>
        <w:rPr>
          <w:color w:val="1F4E79" w:themeColor="accent1" w:themeShade="80"/>
          <w:sz w:val="24"/>
          <w:szCs w:val="24"/>
          <w:u w:val="single"/>
          <w:lang w:eastAsia="en-GB"/>
        </w:rPr>
      </w:pPr>
      <w:r w:rsidRPr="00FD6BE7">
        <w:rPr>
          <w:color w:val="1F4E79" w:themeColor="accent1" w:themeShade="80"/>
          <w:sz w:val="24"/>
          <w:szCs w:val="24"/>
          <w:u w:val="single"/>
          <w:lang w:eastAsia="en-GB"/>
        </w:rPr>
        <w:t>Please share analysis and available evidence on the impact of COVID on the above</w:t>
      </w:r>
    </w:p>
    <w:p w14:paraId="63CB739E" w14:textId="75545821" w:rsidR="009F00AF" w:rsidRDefault="000914BF" w:rsidP="000914BF">
      <w:pPr>
        <w:shd w:val="clear" w:color="auto" w:fill="FFFFFF"/>
        <w:spacing w:line="259" w:lineRule="auto"/>
        <w:ind w:left="360"/>
        <w:outlineLvl w:val="2"/>
        <w:rPr>
          <w:color w:val="000000"/>
          <w:sz w:val="24"/>
          <w:szCs w:val="24"/>
          <w:lang w:eastAsia="en-GB"/>
        </w:rPr>
      </w:pPr>
      <w:r w:rsidRPr="000914BF">
        <w:rPr>
          <w:color w:val="000000"/>
          <w:sz w:val="24"/>
          <w:szCs w:val="24"/>
          <w:lang w:eastAsia="en-GB"/>
        </w:rPr>
        <w:t>Intersex people are born with sex characteristics (sexual anatomy, reproductive organs, hormonal structure and/or levels and/or chromosomal patterns) that do not fit the typical definition of male or female</w:t>
      </w:r>
      <w:r>
        <w:rPr>
          <w:rStyle w:val="FootnoteReference"/>
          <w:color w:val="000000"/>
          <w:sz w:val="24"/>
          <w:szCs w:val="24"/>
          <w:lang w:eastAsia="en-GB"/>
        </w:rPr>
        <w:footnoteReference w:id="1"/>
      </w:r>
      <w:r>
        <w:rPr>
          <w:color w:val="000000"/>
          <w:sz w:val="24"/>
          <w:szCs w:val="24"/>
          <w:lang w:eastAsia="en-GB"/>
        </w:rPr>
        <w:t>.</w:t>
      </w:r>
      <w:r w:rsidR="0059005C">
        <w:rPr>
          <w:color w:val="000000"/>
          <w:sz w:val="24"/>
          <w:szCs w:val="24"/>
          <w:lang w:eastAsia="en-GB"/>
        </w:rPr>
        <w:t xml:space="preserve"> </w:t>
      </w:r>
    </w:p>
    <w:p w14:paraId="6F80B7EE" w14:textId="381D272A" w:rsidR="001B0EA5" w:rsidRDefault="001B0EA5" w:rsidP="0059005C">
      <w:pPr>
        <w:shd w:val="clear" w:color="auto" w:fill="FFFFFF"/>
        <w:spacing w:line="259" w:lineRule="auto"/>
        <w:ind w:left="360"/>
        <w:outlineLvl w:val="2"/>
        <w:rPr>
          <w:color w:val="000000"/>
          <w:sz w:val="24"/>
          <w:szCs w:val="24"/>
          <w:lang w:eastAsia="en-GB"/>
        </w:rPr>
      </w:pPr>
    </w:p>
    <w:p w14:paraId="517439EB" w14:textId="5EEBC606" w:rsidR="001B0EA5" w:rsidRDefault="005D7B46" w:rsidP="0059005C">
      <w:pPr>
        <w:shd w:val="clear" w:color="auto" w:fill="FFFFFF"/>
        <w:spacing w:line="259" w:lineRule="auto"/>
        <w:ind w:left="360"/>
        <w:outlineLvl w:val="2"/>
        <w:rPr>
          <w:color w:val="000000"/>
          <w:sz w:val="24"/>
          <w:szCs w:val="24"/>
          <w:lang w:eastAsia="en-GB"/>
        </w:rPr>
      </w:pPr>
      <w:r w:rsidRPr="005D7B46">
        <w:rPr>
          <w:color w:val="000000"/>
          <w:sz w:val="24"/>
          <w:szCs w:val="24"/>
          <w:lang w:eastAsia="en-GB"/>
        </w:rPr>
        <w:t>Intersex people are victims of violence motivated by bias towards their variations of sex characteristics</w:t>
      </w:r>
      <w:r w:rsidR="006E2248" w:rsidRPr="006E2248">
        <w:rPr>
          <w:rFonts w:asciiTheme="minorHAnsi" w:eastAsia="Arial" w:hAnsiTheme="minorHAnsi" w:cstheme="minorHAnsi"/>
          <w:sz w:val="22"/>
          <w:szCs w:val="22"/>
          <w:lang w:eastAsia="de-DE"/>
        </w:rPr>
        <w:t xml:space="preserve"> </w:t>
      </w:r>
      <w:r w:rsidR="006E2248">
        <w:rPr>
          <w:rFonts w:asciiTheme="minorHAnsi" w:eastAsia="Arial" w:hAnsiTheme="minorHAnsi" w:cstheme="minorHAnsi"/>
          <w:sz w:val="22"/>
          <w:szCs w:val="22"/>
          <w:lang w:eastAsia="de-DE"/>
        </w:rPr>
        <w:t xml:space="preserve">and </w:t>
      </w:r>
      <w:r w:rsidR="006E2248" w:rsidRPr="006E2248">
        <w:rPr>
          <w:color w:val="000000"/>
          <w:sz w:val="24"/>
          <w:szCs w:val="24"/>
          <w:lang w:eastAsia="en-GB"/>
        </w:rPr>
        <w:t>physical appearance</w:t>
      </w:r>
      <w:r w:rsidR="00500EAD">
        <w:rPr>
          <w:color w:val="000000"/>
          <w:sz w:val="24"/>
          <w:szCs w:val="24"/>
          <w:lang w:eastAsia="en-GB"/>
        </w:rPr>
        <w:t xml:space="preserve"> -</w:t>
      </w:r>
      <w:r w:rsidR="006E2248" w:rsidRPr="006E2248">
        <w:rPr>
          <w:color w:val="000000"/>
          <w:sz w:val="24"/>
          <w:szCs w:val="24"/>
          <w:lang w:eastAsia="en-GB"/>
        </w:rPr>
        <w:t xml:space="preserve"> which the perpetrators perceive as non-conforming to gender and societal norms</w:t>
      </w:r>
      <w:r w:rsidR="00500EAD">
        <w:rPr>
          <w:color w:val="000000"/>
          <w:sz w:val="24"/>
          <w:szCs w:val="24"/>
          <w:lang w:eastAsia="en-GB"/>
        </w:rPr>
        <w:t xml:space="preserve"> -</w:t>
      </w:r>
      <w:r w:rsidRPr="005D7B46">
        <w:rPr>
          <w:color w:val="000000"/>
          <w:sz w:val="24"/>
          <w:szCs w:val="24"/>
          <w:lang w:eastAsia="en-GB"/>
        </w:rPr>
        <w:t xml:space="preserve"> that qualify as </w:t>
      </w:r>
      <w:r>
        <w:rPr>
          <w:color w:val="000000"/>
          <w:sz w:val="24"/>
          <w:szCs w:val="24"/>
          <w:lang w:eastAsia="en-GB"/>
        </w:rPr>
        <w:t>gender-based violence</w:t>
      </w:r>
      <w:r w:rsidRPr="005D7B46">
        <w:rPr>
          <w:color w:val="000000"/>
          <w:sz w:val="24"/>
          <w:szCs w:val="24"/>
          <w:lang w:eastAsia="en-GB"/>
        </w:rPr>
        <w:t xml:space="preserve"> </w:t>
      </w:r>
      <w:r>
        <w:rPr>
          <w:color w:val="000000"/>
          <w:sz w:val="24"/>
          <w:szCs w:val="24"/>
          <w:lang w:eastAsia="en-GB"/>
        </w:rPr>
        <w:t xml:space="preserve">(GBV) </w:t>
      </w:r>
      <w:r w:rsidRPr="005D7B46">
        <w:rPr>
          <w:color w:val="000000"/>
          <w:sz w:val="24"/>
          <w:szCs w:val="24"/>
          <w:lang w:eastAsia="en-GB"/>
        </w:rPr>
        <w:t>and hate crime / hate speech</w:t>
      </w:r>
      <w:r>
        <w:rPr>
          <w:color w:val="000000"/>
          <w:sz w:val="24"/>
          <w:szCs w:val="24"/>
          <w:lang w:eastAsia="en-GB"/>
        </w:rPr>
        <w:t xml:space="preserve">. </w:t>
      </w:r>
    </w:p>
    <w:p w14:paraId="0BE86D3C" w14:textId="6EB34207" w:rsidR="005D7B46" w:rsidRDefault="005D7B46" w:rsidP="0059005C">
      <w:pPr>
        <w:shd w:val="clear" w:color="auto" w:fill="FFFFFF"/>
        <w:spacing w:line="259" w:lineRule="auto"/>
        <w:ind w:left="360"/>
        <w:outlineLvl w:val="2"/>
        <w:rPr>
          <w:color w:val="000000"/>
          <w:sz w:val="24"/>
          <w:szCs w:val="24"/>
          <w:lang w:eastAsia="en-GB"/>
        </w:rPr>
      </w:pPr>
    </w:p>
    <w:p w14:paraId="3C8B3B3C" w14:textId="77777777" w:rsidR="004675EB" w:rsidRDefault="005D7B46" w:rsidP="006E2248">
      <w:pPr>
        <w:shd w:val="clear" w:color="auto" w:fill="FFFFFF"/>
        <w:spacing w:line="259" w:lineRule="auto"/>
        <w:ind w:left="360"/>
        <w:outlineLvl w:val="2"/>
        <w:rPr>
          <w:color w:val="000000"/>
          <w:sz w:val="24"/>
          <w:szCs w:val="24"/>
          <w:lang w:eastAsia="en-GB"/>
        </w:rPr>
      </w:pPr>
      <w:r w:rsidRPr="005D7B46">
        <w:rPr>
          <w:color w:val="000000"/>
          <w:sz w:val="24"/>
          <w:szCs w:val="24"/>
          <w:lang w:eastAsia="en-GB"/>
        </w:rPr>
        <w:t>According to the 2019 FRA LGBTI survey</w:t>
      </w:r>
      <w:r w:rsidR="00C75D8F">
        <w:rPr>
          <w:rStyle w:val="FootnoteReference"/>
          <w:color w:val="000000"/>
          <w:sz w:val="24"/>
          <w:szCs w:val="24"/>
          <w:lang w:eastAsia="en-GB"/>
        </w:rPr>
        <w:footnoteReference w:id="2"/>
      </w:r>
      <w:r w:rsidRPr="005D7B46">
        <w:rPr>
          <w:color w:val="000000"/>
          <w:sz w:val="24"/>
          <w:szCs w:val="24"/>
          <w:lang w:eastAsia="en-GB"/>
        </w:rPr>
        <w:t>, in the five years before the survey</w:t>
      </w:r>
      <w:r w:rsidR="002A6E7B">
        <w:rPr>
          <w:color w:val="000000"/>
          <w:sz w:val="24"/>
          <w:szCs w:val="24"/>
          <w:lang w:eastAsia="en-GB"/>
        </w:rPr>
        <w:t xml:space="preserve"> </w:t>
      </w:r>
      <w:r w:rsidR="002A6E7B" w:rsidRPr="002A6E7B">
        <w:rPr>
          <w:color w:val="000000"/>
          <w:sz w:val="24"/>
          <w:szCs w:val="24"/>
          <w:lang w:eastAsia="en-GB"/>
        </w:rPr>
        <w:t>22% of intersex respondents experienced a physical and/or sexual attack for being LGBTI</w:t>
      </w:r>
      <w:r w:rsidR="002A6E7B">
        <w:rPr>
          <w:color w:val="000000"/>
          <w:sz w:val="24"/>
          <w:szCs w:val="24"/>
          <w:lang w:eastAsia="en-GB"/>
        </w:rPr>
        <w:t>.</w:t>
      </w:r>
      <w:r w:rsidR="006E2248">
        <w:rPr>
          <w:color w:val="000000"/>
          <w:sz w:val="24"/>
          <w:szCs w:val="24"/>
          <w:lang w:eastAsia="en-GB"/>
        </w:rPr>
        <w:t xml:space="preserve"> </w:t>
      </w:r>
      <w:r w:rsidR="006E2248" w:rsidRPr="006E2248">
        <w:rPr>
          <w:color w:val="000000"/>
          <w:sz w:val="24"/>
          <w:szCs w:val="24"/>
          <w:lang w:eastAsia="en-GB"/>
        </w:rPr>
        <w:t>38% at least once experienced violent in-person threats due to being LGBTI in the 12 months before, and 27% even six or more times</w:t>
      </w:r>
      <w:r w:rsidR="006E2248">
        <w:rPr>
          <w:rStyle w:val="FootnoteReference"/>
          <w:color w:val="000000"/>
          <w:sz w:val="24"/>
          <w:szCs w:val="24"/>
          <w:lang w:eastAsia="en-GB"/>
        </w:rPr>
        <w:footnoteReference w:id="3"/>
      </w:r>
      <w:r w:rsidR="006E2248">
        <w:rPr>
          <w:color w:val="000000"/>
          <w:sz w:val="24"/>
          <w:szCs w:val="24"/>
          <w:lang w:eastAsia="en-GB"/>
        </w:rPr>
        <w:t>.</w:t>
      </w:r>
      <w:r w:rsidR="004675EB">
        <w:rPr>
          <w:color w:val="000000"/>
          <w:sz w:val="24"/>
          <w:szCs w:val="24"/>
          <w:lang w:eastAsia="en-GB"/>
        </w:rPr>
        <w:t xml:space="preserve"> </w:t>
      </w:r>
    </w:p>
    <w:p w14:paraId="0A8DD97E" w14:textId="77777777" w:rsidR="004675EB" w:rsidRDefault="004675EB" w:rsidP="006E2248">
      <w:pPr>
        <w:shd w:val="clear" w:color="auto" w:fill="FFFFFF"/>
        <w:spacing w:line="259" w:lineRule="auto"/>
        <w:ind w:left="360"/>
        <w:outlineLvl w:val="2"/>
        <w:rPr>
          <w:color w:val="000000"/>
          <w:sz w:val="24"/>
          <w:szCs w:val="24"/>
          <w:lang w:eastAsia="en-GB"/>
        </w:rPr>
      </w:pPr>
    </w:p>
    <w:p w14:paraId="1CDE13DE" w14:textId="06A9FCC0" w:rsidR="004675EB" w:rsidRDefault="004675EB" w:rsidP="006E2248">
      <w:pPr>
        <w:shd w:val="clear" w:color="auto" w:fill="FFFFFF"/>
        <w:spacing w:line="259" w:lineRule="auto"/>
        <w:ind w:left="360"/>
        <w:outlineLvl w:val="2"/>
        <w:rPr>
          <w:color w:val="000000"/>
          <w:sz w:val="24"/>
          <w:szCs w:val="24"/>
          <w:lang w:eastAsia="en-GB"/>
        </w:rPr>
      </w:pPr>
      <w:r>
        <w:rPr>
          <w:color w:val="000000"/>
          <w:sz w:val="24"/>
          <w:szCs w:val="24"/>
          <w:lang w:eastAsia="en-GB"/>
        </w:rPr>
        <w:t xml:space="preserve">GBV and hate crime dramatically affect </w:t>
      </w:r>
      <w:r w:rsidR="00942D00">
        <w:rPr>
          <w:color w:val="000000"/>
          <w:sz w:val="24"/>
          <w:szCs w:val="24"/>
          <w:lang w:eastAsia="en-GB"/>
        </w:rPr>
        <w:t>the</w:t>
      </w:r>
      <w:r>
        <w:rPr>
          <w:color w:val="000000"/>
          <w:sz w:val="24"/>
          <w:szCs w:val="24"/>
          <w:lang w:eastAsia="en-GB"/>
        </w:rPr>
        <w:t xml:space="preserve"> youth. Among </w:t>
      </w:r>
      <w:r w:rsidR="00942D00">
        <w:rPr>
          <w:color w:val="000000"/>
          <w:sz w:val="24"/>
          <w:szCs w:val="24"/>
          <w:lang w:eastAsia="en-GB"/>
        </w:rPr>
        <w:t>intersex</w:t>
      </w:r>
      <w:r w:rsidRPr="004675EB">
        <w:rPr>
          <w:color w:val="000000"/>
          <w:sz w:val="24"/>
          <w:szCs w:val="24"/>
          <w:lang w:eastAsia="en-GB"/>
        </w:rPr>
        <w:t xml:space="preserve"> young respondents (aged 15-17)</w:t>
      </w:r>
    </w:p>
    <w:p w14:paraId="2CD5E6FB" w14:textId="02283C63" w:rsidR="00942D00" w:rsidRDefault="004675EB" w:rsidP="004675EB">
      <w:pPr>
        <w:pStyle w:val="ListParagraph"/>
        <w:numPr>
          <w:ilvl w:val="0"/>
          <w:numId w:val="4"/>
        </w:numPr>
        <w:shd w:val="clear" w:color="auto" w:fill="FFFFFF"/>
        <w:spacing w:line="259" w:lineRule="auto"/>
        <w:outlineLvl w:val="2"/>
        <w:rPr>
          <w:color w:val="000000"/>
          <w:sz w:val="24"/>
          <w:szCs w:val="24"/>
          <w:lang w:eastAsia="en-GB"/>
        </w:rPr>
      </w:pPr>
      <w:r>
        <w:rPr>
          <w:color w:val="000000"/>
          <w:sz w:val="24"/>
          <w:szCs w:val="24"/>
          <w:lang w:eastAsia="en-GB"/>
        </w:rPr>
        <w:t xml:space="preserve">14% </w:t>
      </w:r>
      <w:r w:rsidRPr="004675EB">
        <w:rPr>
          <w:color w:val="000000"/>
          <w:sz w:val="24"/>
          <w:szCs w:val="24"/>
          <w:lang w:eastAsia="en-GB"/>
        </w:rPr>
        <w:t>stated they suffered from bias-motivated physical or sexual</w:t>
      </w:r>
      <w:r w:rsidR="00500EAD" w:rsidRPr="00500EAD">
        <w:rPr>
          <w:rFonts w:asciiTheme="minorHAnsi" w:eastAsia="Arial" w:hAnsiTheme="minorHAnsi" w:cstheme="minorHAnsi"/>
          <w:sz w:val="22"/>
          <w:szCs w:val="22"/>
          <w:lang w:eastAsia="de-DE"/>
        </w:rPr>
        <w:t xml:space="preserve"> </w:t>
      </w:r>
      <w:r w:rsidR="00500EAD" w:rsidRPr="00500EAD">
        <w:rPr>
          <w:color w:val="000000"/>
          <w:sz w:val="24"/>
          <w:szCs w:val="24"/>
          <w:lang w:eastAsia="en-GB"/>
        </w:rPr>
        <w:t>attacks</w:t>
      </w:r>
      <w:r w:rsidRPr="004675EB">
        <w:rPr>
          <w:color w:val="000000"/>
          <w:sz w:val="24"/>
          <w:szCs w:val="24"/>
          <w:lang w:eastAsia="en-GB"/>
        </w:rPr>
        <w:t xml:space="preserve"> in the 12 months before the survey,</w:t>
      </w:r>
    </w:p>
    <w:p w14:paraId="5B6BC9A1" w14:textId="77777777" w:rsidR="00942D00" w:rsidRDefault="004675EB" w:rsidP="004675EB">
      <w:pPr>
        <w:pStyle w:val="ListParagraph"/>
        <w:numPr>
          <w:ilvl w:val="0"/>
          <w:numId w:val="4"/>
        </w:numPr>
        <w:shd w:val="clear" w:color="auto" w:fill="FFFFFF"/>
        <w:spacing w:line="259" w:lineRule="auto"/>
        <w:outlineLvl w:val="2"/>
        <w:rPr>
          <w:color w:val="000000"/>
          <w:sz w:val="24"/>
          <w:szCs w:val="24"/>
          <w:lang w:eastAsia="en-GB"/>
        </w:rPr>
      </w:pPr>
      <w:r w:rsidRPr="004675EB">
        <w:rPr>
          <w:color w:val="000000"/>
          <w:sz w:val="24"/>
          <w:szCs w:val="24"/>
          <w:lang w:eastAsia="en-GB"/>
        </w:rPr>
        <w:t>79% reported physical attack</w:t>
      </w:r>
    </w:p>
    <w:p w14:paraId="283DF08A" w14:textId="77777777" w:rsidR="00942D00" w:rsidRDefault="004675EB" w:rsidP="004675EB">
      <w:pPr>
        <w:pStyle w:val="ListParagraph"/>
        <w:numPr>
          <w:ilvl w:val="0"/>
          <w:numId w:val="4"/>
        </w:numPr>
        <w:shd w:val="clear" w:color="auto" w:fill="FFFFFF"/>
        <w:spacing w:line="259" w:lineRule="auto"/>
        <w:outlineLvl w:val="2"/>
        <w:rPr>
          <w:color w:val="000000"/>
          <w:sz w:val="24"/>
          <w:szCs w:val="24"/>
          <w:lang w:eastAsia="en-GB"/>
        </w:rPr>
      </w:pPr>
      <w:r w:rsidRPr="004675EB">
        <w:rPr>
          <w:color w:val="000000"/>
          <w:sz w:val="24"/>
          <w:szCs w:val="24"/>
          <w:lang w:eastAsia="en-GB"/>
        </w:rPr>
        <w:t>20% sexual attack or a combination of physical and sexual attack</w:t>
      </w:r>
    </w:p>
    <w:p w14:paraId="5941B194" w14:textId="77777777" w:rsidR="00942D00" w:rsidRDefault="004675EB" w:rsidP="004675EB">
      <w:pPr>
        <w:pStyle w:val="ListParagraph"/>
        <w:numPr>
          <w:ilvl w:val="0"/>
          <w:numId w:val="4"/>
        </w:numPr>
        <w:shd w:val="clear" w:color="auto" w:fill="FFFFFF"/>
        <w:spacing w:line="259" w:lineRule="auto"/>
        <w:outlineLvl w:val="2"/>
        <w:rPr>
          <w:color w:val="000000"/>
          <w:sz w:val="24"/>
          <w:szCs w:val="24"/>
          <w:lang w:eastAsia="en-GB"/>
        </w:rPr>
      </w:pPr>
      <w:r w:rsidRPr="004675EB">
        <w:rPr>
          <w:color w:val="000000"/>
          <w:sz w:val="24"/>
          <w:szCs w:val="24"/>
          <w:lang w:eastAsia="en-GB"/>
        </w:rPr>
        <w:t xml:space="preserve">50% experienced bullying at school/university and </w:t>
      </w:r>
    </w:p>
    <w:p w14:paraId="01E2F837" w14:textId="10B8D272" w:rsidR="00942D00" w:rsidRDefault="004675EB" w:rsidP="00362B2A">
      <w:pPr>
        <w:pStyle w:val="ListParagraph"/>
        <w:numPr>
          <w:ilvl w:val="0"/>
          <w:numId w:val="4"/>
        </w:numPr>
        <w:shd w:val="clear" w:color="auto" w:fill="FFFFFF"/>
        <w:spacing w:line="259" w:lineRule="auto"/>
        <w:outlineLvl w:val="2"/>
        <w:rPr>
          <w:color w:val="000000"/>
          <w:sz w:val="24"/>
          <w:szCs w:val="24"/>
          <w:lang w:eastAsia="en-GB"/>
        </w:rPr>
      </w:pPr>
      <w:r w:rsidRPr="004675EB">
        <w:rPr>
          <w:color w:val="000000"/>
          <w:sz w:val="24"/>
          <w:szCs w:val="24"/>
          <w:lang w:eastAsia="en-GB"/>
        </w:rPr>
        <w:t>39% identified school as the location of the last incident of hate-motivated harassment</w:t>
      </w:r>
      <w:r w:rsidR="00942D00">
        <w:rPr>
          <w:rStyle w:val="FootnoteReference"/>
          <w:color w:val="000000"/>
          <w:sz w:val="24"/>
          <w:szCs w:val="24"/>
          <w:lang w:eastAsia="en-GB"/>
        </w:rPr>
        <w:footnoteReference w:id="4"/>
      </w:r>
      <w:r w:rsidR="00942D00">
        <w:rPr>
          <w:color w:val="000000"/>
          <w:sz w:val="24"/>
          <w:szCs w:val="24"/>
          <w:lang w:eastAsia="en-GB"/>
        </w:rPr>
        <w:t>.</w:t>
      </w:r>
    </w:p>
    <w:p w14:paraId="6DF8FF53" w14:textId="7A2D5CB3" w:rsidR="005D7B46" w:rsidRDefault="005D7B46" w:rsidP="00C55643">
      <w:pPr>
        <w:shd w:val="clear" w:color="auto" w:fill="FFFFFF"/>
        <w:spacing w:line="259" w:lineRule="auto"/>
        <w:outlineLvl w:val="2"/>
        <w:rPr>
          <w:color w:val="000000"/>
          <w:sz w:val="24"/>
          <w:szCs w:val="24"/>
          <w:lang w:eastAsia="en-GB"/>
        </w:rPr>
      </w:pPr>
    </w:p>
    <w:p w14:paraId="783DC588" w14:textId="005A34F0" w:rsidR="00FB5FF5" w:rsidRDefault="00FB5FF5" w:rsidP="00FB5FF5">
      <w:pPr>
        <w:shd w:val="clear" w:color="auto" w:fill="FFFFFF"/>
        <w:spacing w:line="259" w:lineRule="auto"/>
        <w:ind w:left="360"/>
        <w:outlineLvl w:val="2"/>
        <w:rPr>
          <w:color w:val="000000"/>
          <w:sz w:val="24"/>
          <w:szCs w:val="24"/>
          <w:lang w:eastAsia="en-GB"/>
        </w:rPr>
      </w:pPr>
      <w:r w:rsidRPr="00FB5FF5">
        <w:rPr>
          <w:color w:val="000000"/>
          <w:sz w:val="24"/>
          <w:szCs w:val="24"/>
          <w:lang w:eastAsia="en-GB"/>
        </w:rPr>
        <w:t>The negative impact of these incidents on the individual is sever</w:t>
      </w:r>
      <w:r w:rsidR="008A6810">
        <w:rPr>
          <w:color w:val="000000"/>
          <w:sz w:val="24"/>
          <w:szCs w:val="24"/>
          <w:lang w:eastAsia="en-GB"/>
        </w:rPr>
        <w:t>e</w:t>
      </w:r>
      <w:r w:rsidR="008A6810">
        <w:rPr>
          <w:rStyle w:val="FootnoteReference"/>
          <w:color w:val="000000"/>
          <w:sz w:val="24"/>
          <w:szCs w:val="24"/>
          <w:lang w:eastAsia="en-GB"/>
        </w:rPr>
        <w:footnoteReference w:id="5"/>
      </w:r>
      <w:r w:rsidR="008A6810">
        <w:rPr>
          <w:color w:val="000000"/>
          <w:sz w:val="24"/>
          <w:szCs w:val="24"/>
          <w:lang w:eastAsia="en-GB"/>
        </w:rPr>
        <w:t>:</w:t>
      </w:r>
      <w:r w:rsidRPr="00FB5FF5">
        <w:rPr>
          <w:color w:val="000000"/>
          <w:sz w:val="24"/>
          <w:szCs w:val="24"/>
          <w:lang w:eastAsia="en-GB"/>
        </w:rPr>
        <w:t xml:space="preserve"> when asked about how the last hate-motivated violent incident affected their health and well-being, 59% </w:t>
      </w:r>
      <w:r w:rsidR="008A6810">
        <w:rPr>
          <w:color w:val="000000"/>
          <w:sz w:val="24"/>
          <w:szCs w:val="24"/>
          <w:lang w:eastAsia="en-GB"/>
        </w:rPr>
        <w:t xml:space="preserve">intersex </w:t>
      </w:r>
      <w:r w:rsidR="00C55643">
        <w:rPr>
          <w:color w:val="000000"/>
          <w:sz w:val="24"/>
          <w:szCs w:val="24"/>
          <w:lang w:eastAsia="en-GB"/>
        </w:rPr>
        <w:t xml:space="preserve">young </w:t>
      </w:r>
      <w:r w:rsidR="008A6810">
        <w:rPr>
          <w:color w:val="000000"/>
          <w:sz w:val="24"/>
          <w:szCs w:val="24"/>
          <w:lang w:eastAsia="en-GB"/>
        </w:rPr>
        <w:t xml:space="preserve">respondents </w:t>
      </w:r>
      <w:r w:rsidRPr="00FB5FF5">
        <w:rPr>
          <w:color w:val="000000"/>
          <w:sz w:val="24"/>
          <w:szCs w:val="24"/>
          <w:lang w:eastAsia="en-GB"/>
        </w:rPr>
        <w:t>stated they were afraid to go out or visit places, 56% said they had psychological problems (e.g., depression or anxiety), 9% said they needed medical assistance or hospitalisatio</w:t>
      </w:r>
      <w:r>
        <w:rPr>
          <w:color w:val="000000"/>
          <w:sz w:val="24"/>
          <w:szCs w:val="24"/>
          <w:lang w:eastAsia="en-GB"/>
        </w:rPr>
        <w:t>n</w:t>
      </w:r>
      <w:r w:rsidR="008A6810">
        <w:rPr>
          <w:rStyle w:val="FootnoteReference"/>
          <w:color w:val="000000"/>
          <w:sz w:val="24"/>
          <w:szCs w:val="24"/>
          <w:lang w:eastAsia="en-GB"/>
        </w:rPr>
        <w:footnoteReference w:id="6"/>
      </w:r>
      <w:r>
        <w:rPr>
          <w:color w:val="000000"/>
          <w:sz w:val="24"/>
          <w:szCs w:val="24"/>
          <w:lang w:eastAsia="en-GB"/>
        </w:rPr>
        <w:t>.</w:t>
      </w:r>
    </w:p>
    <w:p w14:paraId="1FAD7FFB" w14:textId="5E137AC7" w:rsidR="004A7C58" w:rsidRDefault="004A7C58" w:rsidP="00FB5FF5">
      <w:pPr>
        <w:shd w:val="clear" w:color="auto" w:fill="FFFFFF"/>
        <w:spacing w:line="259" w:lineRule="auto"/>
        <w:ind w:left="360"/>
        <w:outlineLvl w:val="2"/>
        <w:rPr>
          <w:color w:val="000000"/>
          <w:sz w:val="24"/>
          <w:szCs w:val="24"/>
          <w:lang w:eastAsia="en-GB"/>
        </w:rPr>
      </w:pPr>
    </w:p>
    <w:p w14:paraId="701D3ED5" w14:textId="7E50FC6F" w:rsidR="00C55643" w:rsidRDefault="004A7C58" w:rsidP="00FB5FF5">
      <w:pPr>
        <w:shd w:val="clear" w:color="auto" w:fill="FFFFFF"/>
        <w:spacing w:line="259" w:lineRule="auto"/>
        <w:ind w:left="360"/>
        <w:outlineLvl w:val="2"/>
        <w:rPr>
          <w:color w:val="000000"/>
          <w:sz w:val="24"/>
          <w:szCs w:val="24"/>
          <w:lang w:eastAsia="en-GB"/>
        </w:rPr>
      </w:pPr>
      <w:r>
        <w:rPr>
          <w:color w:val="000000"/>
          <w:sz w:val="24"/>
          <w:szCs w:val="24"/>
          <w:lang w:eastAsia="en-GB"/>
        </w:rPr>
        <w:t>While these figures refer to the European Union</w:t>
      </w:r>
      <w:r w:rsidR="00F50BC2">
        <w:rPr>
          <w:rStyle w:val="FootnoteReference"/>
          <w:color w:val="000000"/>
          <w:sz w:val="24"/>
          <w:szCs w:val="24"/>
          <w:lang w:eastAsia="en-GB"/>
        </w:rPr>
        <w:footnoteReference w:id="7"/>
      </w:r>
      <w:r>
        <w:rPr>
          <w:color w:val="000000"/>
          <w:sz w:val="24"/>
          <w:szCs w:val="24"/>
          <w:lang w:eastAsia="en-GB"/>
        </w:rPr>
        <w:t>, they</w:t>
      </w:r>
      <w:r w:rsidR="00F50BC2">
        <w:rPr>
          <w:color w:val="000000"/>
          <w:sz w:val="24"/>
          <w:szCs w:val="24"/>
          <w:lang w:eastAsia="en-GB"/>
        </w:rPr>
        <w:t xml:space="preserve"> reflect a trend that is spread in all the European region</w:t>
      </w:r>
      <w:r w:rsidR="006B1FEE">
        <w:rPr>
          <w:color w:val="000000"/>
          <w:sz w:val="24"/>
          <w:szCs w:val="24"/>
          <w:lang w:eastAsia="en-GB"/>
        </w:rPr>
        <w:t xml:space="preserve"> – on which we focus in this submission - </w:t>
      </w:r>
      <w:r w:rsidR="00F50BC2">
        <w:rPr>
          <w:color w:val="000000"/>
          <w:sz w:val="24"/>
          <w:szCs w:val="24"/>
          <w:lang w:eastAsia="en-GB"/>
        </w:rPr>
        <w:t xml:space="preserve">as repeatedly reported to us by our members. </w:t>
      </w:r>
      <w:r>
        <w:rPr>
          <w:color w:val="000000"/>
          <w:sz w:val="24"/>
          <w:szCs w:val="24"/>
          <w:lang w:eastAsia="en-GB"/>
        </w:rPr>
        <w:t xml:space="preserve"> </w:t>
      </w:r>
    </w:p>
    <w:p w14:paraId="394A26F4" w14:textId="77777777" w:rsidR="00C52FEC" w:rsidRPr="0059005C" w:rsidRDefault="00C52FEC" w:rsidP="0059005C">
      <w:pPr>
        <w:shd w:val="clear" w:color="auto" w:fill="FFFFFF"/>
        <w:spacing w:line="259" w:lineRule="auto"/>
        <w:ind w:left="360"/>
        <w:outlineLvl w:val="2"/>
        <w:rPr>
          <w:color w:val="000000"/>
          <w:sz w:val="24"/>
          <w:szCs w:val="24"/>
          <w:lang w:eastAsia="en-GB"/>
        </w:rPr>
      </w:pPr>
    </w:p>
    <w:p w14:paraId="3A573A0E" w14:textId="152D9617" w:rsidR="008C75C0" w:rsidRDefault="00F11452" w:rsidP="000914BF">
      <w:pPr>
        <w:shd w:val="clear" w:color="auto" w:fill="FFFFFF"/>
        <w:spacing w:line="259" w:lineRule="auto"/>
        <w:ind w:left="360"/>
        <w:outlineLvl w:val="2"/>
        <w:rPr>
          <w:color w:val="000000"/>
          <w:sz w:val="24"/>
          <w:szCs w:val="24"/>
          <w:lang w:eastAsia="en-GB"/>
        </w:rPr>
      </w:pPr>
      <w:r>
        <w:rPr>
          <w:color w:val="000000"/>
          <w:sz w:val="24"/>
          <w:szCs w:val="24"/>
          <w:lang w:eastAsia="en-GB"/>
        </w:rPr>
        <w:t>Intersex people are increasingly targeted by online hate-speech</w:t>
      </w:r>
      <w:r w:rsidR="005142FB">
        <w:rPr>
          <w:color w:val="000000"/>
          <w:sz w:val="24"/>
          <w:szCs w:val="24"/>
          <w:lang w:eastAsia="en-GB"/>
        </w:rPr>
        <w:t>, which takes the form of hateful comments on social media</w:t>
      </w:r>
      <w:r w:rsidR="008C75C0">
        <w:rPr>
          <w:rStyle w:val="FootnoteReference"/>
          <w:color w:val="000000"/>
          <w:sz w:val="24"/>
          <w:szCs w:val="24"/>
          <w:lang w:eastAsia="en-GB"/>
        </w:rPr>
        <w:footnoteReference w:id="8"/>
      </w:r>
      <w:r w:rsidR="00227E63">
        <w:rPr>
          <w:color w:val="000000"/>
          <w:sz w:val="24"/>
          <w:szCs w:val="24"/>
          <w:lang w:eastAsia="en-GB"/>
        </w:rPr>
        <w:t>, hateful posts on forums</w:t>
      </w:r>
      <w:r w:rsidR="00997398">
        <w:rPr>
          <w:rStyle w:val="FootnoteReference"/>
          <w:color w:val="000000"/>
          <w:sz w:val="24"/>
          <w:szCs w:val="24"/>
          <w:lang w:eastAsia="en-GB"/>
        </w:rPr>
        <w:footnoteReference w:id="9"/>
      </w:r>
      <w:r w:rsidR="00227E63">
        <w:rPr>
          <w:color w:val="000000"/>
          <w:sz w:val="24"/>
          <w:szCs w:val="24"/>
          <w:lang w:eastAsia="en-GB"/>
        </w:rPr>
        <w:t xml:space="preserve"> and offensive pathologizing articles</w:t>
      </w:r>
      <w:r w:rsidR="00997398">
        <w:rPr>
          <w:rStyle w:val="FootnoteReference"/>
          <w:color w:val="000000"/>
          <w:sz w:val="24"/>
          <w:szCs w:val="24"/>
          <w:lang w:eastAsia="en-GB"/>
        </w:rPr>
        <w:footnoteReference w:id="10"/>
      </w:r>
      <w:r w:rsidR="00227E63">
        <w:rPr>
          <w:color w:val="000000"/>
          <w:sz w:val="24"/>
          <w:szCs w:val="24"/>
          <w:lang w:eastAsia="en-GB"/>
        </w:rPr>
        <w:t>. Even groups connected to the so called “anti-gender movement” embedded intersexphobic rhetoric in their public discourse</w:t>
      </w:r>
      <w:r w:rsidR="00FD6BE7">
        <w:rPr>
          <w:rStyle w:val="FootnoteReference"/>
          <w:color w:val="000000"/>
          <w:sz w:val="24"/>
          <w:szCs w:val="24"/>
          <w:lang w:eastAsia="en-GB"/>
        </w:rPr>
        <w:footnoteReference w:id="11"/>
      </w:r>
      <w:r w:rsidR="00227E63">
        <w:rPr>
          <w:color w:val="000000"/>
          <w:sz w:val="24"/>
          <w:szCs w:val="24"/>
          <w:lang w:eastAsia="en-GB"/>
        </w:rPr>
        <w:t>.</w:t>
      </w:r>
    </w:p>
    <w:p w14:paraId="2415162C" w14:textId="58006AA7" w:rsidR="00FD6BE7" w:rsidRDefault="00FD6BE7" w:rsidP="000914BF">
      <w:pPr>
        <w:shd w:val="clear" w:color="auto" w:fill="FFFFFF"/>
        <w:spacing w:line="259" w:lineRule="auto"/>
        <w:ind w:left="360"/>
        <w:outlineLvl w:val="2"/>
        <w:rPr>
          <w:color w:val="000000"/>
          <w:sz w:val="24"/>
          <w:szCs w:val="24"/>
          <w:lang w:eastAsia="en-GB"/>
        </w:rPr>
      </w:pPr>
    </w:p>
    <w:p w14:paraId="23086C40" w14:textId="7C2C8354" w:rsidR="00FD6BE7" w:rsidRDefault="006B1FEE" w:rsidP="000914BF">
      <w:pPr>
        <w:shd w:val="clear" w:color="auto" w:fill="FFFFFF"/>
        <w:spacing w:line="259" w:lineRule="auto"/>
        <w:ind w:left="360"/>
        <w:outlineLvl w:val="2"/>
        <w:rPr>
          <w:color w:val="000000"/>
          <w:sz w:val="24"/>
          <w:szCs w:val="24"/>
          <w:lang w:eastAsia="en-GB"/>
        </w:rPr>
      </w:pPr>
      <w:r>
        <w:rPr>
          <w:color w:val="000000"/>
          <w:sz w:val="24"/>
          <w:szCs w:val="24"/>
          <w:lang w:eastAsia="en-GB"/>
        </w:rPr>
        <w:t xml:space="preserve">The </w:t>
      </w:r>
      <w:r w:rsidR="006B051F">
        <w:rPr>
          <w:color w:val="000000"/>
          <w:sz w:val="24"/>
          <w:szCs w:val="24"/>
          <w:lang w:eastAsia="en-GB"/>
        </w:rPr>
        <w:t>C</w:t>
      </w:r>
      <w:r>
        <w:rPr>
          <w:color w:val="000000"/>
          <w:sz w:val="24"/>
          <w:szCs w:val="24"/>
          <w:lang w:eastAsia="en-GB"/>
        </w:rPr>
        <w:t xml:space="preserve">ovid-19 crisis increased the stress level among the community. Among the intersex respondents to our 2020 </w:t>
      </w:r>
      <w:r w:rsidR="006B051F">
        <w:rPr>
          <w:color w:val="000000"/>
          <w:sz w:val="24"/>
          <w:szCs w:val="24"/>
          <w:lang w:eastAsia="en-GB"/>
        </w:rPr>
        <w:t>C</w:t>
      </w:r>
      <w:r>
        <w:rPr>
          <w:color w:val="000000"/>
          <w:sz w:val="24"/>
          <w:szCs w:val="24"/>
          <w:lang w:eastAsia="en-GB"/>
        </w:rPr>
        <w:t xml:space="preserve">ovid survey, </w:t>
      </w:r>
      <w:r w:rsidRPr="006B1FEE">
        <w:rPr>
          <w:color w:val="000000"/>
          <w:sz w:val="24"/>
          <w:szCs w:val="24"/>
          <w:lang w:eastAsia="en-GB"/>
        </w:rPr>
        <w:t xml:space="preserve">11% stated that they </w:t>
      </w:r>
      <w:r>
        <w:rPr>
          <w:color w:val="000000"/>
          <w:sz w:val="24"/>
          <w:szCs w:val="24"/>
          <w:lang w:eastAsia="en-GB"/>
        </w:rPr>
        <w:t>were</w:t>
      </w:r>
      <w:r w:rsidRPr="006B1FEE">
        <w:rPr>
          <w:color w:val="000000"/>
          <w:sz w:val="24"/>
          <w:szCs w:val="24"/>
          <w:lang w:eastAsia="en-GB"/>
        </w:rPr>
        <w:t xml:space="preserve"> staying at home in self-isolation with someone whom they have a strained relationship or other difficulties with, including some respondents who reported experiencing violence, abuse, harassment by</w:t>
      </w:r>
      <w:r w:rsidR="002B1430">
        <w:rPr>
          <w:color w:val="000000"/>
          <w:sz w:val="24"/>
          <w:szCs w:val="24"/>
          <w:lang w:eastAsia="en-GB"/>
        </w:rPr>
        <w:t xml:space="preserve"> that person</w:t>
      </w:r>
      <w:r w:rsidRPr="006B1FEE">
        <w:rPr>
          <w:color w:val="000000"/>
          <w:sz w:val="24"/>
          <w:szCs w:val="24"/>
          <w:lang w:eastAsia="en-GB"/>
        </w:rPr>
        <w:t>. Another 11% expressed feeling unsafe for different reasons</w:t>
      </w:r>
      <w:r>
        <w:rPr>
          <w:rStyle w:val="FootnoteReference"/>
          <w:color w:val="000000"/>
          <w:sz w:val="24"/>
          <w:szCs w:val="24"/>
          <w:lang w:eastAsia="en-GB"/>
        </w:rPr>
        <w:footnoteReference w:id="12"/>
      </w:r>
      <w:r>
        <w:rPr>
          <w:color w:val="000000"/>
          <w:sz w:val="24"/>
          <w:szCs w:val="24"/>
          <w:lang w:eastAsia="en-GB"/>
        </w:rPr>
        <w:t>.</w:t>
      </w:r>
    </w:p>
    <w:p w14:paraId="1ED38C8F" w14:textId="77777777" w:rsidR="008C75C0" w:rsidRDefault="008C75C0" w:rsidP="000914BF">
      <w:pPr>
        <w:shd w:val="clear" w:color="auto" w:fill="FFFFFF"/>
        <w:spacing w:line="259" w:lineRule="auto"/>
        <w:ind w:left="360"/>
        <w:outlineLvl w:val="2"/>
        <w:rPr>
          <w:color w:val="000000"/>
          <w:sz w:val="24"/>
          <w:szCs w:val="24"/>
          <w:lang w:eastAsia="en-GB"/>
        </w:rPr>
      </w:pPr>
    </w:p>
    <w:p w14:paraId="6563BC1E" w14:textId="3F5AF0C5" w:rsidR="0059005C" w:rsidRPr="000914BF" w:rsidRDefault="00227E63" w:rsidP="000914BF">
      <w:pPr>
        <w:shd w:val="clear" w:color="auto" w:fill="FFFFFF"/>
        <w:spacing w:line="259" w:lineRule="auto"/>
        <w:ind w:left="360"/>
        <w:outlineLvl w:val="2"/>
        <w:rPr>
          <w:color w:val="000000"/>
          <w:sz w:val="24"/>
          <w:szCs w:val="24"/>
          <w:lang w:eastAsia="en-GB"/>
        </w:rPr>
      </w:pPr>
      <w:r>
        <w:rPr>
          <w:color w:val="000000"/>
          <w:sz w:val="24"/>
          <w:szCs w:val="24"/>
          <w:lang w:eastAsia="en-GB"/>
        </w:rPr>
        <w:t xml:space="preserve"> </w:t>
      </w:r>
    </w:p>
    <w:p w14:paraId="0F1F665E" w14:textId="77777777" w:rsidR="009F00AF" w:rsidRPr="00D90F79" w:rsidRDefault="009F00AF" w:rsidP="009F00AF">
      <w:pPr>
        <w:pStyle w:val="ListParagraph"/>
        <w:numPr>
          <w:ilvl w:val="0"/>
          <w:numId w:val="1"/>
        </w:numPr>
        <w:shd w:val="clear" w:color="auto" w:fill="FFFFFF"/>
        <w:spacing w:line="259" w:lineRule="auto"/>
        <w:jc w:val="both"/>
        <w:outlineLvl w:val="2"/>
        <w:rPr>
          <w:color w:val="1F4E79" w:themeColor="accent1" w:themeShade="80"/>
          <w:sz w:val="24"/>
          <w:szCs w:val="24"/>
          <w:lang w:eastAsia="en-GB"/>
        </w:rPr>
      </w:pPr>
      <w:r w:rsidRPr="00D90F79">
        <w:rPr>
          <w:color w:val="1F4E79" w:themeColor="accent1" w:themeShade="80"/>
          <w:sz w:val="24"/>
          <w:szCs w:val="24"/>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14:paraId="42A6E230" w14:textId="37CAEC34" w:rsidR="009F00AF" w:rsidRDefault="009F00AF" w:rsidP="009F00AF">
      <w:pPr>
        <w:pStyle w:val="ListParagraph"/>
        <w:shd w:val="clear" w:color="auto" w:fill="FFFFFF"/>
        <w:spacing w:line="259" w:lineRule="auto"/>
        <w:ind w:left="360"/>
        <w:jc w:val="both"/>
        <w:outlineLvl w:val="2"/>
        <w:rPr>
          <w:color w:val="000000"/>
          <w:sz w:val="24"/>
          <w:szCs w:val="24"/>
          <w:lang w:eastAsia="en-GB"/>
        </w:rPr>
      </w:pPr>
    </w:p>
    <w:p w14:paraId="7ED4496C" w14:textId="06C257CC" w:rsidR="002F229C" w:rsidRDefault="009A0643" w:rsidP="009F00AF">
      <w:pPr>
        <w:pStyle w:val="ListParagraph"/>
        <w:shd w:val="clear" w:color="auto" w:fill="FFFFFF"/>
        <w:spacing w:line="259" w:lineRule="auto"/>
        <w:ind w:left="360"/>
        <w:jc w:val="both"/>
        <w:outlineLvl w:val="2"/>
        <w:rPr>
          <w:color w:val="000000"/>
          <w:sz w:val="24"/>
          <w:szCs w:val="24"/>
          <w:lang w:eastAsia="en-GB"/>
        </w:rPr>
      </w:pPr>
      <w:r w:rsidRPr="009A0643">
        <w:rPr>
          <w:color w:val="000000"/>
          <w:sz w:val="24"/>
          <w:szCs w:val="24"/>
          <w:lang w:eastAsia="en-GB"/>
        </w:rPr>
        <w:t>The right to security of the person is protected by the</w:t>
      </w:r>
      <w:r>
        <w:rPr>
          <w:color w:val="000000"/>
          <w:sz w:val="24"/>
          <w:szCs w:val="24"/>
          <w:lang w:eastAsia="en-GB"/>
        </w:rPr>
        <w:t xml:space="preserve"> </w:t>
      </w:r>
      <w:r w:rsidRPr="009A0643">
        <w:rPr>
          <w:color w:val="000000"/>
          <w:sz w:val="24"/>
          <w:szCs w:val="24"/>
          <w:lang w:eastAsia="en-GB"/>
        </w:rPr>
        <w:t>Universal Declaration of Human Rights, article 3, as well as the International Covenant on Civil and Political Rights, article 9</w:t>
      </w:r>
      <w:r>
        <w:rPr>
          <w:color w:val="000000"/>
          <w:sz w:val="24"/>
          <w:szCs w:val="24"/>
          <w:lang w:eastAsia="en-GB"/>
        </w:rPr>
        <w:t>.</w:t>
      </w:r>
      <w:r w:rsidR="008A3067">
        <w:rPr>
          <w:color w:val="000000"/>
          <w:sz w:val="24"/>
          <w:szCs w:val="24"/>
          <w:lang w:eastAsia="en-GB"/>
        </w:rPr>
        <w:t xml:space="preserve"> These provisions are echoed at the regional level by the European Convention on Human Rights, article 5, and the EU Charter </w:t>
      </w:r>
      <w:r w:rsidR="00052C2A">
        <w:rPr>
          <w:color w:val="000000"/>
          <w:sz w:val="24"/>
          <w:szCs w:val="24"/>
          <w:lang w:eastAsia="en-GB"/>
        </w:rPr>
        <w:t>of</w:t>
      </w:r>
      <w:r w:rsidR="008A3067">
        <w:rPr>
          <w:color w:val="000000"/>
          <w:sz w:val="24"/>
          <w:szCs w:val="24"/>
          <w:lang w:eastAsia="en-GB"/>
        </w:rPr>
        <w:t xml:space="preserve"> Fundamental Rights, article 6.</w:t>
      </w:r>
    </w:p>
    <w:p w14:paraId="529783C6" w14:textId="19A72DA1" w:rsidR="008A3067" w:rsidRDefault="008A3067" w:rsidP="009F00AF">
      <w:pPr>
        <w:pStyle w:val="ListParagraph"/>
        <w:shd w:val="clear" w:color="auto" w:fill="FFFFFF"/>
        <w:spacing w:line="259" w:lineRule="auto"/>
        <w:ind w:left="360"/>
        <w:jc w:val="both"/>
        <w:outlineLvl w:val="2"/>
        <w:rPr>
          <w:color w:val="000000"/>
          <w:sz w:val="24"/>
          <w:szCs w:val="24"/>
          <w:lang w:eastAsia="en-GB"/>
        </w:rPr>
      </w:pPr>
    </w:p>
    <w:p w14:paraId="73AC5E19" w14:textId="18B21A24" w:rsidR="008A3067" w:rsidRPr="001C148C" w:rsidRDefault="008A3067" w:rsidP="001C148C">
      <w:pPr>
        <w:pStyle w:val="ListParagraph"/>
        <w:shd w:val="clear" w:color="auto" w:fill="FFFFFF"/>
        <w:spacing w:line="259" w:lineRule="auto"/>
        <w:ind w:left="360"/>
        <w:jc w:val="both"/>
        <w:outlineLvl w:val="2"/>
        <w:rPr>
          <w:color w:val="000000"/>
          <w:sz w:val="24"/>
          <w:szCs w:val="24"/>
          <w:lang w:eastAsia="en-GB"/>
        </w:rPr>
      </w:pPr>
      <w:r>
        <w:rPr>
          <w:color w:val="000000"/>
          <w:sz w:val="24"/>
          <w:szCs w:val="24"/>
          <w:lang w:eastAsia="en-GB"/>
        </w:rPr>
        <w:t xml:space="preserve">Principle 30 of the Yogyakarta Principles +10 interprets this framework </w:t>
      </w:r>
      <w:r w:rsidR="00FD72B1">
        <w:rPr>
          <w:color w:val="000000"/>
          <w:sz w:val="24"/>
          <w:szCs w:val="24"/>
          <w:lang w:eastAsia="en-GB"/>
        </w:rPr>
        <w:t xml:space="preserve">in relation to SOGIESC </w:t>
      </w:r>
      <w:r>
        <w:rPr>
          <w:color w:val="000000"/>
          <w:sz w:val="24"/>
          <w:szCs w:val="24"/>
          <w:lang w:eastAsia="en-GB"/>
        </w:rPr>
        <w:t>and finds upon the States the obligation to “</w:t>
      </w:r>
      <w:r w:rsidR="00D06A9E">
        <w:rPr>
          <w:color w:val="000000"/>
          <w:sz w:val="24"/>
          <w:lang w:val="en" w:eastAsia="en-GB"/>
        </w:rPr>
        <w:t>[e]</w:t>
      </w:r>
      <w:r w:rsidRPr="008A3067">
        <w:rPr>
          <w:color w:val="000000"/>
          <w:sz w:val="24"/>
          <w:lang w:val="en" w:eastAsia="en-GB"/>
        </w:rPr>
        <w:t>xercise due diligence to prevent, investigate, prosecute, punish and provide</w:t>
      </w:r>
      <w:r>
        <w:rPr>
          <w:color w:val="000000"/>
          <w:sz w:val="24"/>
          <w:lang w:val="en" w:eastAsia="en-GB"/>
        </w:rPr>
        <w:t xml:space="preserve"> </w:t>
      </w:r>
      <w:r w:rsidRPr="008A3067">
        <w:rPr>
          <w:color w:val="000000"/>
          <w:sz w:val="24"/>
          <w:szCs w:val="24"/>
          <w:lang w:eastAsia="en-GB"/>
        </w:rPr>
        <w:t>remedies for discrimination, violence and other harm, whether committed by State</w:t>
      </w:r>
      <w:r>
        <w:rPr>
          <w:color w:val="000000"/>
          <w:sz w:val="24"/>
          <w:szCs w:val="24"/>
          <w:lang w:eastAsia="en-GB"/>
        </w:rPr>
        <w:t xml:space="preserve"> </w:t>
      </w:r>
      <w:r w:rsidRPr="008A3067">
        <w:rPr>
          <w:color w:val="000000"/>
          <w:sz w:val="24"/>
          <w:szCs w:val="24"/>
          <w:lang w:eastAsia="en-GB"/>
        </w:rPr>
        <w:t>or non-State actors</w:t>
      </w:r>
      <w:r>
        <w:rPr>
          <w:color w:val="000000"/>
          <w:sz w:val="24"/>
          <w:szCs w:val="24"/>
          <w:lang w:eastAsia="en-GB"/>
        </w:rPr>
        <w:t>”</w:t>
      </w:r>
      <w:r w:rsidR="00FD72B1">
        <w:rPr>
          <w:rStyle w:val="FootnoteReference"/>
          <w:color w:val="000000"/>
          <w:sz w:val="24"/>
          <w:szCs w:val="24"/>
          <w:lang w:eastAsia="en-GB"/>
        </w:rPr>
        <w:footnoteReference w:id="13"/>
      </w:r>
      <w:r>
        <w:rPr>
          <w:color w:val="000000"/>
          <w:sz w:val="24"/>
          <w:szCs w:val="24"/>
          <w:lang w:eastAsia="en-GB"/>
        </w:rPr>
        <w:t>.</w:t>
      </w:r>
    </w:p>
    <w:p w14:paraId="3D8E4624" w14:textId="1E6CC076" w:rsidR="008A3067" w:rsidRDefault="008A3067" w:rsidP="009F00AF">
      <w:pPr>
        <w:pStyle w:val="ListParagraph"/>
        <w:shd w:val="clear" w:color="auto" w:fill="FFFFFF"/>
        <w:spacing w:line="259" w:lineRule="auto"/>
        <w:ind w:left="360"/>
        <w:jc w:val="both"/>
        <w:outlineLvl w:val="2"/>
        <w:rPr>
          <w:color w:val="000000"/>
          <w:sz w:val="24"/>
          <w:szCs w:val="24"/>
          <w:lang w:eastAsia="en-GB"/>
        </w:rPr>
      </w:pPr>
      <w:r>
        <w:rPr>
          <w:color w:val="000000"/>
          <w:sz w:val="24"/>
          <w:szCs w:val="24"/>
          <w:lang w:eastAsia="en-GB"/>
        </w:rPr>
        <w:t xml:space="preserve">  </w:t>
      </w:r>
    </w:p>
    <w:p w14:paraId="5D62ECE9" w14:textId="7F15DAC7" w:rsidR="009E2767" w:rsidRDefault="00D3098B" w:rsidP="009F00AF">
      <w:pPr>
        <w:pStyle w:val="ListParagraph"/>
        <w:shd w:val="clear" w:color="auto" w:fill="FFFFFF"/>
        <w:spacing w:line="259" w:lineRule="auto"/>
        <w:ind w:left="360"/>
        <w:jc w:val="both"/>
        <w:outlineLvl w:val="2"/>
        <w:rPr>
          <w:color w:val="000000"/>
          <w:sz w:val="24"/>
          <w:szCs w:val="24"/>
          <w:lang w:eastAsia="en-GB"/>
        </w:rPr>
      </w:pPr>
      <w:r>
        <w:rPr>
          <w:color w:val="000000"/>
          <w:sz w:val="24"/>
          <w:szCs w:val="24"/>
          <w:lang w:eastAsia="en-GB"/>
        </w:rPr>
        <w:t>T</w:t>
      </w:r>
      <w:r w:rsidR="009C7F46">
        <w:rPr>
          <w:color w:val="000000"/>
          <w:sz w:val="24"/>
          <w:szCs w:val="24"/>
          <w:lang w:eastAsia="en-GB"/>
        </w:rPr>
        <w:t>he C</w:t>
      </w:r>
      <w:r w:rsidR="007F2714">
        <w:rPr>
          <w:color w:val="000000"/>
          <w:sz w:val="24"/>
          <w:szCs w:val="24"/>
          <w:lang w:eastAsia="en-GB"/>
        </w:rPr>
        <w:t>o</w:t>
      </w:r>
      <w:r w:rsidR="009C7F46">
        <w:rPr>
          <w:color w:val="000000"/>
          <w:sz w:val="24"/>
          <w:szCs w:val="24"/>
          <w:lang w:eastAsia="en-GB"/>
        </w:rPr>
        <w:t xml:space="preserve">E Committee of Ministers </w:t>
      </w:r>
      <w:r w:rsidR="00BE02E5">
        <w:rPr>
          <w:color w:val="000000"/>
          <w:sz w:val="24"/>
          <w:szCs w:val="24"/>
          <w:lang w:eastAsia="en-GB"/>
        </w:rPr>
        <w:t xml:space="preserve">has </w:t>
      </w:r>
      <w:r w:rsidR="009C7F46">
        <w:rPr>
          <w:color w:val="000000"/>
          <w:sz w:val="24"/>
          <w:szCs w:val="24"/>
          <w:lang w:eastAsia="en-GB"/>
        </w:rPr>
        <w:t>stated that “</w:t>
      </w:r>
      <w:r w:rsidR="009C7F46" w:rsidRPr="009C7F46">
        <w:rPr>
          <w:color w:val="000000"/>
          <w:sz w:val="24"/>
          <w:szCs w:val="24"/>
          <w:lang w:eastAsia="en-GB"/>
        </w:rPr>
        <w:t>Member states should ensure that when determining sanctions, a bias motive related to sexual orientation or gender identity may be taken into account as an aggravating circumstance</w:t>
      </w:r>
      <w:r w:rsidR="0010744D">
        <w:rPr>
          <w:color w:val="000000"/>
          <w:sz w:val="24"/>
          <w:szCs w:val="24"/>
          <w:lang w:eastAsia="en-GB"/>
        </w:rPr>
        <w:t>”</w:t>
      </w:r>
      <w:r w:rsidR="0010744D">
        <w:rPr>
          <w:rStyle w:val="FootnoteReference"/>
          <w:color w:val="000000"/>
          <w:sz w:val="24"/>
          <w:szCs w:val="24"/>
          <w:lang w:eastAsia="en-GB"/>
        </w:rPr>
        <w:footnoteReference w:id="14"/>
      </w:r>
      <w:r w:rsidR="0010744D">
        <w:rPr>
          <w:color w:val="000000"/>
          <w:sz w:val="24"/>
          <w:szCs w:val="24"/>
          <w:lang w:eastAsia="en-GB"/>
        </w:rPr>
        <w:t xml:space="preserve">. </w:t>
      </w:r>
      <w:r w:rsidR="007F2714">
        <w:rPr>
          <w:color w:val="000000"/>
          <w:sz w:val="24"/>
          <w:szCs w:val="24"/>
          <w:lang w:eastAsia="en-GB"/>
        </w:rPr>
        <w:t xml:space="preserve">ECRI further recommended to criminalise hate speech when amounting to public incitement to </w:t>
      </w:r>
      <w:r w:rsidR="007F2714" w:rsidRPr="007F2714">
        <w:rPr>
          <w:color w:val="000000"/>
          <w:sz w:val="24"/>
          <w:szCs w:val="24"/>
          <w:lang w:eastAsia="en-GB"/>
        </w:rPr>
        <w:t>violence, intimidation, hostility or discrimination</w:t>
      </w:r>
      <w:r w:rsidR="0010744D">
        <w:rPr>
          <w:rStyle w:val="FootnoteReference"/>
          <w:color w:val="000000"/>
          <w:sz w:val="24"/>
          <w:szCs w:val="24"/>
          <w:lang w:eastAsia="en-GB"/>
        </w:rPr>
        <w:footnoteReference w:id="15"/>
      </w:r>
      <w:r w:rsidR="007F2714">
        <w:rPr>
          <w:color w:val="000000"/>
          <w:sz w:val="24"/>
          <w:szCs w:val="24"/>
          <w:lang w:eastAsia="en-GB"/>
        </w:rPr>
        <w:t>.</w:t>
      </w:r>
    </w:p>
    <w:p w14:paraId="67A0C47C" w14:textId="77777777" w:rsidR="00BE02E5" w:rsidRDefault="00BE02E5" w:rsidP="00BE02E5">
      <w:pPr>
        <w:pStyle w:val="ListParagraph"/>
        <w:shd w:val="clear" w:color="auto" w:fill="FFFFFF"/>
        <w:spacing w:line="259" w:lineRule="auto"/>
        <w:ind w:left="360"/>
        <w:jc w:val="both"/>
        <w:outlineLvl w:val="2"/>
        <w:rPr>
          <w:color w:val="000000"/>
          <w:sz w:val="24"/>
          <w:szCs w:val="24"/>
          <w:lang w:eastAsia="en-GB"/>
        </w:rPr>
      </w:pPr>
    </w:p>
    <w:p w14:paraId="0A8AE7EC" w14:textId="03A1A2C2" w:rsidR="00BE02E5" w:rsidRDefault="00BE02E5" w:rsidP="009F00AF">
      <w:pPr>
        <w:pStyle w:val="ListParagraph"/>
        <w:shd w:val="clear" w:color="auto" w:fill="FFFFFF"/>
        <w:spacing w:line="259" w:lineRule="auto"/>
        <w:ind w:left="360"/>
        <w:jc w:val="both"/>
        <w:outlineLvl w:val="2"/>
        <w:rPr>
          <w:color w:val="000000"/>
          <w:sz w:val="24"/>
          <w:szCs w:val="24"/>
          <w:lang w:eastAsia="en-GB"/>
        </w:rPr>
      </w:pPr>
      <w:r>
        <w:rPr>
          <w:color w:val="000000"/>
          <w:sz w:val="24"/>
          <w:szCs w:val="24"/>
          <w:lang w:eastAsia="en-GB"/>
        </w:rPr>
        <w:t>The European Commission has presented an initiative to extend the list of so-called “Eurocrimes”</w:t>
      </w:r>
      <w:r>
        <w:rPr>
          <w:rStyle w:val="FootnoteReference"/>
          <w:color w:val="000000"/>
          <w:sz w:val="24"/>
          <w:szCs w:val="24"/>
          <w:lang w:eastAsia="en-GB"/>
        </w:rPr>
        <w:footnoteReference w:id="16"/>
      </w:r>
      <w:r>
        <w:rPr>
          <w:color w:val="000000"/>
          <w:sz w:val="24"/>
          <w:szCs w:val="24"/>
          <w:lang w:eastAsia="en-GB"/>
        </w:rPr>
        <w:t>, following-up on the commitment it made in its LGBTIQ Equality Strategy to</w:t>
      </w:r>
      <w:r w:rsidRPr="00755CBD">
        <w:rPr>
          <w:color w:val="000000"/>
          <w:sz w:val="24"/>
          <w:szCs w:val="24"/>
          <w:lang w:eastAsia="en-GB"/>
        </w:rPr>
        <w:t xml:space="preserve"> </w:t>
      </w:r>
      <w:r>
        <w:rPr>
          <w:color w:val="000000"/>
          <w:sz w:val="24"/>
          <w:szCs w:val="24"/>
          <w:lang w:eastAsia="en-GB"/>
        </w:rPr>
        <w:t>adopt common EU rules on hate crime and speech, also when targeting LGBTI persons</w:t>
      </w:r>
      <w:r>
        <w:rPr>
          <w:rStyle w:val="FootnoteReference"/>
          <w:color w:val="000000"/>
          <w:sz w:val="24"/>
          <w:szCs w:val="24"/>
          <w:lang w:eastAsia="en-GB"/>
        </w:rPr>
        <w:footnoteReference w:id="17"/>
      </w:r>
      <w:r>
        <w:rPr>
          <w:color w:val="000000"/>
          <w:sz w:val="24"/>
          <w:szCs w:val="24"/>
          <w:lang w:eastAsia="en-GB"/>
        </w:rPr>
        <w:t xml:space="preserve">. </w:t>
      </w:r>
    </w:p>
    <w:p w14:paraId="0635F026" w14:textId="77777777" w:rsidR="009E2767" w:rsidRDefault="009E2767" w:rsidP="009F00AF">
      <w:pPr>
        <w:pStyle w:val="ListParagraph"/>
        <w:shd w:val="clear" w:color="auto" w:fill="FFFFFF"/>
        <w:spacing w:line="259" w:lineRule="auto"/>
        <w:ind w:left="360"/>
        <w:jc w:val="both"/>
        <w:outlineLvl w:val="2"/>
        <w:rPr>
          <w:color w:val="000000"/>
          <w:sz w:val="24"/>
          <w:szCs w:val="24"/>
          <w:lang w:eastAsia="en-GB"/>
        </w:rPr>
      </w:pPr>
    </w:p>
    <w:p w14:paraId="51596158" w14:textId="6AEDB17C" w:rsidR="009C6C81" w:rsidRDefault="00BE02E5" w:rsidP="009F00AF">
      <w:pPr>
        <w:pStyle w:val="ListParagraph"/>
        <w:shd w:val="clear" w:color="auto" w:fill="FFFFFF"/>
        <w:spacing w:line="259" w:lineRule="auto"/>
        <w:ind w:left="360"/>
        <w:jc w:val="both"/>
        <w:outlineLvl w:val="2"/>
        <w:rPr>
          <w:color w:val="000000"/>
          <w:sz w:val="24"/>
          <w:szCs w:val="24"/>
          <w:lang w:eastAsia="en-GB"/>
        </w:rPr>
      </w:pPr>
      <w:r>
        <w:rPr>
          <w:color w:val="000000"/>
          <w:sz w:val="24"/>
          <w:szCs w:val="24"/>
          <w:lang w:eastAsia="en-GB"/>
        </w:rPr>
        <w:t>However, u</w:t>
      </w:r>
      <w:r w:rsidR="009E2767" w:rsidRPr="009E2767">
        <w:rPr>
          <w:color w:val="000000"/>
          <w:sz w:val="24"/>
          <w:szCs w:val="24"/>
          <w:lang w:eastAsia="en-GB"/>
        </w:rPr>
        <w:t xml:space="preserve">p to this date only three </w:t>
      </w:r>
      <w:r w:rsidR="009E2767">
        <w:rPr>
          <w:color w:val="000000"/>
          <w:sz w:val="24"/>
          <w:szCs w:val="24"/>
          <w:lang w:eastAsia="en-GB"/>
        </w:rPr>
        <w:t>European countries</w:t>
      </w:r>
      <w:r w:rsidR="009E2767" w:rsidRPr="009E2767">
        <w:rPr>
          <w:color w:val="000000"/>
          <w:sz w:val="24"/>
          <w:szCs w:val="24"/>
          <w:vertAlign w:val="superscript"/>
          <w:lang w:eastAsia="en-GB"/>
        </w:rPr>
        <w:footnoteReference w:id="18"/>
      </w:r>
      <w:r w:rsidR="009E2767" w:rsidRPr="009E2767">
        <w:rPr>
          <w:color w:val="000000"/>
          <w:sz w:val="24"/>
          <w:szCs w:val="24"/>
          <w:lang w:eastAsia="en-GB"/>
        </w:rPr>
        <w:t xml:space="preserve"> offer </w:t>
      </w:r>
      <w:r w:rsidR="003B5101">
        <w:rPr>
          <w:color w:val="000000"/>
          <w:sz w:val="24"/>
          <w:szCs w:val="24"/>
          <w:lang w:eastAsia="en-GB"/>
        </w:rPr>
        <w:t xml:space="preserve">State level </w:t>
      </w:r>
      <w:r w:rsidR="009E2767" w:rsidRPr="009E2767">
        <w:rPr>
          <w:color w:val="000000"/>
          <w:sz w:val="24"/>
          <w:szCs w:val="24"/>
          <w:lang w:eastAsia="en-GB"/>
        </w:rPr>
        <w:t>protection against hate crime on the ground of sex characteristics and only two</w:t>
      </w:r>
      <w:r w:rsidR="009E2767" w:rsidRPr="009E2767">
        <w:rPr>
          <w:color w:val="000000"/>
          <w:sz w:val="24"/>
          <w:szCs w:val="24"/>
          <w:vertAlign w:val="superscript"/>
          <w:lang w:eastAsia="en-GB"/>
        </w:rPr>
        <w:footnoteReference w:id="19"/>
      </w:r>
      <w:r w:rsidR="009E2767" w:rsidRPr="009E2767">
        <w:rPr>
          <w:color w:val="000000"/>
          <w:sz w:val="24"/>
          <w:szCs w:val="24"/>
          <w:lang w:eastAsia="en-GB"/>
        </w:rPr>
        <w:t xml:space="preserve"> against hate speech</w:t>
      </w:r>
      <w:r w:rsidR="002C51F1">
        <w:rPr>
          <w:color w:val="000000"/>
          <w:sz w:val="24"/>
          <w:szCs w:val="24"/>
          <w:lang w:eastAsia="en-GB"/>
        </w:rPr>
        <w:t>.</w:t>
      </w:r>
      <w:r w:rsidR="00D3098B">
        <w:rPr>
          <w:color w:val="000000"/>
          <w:sz w:val="24"/>
          <w:szCs w:val="24"/>
          <w:lang w:eastAsia="en-GB"/>
        </w:rPr>
        <w:t xml:space="preserve"> </w:t>
      </w:r>
    </w:p>
    <w:p w14:paraId="74696907" w14:textId="77777777" w:rsidR="00CF4A08" w:rsidRDefault="00CF4A08" w:rsidP="009F00AF">
      <w:pPr>
        <w:pStyle w:val="ListParagraph"/>
        <w:shd w:val="clear" w:color="auto" w:fill="FFFFFF"/>
        <w:spacing w:line="259" w:lineRule="auto"/>
        <w:ind w:left="360"/>
        <w:jc w:val="both"/>
        <w:outlineLvl w:val="2"/>
        <w:rPr>
          <w:color w:val="000000"/>
          <w:sz w:val="24"/>
          <w:szCs w:val="24"/>
          <w:lang w:eastAsia="en-GB"/>
        </w:rPr>
      </w:pPr>
    </w:p>
    <w:p w14:paraId="0B70C87F" w14:textId="6FC88FAD" w:rsidR="009C6C81" w:rsidRDefault="00BE02E5" w:rsidP="009F00AF">
      <w:pPr>
        <w:pStyle w:val="ListParagraph"/>
        <w:shd w:val="clear" w:color="auto" w:fill="FFFFFF"/>
        <w:spacing w:line="259" w:lineRule="auto"/>
        <w:ind w:left="360"/>
        <w:jc w:val="both"/>
        <w:outlineLvl w:val="2"/>
        <w:rPr>
          <w:color w:val="000000"/>
          <w:sz w:val="24"/>
          <w:szCs w:val="24"/>
          <w:lang w:eastAsia="en-GB"/>
        </w:rPr>
      </w:pPr>
      <w:r>
        <w:rPr>
          <w:color w:val="000000"/>
          <w:sz w:val="24"/>
          <w:szCs w:val="24"/>
          <w:lang w:eastAsia="en-GB"/>
        </w:rPr>
        <w:t>Without criminal provisions in place r</w:t>
      </w:r>
      <w:r w:rsidR="007E14E2">
        <w:rPr>
          <w:color w:val="000000"/>
          <w:sz w:val="24"/>
          <w:szCs w:val="24"/>
          <w:lang w:eastAsia="en-GB"/>
        </w:rPr>
        <w:t xml:space="preserve">edress options are non-existent </w:t>
      </w:r>
      <w:r>
        <w:rPr>
          <w:color w:val="000000"/>
          <w:sz w:val="24"/>
          <w:szCs w:val="24"/>
          <w:lang w:eastAsia="en-GB"/>
        </w:rPr>
        <w:t>in the majority of European countries,</w:t>
      </w:r>
      <w:r w:rsidR="007E14E2">
        <w:rPr>
          <w:color w:val="000000"/>
          <w:sz w:val="24"/>
          <w:szCs w:val="24"/>
          <w:lang w:eastAsia="en-GB"/>
        </w:rPr>
        <w:t xml:space="preserve"> while even when it is possible to rely on general provisions in the lack of specific ones (</w:t>
      </w:r>
      <w:r w:rsidR="001B2225">
        <w:rPr>
          <w:color w:val="000000"/>
          <w:sz w:val="24"/>
          <w:szCs w:val="24"/>
          <w:lang w:eastAsia="en-GB"/>
        </w:rPr>
        <w:t>e.g.,</w:t>
      </w:r>
      <w:r w:rsidR="007E14E2">
        <w:rPr>
          <w:color w:val="000000"/>
          <w:sz w:val="24"/>
          <w:szCs w:val="24"/>
          <w:lang w:eastAsia="en-GB"/>
        </w:rPr>
        <w:t xml:space="preserve"> the crimes of violence or threat, with no relevance given to the bias motivation), redress is hardly accessible</w:t>
      </w:r>
      <w:r w:rsidR="00B41CA4">
        <w:rPr>
          <w:color w:val="000000"/>
          <w:sz w:val="24"/>
          <w:szCs w:val="24"/>
          <w:lang w:eastAsia="en-GB"/>
        </w:rPr>
        <w:t xml:space="preserve"> in practice.</w:t>
      </w:r>
    </w:p>
    <w:p w14:paraId="05691D88" w14:textId="2C9E90FF" w:rsidR="009A0643" w:rsidRDefault="009A0643" w:rsidP="009F00AF">
      <w:pPr>
        <w:pStyle w:val="ListParagraph"/>
        <w:shd w:val="clear" w:color="auto" w:fill="FFFFFF"/>
        <w:spacing w:line="259" w:lineRule="auto"/>
        <w:ind w:left="360"/>
        <w:jc w:val="both"/>
        <w:outlineLvl w:val="2"/>
        <w:rPr>
          <w:color w:val="000000"/>
          <w:sz w:val="24"/>
          <w:szCs w:val="24"/>
          <w:lang w:eastAsia="en-GB"/>
        </w:rPr>
      </w:pPr>
    </w:p>
    <w:p w14:paraId="5A2D4F04" w14:textId="3C06C039" w:rsidR="009A0643" w:rsidRDefault="00B41CA4" w:rsidP="009F00AF">
      <w:pPr>
        <w:pStyle w:val="ListParagraph"/>
        <w:shd w:val="clear" w:color="auto" w:fill="FFFFFF"/>
        <w:spacing w:line="259" w:lineRule="auto"/>
        <w:ind w:left="360"/>
        <w:jc w:val="both"/>
        <w:outlineLvl w:val="2"/>
        <w:rPr>
          <w:color w:val="000000"/>
          <w:sz w:val="24"/>
          <w:szCs w:val="24"/>
          <w:lang w:eastAsia="en-GB"/>
        </w:rPr>
      </w:pPr>
      <w:r>
        <w:rPr>
          <w:color w:val="000000"/>
          <w:sz w:val="24"/>
          <w:szCs w:val="24"/>
          <w:lang w:eastAsia="en-GB"/>
        </w:rPr>
        <w:t xml:space="preserve">Of </w:t>
      </w:r>
      <w:r w:rsidRPr="00B41CA4">
        <w:rPr>
          <w:color w:val="000000"/>
          <w:sz w:val="24"/>
          <w:szCs w:val="24"/>
          <w:lang w:eastAsia="en-GB"/>
        </w:rPr>
        <w:t>all</w:t>
      </w:r>
      <w:r>
        <w:rPr>
          <w:color w:val="000000"/>
          <w:sz w:val="24"/>
          <w:szCs w:val="24"/>
          <w:lang w:eastAsia="en-GB"/>
        </w:rPr>
        <w:t xml:space="preserve"> the</w:t>
      </w:r>
      <w:r w:rsidRPr="00B41CA4">
        <w:rPr>
          <w:color w:val="000000"/>
          <w:sz w:val="24"/>
          <w:szCs w:val="24"/>
          <w:lang w:eastAsia="en-GB"/>
        </w:rPr>
        <w:t xml:space="preserve"> intersex respondents</w:t>
      </w:r>
      <w:r>
        <w:rPr>
          <w:color w:val="000000"/>
          <w:sz w:val="24"/>
          <w:szCs w:val="24"/>
          <w:lang w:eastAsia="en-GB"/>
        </w:rPr>
        <w:t xml:space="preserve"> to the 2020 FRA LGBTI survey</w:t>
      </w:r>
      <w:r w:rsidRPr="00B41CA4">
        <w:rPr>
          <w:color w:val="000000"/>
          <w:sz w:val="24"/>
          <w:szCs w:val="24"/>
          <w:lang w:eastAsia="en-GB"/>
        </w:rPr>
        <w:t xml:space="preserve"> who experienced an incident of harassment or physical or sexual attack within the 12 months </w:t>
      </w:r>
      <w:r>
        <w:rPr>
          <w:color w:val="000000"/>
          <w:sz w:val="24"/>
          <w:szCs w:val="24"/>
          <w:lang w:eastAsia="en-GB"/>
        </w:rPr>
        <w:t>before</w:t>
      </w:r>
      <w:r w:rsidRPr="00B41CA4">
        <w:rPr>
          <w:color w:val="000000"/>
          <w:sz w:val="24"/>
          <w:szCs w:val="24"/>
          <w:lang w:eastAsia="en-GB"/>
        </w:rPr>
        <w:t>, only 25% reported the incident to any authority or organisation</w:t>
      </w:r>
      <w:r>
        <w:rPr>
          <w:color w:val="000000"/>
          <w:sz w:val="24"/>
          <w:szCs w:val="24"/>
          <w:lang w:eastAsia="en-GB"/>
        </w:rPr>
        <w:t>, of which only</w:t>
      </w:r>
      <w:r w:rsidRPr="00B41CA4">
        <w:rPr>
          <w:color w:val="000000"/>
          <w:sz w:val="24"/>
          <w:szCs w:val="24"/>
          <w:lang w:eastAsia="en-GB"/>
        </w:rPr>
        <w:t xml:space="preserve"> 16%, reported </w:t>
      </w:r>
      <w:r>
        <w:rPr>
          <w:color w:val="000000"/>
          <w:sz w:val="24"/>
          <w:szCs w:val="24"/>
          <w:lang w:eastAsia="en-GB"/>
        </w:rPr>
        <w:t xml:space="preserve">it </w:t>
      </w:r>
      <w:r w:rsidRPr="00B41CA4">
        <w:rPr>
          <w:color w:val="000000"/>
          <w:sz w:val="24"/>
          <w:szCs w:val="24"/>
          <w:lang w:eastAsia="en-GB"/>
        </w:rPr>
        <w:t>to the police</w:t>
      </w:r>
      <w:r w:rsidR="00EF57D8">
        <w:rPr>
          <w:rStyle w:val="FootnoteReference"/>
          <w:color w:val="000000"/>
          <w:sz w:val="24"/>
          <w:szCs w:val="24"/>
          <w:lang w:eastAsia="en-GB"/>
        </w:rPr>
        <w:footnoteReference w:id="20"/>
      </w:r>
      <w:r>
        <w:rPr>
          <w:color w:val="000000"/>
          <w:sz w:val="24"/>
          <w:szCs w:val="24"/>
          <w:lang w:eastAsia="en-GB"/>
        </w:rPr>
        <w:t>.</w:t>
      </w:r>
    </w:p>
    <w:p w14:paraId="739CDCAF" w14:textId="63CB1DC2" w:rsidR="00700879" w:rsidRDefault="00700879" w:rsidP="009F00AF">
      <w:pPr>
        <w:pStyle w:val="ListParagraph"/>
        <w:shd w:val="clear" w:color="auto" w:fill="FFFFFF"/>
        <w:spacing w:line="259" w:lineRule="auto"/>
        <w:ind w:left="360"/>
        <w:jc w:val="both"/>
        <w:outlineLvl w:val="2"/>
        <w:rPr>
          <w:color w:val="000000"/>
          <w:sz w:val="24"/>
          <w:szCs w:val="24"/>
          <w:lang w:eastAsia="en-GB"/>
        </w:rPr>
      </w:pPr>
    </w:p>
    <w:p w14:paraId="2643DED2" w14:textId="77777777" w:rsidR="00700879" w:rsidRPr="00700879" w:rsidRDefault="00700879" w:rsidP="00700879">
      <w:pPr>
        <w:pStyle w:val="ListParagraph"/>
        <w:shd w:val="clear" w:color="auto" w:fill="FFFFFF"/>
        <w:spacing w:line="259" w:lineRule="auto"/>
        <w:ind w:left="360"/>
        <w:outlineLvl w:val="2"/>
        <w:rPr>
          <w:color w:val="000000"/>
          <w:sz w:val="24"/>
          <w:szCs w:val="24"/>
          <w:lang w:eastAsia="en-GB"/>
        </w:rPr>
      </w:pPr>
      <w:r w:rsidRPr="00700879">
        <w:rPr>
          <w:color w:val="000000"/>
          <w:sz w:val="24"/>
          <w:szCs w:val="24"/>
          <w:lang w:eastAsia="en-GB"/>
        </w:rPr>
        <w:t>The most common reasons include former experience or fear that:</w:t>
      </w:r>
    </w:p>
    <w:p w14:paraId="14C7EACC" w14:textId="77777777" w:rsidR="00700879" w:rsidRPr="00700879" w:rsidRDefault="00700879" w:rsidP="00700879">
      <w:pPr>
        <w:pStyle w:val="ListParagraph"/>
        <w:numPr>
          <w:ilvl w:val="0"/>
          <w:numId w:val="6"/>
        </w:numPr>
        <w:shd w:val="clear" w:color="auto" w:fill="FFFFFF"/>
        <w:spacing w:line="259" w:lineRule="auto"/>
        <w:outlineLvl w:val="2"/>
        <w:rPr>
          <w:color w:val="000000"/>
          <w:sz w:val="24"/>
          <w:szCs w:val="24"/>
          <w:lang w:eastAsia="en-GB"/>
        </w:rPr>
      </w:pPr>
      <w:r w:rsidRPr="00700879">
        <w:rPr>
          <w:color w:val="000000"/>
          <w:sz w:val="24"/>
          <w:szCs w:val="24"/>
          <w:lang w:eastAsia="en-GB"/>
        </w:rPr>
        <w:t>the police would not or could not do anything</w:t>
      </w:r>
    </w:p>
    <w:p w14:paraId="548749AF" w14:textId="77777777" w:rsidR="00700879" w:rsidRPr="00700879" w:rsidRDefault="00700879" w:rsidP="00700879">
      <w:pPr>
        <w:pStyle w:val="ListParagraph"/>
        <w:numPr>
          <w:ilvl w:val="0"/>
          <w:numId w:val="6"/>
        </w:numPr>
        <w:shd w:val="clear" w:color="auto" w:fill="FFFFFF"/>
        <w:spacing w:line="259" w:lineRule="auto"/>
        <w:outlineLvl w:val="2"/>
        <w:rPr>
          <w:color w:val="000000"/>
          <w:sz w:val="24"/>
          <w:szCs w:val="24"/>
          <w:lang w:eastAsia="en-GB"/>
        </w:rPr>
      </w:pPr>
      <w:r w:rsidRPr="00700879">
        <w:rPr>
          <w:color w:val="000000"/>
          <w:sz w:val="24"/>
          <w:szCs w:val="24"/>
          <w:lang w:eastAsia="en-GB"/>
        </w:rPr>
        <w:t>not trusting the police</w:t>
      </w:r>
    </w:p>
    <w:p w14:paraId="024182CF" w14:textId="4FB8E8E6" w:rsidR="00700879" w:rsidRDefault="00700879" w:rsidP="00700879">
      <w:pPr>
        <w:pStyle w:val="ListParagraph"/>
        <w:numPr>
          <w:ilvl w:val="0"/>
          <w:numId w:val="6"/>
        </w:numPr>
        <w:shd w:val="clear" w:color="auto" w:fill="FFFFFF"/>
        <w:spacing w:line="259" w:lineRule="auto"/>
        <w:jc w:val="both"/>
        <w:outlineLvl w:val="2"/>
        <w:rPr>
          <w:color w:val="000000"/>
          <w:sz w:val="24"/>
          <w:szCs w:val="24"/>
          <w:lang w:eastAsia="en-GB"/>
        </w:rPr>
      </w:pPr>
      <w:r w:rsidRPr="00700879">
        <w:rPr>
          <w:color w:val="000000"/>
          <w:sz w:val="24"/>
          <w:szCs w:val="24"/>
          <w:lang w:eastAsia="en-GB"/>
        </w:rPr>
        <w:t>fear of a homo-phobic and/or transphobic reaction if they reported to the police</w:t>
      </w:r>
      <w:r w:rsidR="00230606">
        <w:rPr>
          <w:rStyle w:val="FootnoteReference"/>
          <w:color w:val="000000"/>
          <w:sz w:val="24"/>
          <w:szCs w:val="24"/>
          <w:lang w:eastAsia="en-GB"/>
        </w:rPr>
        <w:footnoteReference w:id="21"/>
      </w:r>
      <w:r>
        <w:rPr>
          <w:color w:val="000000"/>
          <w:sz w:val="24"/>
          <w:szCs w:val="24"/>
          <w:lang w:eastAsia="en-GB"/>
        </w:rPr>
        <w:t>.</w:t>
      </w:r>
    </w:p>
    <w:p w14:paraId="57D2E7EC" w14:textId="77777777" w:rsidR="00700879" w:rsidRPr="00700879" w:rsidRDefault="00700879" w:rsidP="00700879">
      <w:pPr>
        <w:shd w:val="clear" w:color="auto" w:fill="FFFFFF"/>
        <w:spacing w:line="259" w:lineRule="auto"/>
        <w:ind w:left="360"/>
        <w:jc w:val="both"/>
        <w:outlineLvl w:val="2"/>
        <w:rPr>
          <w:color w:val="000000"/>
          <w:sz w:val="24"/>
          <w:szCs w:val="24"/>
          <w:lang w:eastAsia="en-GB"/>
        </w:rPr>
      </w:pPr>
    </w:p>
    <w:p w14:paraId="17403491" w14:textId="77777777" w:rsidR="009F00AF" w:rsidRPr="00D90F79" w:rsidRDefault="009F00AF" w:rsidP="009F00AF">
      <w:pPr>
        <w:pStyle w:val="ListParagraph"/>
        <w:numPr>
          <w:ilvl w:val="0"/>
          <w:numId w:val="1"/>
        </w:numPr>
        <w:shd w:val="clear" w:color="auto" w:fill="FFFFFF"/>
        <w:spacing w:line="259" w:lineRule="auto"/>
        <w:jc w:val="both"/>
        <w:outlineLvl w:val="2"/>
        <w:rPr>
          <w:color w:val="1F4E79" w:themeColor="accent1" w:themeShade="80"/>
          <w:sz w:val="24"/>
          <w:szCs w:val="24"/>
          <w:lang w:eastAsia="en-GB"/>
        </w:rPr>
      </w:pPr>
      <w:r w:rsidRPr="00D90F79">
        <w:rPr>
          <w:color w:val="1F4E79" w:themeColor="accent1" w:themeShade="80"/>
          <w:sz w:val="24"/>
          <w:szCs w:val="24"/>
          <w:lang w:eastAsia="en-GB"/>
        </w:rPr>
        <w:t xml:space="preserve">Please share examples of </w:t>
      </w:r>
      <w:r w:rsidRPr="00CF3C95">
        <w:rPr>
          <w:color w:val="1F4E79" w:themeColor="accent1" w:themeShade="80"/>
          <w:sz w:val="24"/>
          <w:szCs w:val="24"/>
          <w:u w:val="single"/>
          <w:lang w:eastAsia="en-GB"/>
        </w:rPr>
        <w:t>the types of structural and institutional violence with origins within the State, (</w:t>
      </w:r>
      <w:r w:rsidRPr="00CF3C95">
        <w:rPr>
          <w:color w:val="1F4E79" w:themeColor="accent1" w:themeShade="80"/>
          <w:sz w:val="24"/>
          <w:szCs w:val="24"/>
          <w:u w:val="single"/>
          <w:shd w:val="clear" w:color="auto" w:fill="FFFFFF"/>
          <w:lang w:val="en-ZA" w:eastAsia="en-GB"/>
        </w:rPr>
        <w:t>perpetrated or condoned by the State)</w:t>
      </w:r>
      <w:r w:rsidRPr="00D90F79">
        <w:rPr>
          <w:color w:val="1F4E79" w:themeColor="accent1" w:themeShade="80"/>
          <w:sz w:val="24"/>
          <w:szCs w:val="24"/>
          <w:lang w:val="en-ZA" w:eastAsia="en-GB"/>
        </w:rPr>
        <w:t xml:space="preserve"> or </w:t>
      </w:r>
      <w:r w:rsidRPr="00D90F79">
        <w:rPr>
          <w:color w:val="1F4E79" w:themeColor="accent1" w:themeShade="80"/>
          <w:sz w:val="24"/>
          <w:szCs w:val="24"/>
          <w:shd w:val="clear" w:color="auto" w:fill="FFFFFF"/>
          <w:lang w:val="en-ZA" w:eastAsia="en-GB"/>
        </w:rPr>
        <w:t xml:space="preserve">perpetrated by those not representing or affiliated to the state </w:t>
      </w:r>
      <w:r w:rsidRPr="00D90F79">
        <w:rPr>
          <w:color w:val="1F4E79" w:themeColor="accent1" w:themeShade="80"/>
          <w:sz w:val="24"/>
          <w:szCs w:val="24"/>
          <w:lang w:eastAsia="en-GB"/>
        </w:rPr>
        <w:t xml:space="preserve">in your country/ies of region, and who is affected. In particular, describe </w:t>
      </w:r>
      <w:r w:rsidRPr="00CF3C95">
        <w:rPr>
          <w:color w:val="1F4E79" w:themeColor="accent1" w:themeShade="80"/>
          <w:sz w:val="24"/>
          <w:szCs w:val="24"/>
          <w:u w:val="single"/>
          <w:lang w:eastAsia="en-GB"/>
        </w:rPr>
        <w:t>structural/institutional violence in medical settings against women and girls, LGBTI persons</w:t>
      </w:r>
      <w:r w:rsidRPr="00D90F79">
        <w:rPr>
          <w:color w:val="1F4E79" w:themeColor="accent1" w:themeShade="80"/>
          <w:sz w:val="24"/>
          <w:szCs w:val="24"/>
          <w:lang w:eastAsia="en-GB"/>
        </w:rPr>
        <w:t xml:space="preserve"> and persons with disabilities or any other individuals or groups relevant in your country/ies or regions.  </w:t>
      </w:r>
    </w:p>
    <w:p w14:paraId="152D4C16" w14:textId="1CB49068" w:rsidR="009F00AF" w:rsidRDefault="009F00AF" w:rsidP="00BA21AA">
      <w:pPr>
        <w:spacing w:line="259" w:lineRule="auto"/>
        <w:ind w:left="426"/>
        <w:jc w:val="both"/>
        <w:rPr>
          <w:color w:val="000000"/>
          <w:sz w:val="24"/>
          <w:szCs w:val="24"/>
          <w:lang w:eastAsia="en-GB"/>
        </w:rPr>
      </w:pPr>
    </w:p>
    <w:p w14:paraId="4F2CB4A7" w14:textId="69DD2D68" w:rsidR="0095763D" w:rsidRDefault="0095763D" w:rsidP="0095763D">
      <w:pPr>
        <w:spacing w:line="259" w:lineRule="auto"/>
        <w:ind w:left="426"/>
        <w:jc w:val="both"/>
        <w:rPr>
          <w:color w:val="000000"/>
          <w:sz w:val="24"/>
          <w:szCs w:val="24"/>
          <w:lang w:eastAsia="en-GB"/>
        </w:rPr>
      </w:pPr>
      <w:r w:rsidRPr="0095763D">
        <w:rPr>
          <w:color w:val="000000"/>
          <w:sz w:val="24"/>
          <w:szCs w:val="24"/>
          <w:lang w:eastAsia="en-GB"/>
        </w:rPr>
        <w:t>The most severe form of structural and institutional violence that affects intersex people is Intersex Genital Mutilation (IGM), an intervention on a healthy intersex body. IGM is performed when, according to societal and medical notions, a person</w:t>
      </w:r>
      <w:r w:rsidRPr="0095763D">
        <w:rPr>
          <w:rFonts w:hint="eastAsia"/>
          <w:color w:val="000000"/>
          <w:sz w:val="24"/>
          <w:szCs w:val="24"/>
          <w:lang w:eastAsia="en-GB"/>
        </w:rPr>
        <w:t>’</w:t>
      </w:r>
      <w:r w:rsidRPr="0095763D">
        <w:rPr>
          <w:color w:val="000000"/>
          <w:sz w:val="24"/>
          <w:szCs w:val="24"/>
          <w:lang w:eastAsia="en-GB"/>
        </w:rPr>
        <w:t xml:space="preserve">s external genitals do not look </w:t>
      </w:r>
      <w:r w:rsidRPr="0095763D">
        <w:rPr>
          <w:rFonts w:hint="eastAsia"/>
          <w:color w:val="000000"/>
          <w:sz w:val="24"/>
          <w:szCs w:val="24"/>
          <w:lang w:eastAsia="en-GB"/>
        </w:rPr>
        <w:t>“</w:t>
      </w:r>
      <w:r w:rsidRPr="0095763D">
        <w:rPr>
          <w:color w:val="000000"/>
          <w:sz w:val="24"/>
          <w:szCs w:val="24"/>
          <w:lang w:eastAsia="en-GB"/>
        </w:rPr>
        <w:t>normal</w:t>
      </w:r>
      <w:r w:rsidRPr="0095763D">
        <w:rPr>
          <w:rFonts w:hint="eastAsia"/>
          <w:color w:val="000000"/>
          <w:sz w:val="24"/>
          <w:szCs w:val="24"/>
          <w:lang w:eastAsia="en-GB"/>
        </w:rPr>
        <w:t>”</w:t>
      </w:r>
      <w:r w:rsidRPr="0095763D">
        <w:rPr>
          <w:color w:val="000000"/>
          <w:sz w:val="24"/>
          <w:szCs w:val="24"/>
          <w:lang w:eastAsia="en-GB"/>
        </w:rPr>
        <w:t xml:space="preserve"> enough to pass as </w:t>
      </w:r>
      <w:r w:rsidRPr="0095763D">
        <w:rPr>
          <w:rFonts w:hint="eastAsia"/>
          <w:color w:val="000000"/>
          <w:sz w:val="24"/>
          <w:szCs w:val="24"/>
          <w:lang w:eastAsia="en-GB"/>
        </w:rPr>
        <w:t>“</w:t>
      </w:r>
      <w:r w:rsidRPr="0095763D">
        <w:rPr>
          <w:color w:val="000000"/>
          <w:sz w:val="24"/>
          <w:szCs w:val="24"/>
          <w:lang w:eastAsia="en-GB"/>
        </w:rPr>
        <w:t>male</w:t>
      </w:r>
      <w:r w:rsidRPr="0095763D">
        <w:rPr>
          <w:rFonts w:hint="eastAsia"/>
          <w:color w:val="000000"/>
          <w:sz w:val="24"/>
          <w:szCs w:val="24"/>
          <w:lang w:eastAsia="en-GB"/>
        </w:rPr>
        <w:t>”</w:t>
      </w:r>
      <w:r w:rsidRPr="0095763D">
        <w:rPr>
          <w:color w:val="000000"/>
          <w:sz w:val="24"/>
          <w:szCs w:val="24"/>
          <w:lang w:eastAsia="en-GB"/>
        </w:rPr>
        <w:t xml:space="preserve"> or </w:t>
      </w:r>
      <w:r w:rsidRPr="0095763D">
        <w:rPr>
          <w:rFonts w:hint="eastAsia"/>
          <w:color w:val="000000"/>
          <w:sz w:val="24"/>
          <w:szCs w:val="24"/>
          <w:lang w:eastAsia="en-GB"/>
        </w:rPr>
        <w:t>“</w:t>
      </w:r>
      <w:r w:rsidRPr="0095763D">
        <w:rPr>
          <w:color w:val="000000"/>
          <w:sz w:val="24"/>
          <w:szCs w:val="24"/>
          <w:lang w:eastAsia="en-GB"/>
        </w:rPr>
        <w:t>female</w:t>
      </w:r>
      <w:r w:rsidRPr="0095763D">
        <w:rPr>
          <w:rFonts w:hint="eastAsia"/>
          <w:color w:val="000000"/>
          <w:sz w:val="24"/>
          <w:szCs w:val="24"/>
          <w:lang w:eastAsia="en-GB"/>
        </w:rPr>
        <w:t>”</w:t>
      </w:r>
      <w:r w:rsidRPr="0095763D">
        <w:rPr>
          <w:color w:val="000000"/>
          <w:sz w:val="24"/>
          <w:szCs w:val="24"/>
          <w:lang w:eastAsia="en-GB"/>
        </w:rPr>
        <w:t xml:space="preserve"> genitals</w:t>
      </w:r>
      <w:r>
        <w:rPr>
          <w:rStyle w:val="FootnoteReference"/>
          <w:color w:val="000000"/>
          <w:sz w:val="24"/>
          <w:szCs w:val="24"/>
          <w:lang w:eastAsia="en-GB"/>
        </w:rPr>
        <w:footnoteReference w:id="22"/>
      </w:r>
      <w:r w:rsidRPr="0095763D">
        <w:rPr>
          <w:color w:val="000000"/>
          <w:sz w:val="24"/>
          <w:szCs w:val="24"/>
          <w:lang w:eastAsia="en-GB"/>
        </w:rPr>
        <w:t>.</w:t>
      </w:r>
      <w:r w:rsidR="00B11F39">
        <w:rPr>
          <w:color w:val="000000"/>
          <w:sz w:val="24"/>
          <w:szCs w:val="24"/>
          <w:lang w:eastAsia="en-GB"/>
        </w:rPr>
        <w:t xml:space="preserve"> It breaches multiple human rights protected by the UN framework</w:t>
      </w:r>
      <w:r w:rsidR="00420E01">
        <w:rPr>
          <w:color w:val="000000"/>
          <w:sz w:val="24"/>
          <w:szCs w:val="24"/>
          <w:lang w:eastAsia="en-GB"/>
        </w:rPr>
        <w:t xml:space="preserve"> including, among others, </w:t>
      </w:r>
      <w:r w:rsidR="00420E01" w:rsidRPr="00420E01">
        <w:rPr>
          <w:color w:val="000000"/>
          <w:sz w:val="24"/>
          <w:szCs w:val="24"/>
          <w:lang w:eastAsia="en-GB"/>
        </w:rPr>
        <w:t>freedom for torture, human dignity, right to bodily integrity, non-discrimination, best interest of the child, health protection</w:t>
      </w:r>
      <w:r w:rsidR="00B11F39">
        <w:rPr>
          <w:rStyle w:val="FootnoteReference"/>
          <w:color w:val="000000"/>
          <w:sz w:val="24"/>
          <w:szCs w:val="24"/>
          <w:lang w:eastAsia="en-GB"/>
        </w:rPr>
        <w:footnoteReference w:id="23"/>
      </w:r>
      <w:r w:rsidR="00B11F39">
        <w:rPr>
          <w:color w:val="000000"/>
          <w:sz w:val="24"/>
          <w:szCs w:val="24"/>
          <w:lang w:eastAsia="en-GB"/>
        </w:rPr>
        <w:t>.</w:t>
      </w:r>
    </w:p>
    <w:p w14:paraId="6FFCCA16" w14:textId="531A8354" w:rsidR="00C670DE" w:rsidRDefault="00C670DE" w:rsidP="0095763D">
      <w:pPr>
        <w:spacing w:line="259" w:lineRule="auto"/>
        <w:ind w:left="426"/>
        <w:jc w:val="both"/>
        <w:rPr>
          <w:color w:val="000000"/>
          <w:sz w:val="24"/>
          <w:szCs w:val="24"/>
          <w:lang w:eastAsia="en-GB"/>
        </w:rPr>
      </w:pPr>
    </w:p>
    <w:p w14:paraId="3B2D1B5C" w14:textId="4E13F0D5" w:rsidR="00C670DE" w:rsidRDefault="00C670DE" w:rsidP="0095763D">
      <w:pPr>
        <w:spacing w:line="259" w:lineRule="auto"/>
        <w:ind w:left="426"/>
        <w:jc w:val="both"/>
        <w:rPr>
          <w:color w:val="000000"/>
          <w:sz w:val="24"/>
          <w:szCs w:val="24"/>
          <w:lang w:eastAsia="en-GB"/>
        </w:rPr>
      </w:pPr>
      <w:r>
        <w:rPr>
          <w:color w:val="000000"/>
          <w:sz w:val="24"/>
          <w:szCs w:val="24"/>
          <w:lang w:eastAsia="en-GB"/>
        </w:rPr>
        <w:t>Among many other UN mechanisms repeatedly condemning IGM</w:t>
      </w:r>
      <w:r>
        <w:rPr>
          <w:rStyle w:val="FootnoteReference"/>
          <w:color w:val="000000"/>
          <w:sz w:val="24"/>
          <w:szCs w:val="24"/>
          <w:lang w:eastAsia="en-GB"/>
        </w:rPr>
        <w:footnoteReference w:id="24"/>
      </w:r>
      <w:r>
        <w:rPr>
          <w:color w:val="000000"/>
          <w:sz w:val="24"/>
          <w:szCs w:val="24"/>
          <w:lang w:eastAsia="en-GB"/>
        </w:rPr>
        <w:t>, the former</w:t>
      </w:r>
      <w:r w:rsidR="00CF5548">
        <w:rPr>
          <w:color w:val="000000"/>
          <w:sz w:val="24"/>
          <w:szCs w:val="24"/>
          <w:lang w:eastAsia="en-GB"/>
        </w:rPr>
        <w:t xml:space="preserve"> Special Rapporteur on Health</w:t>
      </w:r>
      <w:r w:rsidR="0002009F">
        <w:rPr>
          <w:color w:val="000000"/>
          <w:sz w:val="24"/>
          <w:szCs w:val="24"/>
          <w:lang w:eastAsia="en-GB"/>
        </w:rPr>
        <w:t>,</w:t>
      </w:r>
      <w:r w:rsidR="00CF5548">
        <w:rPr>
          <w:color w:val="000000"/>
          <w:sz w:val="24"/>
          <w:szCs w:val="24"/>
          <w:lang w:eastAsia="en-GB"/>
        </w:rPr>
        <w:t xml:space="preserve"> </w:t>
      </w:r>
      <w:r w:rsidR="00CF5548" w:rsidRPr="00CF5548">
        <w:rPr>
          <w:color w:val="000000"/>
          <w:sz w:val="24"/>
          <w:szCs w:val="24"/>
          <w:lang w:eastAsia="en-GB"/>
        </w:rPr>
        <w:t>Dainius Puras</w:t>
      </w:r>
      <w:r w:rsidR="0002009F">
        <w:rPr>
          <w:color w:val="000000"/>
          <w:sz w:val="24"/>
          <w:szCs w:val="24"/>
          <w:lang w:eastAsia="en-GB"/>
        </w:rPr>
        <w:t>,</w:t>
      </w:r>
      <w:r w:rsidR="009C4CF0" w:rsidRPr="009C4CF0">
        <w:rPr>
          <w:color w:val="000000"/>
          <w:sz w:val="24"/>
          <w:szCs w:val="24"/>
          <w:lang w:eastAsia="en-GB"/>
        </w:rPr>
        <w:t xml:space="preserve"> </w:t>
      </w:r>
      <w:r w:rsidR="009C4CF0">
        <w:rPr>
          <w:color w:val="000000"/>
          <w:sz w:val="24"/>
          <w:szCs w:val="24"/>
          <w:lang w:eastAsia="en-GB"/>
        </w:rPr>
        <w:t xml:space="preserve">stated that these practices </w:t>
      </w:r>
      <w:r w:rsidR="001D4CDC">
        <w:rPr>
          <w:color w:val="000000"/>
          <w:sz w:val="24"/>
          <w:szCs w:val="24"/>
          <w:lang w:eastAsia="en-GB"/>
        </w:rPr>
        <w:t>“</w:t>
      </w:r>
      <w:r w:rsidR="009C4CF0" w:rsidRPr="009C4CF0">
        <w:rPr>
          <w:color w:val="000000"/>
          <w:sz w:val="24"/>
          <w:szCs w:val="24"/>
          <w:lang w:eastAsia="en-GB"/>
        </w:rPr>
        <w:t>can have detrimental, long-lasting effects on their</w:t>
      </w:r>
      <w:r w:rsidR="003F7D01">
        <w:rPr>
          <w:color w:val="000000"/>
          <w:sz w:val="24"/>
          <w:szCs w:val="24"/>
          <w:lang w:eastAsia="en-GB"/>
        </w:rPr>
        <w:t xml:space="preserve"> [=intersex children’s]</w:t>
      </w:r>
      <w:r w:rsidR="009C4CF0" w:rsidRPr="009C4CF0">
        <w:rPr>
          <w:color w:val="000000"/>
          <w:sz w:val="24"/>
          <w:szCs w:val="24"/>
          <w:lang w:eastAsia="en-GB"/>
        </w:rPr>
        <w:t xml:space="preserve"> health and well-being; violate their basic rights to physical integrity, privacy and autonomy; and may amount to ill-treatment or even torture</w:t>
      </w:r>
      <w:r w:rsidR="001D4CDC">
        <w:rPr>
          <w:color w:val="000000"/>
          <w:sz w:val="24"/>
          <w:szCs w:val="24"/>
          <w:lang w:eastAsia="en-GB"/>
        </w:rPr>
        <w:t>”</w:t>
      </w:r>
      <w:r w:rsidR="001D4CDC">
        <w:rPr>
          <w:rStyle w:val="FootnoteReference"/>
          <w:color w:val="000000"/>
          <w:sz w:val="24"/>
          <w:szCs w:val="24"/>
          <w:lang w:eastAsia="en-GB"/>
        </w:rPr>
        <w:footnoteReference w:id="25"/>
      </w:r>
      <w:r w:rsidR="001D4CDC">
        <w:rPr>
          <w:color w:val="000000"/>
          <w:sz w:val="24"/>
          <w:szCs w:val="24"/>
          <w:lang w:eastAsia="en-GB"/>
        </w:rPr>
        <w:t>.</w:t>
      </w:r>
      <w:r w:rsidR="00466B9A">
        <w:rPr>
          <w:color w:val="000000"/>
          <w:sz w:val="24"/>
          <w:szCs w:val="24"/>
          <w:lang w:eastAsia="en-GB"/>
        </w:rPr>
        <w:t xml:space="preserve"> He added that “States should </w:t>
      </w:r>
      <w:r w:rsidR="00466B9A" w:rsidRPr="00466B9A">
        <w:rPr>
          <w:color w:val="000000"/>
          <w:sz w:val="24"/>
          <w:szCs w:val="24"/>
          <w:lang w:eastAsia="en-GB"/>
        </w:rPr>
        <w:t>prohibit unnecessary medical or surgical treatment during infancy or early childhood in order to guarantee the bodily integrity, autonomy and self- determination of the children concerned</w:t>
      </w:r>
      <w:r w:rsidR="00466B9A">
        <w:rPr>
          <w:color w:val="000000"/>
          <w:sz w:val="24"/>
          <w:szCs w:val="24"/>
          <w:lang w:eastAsia="en-GB"/>
        </w:rPr>
        <w:t>”</w:t>
      </w:r>
      <w:r w:rsidR="00466B9A">
        <w:rPr>
          <w:rStyle w:val="FootnoteReference"/>
          <w:color w:val="000000"/>
          <w:sz w:val="24"/>
          <w:szCs w:val="24"/>
          <w:lang w:eastAsia="en-GB"/>
        </w:rPr>
        <w:footnoteReference w:id="26"/>
      </w:r>
      <w:r w:rsidR="00466B9A">
        <w:rPr>
          <w:color w:val="000000"/>
          <w:sz w:val="24"/>
          <w:szCs w:val="24"/>
          <w:lang w:eastAsia="en-GB"/>
        </w:rPr>
        <w:t>.</w:t>
      </w:r>
    </w:p>
    <w:p w14:paraId="30AB0F8D" w14:textId="2D806632" w:rsidR="00296D8A" w:rsidRDefault="00296D8A" w:rsidP="0095763D">
      <w:pPr>
        <w:spacing w:line="259" w:lineRule="auto"/>
        <w:ind w:left="426"/>
        <w:jc w:val="both"/>
        <w:rPr>
          <w:color w:val="000000"/>
          <w:sz w:val="24"/>
          <w:szCs w:val="24"/>
          <w:lang w:eastAsia="en-GB"/>
        </w:rPr>
      </w:pPr>
    </w:p>
    <w:p w14:paraId="76AED07E" w14:textId="49519AEE" w:rsidR="0002009F" w:rsidRDefault="00296D8A" w:rsidP="0005155A">
      <w:pPr>
        <w:spacing w:line="259" w:lineRule="auto"/>
        <w:ind w:left="426"/>
        <w:jc w:val="both"/>
        <w:rPr>
          <w:color w:val="000000"/>
          <w:sz w:val="24"/>
          <w:szCs w:val="24"/>
          <w:lang w:eastAsia="en-GB"/>
        </w:rPr>
      </w:pPr>
      <w:r>
        <w:rPr>
          <w:color w:val="000000"/>
          <w:sz w:val="24"/>
          <w:szCs w:val="24"/>
          <w:lang w:eastAsia="en-GB"/>
        </w:rPr>
        <w:t>While none of the assumptions</w:t>
      </w:r>
      <w:r w:rsidR="00E86395">
        <w:rPr>
          <w:color w:val="000000"/>
          <w:sz w:val="24"/>
          <w:szCs w:val="24"/>
          <w:lang w:eastAsia="en-GB"/>
        </w:rPr>
        <w:t xml:space="preserve"> behind these practices is evidence-based</w:t>
      </w:r>
      <w:r w:rsidR="00E86395">
        <w:rPr>
          <w:rStyle w:val="FootnoteReference"/>
          <w:color w:val="000000"/>
          <w:sz w:val="24"/>
          <w:szCs w:val="24"/>
          <w:lang w:eastAsia="en-GB"/>
        </w:rPr>
        <w:footnoteReference w:id="27"/>
      </w:r>
      <w:r w:rsidR="00E86395">
        <w:rPr>
          <w:color w:val="000000"/>
          <w:sz w:val="24"/>
          <w:szCs w:val="24"/>
          <w:lang w:eastAsia="en-GB"/>
        </w:rPr>
        <w:t>, robust evidence exists as to their harmful consequences,</w:t>
      </w:r>
      <w:r w:rsidR="0005155A">
        <w:rPr>
          <w:color w:val="000000"/>
          <w:sz w:val="24"/>
          <w:szCs w:val="24"/>
          <w:lang w:eastAsia="en-GB"/>
        </w:rPr>
        <w:t xml:space="preserve"> namely:</w:t>
      </w:r>
      <w:r w:rsidR="00E86395">
        <w:rPr>
          <w:color w:val="000000"/>
          <w:sz w:val="24"/>
          <w:szCs w:val="24"/>
          <w:lang w:eastAsia="en-GB"/>
        </w:rPr>
        <w:t xml:space="preserve"> </w:t>
      </w:r>
      <w:r w:rsidR="0005155A" w:rsidRPr="0005155A">
        <w:rPr>
          <w:color w:val="000000"/>
          <w:sz w:val="24"/>
          <w:szCs w:val="24"/>
          <w:lang w:eastAsia="en-GB"/>
        </w:rPr>
        <w:t>psychological trauma</w:t>
      </w:r>
      <w:r w:rsidR="00407AEE">
        <w:rPr>
          <w:rStyle w:val="FootnoteReference"/>
          <w:color w:val="000000"/>
          <w:sz w:val="24"/>
          <w:szCs w:val="24"/>
          <w:lang w:eastAsia="en-GB"/>
        </w:rPr>
        <w:footnoteReference w:id="28"/>
      </w:r>
      <w:r w:rsidR="0005155A">
        <w:rPr>
          <w:color w:val="000000"/>
          <w:sz w:val="24"/>
          <w:szCs w:val="24"/>
          <w:lang w:eastAsia="en-GB"/>
        </w:rPr>
        <w:t>,</w:t>
      </w:r>
      <w:r w:rsidR="0005155A" w:rsidRPr="0005155A">
        <w:rPr>
          <w:color w:val="000000"/>
          <w:sz w:val="24"/>
          <w:szCs w:val="24"/>
          <w:lang w:eastAsia="en-GB"/>
        </w:rPr>
        <w:t xml:space="preserve"> physical</w:t>
      </w:r>
      <w:r w:rsidR="0005155A">
        <w:rPr>
          <w:color w:val="000000"/>
          <w:sz w:val="24"/>
          <w:szCs w:val="24"/>
          <w:lang w:eastAsia="en-GB"/>
        </w:rPr>
        <w:t xml:space="preserve"> </w:t>
      </w:r>
      <w:r w:rsidR="0005155A" w:rsidRPr="0005155A">
        <w:rPr>
          <w:color w:val="000000"/>
          <w:sz w:val="24"/>
          <w:szCs w:val="24"/>
          <w:lang w:eastAsia="en-GB"/>
        </w:rPr>
        <w:t>impairments includ</w:t>
      </w:r>
      <w:r w:rsidR="0005155A">
        <w:rPr>
          <w:color w:val="000000"/>
          <w:sz w:val="24"/>
          <w:szCs w:val="24"/>
          <w:lang w:eastAsia="en-GB"/>
        </w:rPr>
        <w:t>ing</w:t>
      </w:r>
      <w:r w:rsidR="0005155A" w:rsidRPr="0005155A">
        <w:rPr>
          <w:color w:val="000000"/>
          <w:sz w:val="24"/>
          <w:szCs w:val="24"/>
          <w:lang w:eastAsia="en-GB"/>
        </w:rPr>
        <w:t>, but not limited to, painful scar-tissue</w:t>
      </w:r>
      <w:r w:rsidR="00C73302">
        <w:rPr>
          <w:rStyle w:val="FootnoteReference"/>
          <w:color w:val="000000"/>
          <w:sz w:val="24"/>
          <w:szCs w:val="24"/>
          <w:lang w:eastAsia="en-GB"/>
        </w:rPr>
        <w:footnoteReference w:id="29"/>
      </w:r>
      <w:r w:rsidR="0005155A">
        <w:rPr>
          <w:color w:val="000000"/>
          <w:sz w:val="24"/>
          <w:szCs w:val="24"/>
          <w:lang w:eastAsia="en-GB"/>
        </w:rPr>
        <w:t xml:space="preserve"> </w:t>
      </w:r>
      <w:r w:rsidR="0005155A" w:rsidRPr="0005155A">
        <w:rPr>
          <w:color w:val="000000"/>
          <w:sz w:val="24"/>
          <w:szCs w:val="24"/>
          <w:lang w:eastAsia="en-GB"/>
        </w:rPr>
        <w:t>and lack of (general and/or erotic) sensation</w:t>
      </w:r>
      <w:r w:rsidR="00AA345D">
        <w:rPr>
          <w:rStyle w:val="FootnoteReference"/>
          <w:color w:val="000000"/>
          <w:sz w:val="24"/>
          <w:szCs w:val="24"/>
          <w:lang w:eastAsia="en-GB"/>
        </w:rPr>
        <w:footnoteReference w:id="30"/>
      </w:r>
      <w:r w:rsidR="0005155A" w:rsidRPr="0005155A">
        <w:rPr>
          <w:color w:val="000000"/>
          <w:sz w:val="24"/>
          <w:szCs w:val="24"/>
          <w:lang w:eastAsia="en-GB"/>
        </w:rPr>
        <w:t>, osteoporosis and</w:t>
      </w:r>
      <w:r w:rsidR="0005155A">
        <w:rPr>
          <w:color w:val="000000"/>
          <w:sz w:val="24"/>
          <w:szCs w:val="24"/>
          <w:lang w:eastAsia="en-GB"/>
        </w:rPr>
        <w:t xml:space="preserve"> </w:t>
      </w:r>
      <w:r w:rsidR="0005155A" w:rsidRPr="0005155A">
        <w:rPr>
          <w:color w:val="000000"/>
          <w:sz w:val="24"/>
          <w:szCs w:val="24"/>
          <w:lang w:eastAsia="en-GB"/>
        </w:rPr>
        <w:t>osteopenia already at a very young age after the removal of</w:t>
      </w:r>
      <w:r w:rsidR="0005155A">
        <w:rPr>
          <w:color w:val="000000"/>
          <w:sz w:val="24"/>
          <w:szCs w:val="24"/>
          <w:lang w:eastAsia="en-GB"/>
        </w:rPr>
        <w:t xml:space="preserve"> </w:t>
      </w:r>
      <w:r w:rsidR="0005155A" w:rsidRPr="0005155A">
        <w:rPr>
          <w:color w:val="000000"/>
          <w:sz w:val="24"/>
          <w:szCs w:val="24"/>
          <w:lang w:eastAsia="en-GB"/>
        </w:rPr>
        <w:t>gonadal tissue, urinary impairments as a result of interventions</w:t>
      </w:r>
      <w:r w:rsidR="0005155A">
        <w:rPr>
          <w:color w:val="000000"/>
          <w:sz w:val="24"/>
          <w:szCs w:val="24"/>
          <w:lang w:eastAsia="en-GB"/>
        </w:rPr>
        <w:t xml:space="preserve"> </w:t>
      </w:r>
      <w:r w:rsidR="0005155A" w:rsidRPr="0005155A">
        <w:rPr>
          <w:color w:val="000000"/>
          <w:sz w:val="24"/>
          <w:szCs w:val="24"/>
          <w:lang w:eastAsia="en-GB"/>
        </w:rPr>
        <w:t xml:space="preserve">on the urethral tract, including from so-called </w:t>
      </w:r>
      <w:r w:rsidR="0005155A" w:rsidRPr="0005155A">
        <w:rPr>
          <w:rFonts w:hint="eastAsia"/>
          <w:color w:val="000000"/>
          <w:sz w:val="24"/>
          <w:szCs w:val="24"/>
          <w:lang w:eastAsia="en-GB"/>
        </w:rPr>
        <w:t>“</w:t>
      </w:r>
      <w:r w:rsidR="0005155A" w:rsidRPr="0005155A">
        <w:rPr>
          <w:color w:val="000000"/>
          <w:sz w:val="24"/>
          <w:szCs w:val="24"/>
          <w:lang w:eastAsia="en-GB"/>
        </w:rPr>
        <w:t>hypospadias</w:t>
      </w:r>
      <w:r w:rsidR="0005155A">
        <w:rPr>
          <w:color w:val="000000"/>
          <w:sz w:val="24"/>
          <w:szCs w:val="24"/>
          <w:lang w:eastAsia="en-GB"/>
        </w:rPr>
        <w:t xml:space="preserve"> </w:t>
      </w:r>
      <w:r w:rsidR="0005155A" w:rsidRPr="0005155A">
        <w:rPr>
          <w:color w:val="000000"/>
          <w:sz w:val="24"/>
          <w:szCs w:val="24"/>
          <w:lang w:eastAsia="en-GB"/>
        </w:rPr>
        <w:t>repair</w:t>
      </w:r>
      <w:r w:rsidR="0005155A" w:rsidRPr="0005155A">
        <w:rPr>
          <w:rFonts w:hint="eastAsia"/>
          <w:color w:val="000000"/>
          <w:sz w:val="24"/>
          <w:szCs w:val="24"/>
          <w:lang w:eastAsia="en-GB"/>
        </w:rPr>
        <w:t>”</w:t>
      </w:r>
      <w:r w:rsidR="0005155A">
        <w:rPr>
          <w:color w:val="000000"/>
          <w:sz w:val="24"/>
          <w:szCs w:val="24"/>
          <w:lang w:eastAsia="en-GB"/>
        </w:rPr>
        <w:t xml:space="preserve"> </w:t>
      </w:r>
      <w:r w:rsidR="0005155A" w:rsidRPr="0005155A">
        <w:rPr>
          <w:color w:val="000000"/>
          <w:sz w:val="24"/>
          <w:szCs w:val="24"/>
          <w:lang w:eastAsia="en-GB"/>
        </w:rPr>
        <w:t>and other genital surgeries, and infections</w:t>
      </w:r>
      <w:r w:rsidR="00AA345D">
        <w:rPr>
          <w:rStyle w:val="FootnoteReference"/>
          <w:color w:val="000000"/>
          <w:sz w:val="24"/>
          <w:szCs w:val="24"/>
          <w:lang w:eastAsia="en-GB"/>
        </w:rPr>
        <w:footnoteReference w:id="31"/>
      </w:r>
      <w:r w:rsidR="0002009F">
        <w:rPr>
          <w:color w:val="000000"/>
          <w:sz w:val="24"/>
          <w:szCs w:val="24"/>
          <w:lang w:eastAsia="en-GB"/>
        </w:rPr>
        <w:t xml:space="preserve"> </w:t>
      </w:r>
      <w:r w:rsidR="00E03A7C">
        <w:rPr>
          <w:rStyle w:val="FootnoteReference"/>
          <w:color w:val="000000"/>
          <w:sz w:val="24"/>
          <w:szCs w:val="24"/>
          <w:lang w:eastAsia="en-GB"/>
        </w:rPr>
        <w:footnoteReference w:id="32"/>
      </w:r>
      <w:r w:rsidR="0005155A" w:rsidRPr="0005155A">
        <w:rPr>
          <w:color w:val="000000"/>
          <w:sz w:val="24"/>
          <w:szCs w:val="24"/>
          <w:lang w:eastAsia="en-GB"/>
        </w:rPr>
        <w:t>.</w:t>
      </w:r>
    </w:p>
    <w:p w14:paraId="1EF5E178" w14:textId="77777777" w:rsidR="0002009F" w:rsidRDefault="0002009F" w:rsidP="0005155A">
      <w:pPr>
        <w:spacing w:line="259" w:lineRule="auto"/>
        <w:ind w:left="426"/>
        <w:jc w:val="both"/>
        <w:rPr>
          <w:color w:val="000000"/>
          <w:sz w:val="24"/>
          <w:szCs w:val="24"/>
          <w:lang w:eastAsia="en-GB"/>
        </w:rPr>
      </w:pPr>
    </w:p>
    <w:p w14:paraId="6F33ED3E" w14:textId="77777777" w:rsidR="001C148C" w:rsidRDefault="009356C2" w:rsidP="0005155A">
      <w:pPr>
        <w:spacing w:line="259" w:lineRule="auto"/>
        <w:ind w:left="426"/>
        <w:jc w:val="both"/>
        <w:rPr>
          <w:color w:val="000000"/>
          <w:sz w:val="24"/>
          <w:szCs w:val="24"/>
          <w:lang w:eastAsia="en-GB"/>
        </w:rPr>
      </w:pPr>
      <w:r>
        <w:rPr>
          <w:color w:val="000000"/>
          <w:sz w:val="24"/>
          <w:szCs w:val="24"/>
          <w:lang w:eastAsia="en-GB"/>
        </w:rPr>
        <w:t>As per the incidence of such practices, according to FRA findings from 2015</w:t>
      </w:r>
      <w:r w:rsidRPr="009356C2">
        <w:rPr>
          <w:color w:val="000000"/>
          <w:sz w:val="24"/>
          <w:szCs w:val="24"/>
          <w:lang w:eastAsia="en-GB"/>
        </w:rPr>
        <w:t>, sex ‘normalising’ surgery is carried out on intersex children</w:t>
      </w:r>
      <w:r>
        <w:rPr>
          <w:color w:val="000000"/>
          <w:sz w:val="24"/>
          <w:szCs w:val="24"/>
          <w:lang w:eastAsia="en-GB"/>
        </w:rPr>
        <w:t xml:space="preserve"> in </w:t>
      </w:r>
      <w:r w:rsidRPr="009356C2">
        <w:rPr>
          <w:color w:val="000000"/>
          <w:sz w:val="24"/>
          <w:szCs w:val="24"/>
          <w:lang w:eastAsia="en-GB"/>
        </w:rPr>
        <w:t xml:space="preserve">at least 21 </w:t>
      </w:r>
      <w:r>
        <w:rPr>
          <w:color w:val="000000"/>
          <w:sz w:val="24"/>
          <w:szCs w:val="24"/>
          <w:lang w:eastAsia="en-GB"/>
        </w:rPr>
        <w:t xml:space="preserve">EU </w:t>
      </w:r>
      <w:r w:rsidRPr="009356C2">
        <w:rPr>
          <w:color w:val="000000"/>
          <w:sz w:val="24"/>
          <w:szCs w:val="24"/>
          <w:lang w:eastAsia="en-GB"/>
        </w:rPr>
        <w:t>Member States</w:t>
      </w:r>
      <w:r>
        <w:rPr>
          <w:rStyle w:val="FootnoteReference"/>
          <w:color w:val="000000"/>
          <w:sz w:val="24"/>
          <w:szCs w:val="24"/>
          <w:lang w:eastAsia="en-GB"/>
        </w:rPr>
        <w:footnoteReference w:id="33"/>
      </w:r>
      <w:r>
        <w:rPr>
          <w:color w:val="000000"/>
          <w:sz w:val="24"/>
          <w:szCs w:val="24"/>
          <w:lang w:eastAsia="en-GB"/>
        </w:rPr>
        <w:t xml:space="preserve">. </w:t>
      </w:r>
      <w:r w:rsidR="00AC230F" w:rsidRPr="00AC230F">
        <w:rPr>
          <w:color w:val="000000"/>
          <w:sz w:val="24"/>
          <w:szCs w:val="24"/>
          <w:lang w:eastAsia="en-GB"/>
        </w:rPr>
        <w:t xml:space="preserve">Recent reports of parents of intersex children received by OII Europe from across Europe, as well as two recent </w:t>
      </w:r>
      <w:r w:rsidR="00AC230F">
        <w:rPr>
          <w:color w:val="000000"/>
          <w:sz w:val="24"/>
          <w:szCs w:val="24"/>
          <w:lang w:eastAsia="en-GB"/>
        </w:rPr>
        <w:t>studie</w:t>
      </w:r>
      <w:r w:rsidR="00AC230F" w:rsidRPr="00AC230F">
        <w:rPr>
          <w:color w:val="000000"/>
          <w:sz w:val="24"/>
          <w:szCs w:val="24"/>
          <w:lang w:eastAsia="en-GB"/>
        </w:rPr>
        <w:t xml:space="preserve">s on the number of </w:t>
      </w:r>
      <w:r w:rsidR="00AC230F">
        <w:rPr>
          <w:color w:val="000000"/>
          <w:sz w:val="24"/>
          <w:szCs w:val="24"/>
          <w:lang w:eastAsia="en-GB"/>
        </w:rPr>
        <w:t>surgical interventions</w:t>
      </w:r>
      <w:r w:rsidR="00AC230F" w:rsidRPr="00AC230F">
        <w:rPr>
          <w:color w:val="000000"/>
          <w:sz w:val="24"/>
          <w:szCs w:val="24"/>
          <w:lang w:eastAsia="en-GB"/>
        </w:rPr>
        <w:t xml:space="preserve"> performed on intersex children age</w:t>
      </w:r>
      <w:r w:rsidR="00AC230F">
        <w:rPr>
          <w:color w:val="000000"/>
          <w:sz w:val="24"/>
          <w:szCs w:val="24"/>
          <w:lang w:eastAsia="en-GB"/>
        </w:rPr>
        <w:t>d</w:t>
      </w:r>
      <w:r w:rsidR="00AC230F" w:rsidRPr="00AC230F">
        <w:rPr>
          <w:color w:val="000000"/>
          <w:sz w:val="24"/>
          <w:szCs w:val="24"/>
          <w:lang w:eastAsia="en-GB"/>
        </w:rPr>
        <w:t xml:space="preserve"> 0 to 10 from 2005 to 2016 in Germany, show that the number of interventions on children have not decreased despite other claims</w:t>
      </w:r>
      <w:r w:rsidR="00AC230F">
        <w:rPr>
          <w:color w:val="000000"/>
          <w:sz w:val="24"/>
          <w:szCs w:val="24"/>
          <w:lang w:eastAsia="en-GB"/>
        </w:rPr>
        <w:t>, even in countries where guidelines exist that indicate to refrain from surgery</w:t>
      </w:r>
      <w:r w:rsidR="00655E4F">
        <w:rPr>
          <w:rStyle w:val="FootnoteReference"/>
          <w:color w:val="000000"/>
          <w:sz w:val="24"/>
          <w:szCs w:val="24"/>
          <w:lang w:eastAsia="en-GB"/>
        </w:rPr>
        <w:footnoteReference w:id="34"/>
      </w:r>
      <w:r w:rsidR="00AC230F">
        <w:rPr>
          <w:color w:val="000000"/>
          <w:sz w:val="24"/>
          <w:szCs w:val="24"/>
          <w:lang w:eastAsia="en-GB"/>
        </w:rPr>
        <w:t>.</w:t>
      </w:r>
    </w:p>
    <w:p w14:paraId="39B98B38" w14:textId="77777777" w:rsidR="001C148C" w:rsidRDefault="001C148C" w:rsidP="0005155A">
      <w:pPr>
        <w:spacing w:line="259" w:lineRule="auto"/>
        <w:ind w:left="426"/>
        <w:jc w:val="both"/>
        <w:rPr>
          <w:color w:val="000000"/>
          <w:sz w:val="24"/>
          <w:szCs w:val="24"/>
          <w:lang w:eastAsia="en-GB"/>
        </w:rPr>
      </w:pPr>
    </w:p>
    <w:p w14:paraId="5BFFB4AD" w14:textId="36216201" w:rsidR="0029584A" w:rsidRDefault="00EE280A" w:rsidP="0005155A">
      <w:pPr>
        <w:spacing w:line="259" w:lineRule="auto"/>
        <w:ind w:left="426"/>
        <w:jc w:val="both"/>
        <w:rPr>
          <w:color w:val="000000"/>
          <w:sz w:val="24"/>
          <w:szCs w:val="24"/>
          <w:lang w:eastAsia="en-GB"/>
        </w:rPr>
      </w:pPr>
      <w:r>
        <w:rPr>
          <w:color w:val="000000"/>
          <w:sz w:val="24"/>
          <w:szCs w:val="24"/>
          <w:lang w:eastAsia="en-GB"/>
        </w:rPr>
        <w:t>Lack of protection from IGM also contravenes human rights standards</w:t>
      </w:r>
      <w:r w:rsidR="005D5BD1">
        <w:rPr>
          <w:color w:val="000000"/>
          <w:sz w:val="24"/>
          <w:szCs w:val="24"/>
          <w:lang w:eastAsia="en-GB"/>
        </w:rPr>
        <w:t xml:space="preserve"> at regional (</w:t>
      </w:r>
      <w:r>
        <w:rPr>
          <w:color w:val="000000"/>
          <w:sz w:val="24"/>
          <w:szCs w:val="24"/>
          <w:lang w:eastAsia="en-GB"/>
        </w:rPr>
        <w:t>CoE and EU</w:t>
      </w:r>
      <w:r w:rsidR="005D5BD1">
        <w:rPr>
          <w:color w:val="000000"/>
          <w:sz w:val="24"/>
          <w:szCs w:val="24"/>
          <w:lang w:eastAsia="en-GB"/>
        </w:rPr>
        <w:t>)</w:t>
      </w:r>
      <w:r>
        <w:rPr>
          <w:color w:val="000000"/>
          <w:sz w:val="24"/>
          <w:szCs w:val="24"/>
          <w:lang w:eastAsia="en-GB"/>
        </w:rPr>
        <w:t xml:space="preserve"> level</w:t>
      </w:r>
      <w:r w:rsidR="005754BD">
        <w:rPr>
          <w:rStyle w:val="FootnoteReference"/>
          <w:color w:val="000000"/>
          <w:sz w:val="24"/>
          <w:szCs w:val="24"/>
          <w:lang w:eastAsia="en-GB"/>
        </w:rPr>
        <w:footnoteReference w:id="35"/>
      </w:r>
      <w:r w:rsidR="005754BD">
        <w:rPr>
          <w:color w:val="000000"/>
          <w:sz w:val="24"/>
          <w:szCs w:val="24"/>
          <w:lang w:eastAsia="en-GB"/>
        </w:rPr>
        <w:t xml:space="preserve"> </w:t>
      </w:r>
      <w:r>
        <w:rPr>
          <w:rStyle w:val="FootnoteReference"/>
          <w:color w:val="000000"/>
          <w:sz w:val="24"/>
          <w:szCs w:val="24"/>
          <w:lang w:eastAsia="en-GB"/>
        </w:rPr>
        <w:footnoteReference w:id="36"/>
      </w:r>
      <w:r>
        <w:rPr>
          <w:color w:val="000000"/>
          <w:sz w:val="24"/>
          <w:szCs w:val="24"/>
          <w:lang w:eastAsia="en-GB"/>
        </w:rPr>
        <w:t>.</w:t>
      </w:r>
      <w:r w:rsidR="00E86416">
        <w:rPr>
          <w:color w:val="000000"/>
          <w:sz w:val="24"/>
          <w:szCs w:val="24"/>
          <w:lang w:eastAsia="en-GB"/>
        </w:rPr>
        <w:t xml:space="preserve"> </w:t>
      </w:r>
      <w:r w:rsidR="000115B7">
        <w:rPr>
          <w:color w:val="000000"/>
          <w:sz w:val="24"/>
          <w:szCs w:val="24"/>
          <w:lang w:eastAsia="en-GB"/>
        </w:rPr>
        <w:t>Nevertheless, only a few countries – to a varying and limited extent – explicitly ban IGM</w:t>
      </w:r>
      <w:r w:rsidR="00D456B9">
        <w:rPr>
          <w:color w:val="000000"/>
          <w:sz w:val="24"/>
          <w:szCs w:val="24"/>
          <w:lang w:eastAsia="en-GB"/>
        </w:rPr>
        <w:t xml:space="preserve">. </w:t>
      </w:r>
      <w:r w:rsidR="00C05D69">
        <w:rPr>
          <w:rStyle w:val="FootnoteReference"/>
          <w:color w:val="000000"/>
          <w:sz w:val="24"/>
          <w:szCs w:val="24"/>
          <w:lang w:eastAsia="en-GB"/>
        </w:rPr>
        <w:footnoteReference w:id="37"/>
      </w:r>
    </w:p>
    <w:p w14:paraId="0AFE5FF5" w14:textId="77777777" w:rsidR="0029584A" w:rsidRDefault="0029584A" w:rsidP="0005155A">
      <w:pPr>
        <w:spacing w:line="259" w:lineRule="auto"/>
        <w:ind w:left="426"/>
        <w:jc w:val="both"/>
        <w:rPr>
          <w:color w:val="000000"/>
          <w:sz w:val="24"/>
          <w:szCs w:val="24"/>
          <w:lang w:eastAsia="en-GB"/>
        </w:rPr>
      </w:pPr>
    </w:p>
    <w:p w14:paraId="31DD5B11" w14:textId="7A326215" w:rsidR="00296D8A" w:rsidRDefault="0029584A" w:rsidP="0005155A">
      <w:pPr>
        <w:spacing w:line="259" w:lineRule="auto"/>
        <w:ind w:left="426"/>
        <w:jc w:val="both"/>
        <w:rPr>
          <w:color w:val="000000"/>
          <w:sz w:val="24"/>
          <w:szCs w:val="24"/>
          <w:lang w:eastAsia="en-GB"/>
        </w:rPr>
      </w:pPr>
      <w:r>
        <w:rPr>
          <w:color w:val="000000"/>
          <w:sz w:val="24"/>
          <w:szCs w:val="24"/>
          <w:lang w:eastAsia="en-GB"/>
        </w:rPr>
        <w:t>This is striking also compared to the unanimous recognition of Female Genital Mutilation (FGM) as a gross human rights violation.</w:t>
      </w:r>
      <w:r w:rsidR="00C275CE" w:rsidRPr="00C275CE">
        <w:rPr>
          <w:rFonts w:ascii="MyriadPro-Regular" w:eastAsia="MyriadPro-Regular" w:hAnsiTheme="minorHAnsi" w:cs="MyriadPro-Regular"/>
          <w:sz w:val="19"/>
          <w:szCs w:val="19"/>
        </w:rPr>
        <w:t xml:space="preserve"> </w:t>
      </w:r>
      <w:r w:rsidR="00C275CE" w:rsidRPr="00C275CE">
        <w:rPr>
          <w:color w:val="000000"/>
          <w:sz w:val="24"/>
          <w:szCs w:val="24"/>
          <w:lang w:eastAsia="en-GB"/>
        </w:rPr>
        <w:t>Social pressure to conform to gender roles and stereotypes</w:t>
      </w:r>
      <w:r w:rsidR="00C275CE">
        <w:rPr>
          <w:color w:val="000000"/>
          <w:sz w:val="24"/>
          <w:szCs w:val="24"/>
          <w:lang w:eastAsia="en-GB"/>
        </w:rPr>
        <w:t xml:space="preserve"> </w:t>
      </w:r>
      <w:r w:rsidR="00C275CE" w:rsidRPr="00C275CE">
        <w:rPr>
          <w:color w:val="000000"/>
          <w:sz w:val="24"/>
          <w:szCs w:val="24"/>
          <w:lang w:eastAsia="en-GB"/>
        </w:rPr>
        <w:t>about male and female bodies is common ground shared by</w:t>
      </w:r>
      <w:r w:rsidR="00C275CE">
        <w:rPr>
          <w:color w:val="000000"/>
          <w:sz w:val="24"/>
          <w:szCs w:val="24"/>
          <w:lang w:eastAsia="en-GB"/>
        </w:rPr>
        <w:t xml:space="preserve"> </w:t>
      </w:r>
      <w:r w:rsidR="00C275CE" w:rsidRPr="00C275CE">
        <w:rPr>
          <w:color w:val="000000"/>
          <w:sz w:val="24"/>
          <w:szCs w:val="24"/>
          <w:lang w:eastAsia="en-GB"/>
        </w:rPr>
        <w:t>FGM and IGM</w:t>
      </w:r>
      <w:r w:rsidR="001903CE">
        <w:rPr>
          <w:color w:val="000000"/>
          <w:sz w:val="24"/>
          <w:szCs w:val="24"/>
          <w:lang w:eastAsia="en-GB"/>
        </w:rPr>
        <w:t xml:space="preserve"> and makes both qualify as forms of GBV</w:t>
      </w:r>
      <w:r w:rsidR="001903CE">
        <w:rPr>
          <w:rStyle w:val="FootnoteReference"/>
          <w:color w:val="000000"/>
          <w:sz w:val="24"/>
          <w:szCs w:val="24"/>
          <w:lang w:eastAsia="en-GB"/>
        </w:rPr>
        <w:footnoteReference w:id="38"/>
      </w:r>
      <w:r w:rsidR="00C275CE" w:rsidRPr="00C275CE">
        <w:rPr>
          <w:color w:val="000000"/>
          <w:sz w:val="24"/>
          <w:szCs w:val="24"/>
          <w:lang w:eastAsia="en-GB"/>
        </w:rPr>
        <w:t>.</w:t>
      </w:r>
      <w:r w:rsidR="007860D2">
        <w:rPr>
          <w:color w:val="000000"/>
          <w:sz w:val="24"/>
          <w:szCs w:val="24"/>
          <w:lang w:eastAsia="en-GB"/>
        </w:rPr>
        <w:t xml:space="preserve"> The </w:t>
      </w:r>
      <w:r w:rsidR="007860D2" w:rsidRPr="007860D2">
        <w:rPr>
          <w:color w:val="000000"/>
          <w:sz w:val="24"/>
          <w:szCs w:val="24"/>
          <w:lang w:eastAsia="en-GB"/>
        </w:rPr>
        <w:t>Committee on the Elimination of Discrimination against Women</w:t>
      </w:r>
      <w:r w:rsidR="007860D2">
        <w:rPr>
          <w:color w:val="000000"/>
          <w:sz w:val="24"/>
          <w:szCs w:val="24"/>
          <w:lang w:eastAsia="en-GB"/>
        </w:rPr>
        <w:t xml:space="preserve"> repeatedly showed concern about</w:t>
      </w:r>
      <w:r w:rsidR="00927790">
        <w:rPr>
          <w:color w:val="000000"/>
          <w:sz w:val="24"/>
          <w:szCs w:val="24"/>
          <w:lang w:eastAsia="en-GB"/>
        </w:rPr>
        <w:t xml:space="preserve"> reports of IGM cases and recommended that State parties “[a]</w:t>
      </w:r>
      <w:r w:rsidR="00927790" w:rsidRPr="00927790">
        <w:rPr>
          <w:color w:val="000000"/>
          <w:sz w:val="24"/>
          <w:szCs w:val="24"/>
          <w:lang w:eastAsia="en-GB"/>
        </w:rPr>
        <w:t>dopt clear legislative provisions explicitly prohibiting the performance of unnecessary surgical or other medical treatment on intersex children until they reach an age at which they can provide their free, prior and informed consent</w:t>
      </w:r>
      <w:r w:rsidR="00927790">
        <w:rPr>
          <w:color w:val="000000"/>
          <w:sz w:val="24"/>
          <w:szCs w:val="24"/>
          <w:lang w:eastAsia="en-GB"/>
        </w:rPr>
        <w:t>”</w:t>
      </w:r>
      <w:r w:rsidR="00927790">
        <w:rPr>
          <w:rStyle w:val="FootnoteReference"/>
          <w:color w:val="000000"/>
          <w:sz w:val="24"/>
          <w:szCs w:val="24"/>
          <w:lang w:eastAsia="en-GB"/>
        </w:rPr>
        <w:footnoteReference w:id="39"/>
      </w:r>
      <w:r w:rsidR="00D456B9">
        <w:rPr>
          <w:color w:val="000000"/>
          <w:sz w:val="24"/>
          <w:szCs w:val="24"/>
          <w:lang w:eastAsia="en-GB"/>
        </w:rPr>
        <w:t>.</w:t>
      </w:r>
      <w:r w:rsidR="00A235E7">
        <w:rPr>
          <w:color w:val="000000"/>
          <w:sz w:val="24"/>
          <w:szCs w:val="24"/>
          <w:lang w:eastAsia="en-GB"/>
        </w:rPr>
        <w:t xml:space="preserve"> </w:t>
      </w:r>
      <w:r w:rsidR="00E86395">
        <w:rPr>
          <w:color w:val="000000"/>
          <w:sz w:val="24"/>
          <w:szCs w:val="24"/>
          <w:lang w:eastAsia="en-GB"/>
        </w:rPr>
        <w:t xml:space="preserve">   </w:t>
      </w:r>
      <w:r w:rsidR="00296D8A">
        <w:rPr>
          <w:color w:val="000000"/>
          <w:sz w:val="24"/>
          <w:szCs w:val="24"/>
          <w:lang w:eastAsia="en-GB"/>
        </w:rPr>
        <w:t xml:space="preserve"> </w:t>
      </w:r>
    </w:p>
    <w:p w14:paraId="0C59D556" w14:textId="77777777" w:rsidR="0095763D" w:rsidRDefault="0095763D" w:rsidP="0095763D">
      <w:pPr>
        <w:spacing w:line="259" w:lineRule="auto"/>
        <w:ind w:left="426"/>
        <w:jc w:val="both"/>
        <w:rPr>
          <w:color w:val="000000"/>
          <w:sz w:val="24"/>
          <w:szCs w:val="24"/>
          <w:lang w:eastAsia="en-GB"/>
        </w:rPr>
      </w:pPr>
    </w:p>
    <w:p w14:paraId="5AA62DDA" w14:textId="011B38AC" w:rsidR="00BA21AA" w:rsidRPr="0095763D" w:rsidRDefault="0095763D" w:rsidP="0095763D">
      <w:pPr>
        <w:spacing w:line="259" w:lineRule="auto"/>
        <w:ind w:left="426"/>
        <w:jc w:val="both"/>
        <w:rPr>
          <w:color w:val="000000"/>
          <w:sz w:val="24"/>
          <w:szCs w:val="24"/>
          <w:lang w:eastAsia="en-GB"/>
        </w:rPr>
      </w:pPr>
      <w:r w:rsidRPr="0095763D">
        <w:rPr>
          <w:color w:val="000000"/>
          <w:sz w:val="24"/>
          <w:szCs w:val="24"/>
          <w:lang w:eastAsia="en-GB"/>
        </w:rPr>
        <w:t xml:space="preserve">  </w:t>
      </w:r>
    </w:p>
    <w:p w14:paraId="05CC9E52" w14:textId="77777777" w:rsidR="009F00AF" w:rsidRPr="00D90F79" w:rsidRDefault="009F00AF" w:rsidP="009F00AF">
      <w:pPr>
        <w:pStyle w:val="ListParagraph"/>
        <w:numPr>
          <w:ilvl w:val="0"/>
          <w:numId w:val="1"/>
        </w:numPr>
        <w:shd w:val="clear" w:color="auto" w:fill="FFFFFF"/>
        <w:spacing w:line="259" w:lineRule="auto"/>
        <w:jc w:val="both"/>
        <w:outlineLvl w:val="2"/>
        <w:rPr>
          <w:color w:val="1F4E79" w:themeColor="accent1" w:themeShade="80"/>
          <w:sz w:val="24"/>
          <w:szCs w:val="24"/>
          <w:lang w:eastAsia="en-GB"/>
        </w:rPr>
      </w:pPr>
      <w:r w:rsidRPr="00D90F79">
        <w:rPr>
          <w:color w:val="1F4E79" w:themeColor="accent1" w:themeShade="80"/>
          <w:sz w:val="24"/>
          <w:szCs w:val="24"/>
          <w:lang w:eastAsia="en-GB"/>
        </w:rPr>
        <w:t xml:space="preserve">Please also share information on the impact of criminalization of sex work, same sex relations, transgender persons, abortion, drug abuse, </w:t>
      </w:r>
      <w:r w:rsidRPr="00D90F79">
        <w:rPr>
          <w:rFonts w:eastAsia="Verdana"/>
          <w:color w:val="1F4E79" w:themeColor="accent1" w:themeShade="80"/>
          <w:sz w:val="24"/>
          <w:szCs w:val="24"/>
        </w:rPr>
        <w:t>harmful practices in obstetric care, female genital mutilation</w:t>
      </w:r>
      <w:r w:rsidRPr="00D90F79">
        <w:rPr>
          <w:color w:val="1F4E79" w:themeColor="accent1" w:themeShade="80"/>
          <w:sz w:val="24"/>
          <w:szCs w:val="24"/>
          <w:lang w:eastAsia="en-GB"/>
        </w:rPr>
        <w:t xml:space="preserve"> on the violence experienced by the affected individuals and their enjoyment of the right to health.</w:t>
      </w:r>
      <w:r w:rsidRPr="00D90F79">
        <w:rPr>
          <w:rFonts w:eastAsia="Verdana"/>
          <w:color w:val="1F4E79" w:themeColor="accent1" w:themeShade="80"/>
          <w:sz w:val="24"/>
          <w:szCs w:val="24"/>
        </w:rPr>
        <w:t xml:space="preserve"> </w:t>
      </w:r>
    </w:p>
    <w:p w14:paraId="15E2575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r w:rsidRPr="0096645F">
        <w:rPr>
          <w:color w:val="000000"/>
          <w:sz w:val="24"/>
          <w:szCs w:val="24"/>
          <w:lang w:eastAsia="en-GB"/>
        </w:rPr>
        <w:t xml:space="preserve"> </w:t>
      </w:r>
    </w:p>
    <w:p w14:paraId="273DEDF1" w14:textId="77777777" w:rsidR="009F00AF" w:rsidRPr="00D90F79" w:rsidRDefault="009F00AF" w:rsidP="009F00AF">
      <w:pPr>
        <w:pStyle w:val="ListParagraph"/>
        <w:numPr>
          <w:ilvl w:val="0"/>
          <w:numId w:val="1"/>
        </w:numPr>
        <w:shd w:val="clear" w:color="auto" w:fill="FFFFFF"/>
        <w:spacing w:line="259" w:lineRule="auto"/>
        <w:jc w:val="both"/>
        <w:outlineLvl w:val="2"/>
        <w:rPr>
          <w:color w:val="1F4E79" w:themeColor="accent1" w:themeShade="80"/>
          <w:sz w:val="24"/>
          <w:szCs w:val="24"/>
          <w:lang w:eastAsia="en-GB"/>
        </w:rPr>
      </w:pPr>
      <w:r w:rsidRPr="00D90F79">
        <w:rPr>
          <w:color w:val="1F4E79" w:themeColor="accent1" w:themeShade="80"/>
          <w:sz w:val="24"/>
          <w:szCs w:val="24"/>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14:paraId="0DDDECA7" w14:textId="13F5745D" w:rsidR="009F00AF" w:rsidRDefault="009F00AF" w:rsidP="009F00AF">
      <w:pPr>
        <w:pStyle w:val="ListParagraph"/>
        <w:shd w:val="clear" w:color="auto" w:fill="FFFFFF"/>
        <w:spacing w:line="259" w:lineRule="auto"/>
        <w:ind w:left="360"/>
        <w:jc w:val="both"/>
        <w:outlineLvl w:val="2"/>
        <w:rPr>
          <w:color w:val="000000"/>
          <w:sz w:val="24"/>
          <w:szCs w:val="24"/>
          <w:lang w:eastAsia="en-GB"/>
        </w:rPr>
      </w:pPr>
    </w:p>
    <w:p w14:paraId="4A7DC0F7" w14:textId="79E9AD19" w:rsidR="007C4F6E" w:rsidRDefault="004523AD" w:rsidP="004523AD">
      <w:pPr>
        <w:pStyle w:val="ListParagraph"/>
        <w:shd w:val="clear" w:color="auto" w:fill="FFFFFF"/>
        <w:spacing w:line="259" w:lineRule="auto"/>
        <w:ind w:left="360"/>
        <w:jc w:val="both"/>
        <w:outlineLvl w:val="2"/>
        <w:rPr>
          <w:sz w:val="24"/>
          <w:szCs w:val="24"/>
          <w:lang w:eastAsia="en-GB"/>
        </w:rPr>
      </w:pPr>
      <w:r>
        <w:rPr>
          <w:sz w:val="24"/>
          <w:szCs w:val="24"/>
          <w:lang w:eastAsia="en-GB"/>
        </w:rPr>
        <w:t xml:space="preserve">State health responses to survivors of IGM or other forms of violence are extremely poor across the </w:t>
      </w:r>
      <w:r w:rsidR="00D456B9">
        <w:rPr>
          <w:sz w:val="24"/>
          <w:szCs w:val="24"/>
          <w:lang w:eastAsia="en-GB"/>
        </w:rPr>
        <w:t>r</w:t>
      </w:r>
      <w:r>
        <w:rPr>
          <w:sz w:val="24"/>
          <w:szCs w:val="24"/>
          <w:lang w:eastAsia="en-GB"/>
        </w:rPr>
        <w:t xml:space="preserve">egion. While survivors to IGM and intersex people in general </w:t>
      </w:r>
      <w:r w:rsidRPr="004523AD">
        <w:rPr>
          <w:sz w:val="24"/>
          <w:szCs w:val="24"/>
          <w:lang w:eastAsia="en-GB"/>
        </w:rPr>
        <w:t>sorely</w:t>
      </w:r>
      <w:r>
        <w:rPr>
          <w:sz w:val="24"/>
          <w:szCs w:val="24"/>
          <w:lang w:eastAsia="en-GB"/>
        </w:rPr>
        <w:t xml:space="preserve"> </w:t>
      </w:r>
      <w:r w:rsidRPr="004523AD">
        <w:rPr>
          <w:sz w:val="24"/>
          <w:szCs w:val="24"/>
          <w:lang w:eastAsia="en-GB"/>
        </w:rPr>
        <w:t>need access to expert-sensitive</w:t>
      </w:r>
      <w:r>
        <w:rPr>
          <w:sz w:val="24"/>
          <w:szCs w:val="24"/>
          <w:lang w:eastAsia="en-GB"/>
        </w:rPr>
        <w:t xml:space="preserve"> </w:t>
      </w:r>
      <w:r w:rsidRPr="004523AD">
        <w:rPr>
          <w:sz w:val="24"/>
          <w:szCs w:val="24"/>
          <w:lang w:eastAsia="en-GB"/>
        </w:rPr>
        <w:t>health services</w:t>
      </w:r>
      <w:r>
        <w:rPr>
          <w:sz w:val="24"/>
          <w:szCs w:val="24"/>
          <w:lang w:eastAsia="en-GB"/>
        </w:rPr>
        <w:t xml:space="preserve">, </w:t>
      </w:r>
      <w:r w:rsidRPr="004523AD">
        <w:rPr>
          <w:sz w:val="24"/>
          <w:szCs w:val="24"/>
          <w:lang w:eastAsia="en-GB"/>
        </w:rPr>
        <w:t>they often face severe obstacles</w:t>
      </w:r>
      <w:r>
        <w:rPr>
          <w:sz w:val="24"/>
          <w:szCs w:val="24"/>
          <w:lang w:eastAsia="en-GB"/>
        </w:rPr>
        <w:t xml:space="preserve"> </w:t>
      </w:r>
      <w:r w:rsidRPr="004523AD">
        <w:rPr>
          <w:sz w:val="24"/>
          <w:szCs w:val="24"/>
          <w:lang w:eastAsia="en-GB"/>
        </w:rPr>
        <w:t>when trying to access health and care services, such as</w:t>
      </w:r>
      <w:r>
        <w:rPr>
          <w:sz w:val="24"/>
          <w:szCs w:val="24"/>
          <w:lang w:eastAsia="en-GB"/>
        </w:rPr>
        <w:t xml:space="preserve"> </w:t>
      </w:r>
      <w:r w:rsidRPr="004523AD">
        <w:rPr>
          <w:sz w:val="24"/>
          <w:szCs w:val="24"/>
          <w:lang w:eastAsia="en-GB"/>
        </w:rPr>
        <w:t>ongoing discrimination and retraumatising experiences</w:t>
      </w:r>
      <w:r>
        <w:rPr>
          <w:sz w:val="24"/>
          <w:szCs w:val="24"/>
          <w:lang w:eastAsia="en-GB"/>
        </w:rPr>
        <w:t xml:space="preserve"> </w:t>
      </w:r>
      <w:r w:rsidRPr="004523AD">
        <w:rPr>
          <w:sz w:val="24"/>
          <w:szCs w:val="24"/>
          <w:lang w:eastAsia="en-GB"/>
        </w:rPr>
        <w:t>with healthcare professionals.</w:t>
      </w:r>
    </w:p>
    <w:p w14:paraId="698240CD" w14:textId="44FCF42E" w:rsidR="004523AD" w:rsidRDefault="004523AD" w:rsidP="004523AD">
      <w:pPr>
        <w:pStyle w:val="ListParagraph"/>
        <w:shd w:val="clear" w:color="auto" w:fill="FFFFFF"/>
        <w:spacing w:line="259" w:lineRule="auto"/>
        <w:ind w:left="360"/>
        <w:jc w:val="both"/>
        <w:outlineLvl w:val="2"/>
        <w:rPr>
          <w:sz w:val="24"/>
          <w:szCs w:val="24"/>
          <w:lang w:eastAsia="en-GB"/>
        </w:rPr>
      </w:pPr>
    </w:p>
    <w:p w14:paraId="34080310" w14:textId="19C95C9E" w:rsidR="004523AD" w:rsidRPr="004523AD" w:rsidRDefault="004523AD" w:rsidP="004523AD">
      <w:pPr>
        <w:pStyle w:val="ListParagraph"/>
        <w:shd w:val="clear" w:color="auto" w:fill="FFFFFF"/>
        <w:spacing w:line="259" w:lineRule="auto"/>
        <w:ind w:left="360"/>
        <w:jc w:val="both"/>
        <w:outlineLvl w:val="2"/>
        <w:rPr>
          <w:sz w:val="24"/>
          <w:szCs w:val="24"/>
          <w:lang w:eastAsia="en-GB"/>
        </w:rPr>
      </w:pPr>
      <w:r w:rsidRPr="004523AD">
        <w:rPr>
          <w:sz w:val="24"/>
          <w:szCs w:val="24"/>
          <w:lang w:eastAsia="en-GB"/>
        </w:rPr>
        <w:t>As the 2017 PACE report points out, a severe lack of</w:t>
      </w:r>
      <w:r>
        <w:rPr>
          <w:sz w:val="24"/>
          <w:szCs w:val="24"/>
          <w:lang w:eastAsia="en-GB"/>
        </w:rPr>
        <w:t xml:space="preserve"> </w:t>
      </w:r>
      <w:r w:rsidRPr="004523AD">
        <w:rPr>
          <w:sz w:val="24"/>
          <w:szCs w:val="24"/>
          <w:lang w:eastAsia="en-GB"/>
        </w:rPr>
        <w:t>knowledge about intersex people, the human rights</w:t>
      </w:r>
      <w:r>
        <w:rPr>
          <w:sz w:val="24"/>
          <w:szCs w:val="24"/>
          <w:lang w:eastAsia="en-GB"/>
        </w:rPr>
        <w:t xml:space="preserve"> </w:t>
      </w:r>
      <w:r w:rsidRPr="004523AD">
        <w:rPr>
          <w:sz w:val="24"/>
          <w:szCs w:val="24"/>
          <w:lang w:eastAsia="en-GB"/>
        </w:rPr>
        <w:t>violations they face and the specific needs that follow from</w:t>
      </w:r>
    </w:p>
    <w:p w14:paraId="37305E48" w14:textId="3D34AAD6" w:rsidR="004523AD" w:rsidRDefault="004523AD" w:rsidP="004523AD">
      <w:pPr>
        <w:pStyle w:val="ListParagraph"/>
        <w:shd w:val="clear" w:color="auto" w:fill="FFFFFF"/>
        <w:spacing w:line="259" w:lineRule="auto"/>
        <w:ind w:left="360"/>
        <w:jc w:val="both"/>
        <w:outlineLvl w:val="2"/>
        <w:rPr>
          <w:sz w:val="24"/>
          <w:szCs w:val="24"/>
          <w:lang w:eastAsia="en-GB"/>
        </w:rPr>
      </w:pPr>
      <w:r w:rsidRPr="004523AD">
        <w:rPr>
          <w:sz w:val="24"/>
          <w:szCs w:val="24"/>
          <w:lang w:eastAsia="en-GB"/>
        </w:rPr>
        <w:t>these experiences</w:t>
      </w:r>
      <w:r>
        <w:rPr>
          <w:sz w:val="24"/>
          <w:szCs w:val="24"/>
          <w:lang w:eastAsia="en-GB"/>
        </w:rPr>
        <w:t>,</w:t>
      </w:r>
      <w:r w:rsidRPr="004523AD">
        <w:rPr>
          <w:sz w:val="24"/>
          <w:szCs w:val="24"/>
          <w:lang w:eastAsia="en-GB"/>
        </w:rPr>
        <w:t xml:space="preserve"> exists among medical practitioners</w:t>
      </w:r>
      <w:r>
        <w:rPr>
          <w:rStyle w:val="FootnoteReference"/>
          <w:sz w:val="24"/>
          <w:szCs w:val="24"/>
          <w:lang w:eastAsia="en-GB"/>
        </w:rPr>
        <w:footnoteReference w:id="40"/>
      </w:r>
      <w:r w:rsidRPr="004523AD">
        <w:rPr>
          <w:sz w:val="24"/>
          <w:szCs w:val="24"/>
          <w:lang w:eastAsia="en-GB"/>
        </w:rPr>
        <w:t>. This</w:t>
      </w:r>
      <w:r>
        <w:rPr>
          <w:sz w:val="24"/>
          <w:szCs w:val="24"/>
          <w:lang w:eastAsia="en-GB"/>
        </w:rPr>
        <w:t xml:space="preserve"> </w:t>
      </w:r>
      <w:r w:rsidRPr="004523AD">
        <w:rPr>
          <w:sz w:val="24"/>
          <w:szCs w:val="24"/>
          <w:lang w:eastAsia="en-GB"/>
        </w:rPr>
        <w:t>lack is matched with personal bias that can result in disbelief</w:t>
      </w:r>
      <w:r>
        <w:rPr>
          <w:sz w:val="24"/>
          <w:szCs w:val="24"/>
          <w:lang w:eastAsia="en-GB"/>
        </w:rPr>
        <w:t xml:space="preserve"> </w:t>
      </w:r>
      <w:r w:rsidRPr="004523AD">
        <w:rPr>
          <w:sz w:val="24"/>
          <w:szCs w:val="24"/>
          <w:lang w:eastAsia="en-GB"/>
        </w:rPr>
        <w:t>and insults, the refusal to perform needed examinations, and</w:t>
      </w:r>
      <w:r>
        <w:rPr>
          <w:sz w:val="24"/>
          <w:szCs w:val="24"/>
          <w:lang w:eastAsia="en-GB"/>
        </w:rPr>
        <w:t xml:space="preserve"> </w:t>
      </w:r>
      <w:r w:rsidRPr="004523AD">
        <w:rPr>
          <w:sz w:val="24"/>
          <w:szCs w:val="24"/>
          <w:lang w:eastAsia="en-GB"/>
        </w:rPr>
        <w:t>examinations being carried out in violent ways or without</w:t>
      </w:r>
      <w:r w:rsidR="00A359BC">
        <w:rPr>
          <w:sz w:val="24"/>
          <w:szCs w:val="24"/>
          <w:lang w:eastAsia="en-GB"/>
        </w:rPr>
        <w:t xml:space="preserve"> </w:t>
      </w:r>
      <w:r w:rsidRPr="00A359BC">
        <w:rPr>
          <w:sz w:val="24"/>
          <w:szCs w:val="24"/>
          <w:lang w:eastAsia="en-GB"/>
        </w:rPr>
        <w:t>the intersex person’s consent. Intersex people regularly speak in self-help groups and report to national intersex NGOs or to OII Europe that they are at risk of sexual</w:t>
      </w:r>
      <w:r w:rsidR="00A359BC">
        <w:rPr>
          <w:sz w:val="24"/>
          <w:szCs w:val="24"/>
          <w:lang w:eastAsia="en-GB"/>
        </w:rPr>
        <w:t xml:space="preserve"> h</w:t>
      </w:r>
      <w:r w:rsidRPr="004523AD">
        <w:rPr>
          <w:sz w:val="24"/>
          <w:szCs w:val="24"/>
          <w:lang w:eastAsia="en-GB"/>
        </w:rPr>
        <w:t>arassment in medical settings</w:t>
      </w:r>
      <w:r>
        <w:rPr>
          <w:sz w:val="24"/>
          <w:szCs w:val="24"/>
          <w:lang w:eastAsia="en-GB"/>
        </w:rPr>
        <w:t>.</w:t>
      </w:r>
    </w:p>
    <w:p w14:paraId="288AB53A" w14:textId="27CD4202" w:rsidR="00A359BC" w:rsidRDefault="00A359BC" w:rsidP="004523AD">
      <w:pPr>
        <w:pStyle w:val="ListParagraph"/>
        <w:shd w:val="clear" w:color="auto" w:fill="FFFFFF"/>
        <w:spacing w:line="259" w:lineRule="auto"/>
        <w:ind w:left="360"/>
        <w:jc w:val="both"/>
        <w:outlineLvl w:val="2"/>
        <w:rPr>
          <w:sz w:val="24"/>
          <w:szCs w:val="24"/>
          <w:lang w:eastAsia="en-GB"/>
        </w:rPr>
      </w:pPr>
    </w:p>
    <w:p w14:paraId="6D7CD734" w14:textId="77777777" w:rsidR="00182517" w:rsidRDefault="00FD2096" w:rsidP="00FD2096">
      <w:pPr>
        <w:pStyle w:val="ListParagraph"/>
        <w:shd w:val="clear" w:color="auto" w:fill="FFFFFF"/>
        <w:spacing w:line="259" w:lineRule="auto"/>
        <w:ind w:left="360"/>
        <w:jc w:val="both"/>
        <w:outlineLvl w:val="2"/>
        <w:rPr>
          <w:sz w:val="24"/>
          <w:szCs w:val="24"/>
          <w:lang w:eastAsia="en-GB"/>
        </w:rPr>
      </w:pPr>
      <w:r w:rsidRPr="00FD2096">
        <w:rPr>
          <w:sz w:val="24"/>
          <w:szCs w:val="24"/>
          <w:lang w:eastAsia="en-GB"/>
        </w:rPr>
        <w:t>When seeking medical help for issues directly related to</w:t>
      </w:r>
      <w:r>
        <w:rPr>
          <w:sz w:val="24"/>
          <w:szCs w:val="24"/>
          <w:lang w:eastAsia="en-GB"/>
        </w:rPr>
        <w:t xml:space="preserve"> </w:t>
      </w:r>
      <w:r w:rsidRPr="00FD2096">
        <w:rPr>
          <w:sz w:val="24"/>
          <w:szCs w:val="24"/>
          <w:lang w:eastAsia="en-GB"/>
        </w:rPr>
        <w:t>their sex characteristics, diagnosis or sexuality, intersex</w:t>
      </w:r>
      <w:r>
        <w:rPr>
          <w:sz w:val="24"/>
          <w:szCs w:val="24"/>
          <w:lang w:eastAsia="en-GB"/>
        </w:rPr>
        <w:t xml:space="preserve"> </w:t>
      </w:r>
      <w:r w:rsidRPr="00FD2096">
        <w:rPr>
          <w:sz w:val="24"/>
          <w:szCs w:val="24"/>
          <w:lang w:eastAsia="en-GB"/>
        </w:rPr>
        <w:t>people often face highly insensitive and violent behaviour.</w:t>
      </w:r>
      <w:r>
        <w:rPr>
          <w:sz w:val="24"/>
          <w:szCs w:val="24"/>
          <w:lang w:eastAsia="en-GB"/>
        </w:rPr>
        <w:t xml:space="preserve"> </w:t>
      </w:r>
      <w:r w:rsidRPr="00FD2096">
        <w:rPr>
          <w:sz w:val="24"/>
          <w:szCs w:val="24"/>
          <w:lang w:eastAsia="en-GB"/>
        </w:rPr>
        <w:t>For example, a 2014 Dutch study on the experience of</w:t>
      </w:r>
      <w:r>
        <w:rPr>
          <w:sz w:val="24"/>
          <w:szCs w:val="24"/>
          <w:lang w:eastAsia="en-GB"/>
        </w:rPr>
        <w:t xml:space="preserve"> </w:t>
      </w:r>
      <w:r w:rsidRPr="00FD2096">
        <w:rPr>
          <w:sz w:val="24"/>
          <w:szCs w:val="24"/>
          <w:lang w:eastAsia="en-GB"/>
        </w:rPr>
        <w:t>intersex people in different areas of life emphasised that</w:t>
      </w:r>
      <w:r>
        <w:rPr>
          <w:sz w:val="24"/>
          <w:szCs w:val="24"/>
          <w:lang w:eastAsia="en-GB"/>
        </w:rPr>
        <w:t xml:space="preserve"> </w:t>
      </w:r>
      <w:r w:rsidRPr="00FD2096">
        <w:rPr>
          <w:sz w:val="24"/>
          <w:szCs w:val="24"/>
          <w:lang w:eastAsia="en-GB"/>
        </w:rPr>
        <w:t>six out of seven spoke “with a great deal of emotion about</w:t>
      </w:r>
      <w:r>
        <w:rPr>
          <w:sz w:val="24"/>
          <w:szCs w:val="24"/>
          <w:lang w:eastAsia="en-GB"/>
        </w:rPr>
        <w:t xml:space="preserve"> </w:t>
      </w:r>
      <w:r w:rsidRPr="00FD2096">
        <w:rPr>
          <w:sz w:val="24"/>
          <w:szCs w:val="24"/>
          <w:lang w:eastAsia="en-GB"/>
        </w:rPr>
        <w:t>poor information, insensitive communication and</w:t>
      </w:r>
      <w:r>
        <w:rPr>
          <w:sz w:val="24"/>
          <w:szCs w:val="24"/>
          <w:lang w:eastAsia="en-GB"/>
        </w:rPr>
        <w:t xml:space="preserve"> </w:t>
      </w:r>
      <w:r w:rsidRPr="00FD2096">
        <w:rPr>
          <w:sz w:val="24"/>
          <w:szCs w:val="24"/>
          <w:lang w:eastAsia="en-GB"/>
        </w:rPr>
        <w:t>discourteous treatment”</w:t>
      </w:r>
      <w:r>
        <w:rPr>
          <w:rStyle w:val="FootnoteReference"/>
          <w:sz w:val="24"/>
          <w:szCs w:val="24"/>
          <w:lang w:eastAsia="en-GB"/>
        </w:rPr>
        <w:footnoteReference w:id="41"/>
      </w:r>
      <w:r w:rsidRPr="00FD2096">
        <w:rPr>
          <w:sz w:val="24"/>
          <w:szCs w:val="24"/>
          <w:lang w:eastAsia="en-GB"/>
        </w:rPr>
        <w:t>.</w:t>
      </w:r>
    </w:p>
    <w:p w14:paraId="0DF6ACB7" w14:textId="77777777" w:rsidR="00182517" w:rsidRDefault="00182517" w:rsidP="00FD2096">
      <w:pPr>
        <w:pStyle w:val="ListParagraph"/>
        <w:shd w:val="clear" w:color="auto" w:fill="FFFFFF"/>
        <w:spacing w:line="259" w:lineRule="auto"/>
        <w:ind w:left="360"/>
        <w:jc w:val="both"/>
        <w:outlineLvl w:val="2"/>
        <w:rPr>
          <w:sz w:val="24"/>
          <w:szCs w:val="24"/>
          <w:lang w:eastAsia="en-GB"/>
        </w:rPr>
      </w:pPr>
    </w:p>
    <w:p w14:paraId="0869FD47" w14:textId="33DE40EF" w:rsidR="00A359BC" w:rsidRDefault="00182517" w:rsidP="00182517">
      <w:pPr>
        <w:pStyle w:val="ListParagraph"/>
        <w:shd w:val="clear" w:color="auto" w:fill="FFFFFF"/>
        <w:spacing w:line="259" w:lineRule="auto"/>
        <w:ind w:left="360"/>
        <w:jc w:val="both"/>
        <w:outlineLvl w:val="2"/>
        <w:rPr>
          <w:sz w:val="24"/>
          <w:szCs w:val="24"/>
          <w:lang w:eastAsia="en-GB"/>
        </w:rPr>
      </w:pPr>
      <w:r w:rsidRPr="00182517">
        <w:rPr>
          <w:sz w:val="24"/>
          <w:szCs w:val="24"/>
          <w:lang w:eastAsia="en-GB"/>
        </w:rPr>
        <w:t>Treatments and medications needed as a direct</w:t>
      </w:r>
      <w:r>
        <w:rPr>
          <w:sz w:val="24"/>
          <w:szCs w:val="24"/>
          <w:lang w:eastAsia="en-GB"/>
        </w:rPr>
        <w:t xml:space="preserve"> </w:t>
      </w:r>
      <w:r w:rsidRPr="00182517">
        <w:rPr>
          <w:sz w:val="24"/>
          <w:szCs w:val="24"/>
          <w:lang w:eastAsia="en-GB"/>
        </w:rPr>
        <w:t>consequence of so-called “normalising” interventions are</w:t>
      </w:r>
      <w:r>
        <w:rPr>
          <w:sz w:val="24"/>
          <w:szCs w:val="24"/>
          <w:lang w:eastAsia="en-GB"/>
        </w:rPr>
        <w:t xml:space="preserve"> </w:t>
      </w:r>
      <w:r w:rsidRPr="00182517">
        <w:rPr>
          <w:sz w:val="24"/>
          <w:szCs w:val="24"/>
          <w:lang w:eastAsia="en-GB"/>
        </w:rPr>
        <w:t>often not covered by health insurance. This can include,</w:t>
      </w:r>
      <w:r>
        <w:rPr>
          <w:sz w:val="24"/>
          <w:szCs w:val="24"/>
          <w:lang w:eastAsia="en-GB"/>
        </w:rPr>
        <w:t xml:space="preserve"> </w:t>
      </w:r>
      <w:r w:rsidRPr="00182517">
        <w:rPr>
          <w:sz w:val="24"/>
          <w:szCs w:val="24"/>
          <w:lang w:eastAsia="en-GB"/>
        </w:rPr>
        <w:t>for example, life-long hormone substitution therapy after</w:t>
      </w:r>
      <w:r>
        <w:rPr>
          <w:sz w:val="24"/>
          <w:szCs w:val="24"/>
          <w:lang w:eastAsia="en-GB"/>
        </w:rPr>
        <w:t xml:space="preserve"> </w:t>
      </w:r>
      <w:r w:rsidRPr="00182517">
        <w:rPr>
          <w:sz w:val="24"/>
          <w:szCs w:val="24"/>
          <w:lang w:eastAsia="en-GB"/>
        </w:rPr>
        <w:t>the removal of hormone-producing tissue in order to</w:t>
      </w:r>
      <w:r>
        <w:rPr>
          <w:sz w:val="24"/>
          <w:szCs w:val="24"/>
          <w:lang w:eastAsia="en-GB"/>
        </w:rPr>
        <w:t xml:space="preserve"> </w:t>
      </w:r>
      <w:r w:rsidRPr="00182517">
        <w:rPr>
          <w:sz w:val="24"/>
          <w:szCs w:val="24"/>
          <w:lang w:eastAsia="en-GB"/>
        </w:rPr>
        <w:t>prevent osteopenia and osteoporosis</w:t>
      </w:r>
      <w:r w:rsidR="00091F02">
        <w:rPr>
          <w:rStyle w:val="FootnoteReference"/>
          <w:sz w:val="24"/>
          <w:szCs w:val="24"/>
          <w:lang w:eastAsia="en-GB"/>
        </w:rPr>
        <w:footnoteReference w:id="42"/>
      </w:r>
      <w:r>
        <w:rPr>
          <w:sz w:val="24"/>
          <w:szCs w:val="24"/>
          <w:lang w:eastAsia="en-GB"/>
        </w:rPr>
        <w:t>.</w:t>
      </w:r>
    </w:p>
    <w:p w14:paraId="706DE14B" w14:textId="4268FD98" w:rsidR="006F37DF" w:rsidRDefault="006F37DF" w:rsidP="00182517">
      <w:pPr>
        <w:pStyle w:val="ListParagraph"/>
        <w:shd w:val="clear" w:color="auto" w:fill="FFFFFF"/>
        <w:spacing w:line="259" w:lineRule="auto"/>
        <w:ind w:left="360"/>
        <w:jc w:val="both"/>
        <w:outlineLvl w:val="2"/>
        <w:rPr>
          <w:sz w:val="24"/>
          <w:szCs w:val="24"/>
          <w:lang w:eastAsia="en-GB"/>
        </w:rPr>
      </w:pPr>
    </w:p>
    <w:p w14:paraId="50D59A17" w14:textId="1C9CAFBC" w:rsidR="006F37DF" w:rsidRDefault="0039321C" w:rsidP="0039321C">
      <w:pPr>
        <w:pStyle w:val="ListParagraph"/>
        <w:shd w:val="clear" w:color="auto" w:fill="FFFFFF"/>
        <w:spacing w:line="259" w:lineRule="auto"/>
        <w:ind w:left="360"/>
        <w:jc w:val="both"/>
        <w:outlineLvl w:val="2"/>
        <w:rPr>
          <w:sz w:val="24"/>
          <w:szCs w:val="24"/>
          <w:lang w:eastAsia="en-GB"/>
        </w:rPr>
      </w:pPr>
      <w:r w:rsidRPr="0039321C">
        <w:rPr>
          <w:sz w:val="24"/>
          <w:szCs w:val="24"/>
          <w:lang w:eastAsia="en-GB"/>
        </w:rPr>
        <w:t>Lack of adequate psycho-social counselling for intersex</w:t>
      </w:r>
      <w:r>
        <w:rPr>
          <w:sz w:val="24"/>
          <w:szCs w:val="24"/>
          <w:lang w:eastAsia="en-GB"/>
        </w:rPr>
        <w:t xml:space="preserve"> </w:t>
      </w:r>
      <w:r w:rsidRPr="0039321C">
        <w:rPr>
          <w:sz w:val="24"/>
          <w:szCs w:val="24"/>
          <w:lang w:eastAsia="en-GB"/>
        </w:rPr>
        <w:t>people is still commonplace in Europe: a 2015 German</w:t>
      </w:r>
      <w:r>
        <w:rPr>
          <w:sz w:val="24"/>
          <w:szCs w:val="24"/>
          <w:lang w:eastAsia="en-GB"/>
        </w:rPr>
        <w:t xml:space="preserve"> </w:t>
      </w:r>
      <w:r w:rsidRPr="0039321C">
        <w:rPr>
          <w:sz w:val="24"/>
          <w:szCs w:val="24"/>
          <w:lang w:eastAsia="en-GB"/>
        </w:rPr>
        <w:t>survey found that of 630 participants (intersex adults,</w:t>
      </w:r>
      <w:r>
        <w:rPr>
          <w:sz w:val="24"/>
          <w:szCs w:val="24"/>
          <w:lang w:eastAsia="en-GB"/>
        </w:rPr>
        <w:t xml:space="preserve"> </w:t>
      </w:r>
      <w:r w:rsidRPr="0039321C">
        <w:rPr>
          <w:sz w:val="24"/>
          <w:szCs w:val="24"/>
          <w:lang w:eastAsia="en-GB"/>
        </w:rPr>
        <w:t>parents of intersex children, counselling professionals and</w:t>
      </w:r>
      <w:r>
        <w:rPr>
          <w:sz w:val="24"/>
          <w:szCs w:val="24"/>
          <w:lang w:eastAsia="en-GB"/>
        </w:rPr>
        <w:t xml:space="preserve"> </w:t>
      </w:r>
      <w:r w:rsidRPr="0039321C">
        <w:rPr>
          <w:sz w:val="24"/>
          <w:szCs w:val="24"/>
          <w:lang w:eastAsia="en-GB"/>
        </w:rPr>
        <w:t>intersex experts), only 4% considered the existing</w:t>
      </w:r>
      <w:r>
        <w:rPr>
          <w:sz w:val="24"/>
          <w:szCs w:val="24"/>
          <w:lang w:eastAsia="en-GB"/>
        </w:rPr>
        <w:t xml:space="preserve"> </w:t>
      </w:r>
      <w:r w:rsidRPr="0039321C">
        <w:rPr>
          <w:sz w:val="24"/>
          <w:szCs w:val="24"/>
          <w:lang w:eastAsia="en-GB"/>
        </w:rPr>
        <w:t>counselling services to be sufficient. 90% of the</w:t>
      </w:r>
      <w:r>
        <w:rPr>
          <w:sz w:val="24"/>
          <w:szCs w:val="24"/>
          <w:lang w:eastAsia="en-GB"/>
        </w:rPr>
        <w:t xml:space="preserve"> </w:t>
      </w:r>
      <w:r w:rsidRPr="0039321C">
        <w:rPr>
          <w:sz w:val="24"/>
          <w:szCs w:val="24"/>
          <w:lang w:eastAsia="en-GB"/>
        </w:rPr>
        <w:t>participants found the existing counselling services</w:t>
      </w:r>
      <w:r>
        <w:rPr>
          <w:sz w:val="24"/>
          <w:szCs w:val="24"/>
          <w:lang w:eastAsia="en-GB"/>
        </w:rPr>
        <w:t xml:space="preserve"> </w:t>
      </w:r>
      <w:r w:rsidRPr="0039321C">
        <w:rPr>
          <w:sz w:val="24"/>
          <w:szCs w:val="24"/>
          <w:lang w:eastAsia="en-GB"/>
        </w:rPr>
        <w:t>insufficient for intersex adults and 95% pointed to the</w:t>
      </w:r>
      <w:r>
        <w:rPr>
          <w:sz w:val="24"/>
          <w:szCs w:val="24"/>
          <w:lang w:eastAsia="en-GB"/>
        </w:rPr>
        <w:t xml:space="preserve"> </w:t>
      </w:r>
      <w:r w:rsidRPr="0039321C">
        <w:rPr>
          <w:sz w:val="24"/>
          <w:szCs w:val="24"/>
          <w:lang w:eastAsia="en-GB"/>
        </w:rPr>
        <w:t>lack of offers for intersex children and adolescents. 95%</w:t>
      </w:r>
      <w:r>
        <w:rPr>
          <w:sz w:val="24"/>
          <w:szCs w:val="24"/>
          <w:lang w:eastAsia="en-GB"/>
        </w:rPr>
        <w:t xml:space="preserve"> </w:t>
      </w:r>
      <w:r w:rsidRPr="0039321C">
        <w:rPr>
          <w:sz w:val="24"/>
          <w:szCs w:val="24"/>
          <w:lang w:eastAsia="en-GB"/>
        </w:rPr>
        <w:t>found the counselling option for parents of intersex</w:t>
      </w:r>
      <w:r>
        <w:rPr>
          <w:sz w:val="24"/>
          <w:szCs w:val="24"/>
          <w:lang w:eastAsia="en-GB"/>
        </w:rPr>
        <w:t xml:space="preserve"> </w:t>
      </w:r>
      <w:r w:rsidRPr="0039321C">
        <w:rPr>
          <w:sz w:val="24"/>
          <w:szCs w:val="24"/>
          <w:lang w:eastAsia="en-GB"/>
        </w:rPr>
        <w:t>children to be insufficient. Almost all participants</w:t>
      </w:r>
      <w:r>
        <w:rPr>
          <w:sz w:val="24"/>
          <w:szCs w:val="24"/>
          <w:lang w:eastAsia="en-GB"/>
        </w:rPr>
        <w:t xml:space="preserve"> </w:t>
      </w:r>
      <w:r w:rsidRPr="0039321C">
        <w:rPr>
          <w:sz w:val="24"/>
          <w:szCs w:val="24"/>
          <w:lang w:eastAsia="en-GB"/>
        </w:rPr>
        <w:t>considered comprehensive counselling services important</w:t>
      </w:r>
      <w:r>
        <w:rPr>
          <w:sz w:val="24"/>
          <w:szCs w:val="24"/>
          <w:lang w:eastAsia="en-GB"/>
        </w:rPr>
        <w:t xml:space="preserve"> </w:t>
      </w:r>
      <w:r w:rsidRPr="0039321C">
        <w:rPr>
          <w:sz w:val="24"/>
          <w:szCs w:val="24"/>
          <w:lang w:eastAsia="en-GB"/>
        </w:rPr>
        <w:t>in order to “avoid premature decisions”.</w:t>
      </w:r>
      <w:r w:rsidR="007F5E3B">
        <w:rPr>
          <w:rStyle w:val="FootnoteReference"/>
          <w:sz w:val="24"/>
          <w:szCs w:val="24"/>
          <w:lang w:eastAsia="en-GB"/>
        </w:rPr>
        <w:footnoteReference w:id="43"/>
      </w:r>
    </w:p>
    <w:p w14:paraId="420E7ACA" w14:textId="408979C4" w:rsidR="00DA3F14" w:rsidRDefault="00DA3F14" w:rsidP="0039321C">
      <w:pPr>
        <w:pStyle w:val="ListParagraph"/>
        <w:shd w:val="clear" w:color="auto" w:fill="FFFFFF"/>
        <w:spacing w:line="259" w:lineRule="auto"/>
        <w:ind w:left="360"/>
        <w:jc w:val="both"/>
        <w:outlineLvl w:val="2"/>
        <w:rPr>
          <w:sz w:val="24"/>
          <w:szCs w:val="24"/>
          <w:lang w:eastAsia="en-GB"/>
        </w:rPr>
      </w:pPr>
    </w:p>
    <w:p w14:paraId="75111AA2" w14:textId="56751CC8" w:rsidR="00DA3F14" w:rsidRDefault="00DA3F14" w:rsidP="00DA3F14">
      <w:pPr>
        <w:pStyle w:val="ListParagraph"/>
        <w:shd w:val="clear" w:color="auto" w:fill="FFFFFF"/>
        <w:spacing w:line="259" w:lineRule="auto"/>
        <w:ind w:left="360"/>
        <w:jc w:val="both"/>
        <w:outlineLvl w:val="2"/>
        <w:rPr>
          <w:sz w:val="24"/>
          <w:szCs w:val="24"/>
          <w:lang w:eastAsia="en-GB"/>
        </w:rPr>
      </w:pPr>
      <w:r w:rsidRPr="00DA3F14">
        <w:rPr>
          <w:sz w:val="24"/>
          <w:szCs w:val="24"/>
          <w:lang w:eastAsia="en-GB"/>
        </w:rPr>
        <w:t>The support must be accessible as well: 76% of the study’s</w:t>
      </w:r>
      <w:r>
        <w:rPr>
          <w:sz w:val="24"/>
          <w:szCs w:val="24"/>
          <w:lang w:eastAsia="en-GB"/>
        </w:rPr>
        <w:t xml:space="preserve"> </w:t>
      </w:r>
      <w:r w:rsidRPr="00DA3F14">
        <w:rPr>
          <w:sz w:val="24"/>
          <w:szCs w:val="24"/>
          <w:lang w:eastAsia="en-GB"/>
        </w:rPr>
        <w:t>participants wished for support offers in their immediate</w:t>
      </w:r>
      <w:r>
        <w:rPr>
          <w:sz w:val="24"/>
          <w:szCs w:val="24"/>
          <w:lang w:eastAsia="en-GB"/>
        </w:rPr>
        <w:t xml:space="preserve"> </w:t>
      </w:r>
      <w:r w:rsidRPr="00DA3F14">
        <w:rPr>
          <w:sz w:val="24"/>
          <w:szCs w:val="24"/>
          <w:lang w:eastAsia="en-GB"/>
        </w:rPr>
        <w:t>vicinities and 59% wished for a minimum of several</w:t>
      </w:r>
      <w:r>
        <w:rPr>
          <w:sz w:val="24"/>
          <w:szCs w:val="24"/>
          <w:lang w:eastAsia="en-GB"/>
        </w:rPr>
        <w:t xml:space="preserve"> </w:t>
      </w:r>
      <w:r w:rsidRPr="00DA3F14">
        <w:rPr>
          <w:sz w:val="24"/>
          <w:szCs w:val="24"/>
          <w:lang w:eastAsia="en-GB"/>
        </w:rPr>
        <w:t>contact points and advisory services per federal state</w:t>
      </w:r>
      <w:r>
        <w:rPr>
          <w:rStyle w:val="FootnoteReference"/>
          <w:sz w:val="24"/>
          <w:szCs w:val="24"/>
          <w:lang w:eastAsia="en-GB"/>
        </w:rPr>
        <w:footnoteReference w:id="44"/>
      </w:r>
      <w:r>
        <w:rPr>
          <w:sz w:val="24"/>
          <w:szCs w:val="24"/>
          <w:lang w:eastAsia="en-GB"/>
        </w:rPr>
        <w:t>.</w:t>
      </w:r>
    </w:p>
    <w:p w14:paraId="65DE0D7B" w14:textId="12B805F2" w:rsidR="002A4702" w:rsidRDefault="002A4702" w:rsidP="00DA3F14">
      <w:pPr>
        <w:pStyle w:val="ListParagraph"/>
        <w:shd w:val="clear" w:color="auto" w:fill="FFFFFF"/>
        <w:spacing w:line="259" w:lineRule="auto"/>
        <w:ind w:left="360"/>
        <w:jc w:val="both"/>
        <w:outlineLvl w:val="2"/>
        <w:rPr>
          <w:sz w:val="24"/>
          <w:szCs w:val="24"/>
          <w:lang w:eastAsia="en-GB"/>
        </w:rPr>
      </w:pPr>
    </w:p>
    <w:p w14:paraId="38C8DBB9" w14:textId="3926E365" w:rsidR="002A4702" w:rsidRPr="00DA3F14" w:rsidRDefault="002A4702" w:rsidP="00DA3F14">
      <w:pPr>
        <w:pStyle w:val="ListParagraph"/>
        <w:shd w:val="clear" w:color="auto" w:fill="FFFFFF"/>
        <w:spacing w:line="259" w:lineRule="auto"/>
        <w:ind w:left="360"/>
        <w:jc w:val="both"/>
        <w:outlineLvl w:val="2"/>
        <w:rPr>
          <w:sz w:val="24"/>
          <w:szCs w:val="24"/>
          <w:lang w:eastAsia="en-GB"/>
        </w:rPr>
      </w:pPr>
      <w:r w:rsidRPr="002A4702">
        <w:rPr>
          <w:sz w:val="24"/>
          <w:szCs w:val="24"/>
          <w:lang w:eastAsia="en-GB"/>
        </w:rPr>
        <w:t xml:space="preserve">The </w:t>
      </w:r>
      <w:r w:rsidR="00D456B9">
        <w:rPr>
          <w:sz w:val="24"/>
          <w:szCs w:val="24"/>
          <w:lang w:eastAsia="en-GB"/>
        </w:rPr>
        <w:t>C</w:t>
      </w:r>
      <w:r w:rsidRPr="002A4702">
        <w:rPr>
          <w:sz w:val="24"/>
          <w:szCs w:val="24"/>
          <w:lang w:eastAsia="en-GB"/>
        </w:rPr>
        <w:t>ovid crisis has exacerbated an already dire situation</w:t>
      </w:r>
      <w:r>
        <w:rPr>
          <w:sz w:val="24"/>
          <w:szCs w:val="24"/>
          <w:lang w:eastAsia="en-GB"/>
        </w:rPr>
        <w:t xml:space="preserve">. </w:t>
      </w:r>
      <w:r w:rsidR="0045107A">
        <w:rPr>
          <w:sz w:val="24"/>
          <w:szCs w:val="24"/>
          <w:lang w:eastAsia="en-GB"/>
        </w:rPr>
        <w:t xml:space="preserve">Among the intersex respondents to our 2020 </w:t>
      </w:r>
      <w:r w:rsidR="00D456B9">
        <w:rPr>
          <w:sz w:val="24"/>
          <w:szCs w:val="24"/>
          <w:lang w:eastAsia="en-GB"/>
        </w:rPr>
        <w:t>C</w:t>
      </w:r>
      <w:r w:rsidR="0045107A">
        <w:rPr>
          <w:sz w:val="24"/>
          <w:szCs w:val="24"/>
          <w:lang w:eastAsia="en-GB"/>
        </w:rPr>
        <w:t xml:space="preserve">ovid survey, </w:t>
      </w:r>
      <w:r w:rsidR="0045107A" w:rsidRPr="0045107A">
        <w:rPr>
          <w:sz w:val="24"/>
          <w:szCs w:val="24"/>
          <w:lang w:eastAsia="en-GB"/>
        </w:rPr>
        <w:t xml:space="preserve">40% reported that their doctor appointments were postponed and 22% </w:t>
      </w:r>
      <w:r w:rsidR="005447F2">
        <w:rPr>
          <w:sz w:val="24"/>
          <w:szCs w:val="24"/>
          <w:lang w:eastAsia="en-GB"/>
        </w:rPr>
        <w:t>that they</w:t>
      </w:r>
      <w:r w:rsidR="0045107A" w:rsidRPr="0045107A">
        <w:rPr>
          <w:sz w:val="24"/>
          <w:szCs w:val="24"/>
          <w:lang w:eastAsia="en-GB"/>
        </w:rPr>
        <w:t xml:space="preserve"> had their appointments cancelled during the crisis.</w:t>
      </w:r>
      <w:r w:rsidR="005447F2">
        <w:rPr>
          <w:rFonts w:ascii="Arial" w:eastAsiaTheme="minorHAnsi" w:hAnsi="Arial" w:cs="Arial"/>
          <w:color w:val="000000"/>
          <w:sz w:val="22"/>
          <w:szCs w:val="22"/>
        </w:rPr>
        <w:t xml:space="preserve"> </w:t>
      </w:r>
      <w:r w:rsidR="005447F2" w:rsidRPr="005447F2">
        <w:rPr>
          <w:sz w:val="24"/>
          <w:szCs w:val="24"/>
          <w:lang w:eastAsia="en-GB"/>
        </w:rPr>
        <w:t xml:space="preserve">21% reported that they don’t have access to a doctor who has the necessary expertise with their intersex body and 14% </w:t>
      </w:r>
      <w:r w:rsidR="00E8734E" w:rsidRPr="005447F2">
        <w:rPr>
          <w:sz w:val="24"/>
          <w:szCs w:val="24"/>
          <w:lang w:eastAsia="en-GB"/>
        </w:rPr>
        <w:t>currently have</w:t>
      </w:r>
      <w:r w:rsidR="005447F2" w:rsidRPr="005447F2">
        <w:rPr>
          <w:sz w:val="24"/>
          <w:szCs w:val="24"/>
          <w:lang w:eastAsia="en-GB"/>
        </w:rPr>
        <w:t xml:space="preserve"> no access to a doctor that they trust</w:t>
      </w:r>
      <w:r w:rsidR="00E8734E">
        <w:rPr>
          <w:rStyle w:val="FootnoteReference"/>
          <w:sz w:val="24"/>
          <w:szCs w:val="24"/>
          <w:lang w:eastAsia="en-GB"/>
        </w:rPr>
        <w:footnoteReference w:id="45"/>
      </w:r>
      <w:r w:rsidR="005447F2">
        <w:rPr>
          <w:sz w:val="24"/>
          <w:szCs w:val="24"/>
          <w:lang w:eastAsia="en-GB"/>
        </w:rPr>
        <w:t>.</w:t>
      </w:r>
    </w:p>
    <w:p w14:paraId="49A62A7C" w14:textId="06B8ABA5" w:rsidR="00091F02" w:rsidRDefault="00091F02" w:rsidP="00FD2096">
      <w:pPr>
        <w:pStyle w:val="ListParagraph"/>
        <w:shd w:val="clear" w:color="auto" w:fill="FFFFFF"/>
        <w:spacing w:line="259" w:lineRule="auto"/>
        <w:ind w:left="360"/>
        <w:jc w:val="both"/>
        <w:outlineLvl w:val="2"/>
        <w:rPr>
          <w:sz w:val="24"/>
          <w:szCs w:val="24"/>
          <w:lang w:eastAsia="en-GB"/>
        </w:rPr>
      </w:pPr>
    </w:p>
    <w:p w14:paraId="759D8F30" w14:textId="258320C9" w:rsidR="00091F02" w:rsidRDefault="00C3430C" w:rsidP="00FD2096">
      <w:pPr>
        <w:pStyle w:val="ListParagraph"/>
        <w:shd w:val="clear" w:color="auto" w:fill="FFFFFF"/>
        <w:spacing w:line="259" w:lineRule="auto"/>
        <w:ind w:left="360"/>
        <w:jc w:val="both"/>
        <w:outlineLvl w:val="2"/>
        <w:rPr>
          <w:sz w:val="24"/>
          <w:szCs w:val="24"/>
          <w:lang w:eastAsia="en-GB"/>
        </w:rPr>
      </w:pPr>
      <w:r>
        <w:rPr>
          <w:sz w:val="24"/>
          <w:szCs w:val="24"/>
          <w:lang w:eastAsia="en-GB"/>
        </w:rPr>
        <w:t xml:space="preserve">Among the respondents, </w:t>
      </w:r>
      <w:r w:rsidR="006B16A9" w:rsidRPr="006B16A9">
        <w:rPr>
          <w:sz w:val="24"/>
          <w:szCs w:val="24"/>
          <w:lang w:eastAsia="en-GB"/>
        </w:rPr>
        <w:t xml:space="preserve">40% stated that they follow a </w:t>
      </w:r>
      <w:r>
        <w:rPr>
          <w:sz w:val="24"/>
          <w:szCs w:val="24"/>
          <w:lang w:eastAsia="en-GB"/>
        </w:rPr>
        <w:t xml:space="preserve">medicine taking </w:t>
      </w:r>
      <w:r w:rsidR="006B16A9" w:rsidRPr="006B16A9">
        <w:rPr>
          <w:sz w:val="24"/>
          <w:szCs w:val="24"/>
          <w:lang w:eastAsia="en-GB"/>
        </w:rPr>
        <w:t>regime on regular basis</w:t>
      </w:r>
      <w:r>
        <w:rPr>
          <w:sz w:val="24"/>
          <w:szCs w:val="24"/>
          <w:lang w:eastAsia="en-GB"/>
        </w:rPr>
        <w:t xml:space="preserve">, which </w:t>
      </w:r>
      <w:r w:rsidRPr="00C3430C">
        <w:rPr>
          <w:sz w:val="24"/>
          <w:szCs w:val="24"/>
          <w:lang w:eastAsia="en-GB"/>
        </w:rPr>
        <w:t>may include, but is not limited to, hormone substitution as a result of surgically induced loss of hormone-producing tissue</w:t>
      </w:r>
      <w:r>
        <w:rPr>
          <w:sz w:val="24"/>
          <w:szCs w:val="24"/>
          <w:lang w:eastAsia="en-GB"/>
        </w:rPr>
        <w:t>.</w:t>
      </w:r>
      <w:r w:rsidRPr="00C3430C">
        <w:rPr>
          <w:sz w:val="24"/>
          <w:szCs w:val="24"/>
          <w:lang w:eastAsia="en-GB"/>
        </w:rPr>
        <w:t xml:space="preserve"> </w:t>
      </w:r>
      <w:r w:rsidR="006B16A9" w:rsidRPr="006B16A9">
        <w:rPr>
          <w:sz w:val="24"/>
          <w:szCs w:val="24"/>
          <w:lang w:eastAsia="en-GB"/>
        </w:rPr>
        <w:t xml:space="preserve">Of those, </w:t>
      </w:r>
      <w:r>
        <w:rPr>
          <w:sz w:val="24"/>
          <w:szCs w:val="24"/>
          <w:lang w:eastAsia="en-GB"/>
        </w:rPr>
        <w:t>in July 2020</w:t>
      </w:r>
      <w:r w:rsidR="006B16A9" w:rsidRPr="006B16A9">
        <w:rPr>
          <w:sz w:val="24"/>
          <w:szCs w:val="24"/>
          <w:lang w:eastAsia="en-GB"/>
        </w:rPr>
        <w:t xml:space="preserve"> 64% t</w:t>
      </w:r>
      <w:r>
        <w:rPr>
          <w:sz w:val="24"/>
          <w:szCs w:val="24"/>
          <w:lang w:eastAsia="en-GB"/>
        </w:rPr>
        <w:t>ook</w:t>
      </w:r>
      <w:r w:rsidR="006B16A9" w:rsidRPr="006B16A9">
        <w:rPr>
          <w:sz w:val="24"/>
          <w:szCs w:val="24"/>
          <w:lang w:eastAsia="en-GB"/>
        </w:rPr>
        <w:t xml:space="preserve"> their medicine as regularly as they did before the pandemic</w:t>
      </w:r>
      <w:r>
        <w:rPr>
          <w:sz w:val="24"/>
          <w:szCs w:val="24"/>
          <w:lang w:eastAsia="en-GB"/>
        </w:rPr>
        <w:t>,</w:t>
      </w:r>
      <w:r w:rsidR="006B16A9" w:rsidRPr="006B16A9">
        <w:rPr>
          <w:sz w:val="24"/>
          <w:szCs w:val="24"/>
          <w:lang w:eastAsia="en-GB"/>
        </w:rPr>
        <w:t xml:space="preserve"> but 28% who follow a regime on regular basis reported that they had to stop or will eventually stop taking their medicine</w:t>
      </w:r>
      <w:r w:rsidR="005D5018">
        <w:rPr>
          <w:rStyle w:val="FootnoteReference"/>
          <w:sz w:val="24"/>
          <w:szCs w:val="24"/>
          <w:lang w:eastAsia="en-GB"/>
        </w:rPr>
        <w:footnoteReference w:id="46"/>
      </w:r>
      <w:r w:rsidR="006B16A9" w:rsidRPr="006B16A9">
        <w:rPr>
          <w:sz w:val="24"/>
          <w:szCs w:val="24"/>
          <w:lang w:eastAsia="en-GB"/>
        </w:rPr>
        <w:t>.</w:t>
      </w:r>
    </w:p>
    <w:p w14:paraId="328D9244" w14:textId="7C310CF9" w:rsidR="00965192" w:rsidRDefault="00965192" w:rsidP="00FD2096">
      <w:pPr>
        <w:pStyle w:val="ListParagraph"/>
        <w:shd w:val="clear" w:color="auto" w:fill="FFFFFF"/>
        <w:spacing w:line="259" w:lineRule="auto"/>
        <w:ind w:left="360"/>
        <w:jc w:val="both"/>
        <w:outlineLvl w:val="2"/>
        <w:rPr>
          <w:sz w:val="24"/>
          <w:szCs w:val="24"/>
          <w:lang w:eastAsia="en-GB"/>
        </w:rPr>
      </w:pPr>
    </w:p>
    <w:p w14:paraId="00CB973C" w14:textId="6CEE7FDB" w:rsidR="00965192" w:rsidRDefault="00965192" w:rsidP="00FD2096">
      <w:pPr>
        <w:pStyle w:val="ListParagraph"/>
        <w:shd w:val="clear" w:color="auto" w:fill="FFFFFF"/>
        <w:spacing w:line="259" w:lineRule="auto"/>
        <w:ind w:left="360"/>
        <w:jc w:val="both"/>
        <w:outlineLvl w:val="2"/>
        <w:rPr>
          <w:sz w:val="24"/>
          <w:szCs w:val="24"/>
          <w:lang w:eastAsia="en-GB"/>
        </w:rPr>
      </w:pPr>
      <w:r>
        <w:rPr>
          <w:sz w:val="24"/>
          <w:szCs w:val="24"/>
          <w:lang w:eastAsia="en-GB"/>
        </w:rPr>
        <w:t xml:space="preserve">Finally, intersex people who want to seek justice for the harm inflicted on them by medical doctors face huge </w:t>
      </w:r>
      <w:r w:rsidRPr="00965192">
        <w:rPr>
          <w:sz w:val="24"/>
          <w:szCs w:val="24"/>
          <w:lang w:eastAsia="en-GB"/>
        </w:rPr>
        <w:t>difficulties in accessing their (full) medical records</w:t>
      </w:r>
      <w:r>
        <w:rPr>
          <w:sz w:val="24"/>
          <w:szCs w:val="24"/>
          <w:lang w:eastAsia="en-GB"/>
        </w:rPr>
        <w:t>, either because the retention period has expired or because of the stigma and secrecy surrounding their situation</w:t>
      </w:r>
      <w:r w:rsidR="00F90444">
        <w:rPr>
          <w:rStyle w:val="FootnoteReference"/>
          <w:sz w:val="24"/>
          <w:szCs w:val="24"/>
          <w:lang w:eastAsia="en-GB"/>
        </w:rPr>
        <w:footnoteReference w:id="47"/>
      </w:r>
      <w:r>
        <w:rPr>
          <w:sz w:val="24"/>
          <w:szCs w:val="24"/>
          <w:lang w:eastAsia="en-GB"/>
        </w:rPr>
        <w:t xml:space="preserve">. Even when they manage to get them, </w:t>
      </w:r>
      <w:r w:rsidR="00F92E77">
        <w:rPr>
          <w:sz w:val="24"/>
          <w:szCs w:val="24"/>
          <w:lang w:eastAsia="en-GB"/>
        </w:rPr>
        <w:t>their claim</w:t>
      </w:r>
      <w:r>
        <w:rPr>
          <w:sz w:val="24"/>
          <w:szCs w:val="24"/>
          <w:lang w:eastAsia="en-GB"/>
        </w:rPr>
        <w:t xml:space="preserve"> may be time-barred.</w:t>
      </w:r>
      <w:r w:rsidR="00F92E77">
        <w:rPr>
          <w:sz w:val="24"/>
          <w:szCs w:val="24"/>
          <w:lang w:eastAsia="en-GB"/>
        </w:rPr>
        <w:t xml:space="preserve"> Retention periods and statutes of limitations are not designed to consider that</w:t>
      </w:r>
      <w:r>
        <w:rPr>
          <w:sz w:val="24"/>
          <w:szCs w:val="24"/>
          <w:lang w:eastAsia="en-GB"/>
        </w:rPr>
        <w:t xml:space="preserve"> </w:t>
      </w:r>
      <w:r w:rsidR="00F92E77">
        <w:rPr>
          <w:sz w:val="24"/>
          <w:szCs w:val="24"/>
          <w:lang w:eastAsia="en-GB"/>
        </w:rPr>
        <w:t xml:space="preserve">intersex people often </w:t>
      </w:r>
      <w:r w:rsidR="00F92E77" w:rsidRPr="00F92E77">
        <w:rPr>
          <w:sz w:val="24"/>
          <w:szCs w:val="24"/>
          <w:lang w:eastAsia="en-GB"/>
        </w:rPr>
        <w:t xml:space="preserve">find out as adults that they underwent </w:t>
      </w:r>
      <w:r w:rsidR="00F92E77">
        <w:rPr>
          <w:sz w:val="24"/>
          <w:szCs w:val="24"/>
          <w:lang w:eastAsia="en-GB"/>
        </w:rPr>
        <w:t xml:space="preserve">harmful </w:t>
      </w:r>
      <w:r w:rsidR="00F92E77" w:rsidRPr="00F92E77">
        <w:rPr>
          <w:sz w:val="24"/>
          <w:szCs w:val="24"/>
          <w:lang w:eastAsia="en-GB"/>
        </w:rPr>
        <w:t>treatment</w:t>
      </w:r>
      <w:r w:rsidR="00F92E77">
        <w:rPr>
          <w:sz w:val="24"/>
          <w:szCs w:val="24"/>
          <w:lang w:eastAsia="en-GB"/>
        </w:rPr>
        <w:t xml:space="preserve">, because of the silence and taboo surrounding them, and once they find it </w:t>
      </w:r>
      <w:r w:rsidR="00E4370A">
        <w:rPr>
          <w:sz w:val="24"/>
          <w:szCs w:val="24"/>
          <w:lang w:eastAsia="en-GB"/>
        </w:rPr>
        <w:t>out,</w:t>
      </w:r>
      <w:r w:rsidR="00F92E77">
        <w:rPr>
          <w:sz w:val="24"/>
          <w:szCs w:val="24"/>
          <w:lang w:eastAsia="en-GB"/>
        </w:rPr>
        <w:t xml:space="preserve"> they need </w:t>
      </w:r>
      <w:r w:rsidR="00F92E77" w:rsidRPr="00F92E77">
        <w:rPr>
          <w:sz w:val="24"/>
          <w:szCs w:val="24"/>
          <w:lang w:eastAsia="en-GB"/>
        </w:rPr>
        <w:t>time to process and heal</w:t>
      </w:r>
      <w:r w:rsidR="00F92E77">
        <w:rPr>
          <w:sz w:val="24"/>
          <w:szCs w:val="24"/>
          <w:lang w:eastAsia="en-GB"/>
        </w:rPr>
        <w:t xml:space="preserve"> before even thinking about going before court</w:t>
      </w:r>
      <w:r w:rsidR="00E4370A">
        <w:rPr>
          <w:rStyle w:val="FootnoteReference"/>
          <w:sz w:val="24"/>
          <w:szCs w:val="24"/>
          <w:lang w:eastAsia="en-GB"/>
        </w:rPr>
        <w:footnoteReference w:id="48"/>
      </w:r>
      <w:r w:rsidR="00F92E77">
        <w:rPr>
          <w:sz w:val="24"/>
          <w:szCs w:val="24"/>
          <w:lang w:eastAsia="en-GB"/>
        </w:rPr>
        <w:t>.</w:t>
      </w:r>
    </w:p>
    <w:p w14:paraId="50C528AE" w14:textId="77777777" w:rsidR="00C3430C" w:rsidRPr="00FD2096" w:rsidRDefault="00C3430C" w:rsidP="00FD2096">
      <w:pPr>
        <w:pStyle w:val="ListParagraph"/>
        <w:shd w:val="clear" w:color="auto" w:fill="FFFFFF"/>
        <w:spacing w:line="259" w:lineRule="auto"/>
        <w:ind w:left="360"/>
        <w:jc w:val="both"/>
        <w:outlineLvl w:val="2"/>
        <w:rPr>
          <w:sz w:val="24"/>
          <w:szCs w:val="24"/>
          <w:lang w:eastAsia="en-GB"/>
        </w:rPr>
      </w:pPr>
    </w:p>
    <w:p w14:paraId="15CC7BB1"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D90F79">
        <w:rPr>
          <w:color w:val="1F4E79" w:themeColor="accent1" w:themeShade="80"/>
          <w:sz w:val="24"/>
          <w:szCs w:val="24"/>
          <w:lang w:eastAsia="en-GB"/>
        </w:rPr>
        <w:t>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w:t>
      </w:r>
      <w:r w:rsidRPr="0096645F">
        <w:rPr>
          <w:color w:val="000000"/>
          <w:sz w:val="24"/>
          <w:szCs w:val="24"/>
          <w:lang w:eastAsia="en-GB"/>
        </w:rPr>
        <w:t xml:space="preserve">.  </w:t>
      </w:r>
    </w:p>
    <w:p w14:paraId="60B1F18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258C3CD6" w14:textId="77777777" w:rsidR="009F00AF" w:rsidRPr="00D90F79" w:rsidRDefault="009F00AF" w:rsidP="009F00AF">
      <w:pPr>
        <w:pStyle w:val="ListParagraph"/>
        <w:numPr>
          <w:ilvl w:val="0"/>
          <w:numId w:val="1"/>
        </w:numPr>
        <w:shd w:val="clear" w:color="auto" w:fill="FFFFFF"/>
        <w:spacing w:line="259" w:lineRule="auto"/>
        <w:jc w:val="both"/>
        <w:outlineLvl w:val="2"/>
        <w:rPr>
          <w:color w:val="1F4E79" w:themeColor="accent1" w:themeShade="80"/>
          <w:sz w:val="24"/>
          <w:szCs w:val="24"/>
          <w:lang w:eastAsia="en-GB"/>
        </w:rPr>
      </w:pPr>
      <w:r w:rsidRPr="00D90F79">
        <w:rPr>
          <w:color w:val="1F4E79" w:themeColor="accent1" w:themeShade="80"/>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p>
    <w:p w14:paraId="1006A155" w14:textId="5D6B40B7" w:rsidR="009F00AF" w:rsidRDefault="009F00AF" w:rsidP="009F00AF">
      <w:pPr>
        <w:pStyle w:val="ListParagraph"/>
        <w:spacing w:line="259" w:lineRule="auto"/>
        <w:jc w:val="both"/>
        <w:rPr>
          <w:color w:val="1F4E79" w:themeColor="accent1" w:themeShade="80"/>
          <w:sz w:val="24"/>
          <w:szCs w:val="24"/>
          <w:lang w:eastAsia="en-GB"/>
        </w:rPr>
      </w:pPr>
    </w:p>
    <w:p w14:paraId="00A74F4D" w14:textId="6CCC9469" w:rsidR="00C5023E" w:rsidRDefault="00C5023E" w:rsidP="00C5023E">
      <w:pPr>
        <w:pStyle w:val="ListParagraph"/>
        <w:spacing w:line="259" w:lineRule="auto"/>
        <w:ind w:left="426"/>
        <w:jc w:val="both"/>
        <w:rPr>
          <w:sz w:val="24"/>
          <w:szCs w:val="24"/>
          <w:lang w:eastAsia="en-GB"/>
        </w:rPr>
      </w:pPr>
      <w:r>
        <w:rPr>
          <w:sz w:val="24"/>
          <w:szCs w:val="24"/>
          <w:lang w:eastAsia="en-GB"/>
        </w:rPr>
        <w:t xml:space="preserve">Self-identified needs of the survivors of structural/institutional violence and intersex people in general are effectively expressed and communicated in the so-called Vienna Statement, that is the </w:t>
      </w:r>
      <w:r w:rsidRPr="00C5023E">
        <w:rPr>
          <w:sz w:val="24"/>
          <w:szCs w:val="24"/>
          <w:lang w:eastAsia="en-GB"/>
        </w:rPr>
        <w:t>Statement of the 1st European Intersex Community Event (Vienna, 30st – 31st of March 2017)</w:t>
      </w:r>
      <w:r>
        <w:rPr>
          <w:rStyle w:val="FootnoteReference"/>
          <w:sz w:val="24"/>
          <w:szCs w:val="24"/>
          <w:lang w:eastAsia="en-GB"/>
        </w:rPr>
        <w:footnoteReference w:id="49"/>
      </w:r>
      <w:r>
        <w:rPr>
          <w:sz w:val="24"/>
          <w:szCs w:val="24"/>
          <w:lang w:eastAsia="en-GB"/>
        </w:rPr>
        <w:t>.</w:t>
      </w:r>
    </w:p>
    <w:p w14:paraId="7F666DB0" w14:textId="178AE85C" w:rsidR="00C5023E" w:rsidRDefault="00C5023E" w:rsidP="00C5023E">
      <w:pPr>
        <w:pStyle w:val="ListParagraph"/>
        <w:spacing w:line="259" w:lineRule="auto"/>
        <w:ind w:left="426"/>
        <w:jc w:val="both"/>
        <w:rPr>
          <w:sz w:val="24"/>
          <w:szCs w:val="24"/>
          <w:lang w:eastAsia="en-GB"/>
        </w:rPr>
      </w:pPr>
    </w:p>
    <w:p w14:paraId="4B261CA2" w14:textId="3BC7BF6D" w:rsidR="00C5023E" w:rsidRPr="00C5023E" w:rsidRDefault="00F671CC" w:rsidP="00C5023E">
      <w:pPr>
        <w:pStyle w:val="ListParagraph"/>
        <w:spacing w:line="259" w:lineRule="auto"/>
        <w:ind w:left="426"/>
        <w:jc w:val="both"/>
        <w:rPr>
          <w:b/>
          <w:bCs/>
          <w:sz w:val="24"/>
          <w:szCs w:val="24"/>
          <w:lang w:eastAsia="en-GB"/>
        </w:rPr>
      </w:pPr>
      <w:r>
        <w:rPr>
          <w:b/>
          <w:bCs/>
          <w:sz w:val="24"/>
          <w:szCs w:val="24"/>
          <w:lang w:eastAsia="en-GB"/>
        </w:rPr>
        <w:t>“</w:t>
      </w:r>
      <w:r w:rsidR="00C5023E" w:rsidRPr="00C5023E">
        <w:rPr>
          <w:b/>
          <w:bCs/>
          <w:sz w:val="24"/>
          <w:szCs w:val="24"/>
          <w:lang w:eastAsia="en-GB"/>
        </w:rPr>
        <w:t xml:space="preserve">In the field of </w:t>
      </w:r>
      <w:r w:rsidR="00907CFA" w:rsidRPr="00C5023E">
        <w:rPr>
          <w:b/>
          <w:bCs/>
          <w:sz w:val="24"/>
          <w:szCs w:val="24"/>
          <w:lang w:eastAsia="en-GB"/>
        </w:rPr>
        <w:t>healthcare,</w:t>
      </w:r>
      <w:r w:rsidR="00C5023E" w:rsidRPr="00C5023E">
        <w:rPr>
          <w:b/>
          <w:bCs/>
          <w:sz w:val="24"/>
          <w:szCs w:val="24"/>
          <w:lang w:eastAsia="en-GB"/>
        </w:rPr>
        <w:t xml:space="preserve"> we call on governments, doctors associations, health insurances and other decision and policy makers working in the area of healthcare, to</w:t>
      </w:r>
    </w:p>
    <w:p w14:paraId="10255755" w14:textId="77777777" w:rsidR="00C5023E" w:rsidRPr="00C5023E" w:rsidRDefault="00C5023E" w:rsidP="00C5023E">
      <w:pPr>
        <w:pStyle w:val="ListParagraph"/>
        <w:numPr>
          <w:ilvl w:val="0"/>
          <w:numId w:val="7"/>
        </w:numPr>
        <w:spacing w:line="259" w:lineRule="auto"/>
        <w:jc w:val="both"/>
        <w:rPr>
          <w:sz w:val="24"/>
          <w:szCs w:val="24"/>
          <w:lang w:eastAsia="en-GB"/>
        </w:rPr>
      </w:pPr>
      <w:r w:rsidRPr="00C5023E">
        <w:rPr>
          <w:sz w:val="24"/>
          <w:szCs w:val="24"/>
          <w:lang w:eastAsia="en-GB"/>
        </w:rPr>
        <w:t>Ensure intersex people’s full access to medical records.</w:t>
      </w:r>
    </w:p>
    <w:p w14:paraId="0394219D" w14:textId="77777777" w:rsidR="00C5023E" w:rsidRPr="00C5023E" w:rsidRDefault="00C5023E" w:rsidP="00C5023E">
      <w:pPr>
        <w:pStyle w:val="ListParagraph"/>
        <w:numPr>
          <w:ilvl w:val="0"/>
          <w:numId w:val="7"/>
        </w:numPr>
        <w:spacing w:line="259" w:lineRule="auto"/>
        <w:jc w:val="both"/>
        <w:rPr>
          <w:sz w:val="24"/>
          <w:szCs w:val="24"/>
          <w:lang w:eastAsia="en-GB"/>
        </w:rPr>
      </w:pPr>
      <w:r w:rsidRPr="00C5023E">
        <w:rPr>
          <w:sz w:val="24"/>
          <w:szCs w:val="24"/>
          <w:lang w:eastAsia="en-GB"/>
        </w:rPr>
        <w:t>Educate all healthcare professionals and providers about respectful behaviour towards intersex people and ensuring their privacy.</w:t>
      </w:r>
    </w:p>
    <w:p w14:paraId="64DA2D52" w14:textId="77777777" w:rsidR="00C5023E" w:rsidRPr="00C5023E" w:rsidRDefault="00C5023E" w:rsidP="00C5023E">
      <w:pPr>
        <w:pStyle w:val="ListParagraph"/>
        <w:numPr>
          <w:ilvl w:val="0"/>
          <w:numId w:val="7"/>
        </w:numPr>
        <w:spacing w:line="259" w:lineRule="auto"/>
        <w:jc w:val="both"/>
        <w:rPr>
          <w:sz w:val="24"/>
          <w:szCs w:val="24"/>
          <w:lang w:eastAsia="en-GB"/>
        </w:rPr>
      </w:pPr>
      <w:r w:rsidRPr="00C5023E">
        <w:rPr>
          <w:sz w:val="24"/>
          <w:szCs w:val="24"/>
          <w:lang w:eastAsia="en-GB"/>
        </w:rPr>
        <w:t>Cover all health-related needs of intersex people, including those that were created by previous medical and psychological interventions.</w:t>
      </w:r>
    </w:p>
    <w:p w14:paraId="21097FDA" w14:textId="77777777" w:rsidR="00C5023E" w:rsidRPr="00C5023E" w:rsidRDefault="00C5023E" w:rsidP="00C5023E">
      <w:pPr>
        <w:pStyle w:val="ListParagraph"/>
        <w:spacing w:line="259" w:lineRule="auto"/>
        <w:ind w:left="426"/>
        <w:jc w:val="both"/>
        <w:rPr>
          <w:b/>
          <w:bCs/>
          <w:sz w:val="24"/>
          <w:szCs w:val="24"/>
          <w:lang w:eastAsia="en-GB"/>
        </w:rPr>
      </w:pPr>
      <w:r w:rsidRPr="00C5023E">
        <w:rPr>
          <w:b/>
          <w:bCs/>
          <w:sz w:val="24"/>
          <w:szCs w:val="24"/>
          <w:lang w:eastAsia="en-GB"/>
        </w:rPr>
        <w:t>In regards to support for intersex people and their families, we call on governments to</w:t>
      </w:r>
    </w:p>
    <w:p w14:paraId="047A989A" w14:textId="77777777" w:rsidR="00C5023E" w:rsidRPr="00C5023E" w:rsidRDefault="00C5023E" w:rsidP="00C5023E">
      <w:pPr>
        <w:pStyle w:val="ListParagraph"/>
        <w:numPr>
          <w:ilvl w:val="0"/>
          <w:numId w:val="8"/>
        </w:numPr>
        <w:spacing w:line="259" w:lineRule="auto"/>
        <w:jc w:val="both"/>
        <w:rPr>
          <w:sz w:val="24"/>
          <w:szCs w:val="24"/>
          <w:lang w:eastAsia="en-GB"/>
        </w:rPr>
      </w:pPr>
      <w:r w:rsidRPr="00C5023E">
        <w:rPr>
          <w:sz w:val="24"/>
          <w:szCs w:val="24"/>
          <w:lang w:eastAsia="en-GB"/>
        </w:rPr>
        <w:t>Ensure that peer counselling, which approaches intersex issues in a depathologizing and human rights affirming manner, led by intersex adults is easily available for parents, families, intersex children and intersex adults.</w:t>
      </w:r>
    </w:p>
    <w:p w14:paraId="6E3D0D94" w14:textId="3AA093B7" w:rsidR="00C5023E" w:rsidRPr="00C5023E" w:rsidRDefault="00C5023E" w:rsidP="00C5023E">
      <w:pPr>
        <w:pStyle w:val="ListParagraph"/>
        <w:numPr>
          <w:ilvl w:val="0"/>
          <w:numId w:val="8"/>
        </w:numPr>
        <w:spacing w:line="259" w:lineRule="auto"/>
        <w:jc w:val="both"/>
        <w:rPr>
          <w:sz w:val="24"/>
          <w:szCs w:val="24"/>
          <w:lang w:eastAsia="en-GB"/>
        </w:rPr>
      </w:pPr>
      <w:r w:rsidRPr="00C5023E">
        <w:rPr>
          <w:sz w:val="24"/>
          <w:szCs w:val="24"/>
          <w:lang w:eastAsia="en-GB"/>
        </w:rPr>
        <w:t>Ensure that professional counselling services that approach intersex issues in a depathologizing and human rights affirming manner are easily available for parents, families, intersex children and intersex adults</w:t>
      </w:r>
      <w:r w:rsidR="00F671CC">
        <w:rPr>
          <w:sz w:val="24"/>
          <w:szCs w:val="24"/>
          <w:lang w:eastAsia="en-GB"/>
        </w:rPr>
        <w:t>”</w:t>
      </w:r>
      <w:r w:rsidRPr="00C5023E">
        <w:rPr>
          <w:sz w:val="24"/>
          <w:szCs w:val="24"/>
          <w:lang w:eastAsia="en-GB"/>
        </w:rPr>
        <w:t>.</w:t>
      </w:r>
    </w:p>
    <w:p w14:paraId="4700C8CB" w14:textId="3D4FA7A0" w:rsidR="00C5023E" w:rsidRDefault="00C5023E" w:rsidP="00C5023E">
      <w:pPr>
        <w:pStyle w:val="ListParagraph"/>
        <w:spacing w:line="259" w:lineRule="auto"/>
        <w:ind w:left="426"/>
        <w:jc w:val="both"/>
        <w:rPr>
          <w:b/>
          <w:bCs/>
          <w:sz w:val="24"/>
          <w:szCs w:val="24"/>
          <w:lang w:eastAsia="en-GB"/>
        </w:rPr>
      </w:pPr>
    </w:p>
    <w:p w14:paraId="33DE7E4A" w14:textId="3178CA29" w:rsidR="00F671CC" w:rsidRPr="00F671CC" w:rsidRDefault="00F671CC" w:rsidP="00C5023E">
      <w:pPr>
        <w:pStyle w:val="ListParagraph"/>
        <w:spacing w:line="259" w:lineRule="auto"/>
        <w:ind w:left="426"/>
        <w:jc w:val="both"/>
        <w:rPr>
          <w:sz w:val="24"/>
          <w:szCs w:val="24"/>
          <w:lang w:eastAsia="en-GB"/>
        </w:rPr>
      </w:pPr>
      <w:r w:rsidRPr="00F671CC">
        <w:rPr>
          <w:sz w:val="24"/>
          <w:szCs w:val="24"/>
          <w:lang w:eastAsia="en-GB"/>
        </w:rPr>
        <w:t>Clearly</w:t>
      </w:r>
      <w:r>
        <w:rPr>
          <w:sz w:val="24"/>
          <w:szCs w:val="24"/>
          <w:lang w:eastAsia="en-GB"/>
        </w:rPr>
        <w:t xml:space="preserve">, self-identified needs of the community are </w:t>
      </w:r>
      <w:r w:rsidR="00D456B9">
        <w:rPr>
          <w:sz w:val="24"/>
          <w:szCs w:val="24"/>
          <w:lang w:eastAsia="en-GB"/>
        </w:rPr>
        <w:t xml:space="preserve">still </w:t>
      </w:r>
      <w:r>
        <w:rPr>
          <w:sz w:val="24"/>
          <w:szCs w:val="24"/>
          <w:lang w:eastAsia="en-GB"/>
        </w:rPr>
        <w:t xml:space="preserve">not acknowledged </w:t>
      </w:r>
      <w:r w:rsidR="00D456B9">
        <w:rPr>
          <w:sz w:val="24"/>
          <w:szCs w:val="24"/>
          <w:lang w:eastAsia="en-GB"/>
        </w:rPr>
        <w:t xml:space="preserve">widely </w:t>
      </w:r>
      <w:r>
        <w:rPr>
          <w:sz w:val="24"/>
          <w:szCs w:val="24"/>
          <w:lang w:eastAsia="en-GB"/>
        </w:rPr>
        <w:t xml:space="preserve">by the State authorities of the region, and </w:t>
      </w:r>
      <w:r w:rsidR="00D456B9">
        <w:rPr>
          <w:sz w:val="24"/>
          <w:szCs w:val="24"/>
          <w:lang w:eastAsia="en-GB"/>
        </w:rPr>
        <w:t>although knowledge about those needs has increased on European level and with CoE Member States and regional bodies as well as some national governments have started to respond to those needs (e.g, with. the EU LGBTIQ Equality strategy, national action plans etc.), overall responses</w:t>
      </w:r>
      <w:r>
        <w:rPr>
          <w:sz w:val="24"/>
          <w:szCs w:val="24"/>
          <w:lang w:eastAsia="en-GB"/>
        </w:rPr>
        <w:t xml:space="preserve"> to these needs are </w:t>
      </w:r>
      <w:r w:rsidR="00D456B9">
        <w:rPr>
          <w:sz w:val="24"/>
          <w:szCs w:val="24"/>
          <w:lang w:eastAsia="en-GB"/>
        </w:rPr>
        <w:t>still not sufficient</w:t>
      </w:r>
      <w:r>
        <w:rPr>
          <w:sz w:val="24"/>
          <w:szCs w:val="24"/>
          <w:lang w:eastAsia="en-GB"/>
        </w:rPr>
        <w:t xml:space="preserve"> (see above the answer to question 5). </w:t>
      </w:r>
    </w:p>
    <w:p w14:paraId="769E9B39" w14:textId="2D99DDA5" w:rsidR="00C5023E" w:rsidRPr="00C5023E" w:rsidRDefault="00C5023E" w:rsidP="00C5023E">
      <w:pPr>
        <w:pStyle w:val="ListParagraph"/>
        <w:spacing w:line="259" w:lineRule="auto"/>
        <w:ind w:left="426"/>
        <w:jc w:val="both"/>
        <w:rPr>
          <w:sz w:val="24"/>
          <w:szCs w:val="24"/>
          <w:lang w:eastAsia="en-GB"/>
        </w:rPr>
      </w:pPr>
    </w:p>
    <w:p w14:paraId="6967E735" w14:textId="77777777" w:rsidR="009F00AF" w:rsidRPr="0096645F" w:rsidRDefault="009F00AF" w:rsidP="009F00AF">
      <w:pPr>
        <w:pStyle w:val="ListParagraph"/>
        <w:numPr>
          <w:ilvl w:val="0"/>
          <w:numId w:val="1"/>
        </w:numPr>
        <w:shd w:val="clear" w:color="auto" w:fill="FFFFFF"/>
        <w:spacing w:line="259" w:lineRule="auto"/>
        <w:jc w:val="both"/>
        <w:outlineLvl w:val="2"/>
        <w:rPr>
          <w:color w:val="000000"/>
          <w:sz w:val="24"/>
          <w:szCs w:val="24"/>
          <w:lang w:eastAsia="en-GB"/>
        </w:rPr>
      </w:pPr>
      <w:r w:rsidRPr="00D90F79">
        <w:rPr>
          <w:color w:val="1F4E79" w:themeColor="accent1" w:themeShade="80"/>
          <w:sz w:val="24"/>
          <w:szCs w:val="24"/>
          <w:lang w:eastAsia="en-GB"/>
        </w:rPr>
        <w:t>Please share examples of good practices and examples of comprehensive health responses to survivors of violence and indicate efficient multi-sectorial efforts at the community, national, regional and international levels by State or non-State actors</w:t>
      </w:r>
      <w:r w:rsidRPr="0096645F">
        <w:rPr>
          <w:color w:val="000000"/>
          <w:sz w:val="24"/>
          <w:szCs w:val="24"/>
          <w:lang w:eastAsia="en-GB"/>
        </w:rPr>
        <w:t>.</w:t>
      </w:r>
    </w:p>
    <w:p w14:paraId="521DD856" w14:textId="236352CE" w:rsidR="009F00AF" w:rsidRDefault="009F00AF" w:rsidP="00710C03">
      <w:pPr>
        <w:pStyle w:val="ListParagraph"/>
        <w:spacing w:line="259" w:lineRule="auto"/>
        <w:ind w:left="426"/>
        <w:jc w:val="both"/>
        <w:rPr>
          <w:color w:val="000000"/>
          <w:sz w:val="24"/>
          <w:szCs w:val="24"/>
          <w:lang w:eastAsia="en-GB"/>
        </w:rPr>
      </w:pPr>
    </w:p>
    <w:p w14:paraId="346C7B55" w14:textId="05BAA453" w:rsidR="00710C03" w:rsidRPr="00156416" w:rsidRDefault="00710C03" w:rsidP="00710C03">
      <w:pPr>
        <w:pStyle w:val="ListParagraph"/>
        <w:spacing w:line="259" w:lineRule="auto"/>
        <w:ind w:left="426"/>
        <w:jc w:val="both"/>
        <w:rPr>
          <w:color w:val="000000"/>
          <w:sz w:val="24"/>
          <w:szCs w:val="24"/>
          <w:lang w:eastAsia="en-GB"/>
        </w:rPr>
      </w:pPr>
      <w:r w:rsidRPr="00156416">
        <w:rPr>
          <w:color w:val="000000"/>
          <w:sz w:val="24"/>
          <w:szCs w:val="24"/>
          <w:lang w:eastAsia="en-GB"/>
        </w:rPr>
        <w:t xml:space="preserve">Examples of State or State-supported practices that effectively address the needs of intersex survivors of violence are </w:t>
      </w:r>
      <w:r w:rsidR="006B051F">
        <w:rPr>
          <w:color w:val="000000"/>
          <w:sz w:val="24"/>
          <w:szCs w:val="24"/>
          <w:lang w:eastAsia="en-GB"/>
        </w:rPr>
        <w:t xml:space="preserve">still </w:t>
      </w:r>
      <w:r w:rsidRPr="00156416">
        <w:rPr>
          <w:color w:val="000000"/>
          <w:sz w:val="24"/>
          <w:szCs w:val="24"/>
          <w:lang w:eastAsia="en-GB"/>
        </w:rPr>
        <w:t>very limited.</w:t>
      </w:r>
    </w:p>
    <w:p w14:paraId="2B4D06B8" w14:textId="45078015" w:rsidR="00710C03" w:rsidRPr="00156416" w:rsidRDefault="00710C03" w:rsidP="00710C03">
      <w:pPr>
        <w:pStyle w:val="ListParagraph"/>
        <w:spacing w:line="259" w:lineRule="auto"/>
        <w:ind w:left="426"/>
        <w:jc w:val="both"/>
        <w:rPr>
          <w:color w:val="000000"/>
          <w:sz w:val="24"/>
          <w:szCs w:val="24"/>
          <w:lang w:eastAsia="en-GB"/>
        </w:rPr>
      </w:pPr>
    </w:p>
    <w:p w14:paraId="4ED1500A" w14:textId="77777777" w:rsidR="00156416" w:rsidRPr="00156416" w:rsidRDefault="00156416" w:rsidP="00710C03">
      <w:pPr>
        <w:pStyle w:val="ListParagraph"/>
        <w:spacing w:line="259" w:lineRule="auto"/>
        <w:ind w:left="426"/>
        <w:jc w:val="both"/>
        <w:rPr>
          <w:color w:val="000000"/>
          <w:sz w:val="24"/>
          <w:szCs w:val="24"/>
          <w:lang w:eastAsia="en-GB"/>
        </w:rPr>
      </w:pPr>
      <w:r w:rsidRPr="00156416">
        <w:rPr>
          <w:color w:val="000000"/>
          <w:sz w:val="24"/>
          <w:szCs w:val="24"/>
          <w:lang w:eastAsia="en-GB"/>
        </w:rPr>
        <w:t>In regard to good practice examples from non-State actors, we point out the project VARGES, in the field of peer-counselling.</w:t>
      </w:r>
    </w:p>
    <w:p w14:paraId="2A1E6233" w14:textId="77777777" w:rsidR="00156416" w:rsidRPr="00156416" w:rsidRDefault="00156416" w:rsidP="00710C03">
      <w:pPr>
        <w:pStyle w:val="ListParagraph"/>
        <w:spacing w:line="259" w:lineRule="auto"/>
        <w:ind w:left="426"/>
        <w:jc w:val="both"/>
        <w:rPr>
          <w:color w:val="000000"/>
          <w:sz w:val="24"/>
          <w:szCs w:val="24"/>
          <w:lang w:eastAsia="en-GB"/>
        </w:rPr>
      </w:pPr>
    </w:p>
    <w:p w14:paraId="56A4AE03" w14:textId="36D1F094" w:rsidR="00156416" w:rsidRDefault="00156416" w:rsidP="00156416">
      <w:pPr>
        <w:pStyle w:val="ListParagraph"/>
        <w:spacing w:line="259" w:lineRule="auto"/>
        <w:ind w:left="426"/>
        <w:jc w:val="both"/>
        <w:rPr>
          <w:color w:val="000000"/>
          <w:sz w:val="24"/>
          <w:szCs w:val="24"/>
          <w:lang w:eastAsia="en-GB"/>
        </w:rPr>
      </w:pPr>
      <w:r w:rsidRPr="00156416">
        <w:rPr>
          <w:color w:val="000000"/>
          <w:sz w:val="24"/>
          <w:lang w:eastAsia="en-GB"/>
        </w:rPr>
        <w:t>VARGES is a project of the intersex-led organisation </w:t>
      </w:r>
      <w:r w:rsidRPr="00156416">
        <w:rPr>
          <w:i/>
          <w:iCs/>
          <w:color w:val="000000"/>
          <w:sz w:val="24"/>
          <w:lang w:eastAsia="en-GB"/>
        </w:rPr>
        <w:t>VIMÖ/OII Austria</w:t>
      </w:r>
      <w:r w:rsidRPr="00156416">
        <w:rPr>
          <w:color w:val="000000"/>
          <w:sz w:val="24"/>
          <w:lang w:eastAsia="en-GB"/>
        </w:rPr>
        <w:t>, providing services of education about sex and gender diversity and peer counselling in cooperation with the private funder </w:t>
      </w:r>
      <w:r w:rsidRPr="00156416">
        <w:rPr>
          <w:i/>
          <w:iCs/>
          <w:color w:val="000000"/>
          <w:sz w:val="24"/>
          <w:lang w:eastAsia="en-GB"/>
        </w:rPr>
        <w:t>HIL Foundation</w:t>
      </w:r>
      <w:r w:rsidRPr="00156416">
        <w:rPr>
          <w:color w:val="000000"/>
          <w:sz w:val="24"/>
          <w:lang w:eastAsia="en-GB"/>
        </w:rPr>
        <w:t xml:space="preserve">, with a part-time position to set up and coordinate the whole project. </w:t>
      </w:r>
      <w:r w:rsidRPr="00156416">
        <w:rPr>
          <w:color w:val="000000"/>
          <w:sz w:val="24"/>
          <w:szCs w:val="24"/>
          <w:lang w:eastAsia="en-GB"/>
        </w:rPr>
        <w:t>The team of VARGES, along with other intersex people who joined the team, acquire a peer-counselling certificate, which has been funded by ÖKUSS (Austrian Social Insurance Company)</w:t>
      </w:r>
      <w:r w:rsidR="0028028E">
        <w:rPr>
          <w:rStyle w:val="FootnoteReference"/>
          <w:color w:val="000000"/>
          <w:sz w:val="24"/>
          <w:szCs w:val="24"/>
          <w:lang w:eastAsia="en-GB"/>
        </w:rPr>
        <w:footnoteReference w:id="50"/>
      </w:r>
      <w:r w:rsidRPr="00156416">
        <w:rPr>
          <w:color w:val="000000"/>
          <w:sz w:val="24"/>
          <w:szCs w:val="24"/>
          <w:lang w:eastAsia="en-GB"/>
        </w:rPr>
        <w:t>.</w:t>
      </w:r>
    </w:p>
    <w:p w14:paraId="089918FE" w14:textId="746081BE" w:rsidR="00156416" w:rsidRDefault="00156416" w:rsidP="00156416">
      <w:pPr>
        <w:pStyle w:val="ListParagraph"/>
        <w:spacing w:line="259" w:lineRule="auto"/>
        <w:ind w:left="426"/>
        <w:jc w:val="both"/>
        <w:rPr>
          <w:color w:val="000000"/>
          <w:sz w:val="24"/>
          <w:szCs w:val="24"/>
          <w:lang w:eastAsia="en-GB"/>
        </w:rPr>
      </w:pPr>
    </w:p>
    <w:p w14:paraId="3121F7E3" w14:textId="77777777" w:rsidR="0028028E" w:rsidRPr="0028028E" w:rsidRDefault="0028028E" w:rsidP="0028028E">
      <w:pPr>
        <w:pStyle w:val="ListParagraph"/>
        <w:spacing w:line="259" w:lineRule="auto"/>
        <w:ind w:left="426"/>
        <w:jc w:val="both"/>
        <w:rPr>
          <w:color w:val="000000"/>
          <w:sz w:val="24"/>
          <w:lang w:eastAsia="en-GB"/>
        </w:rPr>
      </w:pPr>
      <w:r w:rsidRPr="0028028E">
        <w:rPr>
          <w:color w:val="000000"/>
          <w:sz w:val="24"/>
          <w:lang w:eastAsia="en-GB"/>
        </w:rPr>
        <w:t>This good practice example highlights that:</w:t>
      </w:r>
    </w:p>
    <w:p w14:paraId="7F2F7EC7" w14:textId="77777777" w:rsidR="0028028E" w:rsidRPr="0028028E" w:rsidRDefault="0028028E" w:rsidP="0028028E">
      <w:pPr>
        <w:pStyle w:val="ListParagraph"/>
        <w:numPr>
          <w:ilvl w:val="0"/>
          <w:numId w:val="9"/>
        </w:numPr>
        <w:spacing w:line="259" w:lineRule="auto"/>
        <w:jc w:val="both"/>
        <w:rPr>
          <w:color w:val="000000"/>
          <w:sz w:val="24"/>
          <w:lang w:eastAsia="en-GB"/>
        </w:rPr>
      </w:pPr>
      <w:r w:rsidRPr="0028028E">
        <w:rPr>
          <w:color w:val="000000"/>
          <w:sz w:val="24"/>
          <w:lang w:eastAsia="en-GB"/>
        </w:rPr>
        <w:t>intersex-led human rights-based organisations provide high quality, professional services and deserve more financial support to make them sustainable,</w:t>
      </w:r>
    </w:p>
    <w:p w14:paraId="5C1F9BCA" w14:textId="5F11540A" w:rsidR="0028028E" w:rsidRPr="0028028E" w:rsidRDefault="0028028E" w:rsidP="0028028E">
      <w:pPr>
        <w:pStyle w:val="ListParagraph"/>
        <w:numPr>
          <w:ilvl w:val="0"/>
          <w:numId w:val="9"/>
        </w:numPr>
        <w:spacing w:line="259" w:lineRule="auto"/>
        <w:jc w:val="both"/>
        <w:rPr>
          <w:color w:val="000000"/>
          <w:sz w:val="24"/>
          <w:lang w:eastAsia="en-GB"/>
        </w:rPr>
      </w:pPr>
      <w:r w:rsidRPr="0028028E">
        <w:rPr>
          <w:color w:val="000000"/>
          <w:sz w:val="24"/>
          <w:lang w:eastAsia="en-GB"/>
        </w:rPr>
        <w:t>peer-counselling is an essential service that draws from intersex people’s unique expertise and lived experience,</w:t>
      </w:r>
    </w:p>
    <w:p w14:paraId="43A88C31" w14:textId="3583E81C" w:rsidR="0028028E" w:rsidRPr="0028028E" w:rsidRDefault="0028028E" w:rsidP="0028028E">
      <w:pPr>
        <w:pStyle w:val="ListParagraph"/>
        <w:numPr>
          <w:ilvl w:val="0"/>
          <w:numId w:val="9"/>
        </w:numPr>
        <w:spacing w:line="259" w:lineRule="auto"/>
        <w:jc w:val="both"/>
        <w:rPr>
          <w:color w:val="000000"/>
          <w:sz w:val="24"/>
          <w:lang w:eastAsia="en-GB"/>
        </w:rPr>
      </w:pPr>
      <w:r w:rsidRPr="0028028E">
        <w:rPr>
          <w:color w:val="000000"/>
          <w:sz w:val="24"/>
          <w:lang w:eastAsia="en-GB"/>
        </w:rPr>
        <w:t>intersex-led human rights-based organisations need direct funding (both from the private and the public sector) and paid staff</w:t>
      </w:r>
      <w:r>
        <w:rPr>
          <w:rStyle w:val="FootnoteReference"/>
          <w:color w:val="000000"/>
          <w:sz w:val="24"/>
          <w:lang w:eastAsia="en-GB"/>
        </w:rPr>
        <w:footnoteReference w:id="51"/>
      </w:r>
      <w:r w:rsidRPr="0028028E">
        <w:rPr>
          <w:color w:val="000000"/>
          <w:sz w:val="24"/>
          <w:lang w:eastAsia="en-GB"/>
        </w:rPr>
        <w:t>.</w:t>
      </w:r>
    </w:p>
    <w:p w14:paraId="355E3C14" w14:textId="77777777" w:rsidR="00156416" w:rsidRPr="00156416" w:rsidRDefault="00156416" w:rsidP="00156416">
      <w:pPr>
        <w:pStyle w:val="ListParagraph"/>
        <w:spacing w:line="259" w:lineRule="auto"/>
        <w:ind w:left="426"/>
        <w:jc w:val="both"/>
        <w:rPr>
          <w:color w:val="000000"/>
          <w:sz w:val="24"/>
          <w:lang w:eastAsia="en-GB"/>
        </w:rPr>
      </w:pPr>
    </w:p>
    <w:p w14:paraId="4BC98B28" w14:textId="06B47B71" w:rsidR="00710C03" w:rsidRPr="00156416" w:rsidRDefault="00710C03" w:rsidP="00710C03">
      <w:pPr>
        <w:pStyle w:val="ListParagraph"/>
        <w:spacing w:line="259" w:lineRule="auto"/>
        <w:ind w:left="426"/>
        <w:jc w:val="both"/>
        <w:rPr>
          <w:color w:val="000000"/>
          <w:sz w:val="24"/>
          <w:szCs w:val="24"/>
          <w:lang w:eastAsia="en-GB"/>
        </w:rPr>
      </w:pPr>
    </w:p>
    <w:p w14:paraId="5E012D4A" w14:textId="0B2D5B37" w:rsidR="009F00AF" w:rsidRPr="007C47FA" w:rsidRDefault="009F00AF" w:rsidP="009F00AF">
      <w:pPr>
        <w:pStyle w:val="ListParagraph"/>
        <w:numPr>
          <w:ilvl w:val="0"/>
          <w:numId w:val="1"/>
        </w:numPr>
        <w:shd w:val="clear" w:color="auto" w:fill="FFFFFF"/>
        <w:spacing w:line="259" w:lineRule="auto"/>
        <w:jc w:val="both"/>
        <w:outlineLvl w:val="2"/>
        <w:rPr>
          <w:sz w:val="24"/>
          <w:szCs w:val="24"/>
          <w:shd w:val="clear" w:color="auto" w:fill="FFFFFF"/>
        </w:rPr>
      </w:pPr>
      <w:r w:rsidRPr="00D90F79">
        <w:rPr>
          <w:color w:val="1F4E79" w:themeColor="accent1" w:themeShade="80"/>
          <w:sz w:val="24"/>
          <w:szCs w:val="24"/>
          <w:lang w:eastAsia="en-GB"/>
        </w:rPr>
        <w:t>Please describe State and other actors</w:t>
      </w:r>
      <w:r w:rsidR="00AF4A22">
        <w:rPr>
          <w:color w:val="1F4E79" w:themeColor="accent1" w:themeShade="80"/>
          <w:sz w:val="24"/>
          <w:szCs w:val="24"/>
          <w:lang w:eastAsia="en-GB"/>
        </w:rPr>
        <w:t>’</w:t>
      </w:r>
      <w:r w:rsidRPr="00D90F79">
        <w:rPr>
          <w:color w:val="1F4E79" w:themeColor="accent1" w:themeShade="80"/>
          <w:sz w:val="24"/>
          <w:szCs w:val="24"/>
          <w:lang w:eastAsia="en-GB"/>
        </w:rPr>
        <w:t xml:space="preserve"> initiatives and measures to prevent these forms of violence, specific budget allocated to prevention, and good practices in this regard</w:t>
      </w:r>
      <w:r w:rsidRPr="0096645F">
        <w:rPr>
          <w:color w:val="000000"/>
          <w:sz w:val="24"/>
          <w:szCs w:val="24"/>
          <w:lang w:eastAsia="en-GB"/>
        </w:rPr>
        <w:t>.</w:t>
      </w:r>
    </w:p>
    <w:p w14:paraId="6E3345C0" w14:textId="6667E287" w:rsidR="009F00AF" w:rsidRDefault="009F00AF" w:rsidP="009F00AF">
      <w:pPr>
        <w:pStyle w:val="ListParagraph"/>
        <w:shd w:val="clear" w:color="auto" w:fill="FFFFFF"/>
        <w:spacing w:line="259" w:lineRule="auto"/>
        <w:ind w:left="360"/>
        <w:jc w:val="both"/>
        <w:outlineLvl w:val="2"/>
        <w:rPr>
          <w:sz w:val="24"/>
          <w:szCs w:val="24"/>
          <w:shd w:val="clear" w:color="auto" w:fill="FFFFFF"/>
        </w:rPr>
      </w:pPr>
    </w:p>
    <w:p w14:paraId="26BA95EA" w14:textId="77777777" w:rsidR="00176EE5" w:rsidRDefault="00870F4E" w:rsidP="009F00AF">
      <w:pPr>
        <w:pStyle w:val="ListParagraph"/>
        <w:shd w:val="clear" w:color="auto" w:fill="FFFFFF"/>
        <w:spacing w:line="259" w:lineRule="auto"/>
        <w:ind w:left="360"/>
        <w:jc w:val="both"/>
        <w:outlineLvl w:val="2"/>
        <w:rPr>
          <w:sz w:val="24"/>
          <w:szCs w:val="24"/>
          <w:shd w:val="clear" w:color="auto" w:fill="FFFFFF"/>
        </w:rPr>
      </w:pPr>
      <w:r>
        <w:rPr>
          <w:sz w:val="24"/>
          <w:szCs w:val="24"/>
          <w:shd w:val="clear" w:color="auto" w:fill="FFFFFF"/>
        </w:rPr>
        <w:t xml:space="preserve">Among other actions, a decisive move towards ending structural and institutional violence would be introducing a </w:t>
      </w:r>
      <w:r w:rsidR="00805DE9">
        <w:rPr>
          <w:sz w:val="24"/>
          <w:szCs w:val="24"/>
          <w:shd w:val="clear" w:color="auto" w:fill="FFFFFF"/>
        </w:rPr>
        <w:t>law to prohibit</w:t>
      </w:r>
      <w:r>
        <w:rPr>
          <w:sz w:val="24"/>
          <w:szCs w:val="24"/>
          <w:shd w:val="clear" w:color="auto" w:fill="FFFFFF"/>
        </w:rPr>
        <w:t xml:space="preserve"> </w:t>
      </w:r>
      <w:r w:rsidR="00C359D8">
        <w:rPr>
          <w:sz w:val="24"/>
          <w:szCs w:val="24"/>
          <w:shd w:val="clear" w:color="auto" w:fill="FFFFFF"/>
        </w:rPr>
        <w:t xml:space="preserve">non-vital surgical and medical interventions/treatments </w:t>
      </w:r>
      <w:r w:rsidR="00805DE9">
        <w:rPr>
          <w:sz w:val="24"/>
          <w:szCs w:val="24"/>
          <w:shd w:val="clear" w:color="auto" w:fill="FFFFFF"/>
        </w:rPr>
        <w:t>aimed at altering</w:t>
      </w:r>
      <w:r w:rsidR="00C359D8">
        <w:rPr>
          <w:sz w:val="24"/>
          <w:szCs w:val="24"/>
          <w:shd w:val="clear" w:color="auto" w:fill="FFFFFF"/>
        </w:rPr>
        <w:t xml:space="preserve"> the </w:t>
      </w:r>
      <w:r w:rsidR="00805DE9">
        <w:rPr>
          <w:sz w:val="24"/>
          <w:szCs w:val="24"/>
          <w:shd w:val="clear" w:color="auto" w:fill="FFFFFF"/>
        </w:rPr>
        <w:t xml:space="preserve">person’s </w:t>
      </w:r>
      <w:r w:rsidR="00C359D8">
        <w:rPr>
          <w:sz w:val="24"/>
          <w:szCs w:val="24"/>
          <w:shd w:val="clear" w:color="auto" w:fill="FFFFFF"/>
        </w:rPr>
        <w:t>sex characteristics</w:t>
      </w:r>
      <w:r w:rsidR="00805DE9">
        <w:rPr>
          <w:sz w:val="24"/>
          <w:szCs w:val="24"/>
          <w:shd w:val="clear" w:color="auto" w:fill="FFFFFF"/>
        </w:rPr>
        <w:t xml:space="preserve">, unless the mature intersex person has provided </w:t>
      </w:r>
      <w:r w:rsidR="00C359D8">
        <w:rPr>
          <w:sz w:val="24"/>
          <w:szCs w:val="24"/>
          <w:shd w:val="clear" w:color="auto" w:fill="FFFFFF"/>
        </w:rPr>
        <w:t xml:space="preserve">personal, prior, free and </w:t>
      </w:r>
      <w:r w:rsidR="00805DE9">
        <w:rPr>
          <w:sz w:val="24"/>
          <w:szCs w:val="24"/>
          <w:shd w:val="clear" w:color="auto" w:fill="FFFFFF"/>
        </w:rPr>
        <w:t>fully informed</w:t>
      </w:r>
      <w:r w:rsidR="00C359D8">
        <w:rPr>
          <w:sz w:val="24"/>
          <w:szCs w:val="24"/>
          <w:shd w:val="clear" w:color="auto" w:fill="FFFFFF"/>
        </w:rPr>
        <w:t xml:space="preserve"> consent</w:t>
      </w:r>
      <w:r w:rsidR="00805DE9">
        <w:rPr>
          <w:rStyle w:val="FootnoteReference"/>
          <w:sz w:val="24"/>
          <w:szCs w:val="24"/>
          <w:shd w:val="clear" w:color="auto" w:fill="FFFFFF"/>
        </w:rPr>
        <w:footnoteReference w:id="52"/>
      </w:r>
      <w:r w:rsidR="00C359D8">
        <w:rPr>
          <w:sz w:val="24"/>
          <w:szCs w:val="24"/>
          <w:shd w:val="clear" w:color="auto" w:fill="FFFFFF"/>
        </w:rPr>
        <w:t>.</w:t>
      </w:r>
    </w:p>
    <w:p w14:paraId="6667D3D6" w14:textId="77777777" w:rsidR="00176EE5" w:rsidRDefault="00176EE5" w:rsidP="009F00AF">
      <w:pPr>
        <w:pStyle w:val="ListParagraph"/>
        <w:shd w:val="clear" w:color="auto" w:fill="FFFFFF"/>
        <w:spacing w:line="259" w:lineRule="auto"/>
        <w:ind w:left="360"/>
        <w:jc w:val="both"/>
        <w:outlineLvl w:val="2"/>
        <w:rPr>
          <w:sz w:val="24"/>
          <w:szCs w:val="24"/>
          <w:shd w:val="clear" w:color="auto" w:fill="FFFFFF"/>
        </w:rPr>
      </w:pPr>
    </w:p>
    <w:p w14:paraId="52701883" w14:textId="4D32C1F1" w:rsidR="00BC2ECC" w:rsidRDefault="004E5F31" w:rsidP="009F00AF">
      <w:pPr>
        <w:pStyle w:val="ListParagraph"/>
        <w:shd w:val="clear" w:color="auto" w:fill="FFFFFF"/>
        <w:spacing w:line="259" w:lineRule="auto"/>
        <w:ind w:left="360"/>
        <w:jc w:val="both"/>
        <w:outlineLvl w:val="2"/>
        <w:rPr>
          <w:sz w:val="24"/>
          <w:szCs w:val="24"/>
          <w:shd w:val="clear" w:color="auto" w:fill="FFFFFF"/>
        </w:rPr>
      </w:pPr>
      <w:r>
        <w:rPr>
          <w:sz w:val="24"/>
          <w:szCs w:val="24"/>
          <w:shd w:val="clear" w:color="auto" w:fill="FFFFFF"/>
        </w:rPr>
        <w:t xml:space="preserve">However, a </w:t>
      </w:r>
      <w:r w:rsidR="00020E19">
        <w:rPr>
          <w:sz w:val="24"/>
          <w:szCs w:val="24"/>
          <w:shd w:val="clear" w:color="auto" w:fill="FFFFFF"/>
        </w:rPr>
        <w:t xml:space="preserve">comprehensive response </w:t>
      </w:r>
      <w:r>
        <w:rPr>
          <w:sz w:val="24"/>
          <w:szCs w:val="24"/>
          <w:shd w:val="clear" w:color="auto" w:fill="FFFFFF"/>
        </w:rPr>
        <w:t xml:space="preserve">needs to </w:t>
      </w:r>
      <w:r w:rsidR="00020E19">
        <w:rPr>
          <w:sz w:val="24"/>
          <w:szCs w:val="24"/>
          <w:shd w:val="clear" w:color="auto" w:fill="FFFFFF"/>
        </w:rPr>
        <w:t>address</w:t>
      </w:r>
      <w:r>
        <w:rPr>
          <w:sz w:val="24"/>
          <w:szCs w:val="24"/>
          <w:shd w:val="clear" w:color="auto" w:fill="FFFFFF"/>
        </w:rPr>
        <w:t xml:space="preserve"> </w:t>
      </w:r>
      <w:r w:rsidR="00020E19">
        <w:rPr>
          <w:sz w:val="24"/>
          <w:szCs w:val="24"/>
          <w:shd w:val="clear" w:color="auto" w:fill="FFFFFF"/>
        </w:rPr>
        <w:t>the multiple and interconnected needs of intersex people</w:t>
      </w:r>
      <w:r w:rsidR="00020E19">
        <w:rPr>
          <w:rStyle w:val="FootnoteReference"/>
          <w:sz w:val="24"/>
          <w:szCs w:val="24"/>
          <w:shd w:val="clear" w:color="auto" w:fill="FFFFFF"/>
        </w:rPr>
        <w:footnoteReference w:id="53"/>
      </w:r>
      <w:r w:rsidR="00020E19">
        <w:rPr>
          <w:sz w:val="24"/>
          <w:szCs w:val="24"/>
          <w:shd w:val="clear" w:color="auto" w:fill="FFFFFF"/>
        </w:rPr>
        <w:t>.</w:t>
      </w:r>
    </w:p>
    <w:p w14:paraId="6D9DA5DC" w14:textId="53F0CC6D" w:rsidR="009C79F3" w:rsidRDefault="009C79F3" w:rsidP="009F00AF">
      <w:pPr>
        <w:pStyle w:val="ListParagraph"/>
        <w:shd w:val="clear" w:color="auto" w:fill="FFFFFF"/>
        <w:spacing w:line="259" w:lineRule="auto"/>
        <w:ind w:left="360"/>
        <w:jc w:val="both"/>
        <w:outlineLvl w:val="2"/>
        <w:rPr>
          <w:sz w:val="24"/>
          <w:szCs w:val="24"/>
          <w:shd w:val="clear" w:color="auto" w:fill="FFFFFF"/>
        </w:rPr>
      </w:pPr>
    </w:p>
    <w:p w14:paraId="57DF53D4" w14:textId="08324F7A" w:rsidR="009C79F3" w:rsidRPr="00251040" w:rsidRDefault="009C79F3" w:rsidP="00251040">
      <w:pPr>
        <w:pStyle w:val="ListParagraph"/>
        <w:shd w:val="clear" w:color="auto" w:fill="FFFFFF"/>
        <w:spacing w:line="259" w:lineRule="auto"/>
        <w:ind w:left="360"/>
        <w:jc w:val="both"/>
        <w:outlineLvl w:val="2"/>
        <w:rPr>
          <w:sz w:val="24"/>
          <w:szCs w:val="24"/>
          <w:shd w:val="clear" w:color="auto" w:fill="FFFFFF"/>
        </w:rPr>
      </w:pPr>
      <w:r>
        <w:rPr>
          <w:sz w:val="24"/>
          <w:szCs w:val="24"/>
          <w:shd w:val="clear" w:color="auto" w:fill="FFFFFF"/>
        </w:rPr>
        <w:t xml:space="preserve">On EU level, the European Commission committed to </w:t>
      </w:r>
      <w:r w:rsidR="00251040">
        <w:rPr>
          <w:sz w:val="24"/>
          <w:szCs w:val="24"/>
          <w:shd w:val="clear" w:color="auto" w:fill="FFFFFF"/>
        </w:rPr>
        <w:t>“</w:t>
      </w:r>
      <w:r w:rsidR="00251040" w:rsidRPr="00251040">
        <w:rPr>
          <w:sz w:val="24"/>
          <w:szCs w:val="24"/>
          <w:shd w:val="clear" w:color="auto" w:fill="FFFFFF"/>
        </w:rPr>
        <w:t>support the exchange of good practices on ending non-vital surgery and medical</w:t>
      </w:r>
      <w:r w:rsidR="00251040">
        <w:rPr>
          <w:sz w:val="24"/>
          <w:szCs w:val="24"/>
          <w:shd w:val="clear" w:color="auto" w:fill="FFFFFF"/>
        </w:rPr>
        <w:t xml:space="preserve"> </w:t>
      </w:r>
      <w:r w:rsidR="00251040" w:rsidRPr="00251040">
        <w:rPr>
          <w:sz w:val="24"/>
          <w:szCs w:val="24"/>
          <w:shd w:val="clear" w:color="auto" w:fill="FFFFFF"/>
        </w:rPr>
        <w:t>intervention on intersex infants and adolescents to make them fit the typical definition of</w:t>
      </w:r>
      <w:r w:rsidR="00251040">
        <w:rPr>
          <w:sz w:val="24"/>
          <w:szCs w:val="24"/>
          <w:shd w:val="clear" w:color="auto" w:fill="FFFFFF"/>
        </w:rPr>
        <w:t xml:space="preserve"> </w:t>
      </w:r>
      <w:r w:rsidR="00251040" w:rsidRPr="00251040">
        <w:rPr>
          <w:sz w:val="24"/>
          <w:szCs w:val="24"/>
          <w:shd w:val="clear" w:color="auto" w:fill="FFFFFF"/>
        </w:rPr>
        <w:t>male or female without their or their parents’ fully informed consent (intersex genital</w:t>
      </w:r>
      <w:r w:rsidR="00251040">
        <w:rPr>
          <w:sz w:val="24"/>
          <w:szCs w:val="24"/>
          <w:shd w:val="clear" w:color="auto" w:fill="FFFFFF"/>
        </w:rPr>
        <w:t xml:space="preserve"> </w:t>
      </w:r>
      <w:r w:rsidR="00251040" w:rsidRPr="00251040">
        <w:rPr>
          <w:sz w:val="24"/>
          <w:szCs w:val="24"/>
          <w:shd w:val="clear" w:color="auto" w:fill="FFFFFF"/>
        </w:rPr>
        <w:t>mutilation)</w:t>
      </w:r>
      <w:r w:rsidR="00251040">
        <w:rPr>
          <w:sz w:val="24"/>
          <w:szCs w:val="24"/>
          <w:shd w:val="clear" w:color="auto" w:fill="FFFFFF"/>
        </w:rPr>
        <w:t>”</w:t>
      </w:r>
      <w:r w:rsidR="00251040">
        <w:rPr>
          <w:rStyle w:val="FootnoteReference"/>
          <w:sz w:val="24"/>
          <w:szCs w:val="24"/>
          <w:shd w:val="clear" w:color="auto" w:fill="FFFFFF"/>
        </w:rPr>
        <w:footnoteReference w:id="54"/>
      </w:r>
      <w:r w:rsidR="00251040" w:rsidRPr="00251040">
        <w:rPr>
          <w:sz w:val="24"/>
          <w:szCs w:val="24"/>
          <w:shd w:val="clear" w:color="auto" w:fill="FFFFFF"/>
        </w:rPr>
        <w:t>.</w:t>
      </w:r>
      <w:r w:rsidR="00251040">
        <w:rPr>
          <w:sz w:val="24"/>
          <w:szCs w:val="24"/>
          <w:shd w:val="clear" w:color="auto" w:fill="FFFFFF"/>
        </w:rPr>
        <w:t xml:space="preserve"> </w:t>
      </w:r>
    </w:p>
    <w:p w14:paraId="2B937863" w14:textId="77777777" w:rsidR="00BC2ECC" w:rsidRDefault="00BC2ECC" w:rsidP="009F00AF">
      <w:pPr>
        <w:pStyle w:val="ListParagraph"/>
        <w:shd w:val="clear" w:color="auto" w:fill="FFFFFF"/>
        <w:spacing w:line="259" w:lineRule="auto"/>
        <w:ind w:left="360"/>
        <w:jc w:val="both"/>
        <w:outlineLvl w:val="2"/>
        <w:rPr>
          <w:sz w:val="24"/>
          <w:szCs w:val="24"/>
          <w:shd w:val="clear" w:color="auto" w:fill="FFFFFF"/>
        </w:rPr>
      </w:pPr>
    </w:p>
    <w:p w14:paraId="199FD736" w14:textId="6A06755C" w:rsidR="00115205" w:rsidRDefault="00BC2ECC" w:rsidP="009F00AF">
      <w:pPr>
        <w:pStyle w:val="ListParagraph"/>
        <w:shd w:val="clear" w:color="auto" w:fill="FFFFFF"/>
        <w:spacing w:line="259" w:lineRule="auto"/>
        <w:ind w:left="360"/>
        <w:jc w:val="both"/>
        <w:outlineLvl w:val="2"/>
        <w:rPr>
          <w:sz w:val="24"/>
          <w:szCs w:val="24"/>
          <w:shd w:val="clear" w:color="auto" w:fill="FFFFFF"/>
        </w:rPr>
      </w:pPr>
      <w:r>
        <w:rPr>
          <w:sz w:val="24"/>
          <w:szCs w:val="24"/>
          <w:shd w:val="clear" w:color="auto" w:fill="FFFFFF"/>
        </w:rPr>
        <w:t>Beyond a ban on IGM, States can do a lot to counter the ongoing violence, discrimination and stigma against intersex people</w:t>
      </w:r>
      <w:r w:rsidR="004E5F31">
        <w:rPr>
          <w:sz w:val="24"/>
          <w:szCs w:val="24"/>
          <w:shd w:val="clear" w:color="auto" w:fill="FFFFFF"/>
        </w:rPr>
        <w:t>:</w:t>
      </w:r>
      <w:r w:rsidR="00D82443">
        <w:rPr>
          <w:rStyle w:val="FootnoteReference"/>
          <w:sz w:val="24"/>
          <w:szCs w:val="24"/>
          <w:shd w:val="clear" w:color="auto" w:fill="FFFFFF"/>
        </w:rPr>
        <w:footnoteReference w:id="55"/>
      </w:r>
      <w:r w:rsidR="00115205">
        <w:rPr>
          <w:sz w:val="24"/>
          <w:szCs w:val="24"/>
          <w:shd w:val="clear" w:color="auto" w:fill="FFFFFF"/>
        </w:rPr>
        <w:t>.</w:t>
      </w:r>
    </w:p>
    <w:p w14:paraId="25F9C496" w14:textId="79F770F3" w:rsidR="00D82443" w:rsidRDefault="00D82443" w:rsidP="009F00AF">
      <w:pPr>
        <w:pStyle w:val="ListParagraph"/>
        <w:shd w:val="clear" w:color="auto" w:fill="FFFFFF"/>
        <w:spacing w:line="259" w:lineRule="auto"/>
        <w:ind w:left="360"/>
        <w:jc w:val="both"/>
        <w:outlineLvl w:val="2"/>
        <w:rPr>
          <w:sz w:val="24"/>
          <w:szCs w:val="24"/>
          <w:shd w:val="clear" w:color="auto" w:fill="FFFFFF"/>
        </w:rPr>
      </w:pPr>
    </w:p>
    <w:p w14:paraId="24B51EE7" w14:textId="2B1C6EF3" w:rsidR="00D82443" w:rsidRPr="00D74518" w:rsidRDefault="00D74518" w:rsidP="009F00AF">
      <w:pPr>
        <w:pStyle w:val="ListParagraph"/>
        <w:shd w:val="clear" w:color="auto" w:fill="FFFFFF"/>
        <w:spacing w:line="259" w:lineRule="auto"/>
        <w:ind w:left="360"/>
        <w:jc w:val="both"/>
        <w:outlineLvl w:val="2"/>
        <w:rPr>
          <w:b/>
          <w:bCs/>
          <w:sz w:val="24"/>
          <w:szCs w:val="24"/>
          <w:shd w:val="clear" w:color="auto" w:fill="FFFFFF"/>
        </w:rPr>
      </w:pPr>
      <w:r w:rsidRPr="00D74518">
        <w:rPr>
          <w:b/>
          <w:bCs/>
          <w:sz w:val="24"/>
          <w:szCs w:val="24"/>
          <w:shd w:val="clear" w:color="auto" w:fill="FFFFFF"/>
        </w:rPr>
        <w:t>Campaigns</w:t>
      </w:r>
    </w:p>
    <w:p w14:paraId="14EF4F55" w14:textId="4DB36647" w:rsidR="00D74518" w:rsidRPr="00D74518" w:rsidRDefault="00D74518" w:rsidP="00D74518">
      <w:pPr>
        <w:pStyle w:val="ListParagraph"/>
        <w:numPr>
          <w:ilvl w:val="0"/>
          <w:numId w:val="12"/>
        </w:numPr>
        <w:spacing w:line="259" w:lineRule="auto"/>
        <w:jc w:val="both"/>
        <w:outlineLvl w:val="2"/>
        <w:rPr>
          <w:sz w:val="24"/>
          <w:szCs w:val="24"/>
          <w:shd w:val="clear" w:color="auto" w:fill="FFFFFF"/>
        </w:rPr>
      </w:pPr>
      <w:r w:rsidRPr="00D74518">
        <w:rPr>
          <w:sz w:val="24"/>
          <w:szCs w:val="24"/>
          <w:shd w:val="clear" w:color="auto" w:fill="FFFFFF"/>
        </w:rPr>
        <w:t>In 2020 in France, the interministerial delegation against racism, antisemitism and anti-LGBT+ hatred funded the campaign „Intersex: Justice, now!“ created by the national intersex-led organisation Collectif Intersexes et Allié.e.s-OII France.</w:t>
      </w:r>
      <w:r>
        <w:rPr>
          <w:sz w:val="24"/>
          <w:szCs w:val="24"/>
          <w:shd w:val="clear" w:color="auto" w:fill="FFFFFF"/>
        </w:rPr>
        <w:t xml:space="preserve"> </w:t>
      </w:r>
      <w:r w:rsidRPr="00D74518">
        <w:rPr>
          <w:sz w:val="24"/>
          <w:szCs w:val="24"/>
          <w:shd w:val="clear" w:color="auto" w:fill="FFFFFF"/>
        </w:rPr>
        <w:t>The campaign provides intersex people with information about their rights (especially regarding medical records), financially supports civil and penal complaints as well as psychological support. It has a dedicated website and new brochures and poster, and a training program for civil society organi</w:t>
      </w:r>
      <w:r w:rsidR="00254498">
        <w:rPr>
          <w:sz w:val="24"/>
          <w:szCs w:val="24"/>
          <w:shd w:val="clear" w:color="auto" w:fill="FFFFFF"/>
        </w:rPr>
        <w:t>s</w:t>
      </w:r>
      <w:r w:rsidRPr="00D74518">
        <w:rPr>
          <w:sz w:val="24"/>
          <w:szCs w:val="24"/>
          <w:shd w:val="clear" w:color="auto" w:fill="FFFFFF"/>
        </w:rPr>
        <w:t>ations to help spreading awareness and support intersex people locally.</w:t>
      </w:r>
    </w:p>
    <w:p w14:paraId="3BC32F0B" w14:textId="77777777" w:rsidR="00D74518" w:rsidRPr="00D74518" w:rsidRDefault="00D74518" w:rsidP="00D74518">
      <w:pPr>
        <w:pStyle w:val="ListParagraph"/>
        <w:numPr>
          <w:ilvl w:val="0"/>
          <w:numId w:val="12"/>
        </w:numPr>
        <w:spacing w:line="259" w:lineRule="auto"/>
        <w:jc w:val="both"/>
        <w:outlineLvl w:val="2"/>
        <w:rPr>
          <w:sz w:val="24"/>
          <w:szCs w:val="24"/>
          <w:shd w:val="clear" w:color="auto" w:fill="FFFFFF"/>
        </w:rPr>
      </w:pPr>
      <w:r w:rsidRPr="00D74518">
        <w:rPr>
          <w:sz w:val="24"/>
          <w:szCs w:val="24"/>
          <w:shd w:val="clear" w:color="auto" w:fill="FFFFFF"/>
        </w:rPr>
        <w:t>As a result of a long collaboration with the UN Free&amp;Equal Campaign, in November-December 2020, the UN OHCHR office in Serbia financially supported the intersex awareness raising campaign by the intersex-led organisation XY Spectrum. The campaign was held on social media and also included two online events.</w:t>
      </w:r>
    </w:p>
    <w:p w14:paraId="49F0978E" w14:textId="77777777" w:rsidR="00D74518" w:rsidRPr="00D74518" w:rsidRDefault="00D74518" w:rsidP="00D74518">
      <w:pPr>
        <w:pStyle w:val="ListParagraph"/>
        <w:spacing w:line="259" w:lineRule="auto"/>
        <w:ind w:left="360"/>
        <w:jc w:val="both"/>
        <w:outlineLvl w:val="2"/>
        <w:rPr>
          <w:sz w:val="24"/>
          <w:szCs w:val="24"/>
          <w:shd w:val="clear" w:color="auto" w:fill="FFFFFF"/>
        </w:rPr>
      </w:pPr>
      <w:r w:rsidRPr="00D74518">
        <w:rPr>
          <w:sz w:val="24"/>
          <w:szCs w:val="24"/>
          <w:shd w:val="clear" w:color="auto" w:fill="FFFFFF"/>
        </w:rPr>
        <w:t>These good practice examples highlight that:</w:t>
      </w:r>
    </w:p>
    <w:p w14:paraId="2DF30545" w14:textId="2A0BC44A" w:rsidR="00D74518" w:rsidRPr="00D74518" w:rsidRDefault="00D74518" w:rsidP="00D74518">
      <w:pPr>
        <w:pStyle w:val="ListParagraph"/>
        <w:numPr>
          <w:ilvl w:val="0"/>
          <w:numId w:val="10"/>
        </w:numPr>
        <w:spacing w:line="259" w:lineRule="auto"/>
        <w:jc w:val="both"/>
        <w:outlineLvl w:val="2"/>
        <w:rPr>
          <w:sz w:val="24"/>
          <w:szCs w:val="24"/>
          <w:shd w:val="clear" w:color="auto" w:fill="FFFFFF"/>
        </w:rPr>
      </w:pPr>
      <w:r w:rsidRPr="00D74518">
        <w:rPr>
          <w:sz w:val="24"/>
          <w:szCs w:val="24"/>
          <w:shd w:val="clear" w:color="auto" w:fill="FFFFFF"/>
        </w:rPr>
        <w:t xml:space="preserve">enabling intersex-led human rights-based organisations to take the lead on an awareness raising campaign allows for tailored and impactful activities and a </w:t>
      </w:r>
      <w:r w:rsidR="001365D5" w:rsidRPr="00D74518">
        <w:rPr>
          <w:sz w:val="24"/>
          <w:szCs w:val="24"/>
          <w:shd w:val="clear" w:color="auto" w:fill="FFFFFF"/>
        </w:rPr>
        <w:t>dissemination</w:t>
      </w:r>
      <w:r w:rsidRPr="00D74518">
        <w:rPr>
          <w:sz w:val="24"/>
          <w:szCs w:val="24"/>
          <w:shd w:val="clear" w:color="auto" w:fill="FFFFFF"/>
        </w:rPr>
        <w:t xml:space="preserve"> of accurate and meaningful information</w:t>
      </w:r>
    </w:p>
    <w:p w14:paraId="5F1DE402" w14:textId="7E5512FB" w:rsidR="00D74518" w:rsidRPr="00D74518" w:rsidRDefault="00D74518" w:rsidP="00D74518">
      <w:pPr>
        <w:pStyle w:val="ListParagraph"/>
        <w:numPr>
          <w:ilvl w:val="0"/>
          <w:numId w:val="10"/>
        </w:numPr>
        <w:spacing w:line="259" w:lineRule="auto"/>
        <w:jc w:val="both"/>
        <w:outlineLvl w:val="2"/>
        <w:rPr>
          <w:sz w:val="24"/>
          <w:szCs w:val="24"/>
          <w:shd w:val="clear" w:color="auto" w:fill="FFFFFF"/>
        </w:rPr>
      </w:pPr>
      <w:r w:rsidRPr="00D74518">
        <w:rPr>
          <w:sz w:val="24"/>
          <w:szCs w:val="24"/>
          <w:shd w:val="clear" w:color="auto" w:fill="FFFFFF"/>
        </w:rPr>
        <w:t>financial support is key to allow these organisations to use their expertise to the full extent </w:t>
      </w:r>
    </w:p>
    <w:p w14:paraId="18C1068F" w14:textId="77777777" w:rsidR="00D74518" w:rsidRPr="00D74518" w:rsidRDefault="00D74518" w:rsidP="00D74518">
      <w:pPr>
        <w:pStyle w:val="ListParagraph"/>
        <w:numPr>
          <w:ilvl w:val="0"/>
          <w:numId w:val="10"/>
        </w:numPr>
        <w:spacing w:line="259" w:lineRule="auto"/>
        <w:jc w:val="both"/>
        <w:outlineLvl w:val="2"/>
        <w:rPr>
          <w:sz w:val="24"/>
          <w:szCs w:val="24"/>
          <w:shd w:val="clear" w:color="auto" w:fill="FFFFFF"/>
        </w:rPr>
      </w:pPr>
      <w:r w:rsidRPr="00D74518">
        <w:rPr>
          <w:sz w:val="24"/>
          <w:szCs w:val="24"/>
          <w:shd w:val="clear" w:color="auto" w:fill="FFFFFF"/>
        </w:rPr>
        <w:t>public funding sends the message to society that intersex people and their rights are valued, increases social acceptance of intersex people and intersex organisations in society</w:t>
      </w:r>
    </w:p>
    <w:p w14:paraId="402549A8" w14:textId="652776BF" w:rsidR="00D74518" w:rsidRPr="00D74518" w:rsidRDefault="00D74518" w:rsidP="00D74518">
      <w:pPr>
        <w:pStyle w:val="ListParagraph"/>
        <w:numPr>
          <w:ilvl w:val="0"/>
          <w:numId w:val="10"/>
        </w:numPr>
        <w:spacing w:line="259" w:lineRule="auto"/>
        <w:jc w:val="both"/>
        <w:outlineLvl w:val="2"/>
        <w:rPr>
          <w:sz w:val="24"/>
          <w:szCs w:val="24"/>
          <w:shd w:val="clear" w:color="auto" w:fill="FFFFFF"/>
        </w:rPr>
      </w:pPr>
      <w:r w:rsidRPr="00D74518">
        <w:rPr>
          <w:sz w:val="24"/>
          <w:szCs w:val="24"/>
          <w:shd w:val="clear" w:color="auto" w:fill="FFFFFF"/>
        </w:rPr>
        <w:t>intersex-led human rights-based organisations provide a wide range of services, on a local and national level, which need and deserve to be financially supported</w:t>
      </w:r>
      <w:r w:rsidR="00D26C5F">
        <w:rPr>
          <w:rStyle w:val="FootnoteReference"/>
          <w:sz w:val="24"/>
          <w:szCs w:val="24"/>
          <w:shd w:val="clear" w:color="auto" w:fill="FFFFFF"/>
        </w:rPr>
        <w:footnoteReference w:id="56"/>
      </w:r>
      <w:r w:rsidR="00D26C5F">
        <w:rPr>
          <w:sz w:val="24"/>
          <w:szCs w:val="24"/>
          <w:shd w:val="clear" w:color="auto" w:fill="FFFFFF"/>
        </w:rPr>
        <w:t>.</w:t>
      </w:r>
    </w:p>
    <w:p w14:paraId="7CD918C5" w14:textId="77777777" w:rsidR="00D74518" w:rsidRDefault="00D74518" w:rsidP="009F00AF">
      <w:pPr>
        <w:pStyle w:val="ListParagraph"/>
        <w:shd w:val="clear" w:color="auto" w:fill="FFFFFF"/>
        <w:spacing w:line="259" w:lineRule="auto"/>
        <w:ind w:left="360"/>
        <w:jc w:val="both"/>
        <w:outlineLvl w:val="2"/>
        <w:rPr>
          <w:sz w:val="24"/>
          <w:szCs w:val="24"/>
          <w:shd w:val="clear" w:color="auto" w:fill="FFFFFF"/>
        </w:rPr>
      </w:pPr>
    </w:p>
    <w:p w14:paraId="1D9EAE18" w14:textId="77777777" w:rsidR="00CF6106" w:rsidRDefault="00CF6106" w:rsidP="00CF6106">
      <w:pPr>
        <w:pStyle w:val="ListParagraph"/>
        <w:shd w:val="clear" w:color="auto" w:fill="FFFFFF"/>
        <w:spacing w:line="259" w:lineRule="auto"/>
        <w:ind w:left="360"/>
        <w:jc w:val="both"/>
        <w:outlineLvl w:val="2"/>
        <w:rPr>
          <w:b/>
          <w:bCs/>
          <w:sz w:val="24"/>
          <w:szCs w:val="24"/>
          <w:shd w:val="clear" w:color="auto" w:fill="FFFFFF"/>
        </w:rPr>
      </w:pPr>
      <w:r w:rsidRPr="00CF6106">
        <w:rPr>
          <w:b/>
          <w:bCs/>
          <w:sz w:val="24"/>
          <w:szCs w:val="24"/>
          <w:shd w:val="clear" w:color="auto" w:fill="FFFFFF"/>
        </w:rPr>
        <w:t>Funding</w:t>
      </w:r>
    </w:p>
    <w:p w14:paraId="263AFC8F" w14:textId="77777777" w:rsidR="00254498" w:rsidRPr="00254498" w:rsidRDefault="00CF6106" w:rsidP="00CF6106">
      <w:pPr>
        <w:pStyle w:val="ListParagraph"/>
        <w:numPr>
          <w:ilvl w:val="0"/>
          <w:numId w:val="14"/>
        </w:numPr>
        <w:shd w:val="clear" w:color="auto" w:fill="FFFFFF"/>
        <w:spacing w:line="259" w:lineRule="auto"/>
        <w:jc w:val="both"/>
        <w:outlineLvl w:val="2"/>
        <w:rPr>
          <w:b/>
          <w:bCs/>
          <w:sz w:val="24"/>
          <w:szCs w:val="24"/>
          <w:shd w:val="clear" w:color="auto" w:fill="FFFFFF"/>
        </w:rPr>
      </w:pPr>
      <w:r w:rsidRPr="00CF6106">
        <w:rPr>
          <w:sz w:val="24"/>
          <w:szCs w:val="24"/>
          <w:shd w:val="clear" w:color="auto" w:fill="FFFFFF"/>
        </w:rPr>
        <w:t xml:space="preserve">Malta is the first government to fund a regional intersex organisation and one of the few governments that fund intersex-led organisations at all. The grant is tailored to </w:t>
      </w:r>
      <w:r w:rsidR="00254498">
        <w:rPr>
          <w:sz w:val="24"/>
          <w:szCs w:val="24"/>
          <w:shd w:val="clear" w:color="auto" w:fill="FFFFFF"/>
        </w:rPr>
        <w:t xml:space="preserve">the </w:t>
      </w:r>
      <w:r w:rsidRPr="00CF6106">
        <w:rPr>
          <w:sz w:val="24"/>
          <w:szCs w:val="24"/>
          <w:shd w:val="clear" w:color="auto" w:fill="FFFFFF"/>
        </w:rPr>
        <w:t xml:space="preserve">intersex organisation’s needs by </w:t>
      </w:r>
    </w:p>
    <w:p w14:paraId="1C745862" w14:textId="77777777" w:rsidR="00254498" w:rsidRPr="00254498" w:rsidRDefault="00CF6106" w:rsidP="00254498">
      <w:pPr>
        <w:pStyle w:val="ListParagraph"/>
        <w:numPr>
          <w:ilvl w:val="1"/>
          <w:numId w:val="14"/>
        </w:numPr>
        <w:shd w:val="clear" w:color="auto" w:fill="FFFFFF"/>
        <w:spacing w:line="259" w:lineRule="auto"/>
        <w:jc w:val="both"/>
        <w:outlineLvl w:val="2"/>
        <w:rPr>
          <w:b/>
          <w:bCs/>
          <w:sz w:val="24"/>
          <w:szCs w:val="24"/>
          <w:shd w:val="clear" w:color="auto" w:fill="FFFFFF"/>
        </w:rPr>
      </w:pPr>
      <w:r w:rsidRPr="00CF6106">
        <w:rPr>
          <w:sz w:val="24"/>
          <w:szCs w:val="24"/>
          <w:shd w:val="clear" w:color="auto" w:fill="FFFFFF"/>
        </w:rPr>
        <w:t xml:space="preserve">being core/operational funding </w:t>
      </w:r>
    </w:p>
    <w:p w14:paraId="6B86E318" w14:textId="77777777" w:rsidR="00254498" w:rsidRPr="00254498" w:rsidRDefault="00CF6106" w:rsidP="00254498">
      <w:pPr>
        <w:pStyle w:val="ListParagraph"/>
        <w:numPr>
          <w:ilvl w:val="1"/>
          <w:numId w:val="14"/>
        </w:numPr>
        <w:shd w:val="clear" w:color="auto" w:fill="FFFFFF"/>
        <w:spacing w:line="259" w:lineRule="auto"/>
        <w:jc w:val="both"/>
        <w:outlineLvl w:val="2"/>
        <w:rPr>
          <w:b/>
          <w:bCs/>
          <w:sz w:val="24"/>
          <w:szCs w:val="24"/>
          <w:shd w:val="clear" w:color="auto" w:fill="FFFFFF"/>
        </w:rPr>
      </w:pPr>
      <w:r w:rsidRPr="00CF6106">
        <w:rPr>
          <w:sz w:val="24"/>
          <w:szCs w:val="24"/>
          <w:shd w:val="clear" w:color="auto" w:fill="FFFFFF"/>
        </w:rPr>
        <w:t xml:space="preserve">being a multi-annual grant allowing for flexibility and rapid-response reallocation of funds </w:t>
      </w:r>
    </w:p>
    <w:p w14:paraId="66DB63B6" w14:textId="366F6BCA" w:rsidR="00CF6106" w:rsidRPr="00CF6106" w:rsidRDefault="00CF6106" w:rsidP="00254498">
      <w:pPr>
        <w:pStyle w:val="ListParagraph"/>
        <w:numPr>
          <w:ilvl w:val="1"/>
          <w:numId w:val="14"/>
        </w:numPr>
        <w:shd w:val="clear" w:color="auto" w:fill="FFFFFF"/>
        <w:spacing w:line="259" w:lineRule="auto"/>
        <w:jc w:val="both"/>
        <w:outlineLvl w:val="2"/>
        <w:rPr>
          <w:b/>
          <w:bCs/>
          <w:sz w:val="24"/>
          <w:szCs w:val="24"/>
          <w:shd w:val="clear" w:color="auto" w:fill="FFFFFF"/>
        </w:rPr>
      </w:pPr>
      <w:r w:rsidRPr="00CF6106">
        <w:rPr>
          <w:sz w:val="24"/>
          <w:szCs w:val="24"/>
          <w:shd w:val="clear" w:color="auto" w:fill="FFFFFF"/>
        </w:rPr>
        <w:t>acknowledging and highlighting the importance of intersex human rights work in Europe.</w:t>
      </w:r>
    </w:p>
    <w:p w14:paraId="4C6E3FD5" w14:textId="38B41B00" w:rsidR="00D82443" w:rsidRDefault="00CF6106" w:rsidP="00CF6106">
      <w:pPr>
        <w:pStyle w:val="ListParagraph"/>
        <w:numPr>
          <w:ilvl w:val="0"/>
          <w:numId w:val="14"/>
        </w:numPr>
        <w:shd w:val="clear" w:color="auto" w:fill="FFFFFF"/>
        <w:spacing w:line="259" w:lineRule="auto"/>
        <w:jc w:val="both"/>
        <w:outlineLvl w:val="2"/>
        <w:rPr>
          <w:sz w:val="24"/>
          <w:szCs w:val="24"/>
          <w:shd w:val="clear" w:color="auto" w:fill="FFFFFF"/>
        </w:rPr>
      </w:pPr>
      <w:r w:rsidRPr="00CF6106">
        <w:rPr>
          <w:sz w:val="24"/>
          <w:szCs w:val="24"/>
          <w:shd w:val="clear" w:color="auto" w:fill="FFFFFF"/>
        </w:rPr>
        <w:t>The Dutch government provides a national, intersex</w:t>
      </w:r>
      <w:r>
        <w:rPr>
          <w:sz w:val="24"/>
          <w:szCs w:val="24"/>
          <w:shd w:val="clear" w:color="auto" w:fill="FFFFFF"/>
        </w:rPr>
        <w:t>-</w:t>
      </w:r>
      <w:r w:rsidRPr="00CF6106">
        <w:rPr>
          <w:sz w:val="24"/>
          <w:szCs w:val="24"/>
          <w:shd w:val="clear" w:color="auto" w:fill="FFFFFF"/>
        </w:rPr>
        <w:t>led organisation with sustainable funding with grants of 5 and 3-year duration</w:t>
      </w:r>
      <w:r w:rsidR="00FC6BC1">
        <w:rPr>
          <w:rStyle w:val="FootnoteReference"/>
          <w:sz w:val="24"/>
          <w:szCs w:val="24"/>
          <w:shd w:val="clear" w:color="auto" w:fill="FFFFFF"/>
        </w:rPr>
        <w:footnoteReference w:id="57"/>
      </w:r>
      <w:r>
        <w:rPr>
          <w:sz w:val="24"/>
          <w:szCs w:val="24"/>
          <w:shd w:val="clear" w:color="auto" w:fill="FFFFFF"/>
        </w:rPr>
        <w:t>.</w:t>
      </w:r>
    </w:p>
    <w:p w14:paraId="707C962E" w14:textId="55E93EC3" w:rsidR="00DC7F20" w:rsidRDefault="00DC7F20" w:rsidP="00DC7F20">
      <w:pPr>
        <w:shd w:val="clear" w:color="auto" w:fill="FFFFFF"/>
        <w:spacing w:line="259" w:lineRule="auto"/>
        <w:ind w:left="426"/>
        <w:jc w:val="both"/>
        <w:outlineLvl w:val="2"/>
        <w:rPr>
          <w:sz w:val="24"/>
          <w:szCs w:val="24"/>
          <w:shd w:val="clear" w:color="auto" w:fill="FFFFFF"/>
        </w:rPr>
      </w:pPr>
    </w:p>
    <w:p w14:paraId="7019A304" w14:textId="37DC22B3" w:rsidR="00DC7F20" w:rsidRDefault="00DC7F20" w:rsidP="00DC7F20">
      <w:pPr>
        <w:shd w:val="clear" w:color="auto" w:fill="FFFFFF"/>
        <w:spacing w:line="259" w:lineRule="auto"/>
        <w:ind w:left="426"/>
        <w:jc w:val="both"/>
        <w:outlineLvl w:val="2"/>
        <w:rPr>
          <w:b/>
          <w:bCs/>
          <w:sz w:val="24"/>
          <w:szCs w:val="24"/>
          <w:shd w:val="clear" w:color="auto" w:fill="FFFFFF"/>
        </w:rPr>
      </w:pPr>
      <w:r w:rsidRPr="00DC7F20">
        <w:rPr>
          <w:b/>
          <w:bCs/>
          <w:sz w:val="24"/>
          <w:szCs w:val="24"/>
          <w:shd w:val="clear" w:color="auto" w:fill="FFFFFF"/>
        </w:rPr>
        <w:t>Research</w:t>
      </w:r>
    </w:p>
    <w:p w14:paraId="5098F2AF" w14:textId="0DDE0032" w:rsidR="008F1F10" w:rsidRPr="00B05F1A" w:rsidRDefault="00A7360F" w:rsidP="008F1F10">
      <w:pPr>
        <w:spacing w:line="259" w:lineRule="auto"/>
        <w:ind w:left="426"/>
        <w:jc w:val="both"/>
        <w:outlineLvl w:val="2"/>
        <w:rPr>
          <w:sz w:val="24"/>
          <w:shd w:val="clear" w:color="auto" w:fill="FFFFFF"/>
          <w:lang w:val="en"/>
        </w:rPr>
      </w:pPr>
      <w:r w:rsidRPr="00B05F1A">
        <w:rPr>
          <w:sz w:val="24"/>
          <w:szCs w:val="24"/>
          <w:shd w:val="clear" w:color="auto" w:fill="FFFFFF"/>
        </w:rPr>
        <w:t xml:space="preserve">INIA – Intersex: New Interdisciplinary Approaches – is </w:t>
      </w:r>
      <w:r w:rsidR="008F1F10" w:rsidRPr="00B05F1A">
        <w:rPr>
          <w:sz w:val="24"/>
          <w:szCs w:val="24"/>
          <w:shd w:val="clear" w:color="auto" w:fill="FFFFFF"/>
        </w:rPr>
        <w:t>a</w:t>
      </w:r>
      <w:r w:rsidR="00907CFA" w:rsidRPr="00B05F1A">
        <w:rPr>
          <w:sz w:val="24"/>
          <w:szCs w:val="24"/>
          <w:shd w:val="clear" w:color="auto" w:fill="FFFFFF"/>
        </w:rPr>
        <w:t>n EU funded</w:t>
      </w:r>
      <w:r w:rsidR="008F1F10" w:rsidRPr="00B05F1A">
        <w:rPr>
          <w:sz w:val="24"/>
          <w:szCs w:val="24"/>
          <w:shd w:val="clear" w:color="auto" w:fill="FFFFFF"/>
        </w:rPr>
        <w:t xml:space="preserve"> international research network which train</w:t>
      </w:r>
      <w:r w:rsidR="00907CFA" w:rsidRPr="00B05F1A">
        <w:rPr>
          <w:sz w:val="24"/>
          <w:szCs w:val="24"/>
          <w:shd w:val="clear" w:color="auto" w:fill="FFFFFF"/>
        </w:rPr>
        <w:t>s</w:t>
      </w:r>
      <w:r w:rsidR="008F1F10" w:rsidRPr="00B05F1A">
        <w:rPr>
          <w:sz w:val="24"/>
          <w:szCs w:val="24"/>
          <w:shd w:val="clear" w:color="auto" w:fill="FFFFFF"/>
        </w:rPr>
        <w:t xml:space="preserve"> a cohort of 10 early-stage researchers working collaboratively to develop knowledge that will inform policy making and practice across a range of key sectors. The project’s</w:t>
      </w:r>
      <w:r w:rsidR="008F1F10" w:rsidRPr="00B05F1A">
        <w:rPr>
          <w:sz w:val="24"/>
          <w:shd w:val="clear" w:color="auto" w:fill="FFFFFF"/>
          <w:lang w:val="en"/>
        </w:rPr>
        <w:t xml:space="preserve"> objectives are to:</w:t>
      </w:r>
    </w:p>
    <w:p w14:paraId="16A30FA0" w14:textId="77777777" w:rsidR="008F1F10" w:rsidRPr="00B05F1A" w:rsidRDefault="008F1F10" w:rsidP="008F1F10">
      <w:pPr>
        <w:numPr>
          <w:ilvl w:val="0"/>
          <w:numId w:val="16"/>
        </w:numPr>
        <w:shd w:val="clear" w:color="auto" w:fill="FFFFFF"/>
        <w:spacing w:line="259" w:lineRule="auto"/>
        <w:jc w:val="both"/>
        <w:outlineLvl w:val="2"/>
        <w:rPr>
          <w:sz w:val="24"/>
          <w:szCs w:val="24"/>
          <w:shd w:val="clear" w:color="auto" w:fill="FFFFFF"/>
        </w:rPr>
      </w:pPr>
      <w:r w:rsidRPr="00B05F1A">
        <w:rPr>
          <w:sz w:val="24"/>
          <w:szCs w:val="24"/>
          <w:shd w:val="clear" w:color="auto" w:fill="FFFFFF"/>
        </w:rPr>
        <w:t>Generate knowledge that supports the wellbeing and social/economic contributions of intersex people/people with variations of sex characteristics.</w:t>
      </w:r>
    </w:p>
    <w:p w14:paraId="089B1DC2" w14:textId="77777777" w:rsidR="008F1F10" w:rsidRPr="00B05F1A" w:rsidRDefault="008F1F10" w:rsidP="008F1F10">
      <w:pPr>
        <w:numPr>
          <w:ilvl w:val="0"/>
          <w:numId w:val="16"/>
        </w:numPr>
        <w:shd w:val="clear" w:color="auto" w:fill="FFFFFF"/>
        <w:spacing w:line="259" w:lineRule="auto"/>
        <w:jc w:val="both"/>
        <w:outlineLvl w:val="2"/>
        <w:rPr>
          <w:sz w:val="24"/>
          <w:szCs w:val="24"/>
          <w:shd w:val="clear" w:color="auto" w:fill="FFFFFF"/>
        </w:rPr>
      </w:pPr>
      <w:r w:rsidRPr="00B05F1A">
        <w:rPr>
          <w:sz w:val="24"/>
          <w:szCs w:val="24"/>
          <w:shd w:val="clear" w:color="auto" w:fill="FFFFFF"/>
        </w:rPr>
        <w:t>Use innovative interdisciplinary academic resources to push forward understandings of intersex and inform academic fields.</w:t>
      </w:r>
    </w:p>
    <w:p w14:paraId="196EC638" w14:textId="5112325B" w:rsidR="008F1F10" w:rsidRPr="00B05F1A" w:rsidRDefault="008F1F10" w:rsidP="00B05F1A">
      <w:pPr>
        <w:numPr>
          <w:ilvl w:val="0"/>
          <w:numId w:val="16"/>
        </w:numPr>
        <w:shd w:val="clear" w:color="auto" w:fill="FFFFFF"/>
        <w:spacing w:line="259" w:lineRule="auto"/>
        <w:jc w:val="both"/>
        <w:outlineLvl w:val="2"/>
        <w:rPr>
          <w:sz w:val="24"/>
          <w:szCs w:val="24"/>
          <w:shd w:val="clear" w:color="auto" w:fill="FFFFFF"/>
        </w:rPr>
      </w:pPr>
      <w:r w:rsidRPr="00B05F1A">
        <w:rPr>
          <w:sz w:val="24"/>
          <w:szCs w:val="24"/>
          <w:shd w:val="clear" w:color="auto" w:fill="FFFFFF"/>
        </w:rPr>
        <w:t>Produce excellent research and evidence to help address societal challenges associated with intersex.</w:t>
      </w:r>
      <w:r w:rsidR="00907CFA" w:rsidRPr="00B05F1A">
        <w:rPr>
          <w:rStyle w:val="FootnoteReference"/>
          <w:sz w:val="24"/>
          <w:szCs w:val="24"/>
          <w:shd w:val="clear" w:color="auto" w:fill="FFFFFF"/>
        </w:rPr>
        <w:footnoteReference w:id="58"/>
      </w:r>
    </w:p>
    <w:p w14:paraId="275EE2E2" w14:textId="3A317625" w:rsidR="00A7360F" w:rsidRPr="00B05F1A" w:rsidRDefault="007314A9" w:rsidP="00A7360F">
      <w:pPr>
        <w:shd w:val="clear" w:color="auto" w:fill="FFFFFF"/>
        <w:spacing w:line="259" w:lineRule="auto"/>
        <w:ind w:left="426"/>
        <w:jc w:val="both"/>
        <w:outlineLvl w:val="2"/>
        <w:rPr>
          <w:sz w:val="24"/>
          <w:szCs w:val="24"/>
          <w:shd w:val="clear" w:color="auto" w:fill="FFFFFF"/>
        </w:rPr>
      </w:pPr>
      <w:r w:rsidRPr="00B05F1A">
        <w:rPr>
          <w:sz w:val="24"/>
          <w:szCs w:val="24"/>
          <w:shd w:val="clear" w:color="auto" w:fill="FFFFFF"/>
        </w:rPr>
        <w:t>This good practice example highlights that:</w:t>
      </w:r>
    </w:p>
    <w:p w14:paraId="07ACDB0D" w14:textId="3F2F3E7E" w:rsidR="007314A9" w:rsidRPr="00B05F1A" w:rsidRDefault="007314A9" w:rsidP="007314A9">
      <w:pPr>
        <w:pStyle w:val="ListParagraph"/>
        <w:numPr>
          <w:ilvl w:val="0"/>
          <w:numId w:val="17"/>
        </w:numPr>
        <w:shd w:val="clear" w:color="auto" w:fill="FFFFFF"/>
        <w:spacing w:line="259" w:lineRule="auto"/>
        <w:jc w:val="both"/>
        <w:outlineLvl w:val="2"/>
        <w:rPr>
          <w:sz w:val="24"/>
          <w:szCs w:val="24"/>
          <w:shd w:val="clear" w:color="auto" w:fill="FFFFFF"/>
        </w:rPr>
      </w:pPr>
      <w:r w:rsidRPr="00B05F1A">
        <w:rPr>
          <w:sz w:val="24"/>
          <w:szCs w:val="24"/>
          <w:shd w:val="clear" w:color="auto" w:fill="FFFFFF"/>
        </w:rPr>
        <w:t>High quality research is needed to inform evidence-based policy reforms and drive societal change</w:t>
      </w:r>
      <w:r w:rsidR="00AC6A82">
        <w:rPr>
          <w:sz w:val="24"/>
          <w:szCs w:val="24"/>
          <w:shd w:val="clear" w:color="auto" w:fill="FFFFFF"/>
        </w:rPr>
        <w:t>.</w:t>
      </w:r>
    </w:p>
    <w:p w14:paraId="0924ECD4" w14:textId="68AD0854" w:rsidR="007314A9" w:rsidRPr="00B05F1A" w:rsidRDefault="00F26A63" w:rsidP="007314A9">
      <w:pPr>
        <w:pStyle w:val="ListParagraph"/>
        <w:numPr>
          <w:ilvl w:val="0"/>
          <w:numId w:val="17"/>
        </w:numPr>
        <w:shd w:val="clear" w:color="auto" w:fill="FFFFFF"/>
        <w:spacing w:line="259" w:lineRule="auto"/>
        <w:jc w:val="both"/>
        <w:outlineLvl w:val="2"/>
        <w:rPr>
          <w:sz w:val="24"/>
          <w:szCs w:val="24"/>
          <w:shd w:val="clear" w:color="auto" w:fill="FFFFFF"/>
        </w:rPr>
      </w:pPr>
      <w:r w:rsidRPr="00B05F1A">
        <w:rPr>
          <w:sz w:val="24"/>
          <w:szCs w:val="24"/>
          <w:shd w:val="clear" w:color="auto" w:fill="FFFFFF"/>
        </w:rPr>
        <w:t xml:space="preserve">Involving intersex-led organisations in consultations and having representatives of them in the </w:t>
      </w:r>
      <w:r w:rsidR="00AF4A22" w:rsidRPr="00B05F1A">
        <w:rPr>
          <w:sz w:val="24"/>
          <w:szCs w:val="24"/>
          <w:shd w:val="clear" w:color="auto" w:fill="FFFFFF"/>
        </w:rPr>
        <w:t xml:space="preserve">advisory </w:t>
      </w:r>
      <w:r w:rsidRPr="00B05F1A">
        <w:rPr>
          <w:sz w:val="24"/>
          <w:szCs w:val="24"/>
          <w:shd w:val="clear" w:color="auto" w:fill="FFFFFF"/>
        </w:rPr>
        <w:t>board ensures inclusion and reliability</w:t>
      </w:r>
      <w:r w:rsidR="00AC6A82">
        <w:rPr>
          <w:sz w:val="24"/>
          <w:szCs w:val="24"/>
          <w:shd w:val="clear" w:color="auto" w:fill="FFFFFF"/>
        </w:rPr>
        <w:t>.</w:t>
      </w:r>
      <w:r w:rsidRPr="00B05F1A">
        <w:rPr>
          <w:sz w:val="24"/>
          <w:szCs w:val="24"/>
          <w:shd w:val="clear" w:color="auto" w:fill="FFFFFF"/>
        </w:rPr>
        <w:t xml:space="preserve"> </w:t>
      </w:r>
    </w:p>
    <w:p w14:paraId="2BFB3364" w14:textId="00623DE9" w:rsidR="0077533B" w:rsidRPr="00B05F1A" w:rsidRDefault="007314A9" w:rsidP="0077533B">
      <w:pPr>
        <w:pStyle w:val="ListParagraph"/>
        <w:numPr>
          <w:ilvl w:val="0"/>
          <w:numId w:val="17"/>
        </w:numPr>
        <w:shd w:val="clear" w:color="auto" w:fill="FFFFFF"/>
        <w:spacing w:line="259" w:lineRule="auto"/>
        <w:jc w:val="both"/>
        <w:outlineLvl w:val="2"/>
        <w:rPr>
          <w:sz w:val="24"/>
          <w:szCs w:val="24"/>
          <w:shd w:val="clear" w:color="auto" w:fill="FFFFFF"/>
        </w:rPr>
      </w:pPr>
      <w:r w:rsidRPr="00B05F1A">
        <w:rPr>
          <w:sz w:val="24"/>
          <w:szCs w:val="24"/>
          <w:shd w:val="clear" w:color="auto" w:fill="FFFFFF"/>
        </w:rPr>
        <w:t>Adequate public funds are needed to sustain research of this kind.</w:t>
      </w:r>
    </w:p>
    <w:p w14:paraId="048CECF2" w14:textId="77777777" w:rsidR="00907CFA" w:rsidRPr="00B05F1A" w:rsidRDefault="00907CFA">
      <w:pPr>
        <w:shd w:val="clear" w:color="auto" w:fill="FFFFFF"/>
        <w:spacing w:line="259" w:lineRule="auto"/>
        <w:ind w:left="413"/>
        <w:jc w:val="both"/>
        <w:outlineLvl w:val="2"/>
        <w:rPr>
          <w:sz w:val="24"/>
          <w:szCs w:val="24"/>
          <w:shd w:val="clear" w:color="auto" w:fill="FFFFFF"/>
        </w:rPr>
      </w:pPr>
    </w:p>
    <w:p w14:paraId="53EDC8C5" w14:textId="4B66FEB9" w:rsidR="0077533B" w:rsidRPr="00B05F1A" w:rsidRDefault="0077533B">
      <w:pPr>
        <w:shd w:val="clear" w:color="auto" w:fill="FFFFFF"/>
        <w:spacing w:line="259" w:lineRule="auto"/>
        <w:ind w:left="413"/>
        <w:jc w:val="both"/>
        <w:outlineLvl w:val="2"/>
        <w:rPr>
          <w:sz w:val="24"/>
          <w:szCs w:val="24"/>
          <w:shd w:val="clear" w:color="auto" w:fill="FFFFFF"/>
        </w:rPr>
      </w:pPr>
      <w:r w:rsidRPr="00B05F1A">
        <w:rPr>
          <w:sz w:val="24"/>
          <w:szCs w:val="24"/>
          <w:shd w:val="clear" w:color="auto" w:fill="FFFFFF"/>
        </w:rPr>
        <w:t xml:space="preserve">The European Commission </w:t>
      </w:r>
      <w:r w:rsidR="00C97685" w:rsidRPr="00B05F1A">
        <w:rPr>
          <w:sz w:val="24"/>
          <w:szCs w:val="24"/>
          <w:shd w:val="clear" w:color="auto" w:fill="FFFFFF"/>
        </w:rPr>
        <w:t xml:space="preserve">also </w:t>
      </w:r>
      <w:r w:rsidR="00907CFA" w:rsidRPr="00B05F1A">
        <w:rPr>
          <w:sz w:val="24"/>
          <w:szCs w:val="24"/>
          <w:shd w:val="clear" w:color="auto" w:fill="FFFFFF"/>
        </w:rPr>
        <w:t>commissioned the</w:t>
      </w:r>
      <w:r w:rsidR="00C97685" w:rsidRPr="00B05F1A">
        <w:rPr>
          <w:sz w:val="24"/>
          <w:szCs w:val="24"/>
          <w:shd w:val="clear" w:color="auto" w:fill="FFFFFF"/>
        </w:rPr>
        <w:t xml:space="preserve"> “Study on Intersex people in the EU” with results expected by the end of 2022.</w:t>
      </w:r>
    </w:p>
    <w:p w14:paraId="462F3AB8" w14:textId="1CEC86B4" w:rsidR="00907CFA" w:rsidRPr="00B05F1A" w:rsidRDefault="00907CFA">
      <w:pPr>
        <w:shd w:val="clear" w:color="auto" w:fill="FFFFFF"/>
        <w:spacing w:line="259" w:lineRule="auto"/>
        <w:ind w:left="413"/>
        <w:jc w:val="both"/>
        <w:outlineLvl w:val="2"/>
        <w:rPr>
          <w:sz w:val="24"/>
          <w:szCs w:val="24"/>
          <w:shd w:val="clear" w:color="auto" w:fill="FFFFFF"/>
        </w:rPr>
      </w:pPr>
    </w:p>
    <w:p w14:paraId="1EA1F1F2" w14:textId="20DFCE43" w:rsidR="00992685" w:rsidRPr="00600349" w:rsidRDefault="00907CFA" w:rsidP="00AF4A22">
      <w:pPr>
        <w:shd w:val="clear" w:color="auto" w:fill="FFFFFF"/>
        <w:spacing w:line="259" w:lineRule="auto"/>
        <w:ind w:left="413"/>
        <w:jc w:val="both"/>
        <w:outlineLvl w:val="2"/>
        <w:rPr>
          <w:sz w:val="24"/>
          <w:szCs w:val="24"/>
          <w:shd w:val="clear" w:color="auto" w:fill="FFFFFF"/>
        </w:rPr>
      </w:pPr>
      <w:r w:rsidRPr="00B05F1A">
        <w:rPr>
          <w:sz w:val="24"/>
          <w:szCs w:val="24"/>
          <w:shd w:val="clear" w:color="auto" w:fill="FFFFFF"/>
        </w:rPr>
        <w:t>On national level,</w:t>
      </w:r>
      <w:r w:rsidR="00F742E5">
        <w:rPr>
          <w:sz w:val="24"/>
          <w:szCs w:val="24"/>
          <w:shd w:val="clear" w:color="auto" w:fill="FFFFFF"/>
        </w:rPr>
        <w:t xml:space="preserve"> </w:t>
      </w:r>
      <w:r>
        <w:rPr>
          <w:sz w:val="24"/>
          <w:szCs w:val="24"/>
          <w:shd w:val="clear" w:color="auto" w:fill="FFFFFF"/>
        </w:rPr>
        <w:t>t</w:t>
      </w:r>
      <w:r w:rsidR="00992685" w:rsidRPr="00600349">
        <w:rPr>
          <w:sz w:val="24"/>
          <w:szCs w:val="24"/>
          <w:shd w:val="clear" w:color="auto" w:fill="FFFFFF"/>
        </w:rPr>
        <w:t>he 2019 qualitative study “No information or options. Study on the rights and experiences of intersex persons”, commissioned by the Finnish Ministry of Justice and the Ministry for Foreign Affairs, brings to light life experiences of intersex people living in Finland.</w:t>
      </w:r>
      <w:r w:rsidR="00992685" w:rsidRPr="00992685">
        <w:t xml:space="preserve"> </w:t>
      </w:r>
      <w:r w:rsidR="00992685" w:rsidRPr="00600349">
        <w:rPr>
          <w:sz w:val="24"/>
          <w:szCs w:val="24"/>
          <w:shd w:val="clear" w:color="auto" w:fill="FFFFFF"/>
        </w:rPr>
        <w:t>The study</w:t>
      </w:r>
    </w:p>
    <w:p w14:paraId="789A9C19" w14:textId="2318E62D" w:rsidR="00992685" w:rsidRDefault="00992685" w:rsidP="00992685">
      <w:pPr>
        <w:pStyle w:val="ListParagraph"/>
        <w:numPr>
          <w:ilvl w:val="1"/>
          <w:numId w:val="15"/>
        </w:numPr>
        <w:shd w:val="clear" w:color="auto" w:fill="FFFFFF"/>
        <w:spacing w:line="259" w:lineRule="auto"/>
        <w:jc w:val="both"/>
        <w:outlineLvl w:val="2"/>
        <w:rPr>
          <w:sz w:val="24"/>
          <w:szCs w:val="24"/>
          <w:shd w:val="clear" w:color="auto" w:fill="FFFFFF"/>
        </w:rPr>
      </w:pPr>
      <w:r w:rsidRPr="00992685">
        <w:rPr>
          <w:sz w:val="24"/>
          <w:szCs w:val="24"/>
          <w:shd w:val="clear" w:color="auto" w:fill="FFFFFF"/>
        </w:rPr>
        <w:t>is a strongly participatory study</w:t>
      </w:r>
    </w:p>
    <w:p w14:paraId="555B51DB" w14:textId="61048C58" w:rsidR="00992685" w:rsidRDefault="00992685" w:rsidP="00992685">
      <w:pPr>
        <w:pStyle w:val="ListParagraph"/>
        <w:numPr>
          <w:ilvl w:val="1"/>
          <w:numId w:val="15"/>
        </w:numPr>
        <w:shd w:val="clear" w:color="auto" w:fill="FFFFFF"/>
        <w:spacing w:line="259" w:lineRule="auto"/>
        <w:jc w:val="both"/>
        <w:outlineLvl w:val="2"/>
        <w:rPr>
          <w:sz w:val="24"/>
          <w:szCs w:val="24"/>
          <w:shd w:val="clear" w:color="auto" w:fill="FFFFFF"/>
        </w:rPr>
      </w:pPr>
      <w:r w:rsidRPr="00992685">
        <w:rPr>
          <w:sz w:val="24"/>
          <w:szCs w:val="24"/>
          <w:shd w:val="clear" w:color="auto" w:fill="FFFFFF"/>
        </w:rPr>
        <w:t>was conducted with ongoing consultation of intersex</w:t>
      </w:r>
      <w:r>
        <w:rPr>
          <w:sz w:val="24"/>
          <w:szCs w:val="24"/>
          <w:shd w:val="clear" w:color="auto" w:fill="FFFFFF"/>
        </w:rPr>
        <w:t>-</w:t>
      </w:r>
      <w:r w:rsidRPr="00992685">
        <w:rPr>
          <w:sz w:val="24"/>
          <w:szCs w:val="24"/>
          <w:shd w:val="clear" w:color="auto" w:fill="FFFFFF"/>
        </w:rPr>
        <w:t>led groups and organisations</w:t>
      </w:r>
    </w:p>
    <w:p w14:paraId="68891030" w14:textId="75AC381E" w:rsidR="00992685" w:rsidRDefault="00992685" w:rsidP="00992685">
      <w:pPr>
        <w:pStyle w:val="ListParagraph"/>
        <w:numPr>
          <w:ilvl w:val="1"/>
          <w:numId w:val="15"/>
        </w:numPr>
        <w:shd w:val="clear" w:color="auto" w:fill="FFFFFF"/>
        <w:spacing w:line="259" w:lineRule="auto"/>
        <w:jc w:val="both"/>
        <w:outlineLvl w:val="2"/>
        <w:rPr>
          <w:sz w:val="24"/>
          <w:szCs w:val="24"/>
          <w:shd w:val="clear" w:color="auto" w:fill="FFFFFF"/>
        </w:rPr>
      </w:pPr>
      <w:r w:rsidRPr="00992685">
        <w:rPr>
          <w:sz w:val="24"/>
          <w:szCs w:val="24"/>
          <w:shd w:val="clear" w:color="auto" w:fill="FFFFFF"/>
        </w:rPr>
        <w:t>bases its findings on an assessment of actual healthcare needs of intersex people and their families</w:t>
      </w:r>
    </w:p>
    <w:p w14:paraId="4927C4B4" w14:textId="5AC772EA" w:rsidR="00992685" w:rsidRDefault="00992685" w:rsidP="00992685">
      <w:pPr>
        <w:pStyle w:val="ListParagraph"/>
        <w:numPr>
          <w:ilvl w:val="1"/>
          <w:numId w:val="15"/>
        </w:numPr>
        <w:shd w:val="clear" w:color="auto" w:fill="FFFFFF"/>
        <w:spacing w:line="259" w:lineRule="auto"/>
        <w:jc w:val="both"/>
        <w:outlineLvl w:val="2"/>
        <w:rPr>
          <w:sz w:val="24"/>
          <w:szCs w:val="24"/>
          <w:shd w:val="clear" w:color="auto" w:fill="FFFFFF"/>
        </w:rPr>
      </w:pPr>
      <w:r w:rsidRPr="00992685">
        <w:rPr>
          <w:sz w:val="24"/>
          <w:szCs w:val="24"/>
          <w:shd w:val="clear" w:color="auto" w:fill="FFFFFF"/>
        </w:rPr>
        <w:t>was conducted within a sociological instead of a medical framework</w:t>
      </w:r>
    </w:p>
    <w:p w14:paraId="643254D3" w14:textId="2B72E1BF" w:rsidR="00992685" w:rsidRDefault="00992685" w:rsidP="00992685">
      <w:pPr>
        <w:pStyle w:val="ListParagraph"/>
        <w:numPr>
          <w:ilvl w:val="1"/>
          <w:numId w:val="15"/>
        </w:numPr>
        <w:shd w:val="clear" w:color="auto" w:fill="FFFFFF"/>
        <w:spacing w:line="259" w:lineRule="auto"/>
        <w:jc w:val="both"/>
        <w:outlineLvl w:val="2"/>
        <w:rPr>
          <w:sz w:val="24"/>
          <w:szCs w:val="24"/>
          <w:shd w:val="clear" w:color="auto" w:fill="FFFFFF"/>
        </w:rPr>
      </w:pPr>
      <w:r w:rsidRPr="00992685">
        <w:rPr>
          <w:sz w:val="24"/>
          <w:szCs w:val="24"/>
          <w:shd w:val="clear" w:color="auto" w:fill="FFFFFF"/>
        </w:rPr>
        <w:t>has a human rights baseline and perspective</w:t>
      </w:r>
    </w:p>
    <w:p w14:paraId="35D9ECA9" w14:textId="44BDC632" w:rsidR="00992685" w:rsidRDefault="00992685" w:rsidP="00992685">
      <w:pPr>
        <w:pStyle w:val="ListParagraph"/>
        <w:numPr>
          <w:ilvl w:val="1"/>
          <w:numId w:val="15"/>
        </w:numPr>
        <w:shd w:val="clear" w:color="auto" w:fill="FFFFFF"/>
        <w:spacing w:line="259" w:lineRule="auto"/>
        <w:jc w:val="both"/>
        <w:outlineLvl w:val="2"/>
        <w:rPr>
          <w:sz w:val="24"/>
          <w:szCs w:val="24"/>
          <w:shd w:val="clear" w:color="auto" w:fill="FFFFFF"/>
        </w:rPr>
      </w:pPr>
      <w:r w:rsidRPr="00992685">
        <w:rPr>
          <w:sz w:val="24"/>
          <w:szCs w:val="24"/>
          <w:shd w:val="clear" w:color="auto" w:fill="FFFFFF"/>
        </w:rPr>
        <w:t>includes and discusses good practices from other countries</w:t>
      </w:r>
    </w:p>
    <w:p w14:paraId="53D13168" w14:textId="4A46C75B" w:rsidR="00DC7F20" w:rsidRPr="00992685" w:rsidRDefault="00992685" w:rsidP="00992685">
      <w:pPr>
        <w:pStyle w:val="ListParagraph"/>
        <w:numPr>
          <w:ilvl w:val="1"/>
          <w:numId w:val="15"/>
        </w:numPr>
        <w:shd w:val="clear" w:color="auto" w:fill="FFFFFF"/>
        <w:spacing w:line="259" w:lineRule="auto"/>
        <w:jc w:val="both"/>
        <w:outlineLvl w:val="2"/>
        <w:rPr>
          <w:sz w:val="24"/>
          <w:szCs w:val="24"/>
          <w:shd w:val="clear" w:color="auto" w:fill="FFFFFF"/>
        </w:rPr>
      </w:pPr>
      <w:r w:rsidRPr="00992685">
        <w:rPr>
          <w:sz w:val="24"/>
          <w:szCs w:val="24"/>
          <w:shd w:val="clear" w:color="auto" w:fill="FFFFFF"/>
        </w:rPr>
        <w:t xml:space="preserve">provides recommendations on how to implement intersex human rights in </w:t>
      </w:r>
      <w:r w:rsidR="006B051F">
        <w:rPr>
          <w:sz w:val="24"/>
          <w:szCs w:val="24"/>
          <w:shd w:val="clear" w:color="auto" w:fill="FFFFFF"/>
        </w:rPr>
        <w:t>on national level</w:t>
      </w:r>
      <w:r w:rsidR="00437ECF">
        <w:rPr>
          <w:rStyle w:val="FootnoteReference"/>
          <w:sz w:val="24"/>
          <w:szCs w:val="24"/>
          <w:shd w:val="clear" w:color="auto" w:fill="FFFFFF"/>
        </w:rPr>
        <w:footnoteReference w:id="59"/>
      </w:r>
      <w:r w:rsidRPr="00992685">
        <w:rPr>
          <w:sz w:val="24"/>
          <w:szCs w:val="24"/>
          <w:shd w:val="clear" w:color="auto" w:fill="FFFFFF"/>
        </w:rPr>
        <w:t>.</w:t>
      </w:r>
    </w:p>
    <w:p w14:paraId="09A04763" w14:textId="77777777" w:rsidR="00D82443" w:rsidRDefault="00D82443" w:rsidP="009F00AF">
      <w:pPr>
        <w:pStyle w:val="ListParagraph"/>
        <w:shd w:val="clear" w:color="auto" w:fill="FFFFFF"/>
        <w:spacing w:line="259" w:lineRule="auto"/>
        <w:ind w:left="360"/>
        <w:jc w:val="both"/>
        <w:outlineLvl w:val="2"/>
        <w:rPr>
          <w:sz w:val="24"/>
          <w:szCs w:val="24"/>
          <w:shd w:val="clear" w:color="auto" w:fill="FFFFFF"/>
        </w:rPr>
      </w:pPr>
    </w:p>
    <w:p w14:paraId="1128F653" w14:textId="1E1EA86E" w:rsidR="00115205" w:rsidRDefault="006B051F" w:rsidP="009F00AF">
      <w:pPr>
        <w:pStyle w:val="ListParagraph"/>
        <w:shd w:val="clear" w:color="auto" w:fill="FFFFFF"/>
        <w:spacing w:line="259" w:lineRule="auto"/>
        <w:ind w:left="360"/>
        <w:jc w:val="both"/>
        <w:outlineLvl w:val="2"/>
        <w:rPr>
          <w:sz w:val="24"/>
          <w:szCs w:val="24"/>
          <w:shd w:val="clear" w:color="auto" w:fill="FFFFFF"/>
        </w:rPr>
      </w:pPr>
      <w:r>
        <w:rPr>
          <w:sz w:val="24"/>
          <w:szCs w:val="24"/>
          <w:shd w:val="clear" w:color="auto" w:fill="FFFFFF"/>
        </w:rPr>
        <w:t xml:space="preserve">More good practice examples can be found in the annual </w:t>
      </w:r>
      <w:hyperlink r:id="rId14" w:history="1">
        <w:r w:rsidRPr="006B051F">
          <w:rPr>
            <w:rStyle w:val="Hyperlink"/>
            <w:sz w:val="24"/>
            <w:szCs w:val="24"/>
            <w:shd w:val="clear" w:color="auto" w:fill="FFFFFF"/>
          </w:rPr>
          <w:t>OII Europe Good Practice Map</w:t>
        </w:r>
      </w:hyperlink>
      <w:r w:rsidR="001C148C">
        <w:rPr>
          <w:rStyle w:val="Hyperlink"/>
          <w:sz w:val="24"/>
          <w:szCs w:val="24"/>
          <w:shd w:val="clear" w:color="auto" w:fill="FFFFFF"/>
        </w:rPr>
        <w:t>.</w:t>
      </w:r>
      <w:r>
        <w:rPr>
          <w:sz w:val="24"/>
          <w:szCs w:val="24"/>
          <w:shd w:val="clear" w:color="auto" w:fill="FFFFFF"/>
        </w:rPr>
        <w:t xml:space="preserve"> </w:t>
      </w:r>
    </w:p>
    <w:p w14:paraId="3A6A3F5E" w14:textId="240FE74B" w:rsidR="0028028E" w:rsidRDefault="00870F4E" w:rsidP="009F00AF">
      <w:pPr>
        <w:pStyle w:val="ListParagraph"/>
        <w:shd w:val="clear" w:color="auto" w:fill="FFFFFF"/>
        <w:spacing w:line="259" w:lineRule="auto"/>
        <w:ind w:left="360"/>
        <w:jc w:val="both"/>
        <w:outlineLvl w:val="2"/>
        <w:rPr>
          <w:sz w:val="24"/>
          <w:szCs w:val="24"/>
          <w:shd w:val="clear" w:color="auto" w:fill="FFFFFF"/>
        </w:rPr>
      </w:pPr>
      <w:r>
        <w:rPr>
          <w:sz w:val="24"/>
          <w:szCs w:val="24"/>
          <w:shd w:val="clear" w:color="auto" w:fill="FFFFFF"/>
        </w:rPr>
        <w:t xml:space="preserve"> </w:t>
      </w:r>
    </w:p>
    <w:p w14:paraId="4007B6BC" w14:textId="77777777" w:rsidR="009F00AF" w:rsidRDefault="009F00AF" w:rsidP="009F00AF">
      <w:pPr>
        <w:rPr>
          <w:sz w:val="24"/>
          <w:szCs w:val="24"/>
          <w:shd w:val="clear" w:color="auto" w:fill="FFFFFF"/>
        </w:rPr>
      </w:pPr>
      <w:r>
        <w:rPr>
          <w:sz w:val="24"/>
          <w:szCs w:val="24"/>
          <w:shd w:val="clear" w:color="auto" w:fill="FFFFFF"/>
        </w:rPr>
        <w:br w:type="page"/>
      </w:r>
    </w:p>
    <w:p w14:paraId="02FA1800" w14:textId="77777777" w:rsidR="009F00AF" w:rsidRPr="007C47FA" w:rsidRDefault="009F00AF" w:rsidP="009F00AF">
      <w:pPr>
        <w:shd w:val="clear" w:color="auto" w:fill="FFFFFF"/>
        <w:spacing w:before="100" w:beforeAutospacing="1" w:after="100" w:afterAutospacing="1"/>
        <w:jc w:val="both"/>
        <w:outlineLvl w:val="2"/>
        <w:rPr>
          <w:b/>
          <w:sz w:val="24"/>
          <w:szCs w:val="24"/>
          <w:shd w:val="clear" w:color="auto" w:fill="FFFFFF"/>
        </w:rPr>
      </w:pPr>
      <w:r w:rsidRPr="007C47FA">
        <w:rPr>
          <w:b/>
          <w:sz w:val="24"/>
          <w:szCs w:val="24"/>
          <w:shd w:val="clear" w:color="auto" w:fill="FFFFFF"/>
        </w:rPr>
        <w:t xml:space="preserve">Glossary of definitions for the purpose of this questionnaire </w:t>
      </w:r>
    </w:p>
    <w:p w14:paraId="4F777956"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w:t>
      </w:r>
      <w:r>
        <w:rPr>
          <w:rFonts w:ascii="Times New Roman" w:hAnsi="Times New Roman"/>
          <w:sz w:val="24"/>
        </w:rPr>
        <w:t>co</w:t>
      </w:r>
      <w:r w:rsidRPr="0096645F">
        <w:rPr>
          <w:rFonts w:ascii="Times New Roman" w:hAnsi="Times New Roman"/>
          <w:sz w:val="24"/>
        </w:rPr>
        <w:t>ntraceptives, violence against LGBTI people, femicide, female infanticide, harmful practices and certain forms of slavery and servitude. Gender-based violence may be perpetrated against women, girls, men, boys, and non-binary persons. Gender-based violence, including sexual violence, may linked to a conflict.</w:t>
      </w:r>
    </w:p>
    <w:p w14:paraId="3576C112" w14:textId="77777777" w:rsidR="009F00AF" w:rsidRPr="0096645F" w:rsidRDefault="009F00AF" w:rsidP="009F00AF">
      <w:pPr>
        <w:pStyle w:val="NormalWeb"/>
        <w:spacing w:before="0"/>
        <w:ind w:left="717"/>
        <w:jc w:val="both"/>
        <w:rPr>
          <w:rFonts w:ascii="Times New Roman" w:hAnsi="Times New Roman"/>
          <w:sz w:val="24"/>
        </w:rPr>
      </w:pPr>
    </w:p>
    <w:p w14:paraId="27D99E71"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Gender based violence against women (including girls) refers to violence that is directed against a woman because she is a woman or that affects women disproportionately. (CEDAW, </w:t>
      </w:r>
      <w:hyperlink r:id="rId15" w:history="1">
        <w:r w:rsidRPr="00057768">
          <w:t>General recommendation 19</w:t>
        </w:r>
      </w:hyperlink>
      <w:r w:rsidRPr="0096645F">
        <w:rPr>
          <w:rFonts w:ascii="Times New Roman" w:hAnsi="Times New Roman"/>
          <w:sz w:val="24"/>
        </w:rPr>
        <w:t xml:space="preserve">,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 </w:t>
      </w:r>
      <w:hyperlink r:id="rId16" w:history="1">
        <w:r w:rsidRPr="00057768">
          <w:t>(CEDAW, General recommendation 35, 2017).</w:t>
        </w:r>
      </w:hyperlink>
    </w:p>
    <w:p w14:paraId="62A012CA" w14:textId="77777777" w:rsidR="009F00AF" w:rsidRPr="0096645F" w:rsidRDefault="009F00AF" w:rsidP="009F00AF">
      <w:pPr>
        <w:pStyle w:val="NormalWeb"/>
        <w:spacing w:before="0"/>
        <w:ind w:left="357"/>
        <w:jc w:val="both"/>
        <w:rPr>
          <w:rFonts w:ascii="Times New Roman" w:hAnsi="Times New Roman"/>
          <w:sz w:val="24"/>
        </w:rPr>
      </w:pPr>
    </w:p>
    <w:p w14:paraId="31FDC300" w14:textId="77777777" w:rsidR="009F00AF" w:rsidRPr="0096645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sz w:val="24"/>
        </w:rPr>
        <w:t xml:space="preserve">Violence against children refers to </w:t>
      </w:r>
      <w:r w:rsidRPr="0096645F">
        <w:rPr>
          <w:rFonts w:ascii="Times New Roman" w:hAnsi="Times New Roman"/>
          <w:noProof/>
          <w:sz w:val="24"/>
        </w:rPr>
        <w:t>all forms of physical or mental violence, injury or abuse, neglect or negligent treatment, maltreatment or exploitation, including sexual abuse</w:t>
      </w:r>
      <w:r w:rsidRPr="0096645F">
        <w:rPr>
          <w:rFonts w:ascii="Times New Roman" w:hAnsi="Times New Roman"/>
          <w:sz w:val="24"/>
        </w:rPr>
        <w:t xml:space="preserve"> against children. (CRC, </w:t>
      </w:r>
      <w:hyperlink r:id="rId17" w:history="1">
        <w:r w:rsidRPr="0096645F">
          <w:rPr>
            <w:rStyle w:val="Hyperlink"/>
            <w:rFonts w:ascii="Times New Roman" w:hAnsi="Times New Roman"/>
            <w:sz w:val="24"/>
          </w:rPr>
          <w:t>General Comment No. 13</w:t>
        </w:r>
      </w:hyperlink>
      <w:r w:rsidRPr="0096645F">
        <w:rPr>
          <w:rFonts w:ascii="Times New Roman" w:hAnsi="Times New Roman"/>
          <w:sz w:val="24"/>
        </w:rPr>
        <w:t>, 2011). Violence experienced by boys and girls may also be a form of gender-based violence.</w:t>
      </w:r>
    </w:p>
    <w:p w14:paraId="6F2E94E3" w14:textId="77777777" w:rsidR="009F00AF" w:rsidRPr="0096645F" w:rsidRDefault="009F00AF" w:rsidP="009F00AF">
      <w:pPr>
        <w:pStyle w:val="NormalWeb"/>
        <w:spacing w:before="0"/>
        <w:ind w:left="357"/>
        <w:jc w:val="both"/>
        <w:rPr>
          <w:rFonts w:ascii="Times New Roman" w:hAnsi="Times New Roman"/>
          <w:sz w:val="24"/>
        </w:rPr>
      </w:pPr>
    </w:p>
    <w:p w14:paraId="6912CA04" w14:textId="77777777" w:rsidR="009F00AF" w:rsidRPr="0096645F" w:rsidRDefault="009F00AF" w:rsidP="009F00AF">
      <w:pPr>
        <w:pStyle w:val="NormalWeb"/>
        <w:numPr>
          <w:ilvl w:val="0"/>
          <w:numId w:val="3"/>
        </w:numPr>
        <w:spacing w:before="0"/>
        <w:ind w:left="284" w:hanging="284"/>
        <w:jc w:val="both"/>
        <w:rPr>
          <w:rFonts w:ascii="Times New Roman" w:hAnsi="Times New Roman"/>
          <w:color w:val="000000"/>
          <w:sz w:val="24"/>
        </w:rPr>
      </w:pPr>
      <w:r w:rsidRPr="0096645F">
        <w:rPr>
          <w:rFonts w:ascii="Times New Roman" w:hAnsi="Times New Roman"/>
          <w:sz w:val="24"/>
        </w:rPr>
        <w:t xml:space="preserve">Gender based violence perpetrated against LGBTI or other persons </w:t>
      </w:r>
      <w:r w:rsidRPr="0096645F">
        <w:rPr>
          <w:rFonts w:ascii="Times New Roman" w:hAnsi="Times New Roman"/>
          <w:color w:val="000000"/>
          <w:sz w:val="24"/>
        </w:rPr>
        <w:t xml:space="preserve">based on real or imputed sexual orientation, gender identity, and /or sex characteristics </w:t>
      </w:r>
      <w:r w:rsidRPr="0096645F">
        <w:rPr>
          <w:rFonts w:ascii="Times New Roman" w:hAnsi="Times New Roman"/>
          <w:noProof/>
          <w:sz w:val="24"/>
        </w:rPr>
        <w:t xml:space="preserve">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unecessary procedures on intersex children and adults. (Report of the Independent Expert on protection against sexual orientation and gender identitiy, </w:t>
      </w:r>
      <w:r w:rsidRPr="0096645F">
        <w:rPr>
          <w:rFonts w:ascii="Times New Roman" w:hAnsi="Times New Roman"/>
          <w:sz w:val="24"/>
        </w:rPr>
        <w:t>(</w:t>
      </w:r>
      <w:hyperlink r:id="rId18" w:history="1">
        <w:r w:rsidRPr="0096645F">
          <w:rPr>
            <w:rStyle w:val="Hyperlink"/>
            <w:rFonts w:ascii="Times New Roman" w:hAnsi="Times New Roman"/>
            <w:noProof/>
            <w:sz w:val="24"/>
          </w:rPr>
          <w:t>A/HRC/38/43</w:t>
        </w:r>
      </w:hyperlink>
      <w:r w:rsidRPr="0096645F">
        <w:rPr>
          <w:rFonts w:ascii="Times New Roman" w:hAnsi="Times New Roman"/>
          <w:noProof/>
          <w:sz w:val="24"/>
        </w:rPr>
        <w:t xml:space="preserve">, 2018, </w:t>
      </w:r>
      <w:hyperlink r:id="rId19" w:history="1">
        <w:r w:rsidRPr="0096645F">
          <w:rPr>
            <w:rStyle w:val="Hyperlink"/>
            <w:rFonts w:ascii="Times New Roman" w:hAnsi="Times New Roman"/>
            <w:noProof/>
            <w:sz w:val="24"/>
          </w:rPr>
          <w:t>OHCHR, Born Free and equal</w:t>
        </w:r>
      </w:hyperlink>
      <w:r w:rsidRPr="0096645F">
        <w:rPr>
          <w:rFonts w:ascii="Times New Roman" w:hAnsi="Times New Roman"/>
          <w:noProof/>
          <w:sz w:val="24"/>
        </w:rPr>
        <w:t xml:space="preserve">, OHCHR, </w:t>
      </w:r>
      <w:hyperlink r:id="rId20" w:history="1">
        <w:r w:rsidRPr="0096645F">
          <w:rPr>
            <w:rStyle w:val="Hyperlink"/>
            <w:rFonts w:ascii="Times New Roman" w:hAnsi="Times New Roman"/>
            <w:noProof/>
            <w:sz w:val="24"/>
          </w:rPr>
          <w:t>Background note on human rights violations against intersex perople).</w:t>
        </w:r>
        <w:r w:rsidRPr="0096645F">
          <w:rPr>
            <w:rStyle w:val="Hyperlink"/>
            <w:rFonts w:ascii="Times New Roman" w:hAnsi="Times New Roman"/>
            <w:sz w:val="24"/>
          </w:rPr>
          <w:t xml:space="preserve"> </w:t>
        </w:r>
      </w:hyperlink>
      <w:r w:rsidRPr="0096645F">
        <w:rPr>
          <w:rFonts w:ascii="Times New Roman" w:hAnsi="Times New Roman"/>
          <w:sz w:val="24"/>
        </w:rPr>
        <w:t xml:space="preserve"> </w:t>
      </w:r>
    </w:p>
    <w:p w14:paraId="10DCD78B" w14:textId="77777777" w:rsidR="009F00AF" w:rsidRPr="0096645F" w:rsidRDefault="009F00AF" w:rsidP="009F00AF">
      <w:pPr>
        <w:pStyle w:val="NormalWeb"/>
        <w:spacing w:before="0"/>
        <w:ind w:left="357"/>
        <w:jc w:val="both"/>
        <w:rPr>
          <w:rFonts w:ascii="Times New Roman" w:hAnsi="Times New Roman"/>
          <w:color w:val="000000"/>
          <w:sz w:val="24"/>
        </w:rPr>
      </w:pPr>
    </w:p>
    <w:p w14:paraId="0345AC0B" w14:textId="77777777" w:rsidR="009F00AF" w:rsidRDefault="009F00AF" w:rsidP="009F00AF">
      <w:pPr>
        <w:pStyle w:val="NormalWeb"/>
        <w:numPr>
          <w:ilvl w:val="0"/>
          <w:numId w:val="3"/>
        </w:numPr>
        <w:spacing w:before="0"/>
        <w:ind w:left="284" w:hanging="284"/>
        <w:jc w:val="both"/>
        <w:rPr>
          <w:rFonts w:ascii="Times New Roman" w:hAnsi="Times New Roman"/>
          <w:sz w:val="24"/>
        </w:rPr>
      </w:pPr>
      <w:r w:rsidRPr="0096645F">
        <w:rPr>
          <w:rFonts w:ascii="Times New Roman" w:hAnsi="Times New Roman"/>
          <w:color w:val="000000"/>
          <w:sz w:val="24"/>
        </w:rPr>
        <w:t xml:space="preserve">Conflict related gender-based violence: </w:t>
      </w:r>
      <w:r w:rsidRPr="0096645F">
        <w:rPr>
          <w:rFonts w:ascii="Times New Roman" w:hAnsi="Times New Roman"/>
          <w:color w:val="000000"/>
          <w:sz w:val="24"/>
          <w:shd w:val="clear" w:color="auto" w:fill="FFFFFF"/>
        </w:rPr>
        <w:t>Conflict can result in higher levels of gender-based violence against </w:t>
      </w:r>
      <w:r w:rsidRPr="0096645F">
        <w:rPr>
          <w:rStyle w:val="Strong"/>
          <w:rFonts w:ascii="Times New Roman" w:hAnsi="Times New Roman"/>
          <w:color w:val="000000"/>
          <w:sz w:val="24"/>
          <w:shd w:val="clear" w:color="auto" w:fill="FFFFFF"/>
        </w:rPr>
        <w:t>women and girls</w:t>
      </w:r>
      <w:r w:rsidRPr="0096645F">
        <w:rPr>
          <w:rFonts w:ascii="Times New Roman" w:hAnsi="Times New Roman"/>
          <w:color w:val="000000"/>
          <w:sz w:val="24"/>
          <w:shd w:val="clear" w:color="auto" w:fill="FFFFFF"/>
        </w:rPr>
        <w:t>, including arbitrary killings, torture, </w:t>
      </w:r>
      <w:r w:rsidRPr="0096645F">
        <w:rPr>
          <w:rStyle w:val="Strong"/>
          <w:rFonts w:ascii="Times New Roman" w:hAnsi="Times New Roman"/>
          <w:color w:val="000000"/>
          <w:sz w:val="24"/>
          <w:shd w:val="clear" w:color="auto" w:fill="FFFFFF"/>
        </w:rPr>
        <w:t>sexual violence</w:t>
      </w:r>
      <w:r w:rsidRPr="0096645F">
        <w:rPr>
          <w:rFonts w:ascii="Times New Roman" w:hAnsi="Times New Roman"/>
          <w:color w:val="000000"/>
          <w:sz w:val="24"/>
          <w:shd w:val="clear" w:color="auto" w:fill="FFFFFF"/>
        </w:rPr>
        <w:t> and forced marriage. Women and girls are primarily and increasingly targeted by the use of sexual violence, including as a tactic of war. M</w:t>
      </w:r>
      <w:r w:rsidRPr="0096645F">
        <w:rPr>
          <w:rStyle w:val="Strong"/>
          <w:rFonts w:ascii="Times New Roman" w:hAnsi="Times New Roman"/>
          <w:color w:val="000000"/>
          <w:sz w:val="24"/>
          <w:shd w:val="clear" w:color="auto" w:fill="FFFFFF"/>
        </w:rPr>
        <w:t>en and boys</w:t>
      </w:r>
      <w:r w:rsidRPr="0096645F">
        <w:rPr>
          <w:rFonts w:ascii="Times New Roman" w:hAnsi="Times New Roman"/>
          <w:color w:val="000000"/>
          <w:sz w:val="24"/>
          <w:shd w:val="clear" w:color="auto" w:fill="FFFFFF"/>
        </w:rPr>
        <w:t xml:space="preserve"> have also been victims of sexual violence, especially in contexts of detention. </w:t>
      </w:r>
      <w:r w:rsidRPr="0096645F">
        <w:rPr>
          <w:rFonts w:ascii="Times New Roman" w:hAnsi="Times New Roman"/>
          <w:i/>
          <w:color w:val="000000"/>
          <w:sz w:val="24"/>
        </w:rPr>
        <w:t>Conflict related sexual violence</w:t>
      </w:r>
      <w:r w:rsidRPr="0096645F">
        <w:rPr>
          <w:rFonts w:ascii="Times New Roman" w:hAnsi="Times New Roman"/>
          <w:color w:val="000000"/>
          <w:sz w:val="24"/>
        </w:rPr>
        <w:t xml:space="preserve"> refers to </w:t>
      </w:r>
      <w:r w:rsidRPr="0096645F">
        <w:rPr>
          <w:rFonts w:ascii="Times New Roman" w:hAnsi="Times New Roman"/>
          <w:noProof/>
          <w:sz w:val="24"/>
        </w:rPr>
        <w:t>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w:t>
      </w:r>
      <w:r w:rsidRPr="0096645F">
        <w:rPr>
          <w:rFonts w:ascii="Times New Roman" w:hAnsi="Times New Roman"/>
          <w:sz w:val="24"/>
        </w:rPr>
        <w:t xml:space="preserve"> (</w:t>
      </w:r>
      <w:r w:rsidRPr="0096645F">
        <w:rPr>
          <w:rFonts w:ascii="Times New Roman" w:hAnsi="Times New Roman"/>
          <w:noProof/>
          <w:sz w:val="24"/>
        </w:rPr>
        <w:t>Report of the Secretary General</w:t>
      </w:r>
      <w:r w:rsidRPr="0096645F">
        <w:rPr>
          <w:rFonts w:ascii="Times New Roman" w:hAnsi="Times New Roman"/>
          <w:sz w:val="24"/>
        </w:rPr>
        <w:t xml:space="preserve"> </w:t>
      </w:r>
      <w:hyperlink r:id="rId21" w:history="1">
        <w:r w:rsidRPr="0096645F">
          <w:rPr>
            <w:rStyle w:val="Hyperlink"/>
            <w:rFonts w:ascii="Times New Roman" w:hAnsi="Times New Roman"/>
            <w:noProof/>
            <w:sz w:val="24"/>
          </w:rPr>
          <w:t>S/2019/280</w:t>
        </w:r>
      </w:hyperlink>
      <w:r w:rsidRPr="0096645F">
        <w:rPr>
          <w:rFonts w:ascii="Times New Roman" w:hAnsi="Times New Roman"/>
          <w:noProof/>
          <w:sz w:val="24"/>
        </w:rPr>
        <w:t>, 2019.)</w:t>
      </w:r>
    </w:p>
    <w:p w14:paraId="22E5CC7C" w14:textId="77777777" w:rsidR="009F00AF" w:rsidRPr="0096645F" w:rsidRDefault="009F00AF" w:rsidP="009F00AF">
      <w:pPr>
        <w:pStyle w:val="NormalWeb"/>
        <w:spacing w:before="0"/>
        <w:ind w:left="717"/>
        <w:jc w:val="both"/>
        <w:rPr>
          <w:rFonts w:ascii="Times New Roman" w:hAnsi="Times New Roman"/>
          <w:sz w:val="24"/>
        </w:rPr>
      </w:pPr>
    </w:p>
    <w:p w14:paraId="64E26426" w14:textId="77777777" w:rsidR="009F00AF" w:rsidRPr="00BF191F" w:rsidRDefault="009F00AF" w:rsidP="009F00AF">
      <w:pPr>
        <w:pStyle w:val="NormalWeb"/>
        <w:numPr>
          <w:ilvl w:val="0"/>
          <w:numId w:val="3"/>
        </w:numPr>
        <w:spacing w:before="0"/>
        <w:ind w:left="284" w:hanging="284"/>
        <w:jc w:val="both"/>
        <w:rPr>
          <w:rFonts w:ascii="Times New Roman" w:hAnsi="Times New Roman"/>
          <w:color w:val="000000"/>
          <w:sz w:val="24"/>
        </w:rPr>
      </w:pPr>
      <w:r w:rsidRPr="00BF191F">
        <w:rPr>
          <w:rFonts w:ascii="Times New Roman" w:hAnsi="Times New Roman"/>
          <w:color w:val="000000"/>
          <w:sz w:val="24"/>
        </w:rPr>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14:paraId="5C28F200" w14:textId="77777777" w:rsidR="009F00AF" w:rsidRPr="00BF191F" w:rsidRDefault="009F00AF" w:rsidP="009F00AF">
      <w:pPr>
        <w:jc w:val="both"/>
        <w:rPr>
          <w:rFonts w:eastAsia="Helvetica Neue"/>
          <w:color w:val="000000"/>
          <w:sz w:val="24"/>
          <w:szCs w:val="24"/>
          <w:lang w:val="en"/>
        </w:rPr>
      </w:pPr>
    </w:p>
    <w:p w14:paraId="29D8CEEE" w14:textId="77777777" w:rsidR="00BE02E5" w:rsidRPr="009F00AF" w:rsidRDefault="00BE02E5">
      <w:pPr>
        <w:rPr>
          <w:lang w:val="en"/>
        </w:rPr>
      </w:pPr>
    </w:p>
    <w:sectPr w:rsidR="00BE02E5" w:rsidRPr="009F00AF" w:rsidSect="00BE02E5">
      <w:footerReference w:type="default" r:id="rId22"/>
      <w:headerReference w:type="first" r:id="rId23"/>
      <w:footerReference w:type="first" r:id="rId2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41BC5" w14:textId="77777777" w:rsidR="009F41AF" w:rsidRDefault="009F41AF" w:rsidP="009F00AF">
      <w:r>
        <w:separator/>
      </w:r>
    </w:p>
  </w:endnote>
  <w:endnote w:type="continuationSeparator" w:id="0">
    <w:p w14:paraId="2CD8B1B0" w14:textId="77777777" w:rsidR="009F41AF" w:rsidRDefault="009F41AF"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yriadPro-Regular">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7A3C53A8" w:rsidR="00907CFA" w:rsidRDefault="00907CFA">
        <w:pPr>
          <w:pStyle w:val="Footer"/>
          <w:jc w:val="center"/>
        </w:pPr>
        <w:r>
          <w:fldChar w:fldCharType="begin"/>
        </w:r>
        <w:r>
          <w:instrText xml:space="preserve"> PAGE   \* MERGEFORMAT </w:instrText>
        </w:r>
        <w:r>
          <w:fldChar w:fldCharType="separate"/>
        </w:r>
        <w:r w:rsidR="005479C4">
          <w:rPr>
            <w:noProof/>
          </w:rPr>
          <w:t>2</w:t>
        </w:r>
        <w:r>
          <w:rPr>
            <w:noProof/>
          </w:rPr>
          <w:fldChar w:fldCharType="end"/>
        </w:r>
      </w:p>
    </w:sdtContent>
  </w:sdt>
  <w:p w14:paraId="5A6E9ADE" w14:textId="77777777" w:rsidR="00907CFA" w:rsidRDefault="00907CFA" w:rsidP="00BE02E5">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907CFA" w:rsidRPr="003F10CA" w:rsidRDefault="00907CFA" w:rsidP="00BE02E5">
    <w:pPr>
      <w:pStyle w:val="Footer"/>
      <w:tabs>
        <w:tab w:val="left" w:pos="567"/>
      </w:tabs>
    </w:pPr>
    <w:r w:rsidRPr="00904039">
      <w:rPr>
        <w:sz w:val="24"/>
      </w:rPr>
      <w:t xml:space="preserve"> </w:t>
    </w:r>
  </w:p>
  <w:p w14:paraId="2C78BA67" w14:textId="77777777" w:rsidR="00907CFA" w:rsidRPr="00282983" w:rsidRDefault="00907CFA" w:rsidP="00BE02E5">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ABC37" w14:textId="77777777" w:rsidR="009F41AF" w:rsidRDefault="009F41AF" w:rsidP="009F00AF">
      <w:r>
        <w:separator/>
      </w:r>
    </w:p>
  </w:footnote>
  <w:footnote w:type="continuationSeparator" w:id="0">
    <w:p w14:paraId="093195DC" w14:textId="77777777" w:rsidR="009F41AF" w:rsidRDefault="009F41AF" w:rsidP="009F00AF">
      <w:r>
        <w:continuationSeparator/>
      </w:r>
    </w:p>
  </w:footnote>
  <w:footnote w:id="1">
    <w:p w14:paraId="2CD0F89C" w14:textId="64C1AA93" w:rsidR="00907CFA" w:rsidRPr="003E3FCF" w:rsidRDefault="00907CFA">
      <w:pPr>
        <w:pStyle w:val="FootnoteText"/>
      </w:pPr>
      <w:r w:rsidRPr="00D90F79">
        <w:rPr>
          <w:rStyle w:val="FootnoteReference"/>
        </w:rPr>
        <w:footnoteRef/>
      </w:r>
      <w:r w:rsidRPr="00D90F79">
        <w:t xml:space="preserve"> </w:t>
      </w:r>
      <w:bookmarkStart w:id="6" w:name="_Hlk92973355"/>
      <w:r w:rsidRPr="00D90F79">
        <w:t xml:space="preserve">Dan Christian Ghattas, </w:t>
      </w:r>
      <w:r w:rsidRPr="00D90F79">
        <w:rPr>
          <w:i/>
        </w:rPr>
        <w:t>Protecting Intersex people in Europe. A toolkit for law and policy makers. With digital Appendix and Checklist</w:t>
      </w:r>
      <w:r w:rsidRPr="00D90F79">
        <w:t xml:space="preserve"> (ILGA-Europe and OII Europe, 2019), 9, available at </w:t>
      </w:r>
      <w:r>
        <w:t>&lt;</w:t>
      </w:r>
      <w:hyperlink r:id="rId1" w:history="1">
        <w:r w:rsidRPr="001D53E5">
          <w:rPr>
            <w:rStyle w:val="Hyperlink"/>
          </w:rPr>
          <w:t>https://oiieurope.org/library-en/toolkit-cat/legal-toolkit/</w:t>
        </w:r>
      </w:hyperlink>
      <w:bookmarkStart w:id="7" w:name="_Hlk93271946"/>
      <w:bookmarkEnd w:id="6"/>
      <w:r>
        <w:t>&gt;</w:t>
      </w:r>
      <w:bookmarkEnd w:id="7"/>
      <w:r>
        <w:t xml:space="preserve">. Up </w:t>
      </w:r>
      <w:r w:rsidRPr="003E3FCF">
        <w:t>to 1,7 % of the global population is intersex</w:t>
      </w:r>
      <w:r>
        <w:t>: s</w:t>
      </w:r>
      <w:r w:rsidRPr="003E3FCF">
        <w:t xml:space="preserve">ee the United Nations Office of the High Commissioner for Human Rights, </w:t>
      </w:r>
      <w:r w:rsidRPr="003E3FCF">
        <w:rPr>
          <w:i/>
          <w:iCs/>
        </w:rPr>
        <w:t>Fact Sheet. Intersex</w:t>
      </w:r>
      <w:r w:rsidRPr="003E3FCF">
        <w:t xml:space="preserve"> (2015), available at </w:t>
      </w:r>
      <w:r>
        <w:t>&lt;</w:t>
      </w:r>
      <w:hyperlink r:id="rId2" w:history="1">
        <w:r w:rsidRPr="001D53E5">
          <w:rPr>
            <w:rStyle w:val="Hyperlink"/>
          </w:rPr>
          <w:t>https://unfe.org/system/unfe-65-Intersex_Factsheet_ENGLISH.pdf</w:t>
        </w:r>
      </w:hyperlink>
      <w:r w:rsidRPr="00F149BF">
        <w:t>&gt;</w:t>
      </w:r>
      <w:r>
        <w:t xml:space="preserve">. This </w:t>
      </w:r>
      <w:r w:rsidRPr="00B16795">
        <w:t>equals about 134 million intersex people globally</w:t>
      </w:r>
      <w:r>
        <w:t>, b</w:t>
      </w:r>
      <w:r w:rsidRPr="00B16795">
        <w:t xml:space="preserve">ased on the world population estimates of about 7.916.333.000 people in January 2022 as per </w:t>
      </w:r>
      <w:r>
        <w:t>&lt;</w:t>
      </w:r>
      <w:hyperlink r:id="rId3" w:history="1">
        <w:r w:rsidRPr="001D53E5">
          <w:rPr>
            <w:rStyle w:val="Hyperlink"/>
          </w:rPr>
          <w:t>https://worldpopulationprospects.info/</w:t>
        </w:r>
      </w:hyperlink>
      <w:r w:rsidRPr="00F149BF">
        <w:t>&gt;</w:t>
      </w:r>
      <w:r w:rsidRPr="00B16795">
        <w:t xml:space="preserve"> accessed 12.01.2022</w:t>
      </w:r>
      <w:r>
        <w:t>.</w:t>
      </w:r>
    </w:p>
  </w:footnote>
  <w:footnote w:id="2">
    <w:p w14:paraId="372164DF" w14:textId="28135ECC" w:rsidR="00907CFA" w:rsidRPr="00C75D8F" w:rsidRDefault="00907CFA">
      <w:pPr>
        <w:pStyle w:val="FootnoteText"/>
      </w:pPr>
      <w:bookmarkStart w:id="8" w:name="_Hlk92912461"/>
      <w:r>
        <w:rPr>
          <w:rStyle w:val="FootnoteReference"/>
        </w:rPr>
        <w:footnoteRef/>
      </w:r>
      <w:r>
        <w:t xml:space="preserve"> </w:t>
      </w:r>
      <w:r w:rsidRPr="00C75D8F">
        <w:t>European Union Agency for Fundamental Rights</w:t>
      </w:r>
      <w:r>
        <w:t xml:space="preserve">, </w:t>
      </w:r>
      <w:r w:rsidRPr="00C75D8F">
        <w:rPr>
          <w:i/>
        </w:rPr>
        <w:t>A long way to go for LGBTI equality</w:t>
      </w:r>
      <w:r>
        <w:t xml:space="preserve"> (14 May 2020),</w:t>
      </w:r>
      <w:r w:rsidRPr="00C75D8F">
        <w:t xml:space="preserve"> available at </w:t>
      </w:r>
      <w:r>
        <w:t>&lt;</w:t>
      </w:r>
      <w:hyperlink r:id="rId4" w:history="1">
        <w:r w:rsidRPr="001D53E5">
          <w:rPr>
            <w:rStyle w:val="Hyperlink"/>
          </w:rPr>
          <w:t>https://fra.europa.eu/en/publication/2020/eu-lgbti-survey-results</w:t>
        </w:r>
      </w:hyperlink>
      <w:bookmarkEnd w:id="8"/>
      <w:r w:rsidRPr="00F149BF">
        <w:t>&gt;</w:t>
      </w:r>
      <w:r w:rsidRPr="00C75D8F">
        <w:t>. All figures quoted from here on are the result of our own research through the Data Explorer, unless otherwise specified</w:t>
      </w:r>
      <w:r>
        <w:t>.</w:t>
      </w:r>
    </w:p>
  </w:footnote>
  <w:footnote w:id="3">
    <w:p w14:paraId="4AFA3220" w14:textId="0FBD4D5D" w:rsidR="00907CFA" w:rsidRPr="006E2248" w:rsidRDefault="00907CFA">
      <w:pPr>
        <w:pStyle w:val="FootnoteText"/>
      </w:pPr>
      <w:r>
        <w:rPr>
          <w:rStyle w:val="FootnoteReference"/>
        </w:rPr>
        <w:footnoteRef/>
      </w:r>
      <w:r>
        <w:t xml:space="preserve"> </w:t>
      </w:r>
      <w:r w:rsidRPr="006E2248">
        <w:t>See OII Europe infographic based on LGBTI Survey Data Explorer available at</w:t>
      </w:r>
      <w:r>
        <w:t xml:space="preserve"> &lt;</w:t>
      </w:r>
      <w:hyperlink r:id="rId5" w:history="1">
        <w:r w:rsidRPr="001D53E5">
          <w:rPr>
            <w:rStyle w:val="Hyperlink"/>
          </w:rPr>
          <w:t>https://oiieurope.org/physical-violence-and-harassment/</w:t>
        </w:r>
      </w:hyperlink>
      <w:r w:rsidRPr="00F149BF">
        <w:t>&gt;</w:t>
      </w:r>
      <w:r>
        <w:t>.</w:t>
      </w:r>
    </w:p>
  </w:footnote>
  <w:footnote w:id="4">
    <w:p w14:paraId="309B8A0F" w14:textId="6535579C" w:rsidR="00907CFA" w:rsidRPr="00942D00" w:rsidRDefault="00907CFA">
      <w:pPr>
        <w:pStyle w:val="FootnoteText"/>
      </w:pPr>
      <w:r>
        <w:rPr>
          <w:rStyle w:val="FootnoteReference"/>
        </w:rPr>
        <w:footnoteRef/>
      </w:r>
      <w:r>
        <w:t xml:space="preserve"> </w:t>
      </w:r>
      <w:r w:rsidRPr="00942D00">
        <w:t xml:space="preserve">See OII Europe infographic based on LGBTI Survey Data Explorer available at </w:t>
      </w:r>
      <w:r>
        <w:t>&lt;</w:t>
      </w:r>
      <w:hyperlink r:id="rId6" w:history="1">
        <w:r w:rsidRPr="001D53E5">
          <w:rPr>
            <w:rStyle w:val="Hyperlink"/>
          </w:rPr>
          <w:t>https://oiieurope.org/intersex-youth/</w:t>
        </w:r>
      </w:hyperlink>
      <w:r w:rsidRPr="00F149BF">
        <w:t>&gt;</w:t>
      </w:r>
      <w:r>
        <w:t>.</w:t>
      </w:r>
    </w:p>
  </w:footnote>
  <w:footnote w:id="5">
    <w:p w14:paraId="00847B84" w14:textId="1999CE11" w:rsidR="00907CFA" w:rsidRPr="008A6810" w:rsidRDefault="00907CFA">
      <w:pPr>
        <w:pStyle w:val="FootnoteText"/>
      </w:pPr>
      <w:r>
        <w:rPr>
          <w:rStyle w:val="FootnoteReference"/>
        </w:rPr>
        <w:footnoteRef/>
      </w:r>
      <w:r>
        <w:t xml:space="preserve"> </w:t>
      </w:r>
      <w:r w:rsidRPr="008A6810">
        <w:t>On the negative impact of hate crime on the victims and the community, also see Equality and Diversity Forum / Aziz Foundation</w:t>
      </w:r>
      <w:r>
        <w:t xml:space="preserve">, </w:t>
      </w:r>
      <w:r w:rsidRPr="008A6810">
        <w:rPr>
          <w:i/>
        </w:rPr>
        <w:t>Hate Crime: Cause and Effect. A research synthesis</w:t>
      </w:r>
      <w:r>
        <w:rPr>
          <w:i/>
        </w:rPr>
        <w:t xml:space="preserve"> </w:t>
      </w:r>
      <w:r w:rsidRPr="008A6810">
        <w:t>(</w:t>
      </w:r>
      <w:r>
        <w:t xml:space="preserve">October </w:t>
      </w:r>
      <w:r w:rsidRPr="008A6810">
        <w:t>2018),</w:t>
      </w:r>
      <w:r>
        <w:t xml:space="preserve"> 6, </w:t>
      </w:r>
      <w:r w:rsidRPr="008A6810">
        <w:t xml:space="preserve">available at </w:t>
      </w:r>
      <w:r>
        <w:t>&lt;</w:t>
      </w:r>
      <w:hyperlink r:id="rId7" w:history="1">
        <w:r w:rsidRPr="001D53E5">
          <w:rPr>
            <w:rStyle w:val="Hyperlink"/>
          </w:rPr>
          <w:t>https://www.equallyours.org.uk/wp-content/uploads/2018/10/Hate-crime-cause-and-effect.pdf</w:t>
        </w:r>
      </w:hyperlink>
      <w:r w:rsidRPr="00F149BF">
        <w:t>&gt;</w:t>
      </w:r>
      <w:r>
        <w:t xml:space="preserve">. </w:t>
      </w:r>
      <w:r w:rsidRPr="008A6810">
        <w:t>See also research referenced there</w:t>
      </w:r>
      <w:r>
        <w:t>.</w:t>
      </w:r>
    </w:p>
  </w:footnote>
  <w:footnote w:id="6">
    <w:p w14:paraId="36085BA1" w14:textId="2643031A" w:rsidR="00907CFA" w:rsidRPr="008A6810" w:rsidRDefault="00907CFA">
      <w:pPr>
        <w:pStyle w:val="FootnoteText"/>
      </w:pPr>
      <w:r>
        <w:rPr>
          <w:rStyle w:val="FootnoteReference"/>
        </w:rPr>
        <w:footnoteRef/>
      </w:r>
      <w:r>
        <w:t xml:space="preserve"> </w:t>
      </w:r>
      <w:r w:rsidRPr="00C55643">
        <w:t xml:space="preserve">See OII Europe infographic based on LGBTI Survey Data Explorer available at </w:t>
      </w:r>
      <w:r>
        <w:t>&lt;</w:t>
      </w:r>
      <w:hyperlink r:id="rId8" w:history="1">
        <w:r w:rsidRPr="001D53E5">
          <w:rPr>
            <w:rStyle w:val="Hyperlink"/>
          </w:rPr>
          <w:t>https://oiieurope.org/intersex-youth/</w:t>
        </w:r>
      </w:hyperlink>
      <w:r w:rsidRPr="00F149BF">
        <w:t>&gt;</w:t>
      </w:r>
      <w:r>
        <w:t>.</w:t>
      </w:r>
    </w:p>
  </w:footnote>
  <w:footnote w:id="7">
    <w:p w14:paraId="63B4F540" w14:textId="07039090" w:rsidR="00907CFA" w:rsidRPr="00F50BC2" w:rsidRDefault="00907CFA">
      <w:pPr>
        <w:pStyle w:val="FootnoteText"/>
      </w:pPr>
      <w:r>
        <w:rPr>
          <w:rStyle w:val="FootnoteReference"/>
        </w:rPr>
        <w:footnoteRef/>
      </w:r>
      <w:r>
        <w:t xml:space="preserve"> </w:t>
      </w:r>
      <w:r w:rsidRPr="00F50BC2">
        <w:t>W</w:t>
      </w:r>
      <w:r>
        <w:t>ith the addition of UK, North Macedonia and Serbia.</w:t>
      </w:r>
    </w:p>
  </w:footnote>
  <w:footnote w:id="8">
    <w:p w14:paraId="62F435AF" w14:textId="3D5BA65E" w:rsidR="00907CFA" w:rsidRPr="008C75C0" w:rsidRDefault="00907CFA">
      <w:pPr>
        <w:pStyle w:val="FootnoteText"/>
        <w:rPr>
          <w:lang w:val="en"/>
        </w:rPr>
      </w:pPr>
      <w:r>
        <w:rPr>
          <w:rStyle w:val="FootnoteReference"/>
        </w:rPr>
        <w:footnoteRef/>
      </w:r>
      <w:r>
        <w:t xml:space="preserve"> See OII Europe submission to the European Commission public consultation for its initiative on hate crime and hate speech: OII Europe, </w:t>
      </w:r>
      <w:r w:rsidRPr="008C75C0">
        <w:rPr>
          <w:i/>
          <w:iCs/>
          <w:lang w:val="en"/>
        </w:rPr>
        <w:t>Towards an extension of the list of EU crimes to hate speech and hate crime</w:t>
      </w:r>
      <w:r>
        <w:rPr>
          <w:lang w:val="en"/>
        </w:rPr>
        <w:t xml:space="preserve"> (20.04.2021), 11-14, 41-42 and Annexes I and II, available at &lt;</w:t>
      </w:r>
      <w:hyperlink r:id="rId9" w:history="1">
        <w:r w:rsidRPr="001D53E5">
          <w:rPr>
            <w:rStyle w:val="Hyperlink"/>
            <w:lang w:val="en"/>
          </w:rPr>
          <w:t>https://oiieurope.org/wp-content/uploads/2021/05/OII-Europe-Submission_Extension-Hate-Speech-and-Crime_FINAL.pdf</w:t>
        </w:r>
      </w:hyperlink>
      <w:r w:rsidRPr="00F149BF">
        <w:rPr>
          <w:lang w:val="en"/>
        </w:rPr>
        <w:t>&gt;</w:t>
      </w:r>
      <w:r>
        <w:rPr>
          <w:lang w:val="en"/>
        </w:rPr>
        <w:t xml:space="preserve">. </w:t>
      </w:r>
    </w:p>
  </w:footnote>
  <w:footnote w:id="9">
    <w:p w14:paraId="11AE6016" w14:textId="000A4AA8" w:rsidR="00907CFA" w:rsidRPr="00CF3C95" w:rsidRDefault="00907CFA">
      <w:pPr>
        <w:pStyle w:val="FootnoteText"/>
        <w:rPr>
          <w:i/>
          <w:iCs/>
        </w:rPr>
      </w:pPr>
      <w:r>
        <w:rPr>
          <w:rStyle w:val="FootnoteReference"/>
        </w:rPr>
        <w:footnoteRef/>
      </w:r>
      <w:r>
        <w:t xml:space="preserve"> </w:t>
      </w:r>
      <w:r>
        <w:rPr>
          <w:i/>
          <w:iCs/>
        </w:rPr>
        <w:t xml:space="preserve">Ibidem, </w:t>
      </w:r>
      <w:r w:rsidRPr="00997398">
        <w:t>14-15, 30-31</w:t>
      </w:r>
      <w:r>
        <w:t>.</w:t>
      </w:r>
    </w:p>
  </w:footnote>
  <w:footnote w:id="10">
    <w:p w14:paraId="2F39E605" w14:textId="25DEAEBA" w:rsidR="00907CFA" w:rsidRPr="00CF3C95" w:rsidRDefault="00907CFA">
      <w:pPr>
        <w:pStyle w:val="FootnoteText"/>
      </w:pPr>
      <w:r>
        <w:rPr>
          <w:rStyle w:val="FootnoteReference"/>
        </w:rPr>
        <w:footnoteRef/>
      </w:r>
      <w:r>
        <w:t xml:space="preserve"> </w:t>
      </w:r>
      <w:r>
        <w:rPr>
          <w:i/>
          <w:iCs/>
        </w:rPr>
        <w:t xml:space="preserve">Ibidem, </w:t>
      </w:r>
      <w:r>
        <w:t>38-40.</w:t>
      </w:r>
    </w:p>
  </w:footnote>
  <w:footnote w:id="11">
    <w:p w14:paraId="10E3A4BC" w14:textId="6AE1E90A" w:rsidR="00907CFA" w:rsidRPr="00CF3C95" w:rsidRDefault="00907CFA">
      <w:pPr>
        <w:pStyle w:val="FootnoteText"/>
      </w:pPr>
      <w:r>
        <w:rPr>
          <w:rStyle w:val="FootnoteReference"/>
        </w:rPr>
        <w:footnoteRef/>
      </w:r>
      <w:r>
        <w:t xml:space="preserve"> </w:t>
      </w:r>
      <w:r w:rsidRPr="00FD6BE7">
        <w:rPr>
          <w:i/>
          <w:iCs/>
        </w:rPr>
        <w:t xml:space="preserve">Ibidem, </w:t>
      </w:r>
      <w:r>
        <w:t>25-27.</w:t>
      </w:r>
    </w:p>
  </w:footnote>
  <w:footnote w:id="12">
    <w:p w14:paraId="7B900819" w14:textId="19948156" w:rsidR="00907CFA" w:rsidRPr="002B1430" w:rsidRDefault="00907CFA" w:rsidP="006B1FEE">
      <w:pPr>
        <w:pStyle w:val="FootnoteText"/>
      </w:pPr>
      <w:r>
        <w:rPr>
          <w:rStyle w:val="FootnoteReference"/>
        </w:rPr>
        <w:footnoteRef/>
      </w:r>
      <w:r>
        <w:t xml:space="preserve"> </w:t>
      </w:r>
      <w:r w:rsidRPr="006B1FEE">
        <w:t>OII Europe</w:t>
      </w:r>
      <w:r>
        <w:t>,</w:t>
      </w:r>
      <w:r w:rsidRPr="006B1FEE">
        <w:t xml:space="preserve"> </w:t>
      </w:r>
      <w:r w:rsidRPr="006B1FEE">
        <w:rPr>
          <w:i/>
          <w:iCs/>
        </w:rPr>
        <w:t xml:space="preserve">COVID-19. A report on the situation of intersex people in Europe and Central Asia. </w:t>
      </w:r>
      <w:r w:rsidRPr="006B1FEE">
        <w:t>Authored by Dan Christian Ghattas, with Irene Kuzemko. Questionnaire developed by Irene Kuzemko</w:t>
      </w:r>
      <w:r>
        <w:t xml:space="preserve"> (</w:t>
      </w:r>
      <w:r w:rsidRPr="006B1FEE">
        <w:t>Berlin</w:t>
      </w:r>
      <w:r>
        <w:t>, 2020), 34, a</w:t>
      </w:r>
      <w:r w:rsidRPr="006B1FEE">
        <w:t xml:space="preserve">vailable </w:t>
      </w:r>
      <w:r>
        <w:t>at</w:t>
      </w:r>
      <w:r w:rsidRPr="006B1FEE">
        <w:t xml:space="preserve"> </w:t>
      </w:r>
      <w:r>
        <w:t>&lt;</w:t>
      </w:r>
      <w:hyperlink r:id="rId10" w:history="1">
        <w:r w:rsidRPr="001D53E5">
          <w:rPr>
            <w:rStyle w:val="Hyperlink"/>
          </w:rPr>
          <w:t>https://www.oiieurope.org/covid-19-survey-report/</w:t>
        </w:r>
      </w:hyperlink>
      <w:r w:rsidRPr="00F149BF">
        <w:t>&gt;</w:t>
      </w:r>
      <w:r>
        <w:t xml:space="preserve">. </w:t>
      </w:r>
    </w:p>
  </w:footnote>
  <w:footnote w:id="13">
    <w:p w14:paraId="58C6F20C" w14:textId="20FB3892" w:rsidR="00907CFA" w:rsidRPr="00837C13" w:rsidRDefault="00907CFA">
      <w:pPr>
        <w:pStyle w:val="FootnoteText"/>
      </w:pPr>
      <w:r>
        <w:rPr>
          <w:rStyle w:val="FootnoteReference"/>
        </w:rPr>
        <w:footnoteRef/>
      </w:r>
      <w:r w:rsidRPr="00837C13">
        <w:t xml:space="preserve"> </w:t>
      </w:r>
      <w:r w:rsidRPr="00393034">
        <w:t>The Yogyakarta Principles + 10</w:t>
      </w:r>
      <w:r w:rsidRPr="00837C13">
        <w:t xml:space="preserve"> (Geneva, 10 November 2017</w:t>
      </w:r>
      <w:r>
        <w:t>), available at</w:t>
      </w:r>
      <w:r w:rsidRPr="00837C13">
        <w:t xml:space="preserve"> </w:t>
      </w:r>
      <w:r>
        <w:t>&lt;</w:t>
      </w:r>
      <w:hyperlink r:id="rId11" w:history="1">
        <w:r w:rsidRPr="001D53E5">
          <w:rPr>
            <w:rStyle w:val="Hyperlink"/>
          </w:rPr>
          <w:t>http://yogyakartaprinciples.org/wp-content/uploads/2017/11/A5_yogyakartaWEB-2.pdf</w:t>
        </w:r>
      </w:hyperlink>
      <w:r w:rsidRPr="00F149BF">
        <w:t>&gt;</w:t>
      </w:r>
      <w:r>
        <w:t xml:space="preserve">. </w:t>
      </w:r>
    </w:p>
  </w:footnote>
  <w:footnote w:id="14">
    <w:p w14:paraId="353291DE" w14:textId="4F9EC79F" w:rsidR="00907CFA" w:rsidRPr="00CF3C95" w:rsidRDefault="00907CFA" w:rsidP="0010744D">
      <w:pPr>
        <w:pStyle w:val="FootnoteText"/>
      </w:pPr>
      <w:r>
        <w:rPr>
          <w:rStyle w:val="FootnoteReference"/>
        </w:rPr>
        <w:footnoteRef/>
      </w:r>
      <w:r w:rsidRPr="0010744D">
        <w:t xml:space="preserve"> Recommendation CM/Rec(2010)5</w:t>
      </w:r>
      <w:r>
        <w:t xml:space="preserve"> </w:t>
      </w:r>
      <w:r w:rsidRPr="0010744D">
        <w:t>of the Committee of Ministers to member states</w:t>
      </w:r>
      <w:r>
        <w:t xml:space="preserve"> </w:t>
      </w:r>
      <w:r w:rsidRPr="0010744D">
        <w:t>on measures to combat discrimination on grounds of sexual orientation or gender identity</w:t>
      </w:r>
      <w:r>
        <w:t xml:space="preserve"> (31 March 2010), available at &lt;</w:t>
      </w:r>
      <w:hyperlink r:id="rId12" w:history="1">
        <w:r w:rsidRPr="001D53E5">
          <w:rPr>
            <w:rStyle w:val="Hyperlink"/>
          </w:rPr>
          <w:t>https://search.coe.int/cm/Pages/result_details.aspx?ObjectID=09000016805cf40a</w:t>
        </w:r>
      </w:hyperlink>
      <w:r w:rsidRPr="00F149BF">
        <w:t>&gt;</w:t>
      </w:r>
      <w:r>
        <w:t xml:space="preserve">. </w:t>
      </w:r>
      <w:r w:rsidRPr="00CF3C95">
        <w:t>Unfortunately, it fails to include sex characteristics.</w:t>
      </w:r>
    </w:p>
  </w:footnote>
  <w:footnote w:id="15">
    <w:p w14:paraId="207F085F" w14:textId="754C9A30" w:rsidR="00907CFA" w:rsidRPr="00C91E29" w:rsidRDefault="00907CFA">
      <w:pPr>
        <w:pStyle w:val="FootnoteText"/>
      </w:pPr>
      <w:r>
        <w:rPr>
          <w:rStyle w:val="FootnoteReference"/>
        </w:rPr>
        <w:footnoteRef/>
      </w:r>
      <w:r w:rsidRPr="00C91E29">
        <w:t xml:space="preserve"> European Commission against Racism and Intolerance (ECRI)</w:t>
      </w:r>
      <w:r>
        <w:t xml:space="preserve">, </w:t>
      </w:r>
      <w:r w:rsidRPr="00C91E29">
        <w:rPr>
          <w:i/>
          <w:iCs/>
        </w:rPr>
        <w:t>ECRI General Policy Recommendations for Combatting Hate Speech</w:t>
      </w:r>
      <w:r>
        <w:t xml:space="preserve"> (8 December 2015), recommendation n. 10, available at </w:t>
      </w:r>
      <w:r w:rsidR="00311AC3">
        <w:t>&lt;</w:t>
      </w:r>
      <w:hyperlink r:id="rId13" w:history="1">
        <w:r w:rsidR="00311AC3" w:rsidRPr="00035C3D">
          <w:rPr>
            <w:rStyle w:val="Hyperlink"/>
          </w:rPr>
          <w:t>https://rm.coe.int/ecri-general-policy-recommendation-no-15-on-combating-hate-speech/16808b5b01</w:t>
        </w:r>
      </w:hyperlink>
      <w:r w:rsidR="00311AC3" w:rsidRPr="00F149BF">
        <w:t>&gt;</w:t>
      </w:r>
      <w:r>
        <w:t xml:space="preserve">  </w:t>
      </w:r>
    </w:p>
  </w:footnote>
  <w:footnote w:id="16">
    <w:p w14:paraId="4B9A0A8E" w14:textId="77777777" w:rsidR="00907CFA" w:rsidRPr="00755CBD" w:rsidRDefault="00907CFA" w:rsidP="00BE02E5">
      <w:pPr>
        <w:pStyle w:val="FootnoteText"/>
      </w:pPr>
      <w:r>
        <w:rPr>
          <w:rStyle w:val="FootnoteReference"/>
        </w:rPr>
        <w:footnoteRef/>
      </w:r>
      <w:r w:rsidRPr="00755CBD">
        <w:t xml:space="preserve"> See </w:t>
      </w:r>
      <w:r>
        <w:t>&lt;</w:t>
      </w:r>
      <w:hyperlink r:id="rId14" w:history="1">
        <w:r w:rsidRPr="001D53E5">
          <w:rPr>
            <w:rStyle w:val="Hyperlink"/>
          </w:rPr>
          <w:t>https://ec.europa.eu/info/law/better-regulation/have-your-say/initiatives/12872-Hate-speech-&amp;-hate-crime-inclusion-on-list-of-EU-crimes_en</w:t>
        </w:r>
      </w:hyperlink>
      <w:r w:rsidRPr="007B2B09">
        <w:t>&gt;.</w:t>
      </w:r>
      <w:r w:rsidRPr="00755CBD">
        <w:t xml:space="preserve"> </w:t>
      </w:r>
    </w:p>
  </w:footnote>
  <w:footnote w:id="17">
    <w:p w14:paraId="6F93C632" w14:textId="77777777" w:rsidR="00907CFA" w:rsidRPr="00755CBD" w:rsidRDefault="00907CFA" w:rsidP="00BE02E5">
      <w:pPr>
        <w:pStyle w:val="FootnoteText"/>
      </w:pPr>
      <w:r>
        <w:rPr>
          <w:rStyle w:val="FootnoteReference"/>
        </w:rPr>
        <w:footnoteRef/>
      </w:r>
      <w:r>
        <w:t xml:space="preserve"> </w:t>
      </w:r>
      <w:r w:rsidRPr="00755CBD">
        <w:t xml:space="preserve">European Commission, </w:t>
      </w:r>
      <w:r w:rsidRPr="00755CBD">
        <w:rPr>
          <w:i/>
          <w:iCs/>
        </w:rPr>
        <w:t>Union of Equality: LGBTIQ Equality Strategy 2020-2025</w:t>
      </w:r>
      <w:r>
        <w:rPr>
          <w:i/>
          <w:iCs/>
        </w:rPr>
        <w:t xml:space="preserve"> </w:t>
      </w:r>
      <w:r w:rsidRPr="00755CBD">
        <w:t xml:space="preserve">(Brussels, 12.11.2020), available at </w:t>
      </w:r>
      <w:r>
        <w:t>&lt;</w:t>
      </w:r>
      <w:hyperlink r:id="rId15" w:history="1">
        <w:r w:rsidRPr="001D53E5">
          <w:rPr>
            <w:rStyle w:val="Hyperlink"/>
          </w:rPr>
          <w:t>https://eur-lex.europa.eu/legal-content/EN/TXT/?uri=CELEX:52020DC0698</w:t>
        </w:r>
      </w:hyperlink>
      <w:r w:rsidRPr="007B2B09">
        <w:t>&gt;.</w:t>
      </w:r>
      <w:r>
        <w:rPr>
          <w:i/>
          <w:iCs/>
        </w:rPr>
        <w:t xml:space="preserve"> </w:t>
      </w:r>
    </w:p>
  </w:footnote>
  <w:footnote w:id="18">
    <w:p w14:paraId="47705936" w14:textId="195CF23C" w:rsidR="00907CFA" w:rsidRPr="00FD72B1" w:rsidRDefault="00907CFA" w:rsidP="00FD72B1">
      <w:pPr>
        <w:rPr>
          <w:lang w:val="fr-FR"/>
        </w:rPr>
      </w:pPr>
      <w:r w:rsidRPr="00FD72B1">
        <w:rPr>
          <w:vertAlign w:val="superscript"/>
        </w:rPr>
        <w:footnoteRef/>
      </w:r>
      <w:r w:rsidRPr="00FD72B1">
        <w:rPr>
          <w:lang w:val="fr-FR"/>
        </w:rPr>
        <w:t xml:space="preserve"> Malta: Gender Identity, Gender Expression and Sex Characteristics Act, 2015, Article 11(1-2) &lt;</w:t>
      </w:r>
      <w:hyperlink r:id="rId16">
        <w:r w:rsidRPr="00FD72B1">
          <w:rPr>
            <w:color w:val="1155CC"/>
            <w:u w:val="single"/>
            <w:lang w:val="fr-FR"/>
          </w:rPr>
          <w:t>https://legislation.mt/eli/cap/540/eng/pdf</w:t>
        </w:r>
      </w:hyperlink>
      <w:r w:rsidRPr="00FD72B1">
        <w:rPr>
          <w:lang w:val="fr-FR"/>
        </w:rPr>
        <w:t>&gt;; Greece, Criminal Code, Articles 81A and 361B &lt;</w:t>
      </w:r>
      <w:hyperlink r:id="rId17">
        <w:r w:rsidRPr="00FD72B1">
          <w:rPr>
            <w:color w:val="1155CC"/>
            <w:u w:val="single"/>
            <w:lang w:val="fr-FR"/>
          </w:rPr>
          <w:t>https://www.kodiko.gr/nomothesia/document/140974/nomos-4356-2015</w:t>
        </w:r>
      </w:hyperlink>
      <w:r w:rsidRPr="00FD72B1">
        <w:rPr>
          <w:lang w:val="fr-FR"/>
        </w:rPr>
        <w:t>&gt;; Belgium: 10 MAI 2007. - Loi tendant à lutter contre la discrimination entre les femmes et les hommes, amended by 4 FEVRIER 2020. - Loi modifiant la loi du 10 mai 2007 modifiant, en ce qui concerne l'interdiction de discrimination relative à la paternité ou à la comaternité, la loi du 10 mai 2007 tendant à lutter contre la discrimination entre les femmes et les hommes, Articles 4,28,28/1,28/2,29 &lt;</w:t>
      </w:r>
      <w:hyperlink r:id="rId18">
        <w:r w:rsidRPr="00FD72B1">
          <w:rPr>
            <w:color w:val="1155CC"/>
            <w:u w:val="single"/>
            <w:lang w:val="fr-FR"/>
          </w:rPr>
          <w:t>http://www.ejustice.just.fgov.be/cgi_loi/change_lg_2.pl?language=</w:t>
        </w:r>
      </w:hyperlink>
      <w:hyperlink r:id="rId19">
        <w:r w:rsidRPr="00FD72B1">
          <w:rPr>
            <w:color w:val="1155CC"/>
            <w:u w:val="single"/>
            <w:lang w:val="fr-FR"/>
          </w:rPr>
          <w:t>fr&amp;nm</w:t>
        </w:r>
      </w:hyperlink>
      <w:hyperlink r:id="rId20">
        <w:r w:rsidRPr="00FD72B1">
          <w:rPr>
            <w:color w:val="1155CC"/>
            <w:u w:val="single"/>
            <w:lang w:val="fr-FR"/>
          </w:rPr>
          <w:t>=2007002098&amp;la=F</w:t>
        </w:r>
      </w:hyperlink>
      <w:r w:rsidRPr="00FD72B1">
        <w:rPr>
          <w:lang w:val="fr-FR"/>
        </w:rPr>
        <w:t>&gt;</w:t>
      </w:r>
      <w:r>
        <w:rPr>
          <w:lang w:val="fr-FR"/>
        </w:rPr>
        <w:t>.</w:t>
      </w:r>
      <w:r w:rsidRPr="00FD72B1">
        <w:rPr>
          <w:lang w:val="fr-FR"/>
        </w:rPr>
        <w:t xml:space="preserve">  </w:t>
      </w:r>
    </w:p>
  </w:footnote>
  <w:footnote w:id="19">
    <w:p w14:paraId="3C1B3CB7" w14:textId="37DAE86A" w:rsidR="00907CFA" w:rsidRPr="00316B0F" w:rsidRDefault="00907CFA" w:rsidP="00FD72B1">
      <w:pPr>
        <w:rPr>
          <w:rFonts w:asciiTheme="minorHAnsi" w:hAnsiTheme="minorHAnsi" w:cstheme="minorHAnsi"/>
          <w:sz w:val="18"/>
          <w:szCs w:val="18"/>
          <w:lang w:val="fr-FR"/>
        </w:rPr>
      </w:pPr>
      <w:r w:rsidRPr="00FD72B1">
        <w:rPr>
          <w:vertAlign w:val="superscript"/>
        </w:rPr>
        <w:footnoteRef/>
      </w:r>
      <w:r w:rsidRPr="00FD72B1">
        <w:t xml:space="preserve"> Greece: Law 927/1979, as amended by article 7 of Law 4491/2017. </w:t>
      </w:r>
      <w:r w:rsidRPr="00FD72B1">
        <w:rPr>
          <w:lang w:val="fr-FR"/>
        </w:rPr>
        <w:t>Article 1</w:t>
      </w:r>
      <w:r>
        <w:rPr>
          <w:lang w:val="fr-FR"/>
        </w:rPr>
        <w:t xml:space="preserve"> &lt;</w:t>
      </w:r>
      <w:hyperlink r:id="rId21" w:history="1">
        <w:r w:rsidRPr="001D53E5">
          <w:rPr>
            <w:rStyle w:val="Hyperlink"/>
            <w:lang w:val="fr-FR"/>
          </w:rPr>
          <w:t>https://www.kodiko.gr/nomothesia/document/307515/nomos-927-1979</w:t>
        </w:r>
      </w:hyperlink>
      <w:r w:rsidRPr="007F056C">
        <w:rPr>
          <w:lang w:val="fr-FR"/>
        </w:rPr>
        <w:t>&gt;</w:t>
      </w:r>
      <w:r w:rsidRPr="00FD72B1">
        <w:rPr>
          <w:lang w:val="fr-FR"/>
        </w:rPr>
        <w:t>; Belgium: 10 MAI 2007. - Loi tendant à lutter contre la discrimination entre les femmes et les hommes, amended by 4 FEVRIER 2020. - Loi modifiant la loi du 10 mai 2007 modifiant, en ce qui concerne l'interdiction de discrimination relative à la paternité ou à la comaternité, la loi du 10 mai 2007 tendant à lutter contre la discrimination entre les femmes et les hommes, Articles 4,27 &lt;</w:t>
      </w:r>
      <w:hyperlink r:id="rId22">
        <w:r w:rsidRPr="00FD72B1">
          <w:rPr>
            <w:color w:val="1155CC"/>
            <w:u w:val="single"/>
            <w:lang w:val="fr-FR"/>
          </w:rPr>
          <w:t>http://www.ejustice.just.fgov.be/cgi_loi/change_lg_2.pl?language=fr&amp;nm=2007002098&amp;la=F</w:t>
        </w:r>
      </w:hyperlink>
      <w:bookmarkStart w:id="9" w:name="_Hlk93272399"/>
      <w:r w:rsidRPr="00FD72B1">
        <w:rPr>
          <w:lang w:val="fr-FR"/>
        </w:rPr>
        <w:t>&gt;</w:t>
      </w:r>
      <w:bookmarkEnd w:id="9"/>
      <w:r>
        <w:rPr>
          <w:lang w:val="fr-FR"/>
        </w:rPr>
        <w:t>.</w:t>
      </w:r>
      <w:r w:rsidRPr="00316B0F">
        <w:rPr>
          <w:rFonts w:asciiTheme="minorHAnsi" w:hAnsiTheme="minorHAnsi" w:cstheme="minorHAnsi"/>
          <w:sz w:val="18"/>
          <w:szCs w:val="18"/>
          <w:lang w:val="fr-FR"/>
        </w:rPr>
        <w:t xml:space="preserve"> </w:t>
      </w:r>
    </w:p>
  </w:footnote>
  <w:footnote w:id="20">
    <w:p w14:paraId="6A091389" w14:textId="4CA3096D" w:rsidR="00907CFA" w:rsidRPr="00EF57D8" w:rsidRDefault="00907CFA">
      <w:pPr>
        <w:pStyle w:val="FootnoteText"/>
      </w:pPr>
      <w:r>
        <w:rPr>
          <w:rStyle w:val="FootnoteReference"/>
        </w:rPr>
        <w:footnoteRef/>
      </w:r>
      <w:r>
        <w:t xml:space="preserve"> </w:t>
      </w:r>
      <w:r w:rsidRPr="00230606">
        <w:t xml:space="preserve">European Union Agency for Fundamental Rights, </w:t>
      </w:r>
      <w:r w:rsidRPr="00230606">
        <w:rPr>
          <w:i/>
        </w:rPr>
        <w:t>A long way to go for LGBTI equality</w:t>
      </w:r>
      <w:r w:rsidRPr="00230606">
        <w:t xml:space="preserve"> (</w:t>
      </w:r>
      <w:r w:rsidRPr="000C0264">
        <w:t>Luxembourg: Publications Office of the European Union, 2020</w:t>
      </w:r>
      <w:r w:rsidRPr="00230606">
        <w:t xml:space="preserve">), </w:t>
      </w:r>
      <w:r>
        <w:t xml:space="preserve">47, </w:t>
      </w:r>
      <w:r w:rsidRPr="00230606">
        <w:t xml:space="preserve">available at </w:t>
      </w:r>
      <w:r>
        <w:t>&lt;</w:t>
      </w:r>
      <w:hyperlink r:id="rId23" w:history="1">
        <w:r w:rsidRPr="001D53E5">
          <w:rPr>
            <w:rStyle w:val="Hyperlink"/>
          </w:rPr>
          <w:t>https://fra.europa.eu/sites/default/files/fra_uploads/fra-2020-lgbti-equality-1_en.pdf</w:t>
        </w:r>
      </w:hyperlink>
      <w:r w:rsidRPr="007B2B09">
        <w:t>&gt;</w:t>
      </w:r>
      <w:r>
        <w:t>.</w:t>
      </w:r>
    </w:p>
  </w:footnote>
  <w:footnote w:id="21">
    <w:p w14:paraId="03CB9E6B" w14:textId="25AD7FE7" w:rsidR="00907CFA" w:rsidRPr="00EF57D8" w:rsidRDefault="00907CFA">
      <w:pPr>
        <w:pStyle w:val="FootnoteText"/>
        <w:rPr>
          <w:i/>
          <w:iCs/>
        </w:rPr>
      </w:pPr>
      <w:r>
        <w:rPr>
          <w:rStyle w:val="FootnoteReference"/>
        </w:rPr>
        <w:footnoteRef/>
      </w:r>
      <w:r>
        <w:t xml:space="preserve"> </w:t>
      </w:r>
      <w:r>
        <w:rPr>
          <w:i/>
          <w:iCs/>
        </w:rPr>
        <w:t>Ibidem.</w:t>
      </w:r>
    </w:p>
  </w:footnote>
  <w:footnote w:id="22">
    <w:p w14:paraId="2F47AD9B" w14:textId="3FD98495" w:rsidR="00907CFA" w:rsidRPr="0095763D" w:rsidRDefault="00907CFA">
      <w:pPr>
        <w:pStyle w:val="FootnoteText"/>
      </w:pPr>
      <w:r>
        <w:rPr>
          <w:rStyle w:val="FootnoteReference"/>
        </w:rPr>
        <w:footnoteRef/>
      </w:r>
      <w:r>
        <w:t xml:space="preserve"> </w:t>
      </w:r>
      <w:r w:rsidRPr="0095763D">
        <w:t xml:space="preserve">Dan Christian Ghattas, </w:t>
      </w:r>
      <w:r w:rsidRPr="0095763D">
        <w:rPr>
          <w:i/>
        </w:rPr>
        <w:t>Protecting Intersex people in Europe. A toolkit for law and policy makers. With digital Appendix and Checklist</w:t>
      </w:r>
      <w:r w:rsidRPr="0095763D">
        <w:t xml:space="preserve"> (ILGA-Europe and OII Europe, 2019), </w:t>
      </w:r>
      <w:r>
        <w:t>11</w:t>
      </w:r>
      <w:r w:rsidRPr="0095763D">
        <w:t xml:space="preserve">, available at </w:t>
      </w:r>
      <w:r>
        <w:t>&lt;</w:t>
      </w:r>
      <w:hyperlink r:id="rId24" w:history="1">
        <w:r w:rsidRPr="001D53E5">
          <w:rPr>
            <w:rStyle w:val="Hyperlink"/>
          </w:rPr>
          <w:t>https://oiieurope.org/library-en/toolkit-cat/legal-toolkit/</w:t>
        </w:r>
      </w:hyperlink>
      <w:r w:rsidRPr="007B2B09">
        <w:t>&gt;</w:t>
      </w:r>
      <w:r>
        <w:t>.</w:t>
      </w:r>
    </w:p>
  </w:footnote>
  <w:footnote w:id="23">
    <w:p w14:paraId="12E83552" w14:textId="6523D79B" w:rsidR="00907CFA" w:rsidRPr="00B11F39" w:rsidRDefault="00907CFA">
      <w:pPr>
        <w:pStyle w:val="FootnoteText"/>
      </w:pPr>
      <w:r>
        <w:rPr>
          <w:rStyle w:val="FootnoteReference"/>
        </w:rPr>
        <w:footnoteRef/>
      </w:r>
      <w:r>
        <w:t xml:space="preserve"> See: </w:t>
      </w:r>
      <w:r w:rsidRPr="002B275A">
        <w:t>Universal Declaration of Human Rights</w:t>
      </w:r>
      <w:r>
        <w:t xml:space="preserve">, articles 1, 2, 5, 6, 7, 12; </w:t>
      </w:r>
      <w:r w:rsidRPr="002B275A">
        <w:t>International Covenant on Civil and Political Rights</w:t>
      </w:r>
      <w:r>
        <w:t>, articles 2, 7, 16, 24, 26;</w:t>
      </w:r>
      <w:r w:rsidRPr="002B275A">
        <w:t xml:space="preserve"> </w:t>
      </w:r>
      <w:r w:rsidRPr="009F7C50">
        <w:t>Convention on the Rights of the Child</w:t>
      </w:r>
      <w:r>
        <w:t xml:space="preserve">, articles 3, 6, 8, 12, 16, 19, 24, 37; </w:t>
      </w:r>
      <w:r w:rsidRPr="00B814E5">
        <w:t>International Covenant on Economic, Social and Cultural Rights</w:t>
      </w:r>
      <w:r>
        <w:t xml:space="preserve">, article 12; </w:t>
      </w:r>
      <w:r w:rsidRPr="009F7C50">
        <w:t>Convention against Torture and Other Cruel, Inhuman or Degrading Treatment or Punishment</w:t>
      </w:r>
      <w:r>
        <w:t xml:space="preserve">, articles 1, 2, 4, 10, 14, 16; </w:t>
      </w:r>
      <w:r w:rsidRPr="002B275A">
        <w:t>Convention on the Elimination of All Forms of Discrimination against Women</w:t>
      </w:r>
      <w:r>
        <w:t>, article 5</w:t>
      </w:r>
    </w:p>
  </w:footnote>
  <w:footnote w:id="24">
    <w:p w14:paraId="76C8A96D" w14:textId="02E8972B" w:rsidR="00907CFA" w:rsidRPr="00C670DE" w:rsidRDefault="00907CFA" w:rsidP="00C670DE">
      <w:pPr>
        <w:pStyle w:val="FootnoteText"/>
        <w:rPr>
          <w:lang w:val="en"/>
        </w:rPr>
      </w:pPr>
      <w:r>
        <w:rPr>
          <w:rStyle w:val="FootnoteReference"/>
        </w:rPr>
        <w:footnoteRef/>
      </w:r>
      <w:r>
        <w:rPr>
          <w:lang w:val="en"/>
        </w:rPr>
        <w:t xml:space="preserve"> The Office of the High Commissioner for Human Rights</w:t>
      </w:r>
      <w:r w:rsidRPr="00556920">
        <w:rPr>
          <w:i/>
          <w:iCs/>
          <w:lang w:val="en"/>
        </w:rPr>
        <w:t>, Background Note on Human Rights Violations against Intersex People</w:t>
      </w:r>
      <w:r>
        <w:rPr>
          <w:lang w:val="en"/>
        </w:rPr>
        <w:t>, 8, available at</w:t>
      </w:r>
    </w:p>
    <w:p w14:paraId="04ABC07B" w14:textId="0A1D625D" w:rsidR="00907CFA" w:rsidRPr="00C670DE" w:rsidRDefault="00907CFA">
      <w:pPr>
        <w:pStyle w:val="FootnoteText"/>
        <w:rPr>
          <w:lang w:val="en"/>
        </w:rPr>
      </w:pPr>
      <w:r>
        <w:t>&lt;</w:t>
      </w:r>
      <w:hyperlink r:id="rId25" w:history="1">
        <w:r w:rsidRPr="001D53E5">
          <w:rPr>
            <w:rStyle w:val="Hyperlink"/>
          </w:rPr>
          <w:t>https://www.ohchr.org/EN/Issues/Discrimination/Pages/BackgroundViolationsIntersexPeople.aspx</w:t>
        </w:r>
      </w:hyperlink>
      <w:r w:rsidRPr="007B2B09">
        <w:t>&gt;</w:t>
      </w:r>
      <w:r>
        <w:t>. See also OII Europe’s Resource List – which includes all the intersex specific recommendations – at &lt;</w:t>
      </w:r>
      <w:hyperlink r:id="rId26" w:history="1">
        <w:r w:rsidRPr="001D53E5">
          <w:rPr>
            <w:rStyle w:val="Hyperlink"/>
          </w:rPr>
          <w:t>https://oiieurope.org/international-intersex-human-rights-movement-resource-list/</w:t>
        </w:r>
      </w:hyperlink>
      <w:r w:rsidRPr="007B2B09">
        <w:t>&gt;</w:t>
      </w:r>
      <w:r>
        <w:t xml:space="preserve">. For selected citations of recommendations of the UN CRC pertaining IGM and other intersex human rights issues, see OII Europe, </w:t>
      </w:r>
      <w:r w:rsidRPr="00CC4AFE">
        <w:rPr>
          <w:i/>
          <w:iCs/>
        </w:rPr>
        <w:t>Intersex children and the violation of their right to privacy</w:t>
      </w:r>
      <w:r>
        <w:rPr>
          <w:i/>
          <w:iCs/>
        </w:rPr>
        <w:t>.</w:t>
      </w:r>
      <w:r w:rsidRPr="00CC4AFE">
        <w:rPr>
          <w:i/>
          <w:iCs/>
        </w:rPr>
        <w:t xml:space="preserve"> OII Europe submission to the UN Special Rapporteur on the Right to Privacy</w:t>
      </w:r>
      <w:r w:rsidRPr="00CC4AFE">
        <w:t xml:space="preserve"> </w:t>
      </w:r>
      <w:r>
        <w:t>(</w:t>
      </w:r>
      <w:r w:rsidRPr="00CC4AFE">
        <w:t>30.9.2020</w:t>
      </w:r>
      <w:r>
        <w:t>), available at &lt;</w:t>
      </w:r>
      <w:hyperlink r:id="rId27" w:history="1">
        <w:r w:rsidRPr="001D53E5">
          <w:rPr>
            <w:rStyle w:val="Hyperlink"/>
          </w:rPr>
          <w:t>https://oiieurope.org/wp-content/uploads/2020/12/2020_UN-SR-Right-to-Privacy-Submission_OII-Europe_FINAL-public.pdf</w:t>
        </w:r>
      </w:hyperlink>
      <w:r w:rsidRPr="007B2B09">
        <w:t>&gt;</w:t>
      </w:r>
      <w:r>
        <w:t xml:space="preserve">. </w:t>
      </w:r>
    </w:p>
  </w:footnote>
  <w:footnote w:id="25">
    <w:p w14:paraId="75764819" w14:textId="35CD0D51" w:rsidR="00907CFA" w:rsidRPr="00CC4AFE" w:rsidRDefault="00907CFA">
      <w:pPr>
        <w:pStyle w:val="FootnoteText"/>
      </w:pPr>
      <w:r>
        <w:rPr>
          <w:rStyle w:val="FootnoteReference"/>
        </w:rPr>
        <w:footnoteRef/>
      </w:r>
      <w:r>
        <w:t xml:space="preserve"> </w:t>
      </w:r>
      <w:r w:rsidRPr="00CC4AFE">
        <w:t>United Nations General Assembly</w:t>
      </w:r>
      <w:r>
        <w:t>,</w:t>
      </w:r>
      <w:r w:rsidRPr="00CC4AFE">
        <w:t xml:space="preserve"> Report of the Special Rapporteur on the right of everyone to the enjoyment of the highest attainable standard of physical and mental health (A/70/213)</w:t>
      </w:r>
      <w:r>
        <w:t>, para. 85, available at</w:t>
      </w:r>
      <w:r w:rsidRPr="00CC4AFE">
        <w:t xml:space="preserve"> </w:t>
      </w:r>
      <w:r>
        <w:t>&lt;</w:t>
      </w:r>
      <w:hyperlink r:id="rId28" w:history="1">
        <w:r w:rsidRPr="001D53E5">
          <w:rPr>
            <w:rStyle w:val="Hyperlink"/>
          </w:rPr>
          <w:t>http://www.un.org/en/ga/search/view_doc.asp?symbol=A/70/213</w:t>
        </w:r>
      </w:hyperlink>
      <w:r w:rsidRPr="00D97CD5">
        <w:t>&gt;</w:t>
      </w:r>
      <w:r>
        <w:t xml:space="preserve">. </w:t>
      </w:r>
    </w:p>
  </w:footnote>
  <w:footnote w:id="26">
    <w:p w14:paraId="3F8995E5" w14:textId="6DA0421B" w:rsidR="00907CFA" w:rsidRPr="00466B9A" w:rsidRDefault="00907CFA">
      <w:pPr>
        <w:pStyle w:val="FootnoteText"/>
      </w:pPr>
      <w:r>
        <w:rPr>
          <w:rStyle w:val="FootnoteReference"/>
        </w:rPr>
        <w:footnoteRef/>
      </w:r>
      <w:r>
        <w:t xml:space="preserve"> </w:t>
      </w:r>
      <w:r w:rsidRPr="00466B9A">
        <w:rPr>
          <w:i/>
          <w:iCs/>
        </w:rPr>
        <w:t>Ibidem</w:t>
      </w:r>
      <w:r w:rsidRPr="00466B9A">
        <w:t>, para. 86. See also para.</w:t>
      </w:r>
      <w:r>
        <w:t xml:space="preserve"> 112.</w:t>
      </w:r>
    </w:p>
  </w:footnote>
  <w:footnote w:id="27">
    <w:p w14:paraId="0BEC3C30" w14:textId="4777F5E9" w:rsidR="00907CFA" w:rsidRPr="00E86395" w:rsidRDefault="00907CFA" w:rsidP="002F270A">
      <w:pPr>
        <w:pStyle w:val="FootnoteText"/>
      </w:pPr>
      <w:r>
        <w:rPr>
          <w:rStyle w:val="FootnoteReference"/>
        </w:rPr>
        <w:footnoteRef/>
      </w:r>
      <w:r>
        <w:t xml:space="preserve"> See Kavot Zillén, Jameson Garland and Santa Slokenberga, </w:t>
      </w:r>
      <w:r w:rsidRPr="003E7374">
        <w:rPr>
          <w:i/>
          <w:iCs/>
        </w:rPr>
        <w:t>The Rights of Children in Biomedicine: Challenges posed by scientific advances and uncertainties</w:t>
      </w:r>
      <w:r>
        <w:t xml:space="preserve">, </w:t>
      </w:r>
      <w:r w:rsidRPr="002F270A">
        <w:t>Commissioned by the Committee on Bioethics for the</w:t>
      </w:r>
      <w:r>
        <w:t xml:space="preserve"> </w:t>
      </w:r>
      <w:r w:rsidRPr="002F270A">
        <w:t xml:space="preserve">Council of Europe </w:t>
      </w:r>
      <w:r>
        <w:t>(</w:t>
      </w:r>
      <w:r w:rsidRPr="002F270A">
        <w:t>January 2017</w:t>
      </w:r>
      <w:r>
        <w:t>), 43, available at &lt;</w:t>
      </w:r>
      <w:hyperlink r:id="rId29" w:history="1">
        <w:r w:rsidRPr="001D53E5">
          <w:rPr>
            <w:rStyle w:val="Hyperlink"/>
          </w:rPr>
          <w:t>https://rm.coe.int/16806d8e2f</w:t>
        </w:r>
      </w:hyperlink>
      <w:r>
        <w:t>&gt;.</w:t>
      </w:r>
    </w:p>
  </w:footnote>
  <w:footnote w:id="28">
    <w:p w14:paraId="1189E616" w14:textId="7DB43F25" w:rsidR="00907CFA" w:rsidRPr="00A1726B" w:rsidRDefault="00907CFA" w:rsidP="00407AEE">
      <w:pPr>
        <w:pStyle w:val="FootnoteText"/>
        <w:rPr>
          <w:highlight w:val="yellow"/>
        </w:rPr>
      </w:pPr>
      <w:r>
        <w:rPr>
          <w:rStyle w:val="FootnoteReference"/>
        </w:rPr>
        <w:footnoteRef/>
      </w:r>
      <w:r>
        <w:t xml:space="preserve"> See: </w:t>
      </w:r>
      <w:r w:rsidRPr="00E27A3E">
        <w:t>Surya Monro, Daniela Crocetti, Tracey Yeadon-Lee, Fae Garland</w:t>
      </w:r>
      <w:r>
        <w:t xml:space="preserve"> and </w:t>
      </w:r>
      <w:r w:rsidRPr="00E27A3E">
        <w:t>Mitch Travis</w:t>
      </w:r>
      <w:r>
        <w:t xml:space="preserve">, </w:t>
      </w:r>
      <w:r w:rsidRPr="00E27A3E">
        <w:rPr>
          <w:i/>
          <w:iCs/>
        </w:rPr>
        <w:t>Intersex, Variations of Sex Characteristics, and DSD: The Need for Change</w:t>
      </w:r>
      <w:r>
        <w:t xml:space="preserve">. </w:t>
      </w:r>
      <w:r w:rsidRPr="00E27A3E">
        <w:t>Research Report. University of Huddersfield</w:t>
      </w:r>
      <w:r>
        <w:t xml:space="preserve"> (2017), available at &lt;</w:t>
      </w:r>
      <w:hyperlink r:id="rId30" w:history="1">
        <w:r w:rsidRPr="001D53E5">
          <w:rPr>
            <w:rStyle w:val="Hyperlink"/>
          </w:rPr>
          <w:t>https://pure.hud.ac.uk/en/publications/intersex-variations-of-sex-characteristics-and-dsd-the-need-for-c</w:t>
        </w:r>
      </w:hyperlink>
      <w:r>
        <w:t xml:space="preserve">&gt;; </w:t>
      </w:r>
      <w:r w:rsidRPr="00407AEE">
        <w:t xml:space="preserve">The Netherlands Institute for Social Research: Jantine van Lisdonk, </w:t>
      </w:r>
      <w:r w:rsidRPr="00407AEE">
        <w:rPr>
          <w:i/>
          <w:iCs/>
        </w:rPr>
        <w:t>Living with intersex/DSD: An exploratory study of the social situation of persons with intersex/DSD</w:t>
      </w:r>
      <w:r w:rsidRPr="00407AEE">
        <w:t xml:space="preserve"> (The Hague, August 2014), </w:t>
      </w:r>
      <w:r>
        <w:t>44 and 76</w:t>
      </w:r>
      <w:r w:rsidRPr="00407AEE">
        <w:t>, available at &lt;</w:t>
      </w:r>
      <w:hyperlink r:id="rId31" w:history="1">
        <w:r w:rsidRPr="00407AEE">
          <w:rPr>
            <w:rStyle w:val="Hyperlink"/>
          </w:rPr>
          <w:t>https://www.researchgate.net/publication/290446986_Living_with_intersexDSD_An_exploratory_study_of_the_social_situation_of_persons_with_intersexDSD</w:t>
        </w:r>
      </w:hyperlink>
      <w:r>
        <w:t xml:space="preserve">&gt;; </w:t>
      </w:r>
    </w:p>
  </w:footnote>
  <w:footnote w:id="29">
    <w:p w14:paraId="200326D5" w14:textId="420E285C" w:rsidR="00907CFA" w:rsidRDefault="00907CFA" w:rsidP="00C73302">
      <w:pPr>
        <w:pStyle w:val="FootnoteText"/>
      </w:pPr>
      <w:r>
        <w:rPr>
          <w:rStyle w:val="FootnoteReference"/>
        </w:rPr>
        <w:footnoteRef/>
      </w:r>
      <w:r>
        <w:t xml:space="preserve"> Amnesty International, </w:t>
      </w:r>
      <w:r w:rsidRPr="00C73302">
        <w:rPr>
          <w:i/>
          <w:iCs/>
        </w:rPr>
        <w:t>First, do no harm. Ensuring the rights of children with variations of sex characteristics in Denmark and Germany</w:t>
      </w:r>
      <w:r>
        <w:t xml:space="preserve"> (2017), 32, available at </w:t>
      </w:r>
    </w:p>
    <w:p w14:paraId="287FB03A" w14:textId="4D9A82CF" w:rsidR="00907CFA" w:rsidRPr="00C73302" w:rsidRDefault="00907CFA" w:rsidP="00C73302">
      <w:pPr>
        <w:pStyle w:val="FootnoteText"/>
      </w:pPr>
      <w:r>
        <w:t>&lt;</w:t>
      </w:r>
      <w:hyperlink r:id="rId32" w:history="1">
        <w:r w:rsidRPr="001D53E5">
          <w:rPr>
            <w:rStyle w:val="Hyperlink"/>
          </w:rPr>
          <w:t>https://www.amnesty.org/en/documents/eur01/6086/2017/en/</w:t>
        </w:r>
      </w:hyperlink>
      <w:r>
        <w:t>&gt;</w:t>
      </w:r>
      <w:r w:rsidR="009E0890">
        <w:t>.</w:t>
      </w:r>
    </w:p>
  </w:footnote>
  <w:footnote w:id="30">
    <w:p w14:paraId="4AE4F2F7" w14:textId="06496919" w:rsidR="00907CFA" w:rsidRPr="00AA345D" w:rsidRDefault="00907CFA">
      <w:pPr>
        <w:pStyle w:val="FootnoteText"/>
      </w:pPr>
      <w:r>
        <w:rPr>
          <w:rStyle w:val="FootnoteReference"/>
        </w:rPr>
        <w:footnoteRef/>
      </w:r>
      <w:r>
        <w:t xml:space="preserve"> </w:t>
      </w:r>
      <w:r w:rsidRPr="00AA345D">
        <w:t>Parliamentary Assembly, Promoting the human rights of and eliminating discrimination against intersex people. Report. Doc. 14404 (25 September 2017), part C, para</w:t>
      </w:r>
      <w:r>
        <w:t>. 25</w:t>
      </w:r>
      <w:r w:rsidRPr="00AA345D">
        <w:t>, available at &lt;</w:t>
      </w:r>
      <w:hyperlink r:id="rId33" w:anchor="_TOC_d19e146" w:history="1">
        <w:r w:rsidRPr="00AA345D">
          <w:rPr>
            <w:rStyle w:val="Hyperlink"/>
          </w:rPr>
          <w:t>https://pace.coe.int/en/files/24027/html#_TOC_d19e146</w:t>
        </w:r>
      </w:hyperlink>
      <w:r w:rsidRPr="00AA345D">
        <w:t>&gt;.</w:t>
      </w:r>
    </w:p>
  </w:footnote>
  <w:footnote w:id="31">
    <w:p w14:paraId="5AB174CD" w14:textId="675E9FE1" w:rsidR="00907CFA" w:rsidRPr="00AA345D" w:rsidRDefault="00907CFA" w:rsidP="00256933">
      <w:pPr>
        <w:pStyle w:val="FootnoteText"/>
      </w:pPr>
      <w:r>
        <w:rPr>
          <w:rStyle w:val="FootnoteReference"/>
        </w:rPr>
        <w:footnoteRef/>
      </w:r>
      <w:r>
        <w:t xml:space="preserve"> N.S. Crouch, C.L. Minto, L.M. Laio, C.R. Woodhouse, S.M. Creighton (2004): Genital sensation after feminizing genitoplasty for congenital adrenal hyperplasia: a pilot study. BJU Int. 2004 Jan; 93(1):135-8.</w:t>
      </w:r>
    </w:p>
  </w:footnote>
  <w:footnote w:id="32">
    <w:p w14:paraId="53582A6D" w14:textId="339B4018" w:rsidR="00907CFA" w:rsidRPr="00E03A7C" w:rsidRDefault="00907CFA">
      <w:pPr>
        <w:pStyle w:val="FootnoteText"/>
      </w:pPr>
      <w:r w:rsidRPr="0082164E">
        <w:rPr>
          <w:rStyle w:val="FootnoteReference"/>
        </w:rPr>
        <w:footnoteRef/>
      </w:r>
      <w:r w:rsidRPr="0082164E">
        <w:t xml:space="preserve"> For personal testimonies of intersex people, see: OII Europe,</w:t>
      </w:r>
      <w:r w:rsidRPr="0082164E">
        <w:rPr>
          <w:i/>
          <w:iCs/>
        </w:rPr>
        <w:t xml:space="preserve"> #MyIntersex Stories. Personal accounts by intersex people living in Europe</w:t>
      </w:r>
      <w:r w:rsidRPr="0082164E">
        <w:t xml:space="preserve"> (November 2019), available at &lt;</w:t>
      </w:r>
      <w:hyperlink r:id="rId34" w:history="1">
        <w:r w:rsidRPr="0082164E">
          <w:rPr>
            <w:rStyle w:val="Hyperlink"/>
          </w:rPr>
          <w:t>https://oiieurope.org/wp-content/uploads/2019/11/testimonial_broch_21-21cm_for_web.pdf</w:t>
        </w:r>
      </w:hyperlink>
      <w:r w:rsidRPr="0082164E">
        <w:t>&gt;</w:t>
      </w:r>
      <w:r>
        <w:t>.</w:t>
      </w:r>
      <w:r w:rsidRPr="0082164E">
        <w:t xml:space="preserve">  We include all of these testimonies and the additional information (e.g., country, age) as consented to by the respective intersex individuals.</w:t>
      </w:r>
    </w:p>
  </w:footnote>
  <w:footnote w:id="33">
    <w:p w14:paraId="163D55D8" w14:textId="70F59923" w:rsidR="00907CFA" w:rsidRPr="009356C2" w:rsidRDefault="00907CFA">
      <w:pPr>
        <w:pStyle w:val="FootnoteText"/>
      </w:pPr>
      <w:r>
        <w:rPr>
          <w:rStyle w:val="FootnoteReference"/>
        </w:rPr>
        <w:footnoteRef/>
      </w:r>
      <w:r>
        <w:t xml:space="preserve"> </w:t>
      </w:r>
      <w:r w:rsidRPr="009356C2">
        <w:t>European Union Agency for Fundamental Rights</w:t>
      </w:r>
      <w:r>
        <w:t xml:space="preserve">, </w:t>
      </w:r>
      <w:r w:rsidRPr="009356C2">
        <w:rPr>
          <w:i/>
          <w:iCs/>
        </w:rPr>
        <w:t>The Fundamental Rights Situation of Intersex People. FRA Focus, 4/2015</w:t>
      </w:r>
      <w:r>
        <w:t xml:space="preserve"> (04/2015), 1 and </w:t>
      </w:r>
      <w:r w:rsidRPr="009356C2">
        <w:t>6</w:t>
      </w:r>
      <w:r>
        <w:t>, available at &lt;</w:t>
      </w:r>
      <w:hyperlink r:id="rId35" w:history="1">
        <w:r w:rsidRPr="001D53E5">
          <w:rPr>
            <w:rStyle w:val="Hyperlink"/>
          </w:rPr>
          <w:t>https://fra.europa.eu/en/publication/2015/fundamental-rights-situation-intersex-people</w:t>
        </w:r>
      </w:hyperlink>
      <w:r>
        <w:t>&gt;.</w:t>
      </w:r>
    </w:p>
  </w:footnote>
  <w:footnote w:id="34">
    <w:p w14:paraId="17386559" w14:textId="32E21C03" w:rsidR="00907CFA" w:rsidRPr="008E5F8B" w:rsidRDefault="00907CFA">
      <w:pPr>
        <w:pStyle w:val="FootnoteText"/>
        <w:rPr>
          <w:lang w:val="de-DE"/>
        </w:rPr>
      </w:pPr>
      <w:r>
        <w:rPr>
          <w:rStyle w:val="FootnoteReference"/>
        </w:rPr>
        <w:footnoteRef/>
      </w:r>
      <w:r w:rsidRPr="008E5F8B">
        <w:rPr>
          <w:lang w:val="de-DE"/>
        </w:rPr>
        <w:t xml:space="preserve"> Josch Hoenes, Eugen Januschke, Ulrike Klöppel, </w:t>
      </w:r>
      <w:r w:rsidRPr="008E5F8B">
        <w:rPr>
          <w:i/>
          <w:iCs/>
          <w:lang w:val="de-DE"/>
        </w:rPr>
        <w:t>Häufigkeit normangleichender Operationen „uneindeutiger“ Genitalien im Kindesalter. Follow Up‐Studie</w:t>
      </w:r>
      <w:r w:rsidRPr="008E5F8B">
        <w:rPr>
          <w:lang w:val="de-DE"/>
        </w:rPr>
        <w:t xml:space="preserve"> (Bochum, 2019), available at &lt;</w:t>
      </w:r>
      <w:hyperlink r:id="rId36">
        <w:r w:rsidRPr="008E5F8B">
          <w:rPr>
            <w:rStyle w:val="Hyperlink"/>
            <w:lang w:val="de-DE"/>
          </w:rPr>
          <w:t>https://omp.ub.rub.de/index.php/RUB/catalog/view/113/99/604-2</w:t>
        </w:r>
      </w:hyperlink>
      <w:r w:rsidRPr="008E5F8B">
        <w:rPr>
          <w:lang w:val="de-DE"/>
        </w:rPr>
        <w:t xml:space="preserve">&gt;; Ulrike Klöppel, </w:t>
      </w:r>
      <w:r w:rsidRPr="008E5F8B">
        <w:rPr>
          <w:i/>
          <w:iCs/>
          <w:lang w:val="de-DE"/>
        </w:rPr>
        <w:t xml:space="preserve">Zur Aktualität kosmetischer Operationen ‚un-eindeutiger‘ Genitalien im Kindesalter. </w:t>
      </w:r>
      <w:r w:rsidRPr="008E5F8B">
        <w:rPr>
          <w:lang w:val="de-DE"/>
        </w:rPr>
        <w:t>Hg. von der Geschäftsstelle des Zentrums für transdisziplinäre Geschlechterstudien der Humboldt-Universität zu Berlin (Berlin, 2016), available at &lt;</w:t>
      </w:r>
      <w:hyperlink r:id="rId37" w:history="1">
        <w:r w:rsidRPr="008E5F8B">
          <w:rPr>
            <w:rStyle w:val="Hyperlink"/>
            <w:lang w:val="de-DE"/>
          </w:rPr>
          <w:t>https://www.gender.hu-berlin.de/de/publikationen/gender-bulletins/bulletin-texte/texte-42/kloeppel-2016_zur-aktualitaet-kosmetischer-genitaloperationen</w:t>
        </w:r>
      </w:hyperlink>
      <w:r w:rsidRPr="008E5F8B">
        <w:rPr>
          <w:lang w:val="de-DE"/>
        </w:rPr>
        <w:t>&gt;.</w:t>
      </w:r>
    </w:p>
  </w:footnote>
  <w:footnote w:id="35">
    <w:p w14:paraId="328DBAC8" w14:textId="01D668E8" w:rsidR="00907CFA" w:rsidRPr="00B90952" w:rsidRDefault="00907CFA">
      <w:pPr>
        <w:pStyle w:val="FootnoteText"/>
        <w:rPr>
          <w:lang w:val="en"/>
        </w:rPr>
      </w:pPr>
      <w:r>
        <w:rPr>
          <w:rStyle w:val="FootnoteReference"/>
        </w:rPr>
        <w:footnoteRef/>
      </w:r>
      <w:r>
        <w:t xml:space="preserve"> </w:t>
      </w:r>
      <w:r w:rsidRPr="00B90952">
        <w:t>Among others, European Convention on Human Rights, articles 3 (Prohibition of torture), 8 (</w:t>
      </w:r>
      <w:r w:rsidRPr="005754BD">
        <w:t>Right to respect for private and family life</w:t>
      </w:r>
      <w:r w:rsidRPr="00B90952">
        <w:t xml:space="preserve">) 14 (prohibition of discrimination); </w:t>
      </w:r>
      <w:r w:rsidRPr="00B814E5">
        <w:t>European Social Charter, article 11 (The right to protection of health) 13 (The right to social and medical assistance)</w:t>
      </w:r>
      <w:r>
        <w:t xml:space="preserve">; </w:t>
      </w:r>
      <w:r w:rsidRPr="00B90952">
        <w:t>Convention on Human Rights and Biomedicine (Oviedo Convention), articles 5 (Consent - General rule), 6 (Protection of persons not able to consent), 8 (Emergency situation), 10 (Private life and right to information); Charter of Fundamental Rights of the European Union: articles 1 (Human dignity), 3 (Right to the integrity of the person), 4 (</w:t>
      </w:r>
      <w:r w:rsidRPr="00B90952">
        <w:rPr>
          <w:lang w:val="en"/>
        </w:rPr>
        <w:t>Prohibition of torture and inhuman or degrading treatment or punishment), 7</w:t>
      </w:r>
      <w:r w:rsidRPr="00B90952">
        <w:rPr>
          <w:rFonts w:ascii="Arial" w:hAnsi="Arial" w:cs="Arial"/>
          <w:color w:val="000000"/>
          <w:sz w:val="22"/>
          <w:szCs w:val="22"/>
        </w:rPr>
        <w:t xml:space="preserve"> (</w:t>
      </w:r>
      <w:r w:rsidRPr="00B90952">
        <w:t>Respect for private and family life), 21 (Non-discrimination), 24 (</w:t>
      </w:r>
      <w:r>
        <w:t>T</w:t>
      </w:r>
      <w:r w:rsidRPr="00B90952">
        <w:t xml:space="preserve">he rights of the </w:t>
      </w:r>
      <w:r w:rsidRPr="003053A5">
        <w:t>child), 35 (Health care).</w:t>
      </w:r>
    </w:p>
  </w:footnote>
  <w:footnote w:id="36">
    <w:p w14:paraId="322547BF" w14:textId="1557A1EC" w:rsidR="00907CFA" w:rsidRPr="00090A67" w:rsidRDefault="00907CFA" w:rsidP="00090A67">
      <w:pPr>
        <w:pStyle w:val="FootnoteText"/>
        <w:rPr>
          <w:lang w:val="en"/>
        </w:rPr>
      </w:pPr>
      <w:r>
        <w:rPr>
          <w:rStyle w:val="FootnoteReference"/>
        </w:rPr>
        <w:footnoteRef/>
      </w:r>
      <w:r>
        <w:t xml:space="preserve"> </w:t>
      </w:r>
      <w:r w:rsidRPr="005D5BD1">
        <w:t>Commissioner for Human Rights</w:t>
      </w:r>
      <w:r>
        <w:t>,</w:t>
      </w:r>
      <w:r w:rsidRPr="005D5BD1">
        <w:t xml:space="preserve"> </w:t>
      </w:r>
      <w:r w:rsidRPr="005D5BD1">
        <w:rPr>
          <w:i/>
          <w:iCs/>
        </w:rPr>
        <w:t>Human rights and intersex people. Issue paper</w:t>
      </w:r>
      <w:r w:rsidRPr="005D5BD1">
        <w:t xml:space="preserve"> (Council of Europe, April 2015)</w:t>
      </w:r>
      <w:r>
        <w:t>, available at</w:t>
      </w:r>
      <w:r w:rsidRPr="005D5BD1">
        <w:t xml:space="preserve"> </w:t>
      </w:r>
      <w:r>
        <w:t>&lt;</w:t>
      </w:r>
      <w:hyperlink r:id="rId38" w:history="1">
        <w:r w:rsidRPr="00E62ADC">
          <w:rPr>
            <w:rStyle w:val="Hyperlink"/>
          </w:rPr>
          <w:t>https://rm.coe.int/16806da5d4</w:t>
        </w:r>
      </w:hyperlink>
      <w:r>
        <w:t xml:space="preserve">&gt;; </w:t>
      </w:r>
      <w:r w:rsidRPr="005D5BD1">
        <w:t>Parliamentary Assembly Resolution 2191 (2017) Promoting the human rights of and eliminating discrimination against intersex people</w:t>
      </w:r>
      <w:r>
        <w:t>, available at &lt;</w:t>
      </w:r>
      <w:hyperlink r:id="rId39" w:history="1">
        <w:r w:rsidRPr="00E62ADC">
          <w:rPr>
            <w:rStyle w:val="Hyperlink"/>
          </w:rPr>
          <w:t>https://assembly.coe.int/nw/xml/XRef/Xref-XML2HTML-EN.asp?fileid=24232&amp;lang=en</w:t>
        </w:r>
      </w:hyperlink>
      <w:r>
        <w:t xml:space="preserve">&gt;; </w:t>
      </w:r>
      <w:r w:rsidRPr="00090A67">
        <w:rPr>
          <w:lang w:val="en"/>
        </w:rPr>
        <w:t xml:space="preserve">European Parliament </w:t>
      </w:r>
      <w:r>
        <w:rPr>
          <w:lang w:val="en"/>
        </w:rPr>
        <w:t>R</w:t>
      </w:r>
      <w:r w:rsidRPr="00090A67">
        <w:rPr>
          <w:lang w:val="en"/>
        </w:rPr>
        <w:t>esolution of 14 February 2019 on the rights of intersex people</w:t>
      </w:r>
    </w:p>
    <w:p w14:paraId="1EA9354D" w14:textId="04D2A26A" w:rsidR="00907CFA" w:rsidRPr="00090A67" w:rsidRDefault="00907CFA" w:rsidP="00090A67">
      <w:pPr>
        <w:pStyle w:val="FootnoteText"/>
      </w:pPr>
      <w:r w:rsidRPr="00090A67">
        <w:t xml:space="preserve">(2018/2878(RSP)), available at </w:t>
      </w:r>
      <w:r>
        <w:t>&lt;</w:t>
      </w:r>
      <w:hyperlink r:id="rId40" w:history="1">
        <w:r w:rsidRPr="00E62ADC">
          <w:rPr>
            <w:rStyle w:val="Hyperlink"/>
          </w:rPr>
          <w:t>https://www.europarl.europa.eu/doceo/document/TA-8-2019-0128_EN.pdf</w:t>
        </w:r>
      </w:hyperlink>
      <w:r>
        <w:t>&gt;.</w:t>
      </w:r>
      <w:r w:rsidRPr="00090A67">
        <w:t xml:space="preserve">  </w:t>
      </w:r>
    </w:p>
  </w:footnote>
  <w:footnote w:id="37">
    <w:p w14:paraId="50EA6B8B" w14:textId="73972843" w:rsidR="00907CFA" w:rsidRPr="002315D7" w:rsidRDefault="00907CFA">
      <w:pPr>
        <w:pStyle w:val="FootnoteText"/>
        <w:rPr>
          <w:lang w:val="fr-FR"/>
        </w:rPr>
      </w:pPr>
      <w:r>
        <w:rPr>
          <w:rStyle w:val="FootnoteReference"/>
        </w:rPr>
        <w:footnoteRef/>
      </w:r>
      <w:r>
        <w:rPr>
          <w:lang w:val="en"/>
        </w:rPr>
        <w:t xml:space="preserve"> </w:t>
      </w:r>
      <w:r w:rsidRPr="002315D7">
        <w:rPr>
          <w:lang w:val="en"/>
        </w:rPr>
        <w:t>Malta: Gender Identity, Gender Expression And Sex Characteristics Act, 14th April 2015, art. 14, available at &lt;</w:t>
      </w:r>
      <w:hyperlink r:id="rId41" w:history="1">
        <w:r w:rsidRPr="002315D7">
          <w:rPr>
            <w:rStyle w:val="Hyperlink"/>
            <w:lang w:val="en"/>
          </w:rPr>
          <w:t>https://legislation.mt/eli/cap/540/eng/pdf</w:t>
        </w:r>
      </w:hyperlink>
      <w:r w:rsidRPr="002315D7">
        <w:rPr>
          <w:lang w:val="en"/>
        </w:rPr>
        <w:t xml:space="preserve">&gt;; Portugal: Lei n.º 38/2018 de 7 de agosto. </w:t>
      </w:r>
      <w:r w:rsidRPr="002315D7">
        <w:rPr>
          <w:lang w:val="fr-FR"/>
        </w:rPr>
        <w:t>Direito à autodeterminação da identidade de género e expressão de género e à proteção das características sexuais de cada pessoa, art. 5, available at &lt;</w:t>
      </w:r>
      <w:hyperlink r:id="rId42" w:history="1">
        <w:r w:rsidRPr="002315D7">
          <w:rPr>
            <w:rStyle w:val="Hyperlink"/>
            <w:lang w:val="fr-FR"/>
          </w:rPr>
          <w:t>https://www.pgdlisboa.pt/leis/lei_mostra_articulado.php?nid=2926&amp;tabela=leis&amp;ficha=1</w:t>
        </w:r>
      </w:hyperlink>
      <w:r w:rsidRPr="002315D7">
        <w:rPr>
          <w:lang w:val="fr-FR"/>
        </w:rPr>
        <w:t xml:space="preserve">&gt;; Iceland: Lög nr. 154 29. desember 2020. Lög um breytingu á lögum um kynrænt sjálfræði, nr. 80/2019 (ódæmigerð kyneinkenni), available at </w:t>
      </w:r>
      <w:r w:rsidR="00AC6AAE">
        <w:rPr>
          <w:lang w:val="fr-FR"/>
        </w:rPr>
        <w:t>&lt;</w:t>
      </w:r>
      <w:hyperlink r:id="rId43" w:history="1">
        <w:r w:rsidR="00AC6AAE" w:rsidRPr="00035C3D">
          <w:rPr>
            <w:rStyle w:val="Hyperlink"/>
            <w:lang w:val="fr-FR"/>
          </w:rPr>
          <w:t>https://www.althingi.is/lagas/nuna/2019080.html</w:t>
        </w:r>
      </w:hyperlink>
      <w:r w:rsidR="00AC6AAE">
        <w:rPr>
          <w:lang w:val="fr-FR"/>
        </w:rPr>
        <w:t>&gt;</w:t>
      </w:r>
      <w:r w:rsidRPr="002315D7">
        <w:rPr>
          <w:lang w:val="fr-FR"/>
        </w:rPr>
        <w:t xml:space="preserve"> and &lt;</w:t>
      </w:r>
      <w:hyperlink r:id="rId44" w:history="1">
        <w:r w:rsidRPr="002315D7">
          <w:rPr>
            <w:rStyle w:val="Hyperlink"/>
            <w:lang w:val="fr-FR"/>
          </w:rPr>
          <w:t>https://www.althingi.is/altext/stjt/2020.154.html</w:t>
        </w:r>
      </w:hyperlink>
      <w:r w:rsidRPr="002315D7">
        <w:rPr>
          <w:lang w:val="fr-FR"/>
        </w:rPr>
        <w:t>&gt;; Germany: Gesetz zum Schutz von Kindern mit Varianten der Geschlechtsentwicklung. Vom 12. Mai 2021, available at &lt;</w:t>
      </w:r>
      <w:hyperlink r:id="rId45" w:anchor="__bgbl__%2F%2F*%5B%40attr_id%3D%27bgbl121s1082.pdf%27%5D__1642090566815" w:history="1">
        <w:r w:rsidRPr="002315D7">
          <w:rPr>
            <w:rStyle w:val="Hyperlink"/>
            <w:lang w:val="fr-FR"/>
          </w:rPr>
          <w:t>https://www.bgbl.de/xaver/bgbl/start.xav?start=//*[@attr_id=%27bgbl121s1082.pdf%27]#__bgbl__%2F%2F*%5B%40attr_id%3D%27bgbl121s1082.pdf%27%5D__1642090566815</w:t>
        </w:r>
      </w:hyperlink>
      <w:r w:rsidRPr="002315D7">
        <w:rPr>
          <w:lang w:val="fr-FR"/>
        </w:rPr>
        <w:t>&gt;.</w:t>
      </w:r>
    </w:p>
  </w:footnote>
  <w:footnote w:id="38">
    <w:p w14:paraId="02C4FF6B" w14:textId="6297A9BD" w:rsidR="00907CFA" w:rsidRPr="001903CE" w:rsidRDefault="00907CFA">
      <w:pPr>
        <w:pStyle w:val="FootnoteText"/>
      </w:pPr>
      <w:r>
        <w:rPr>
          <w:rStyle w:val="FootnoteReference"/>
        </w:rPr>
        <w:footnoteRef/>
      </w:r>
      <w:r>
        <w:t xml:space="preserve"> </w:t>
      </w:r>
      <w:r w:rsidRPr="001903CE">
        <w:t>For more details on the c</w:t>
      </w:r>
      <w:r>
        <w:t xml:space="preserve">ommonalities between IGM and FGM, see </w:t>
      </w:r>
      <w:r w:rsidRPr="001903CE">
        <w:t xml:space="preserve">Dan Christian Ghattas, </w:t>
      </w:r>
      <w:r w:rsidRPr="001903CE">
        <w:rPr>
          <w:i/>
        </w:rPr>
        <w:t>Protecting Intersex people in Europe. A toolkit for law and policy makers. With digital Appendix and Checklist</w:t>
      </w:r>
      <w:r w:rsidRPr="001903CE">
        <w:t xml:space="preserve"> (ILGA-Europe and OII Europe, 2019), </w:t>
      </w:r>
      <w:r>
        <w:t>12</w:t>
      </w:r>
      <w:r w:rsidRPr="001903CE">
        <w:t xml:space="preserve">, available at </w:t>
      </w:r>
      <w:r>
        <w:t>&lt;</w:t>
      </w:r>
      <w:hyperlink r:id="rId46" w:history="1">
        <w:r w:rsidRPr="00E62ADC">
          <w:rPr>
            <w:rStyle w:val="Hyperlink"/>
          </w:rPr>
          <w:t>https://oiieurope.org/library-en/toolkit-cat/legal-toolkit/</w:t>
        </w:r>
      </w:hyperlink>
      <w:r>
        <w:t>&gt;.</w:t>
      </w:r>
    </w:p>
  </w:footnote>
  <w:footnote w:id="39">
    <w:p w14:paraId="67B51508" w14:textId="1E58A065" w:rsidR="00907CFA" w:rsidRPr="00927790" w:rsidRDefault="00907CFA" w:rsidP="00D456B9">
      <w:pPr>
        <w:pStyle w:val="FootnoteText"/>
      </w:pPr>
      <w:r>
        <w:rPr>
          <w:rStyle w:val="FootnoteReference"/>
        </w:rPr>
        <w:footnoteRef/>
      </w:r>
      <w:r>
        <w:t xml:space="preserve"> </w:t>
      </w:r>
      <w:r w:rsidRPr="0055578D">
        <w:t>CEDAW/C/DEU/CO/7-8</w:t>
      </w:r>
      <w:r>
        <w:t xml:space="preserve">. See also, among others, CEDAW/C/BGR/CO/8, CEDAW/C/AUT/CO/9, CEDAW/C/LUX/CO/6-7, CEDAW/C/ITA/CO/7, CEDAW/C/IRL/CO/6-7, CEDAW/C/NLD/CO/6, CEDAW/C/EST/CO/5-6, CEDAW/C/FRA/CO/7-8, CEDAW/C/SVK/CO/5-6. </w:t>
      </w:r>
      <w:r w:rsidRPr="001F3BC7">
        <w:t>About the understanding of IGM a</w:t>
      </w:r>
      <w:r>
        <w:t>s a form of GBV in the EU policy context, see OII Europe’s submissions to the European Commission: OII Europe,</w:t>
      </w:r>
      <w:r w:rsidR="00F8058A">
        <w:t xml:space="preserve"> </w:t>
      </w:r>
      <w:r w:rsidRPr="001F3BC7">
        <w:rPr>
          <w:i/>
          <w:iCs/>
        </w:rPr>
        <w:t>Preventing and combatting gender-based violence and domestic violence against intersex individuals</w:t>
      </w:r>
      <w:r>
        <w:rPr>
          <w:i/>
          <w:iCs/>
        </w:rPr>
        <w:t xml:space="preserve"> </w:t>
      </w:r>
      <w:r>
        <w:t>(</w:t>
      </w:r>
      <w:r w:rsidRPr="001F3BC7">
        <w:t>10.5.2021</w:t>
      </w:r>
      <w:r>
        <w:t xml:space="preserve">), available at </w:t>
      </w:r>
      <w:r>
        <w:rPr>
          <w:sz w:val="18"/>
          <w:szCs w:val="18"/>
        </w:rPr>
        <w:t>&lt;</w:t>
      </w:r>
      <w:hyperlink r:id="rId47" w:history="1">
        <w:r w:rsidRPr="00E62ADC">
          <w:rPr>
            <w:rStyle w:val="Hyperlink"/>
          </w:rPr>
          <w:t>https://oiieurope.org/wp-content/uploads/2021/05/2020_Submission-OII-Europe_Gender-based-and-domestic-violence_FINAL.pdf</w:t>
        </w:r>
      </w:hyperlink>
      <w:r>
        <w:t xml:space="preserve">&gt; and OII Europe, </w:t>
      </w:r>
      <w:r w:rsidRPr="001F3BC7">
        <w:rPr>
          <w:i/>
          <w:iCs/>
        </w:rPr>
        <w:t>Towards an evaluation of the Victims’ Rights Directive</w:t>
      </w:r>
      <w:r>
        <w:t xml:space="preserve"> (22.10.2021), available at </w:t>
      </w:r>
      <w:r w:rsidR="00AC6AAE">
        <w:t>&lt;</w:t>
      </w:r>
      <w:hyperlink r:id="rId48" w:history="1">
        <w:r w:rsidR="00AC6AAE" w:rsidRPr="00035C3D">
          <w:rPr>
            <w:rStyle w:val="Hyperlink"/>
          </w:rPr>
          <w:t>https://oiieurope.org/wp-content/uploads/2021/10/OII-Europe-Submission-Victims-Rights-Directive_FINAL.pdf</w:t>
        </w:r>
      </w:hyperlink>
      <w:r w:rsidR="00AC6AAE">
        <w:t>&gt;.</w:t>
      </w:r>
    </w:p>
  </w:footnote>
  <w:footnote w:id="40">
    <w:p w14:paraId="5CECB6D8" w14:textId="71E8964F" w:rsidR="00907CFA" w:rsidRPr="00A359BC" w:rsidRDefault="00907CFA">
      <w:pPr>
        <w:pStyle w:val="FootnoteText"/>
        <w:rPr>
          <w:b/>
          <w:bCs/>
        </w:rPr>
      </w:pPr>
      <w:r>
        <w:rPr>
          <w:rStyle w:val="FootnoteReference"/>
        </w:rPr>
        <w:footnoteRef/>
      </w:r>
      <w:r>
        <w:t xml:space="preserve"> </w:t>
      </w:r>
      <w:r w:rsidRPr="004523AD">
        <w:t xml:space="preserve">Parliamentary Assembly, </w:t>
      </w:r>
      <w:r w:rsidRPr="00A359BC">
        <w:t xml:space="preserve">Promoting the human rights of and eliminating discrimination against intersex </w:t>
      </w:r>
      <w:r>
        <w:t xml:space="preserve">people. </w:t>
      </w:r>
      <w:r w:rsidRPr="00A359BC">
        <w:t>Report</w:t>
      </w:r>
      <w:r>
        <w:t xml:space="preserve">. </w:t>
      </w:r>
      <w:r w:rsidRPr="00A359BC">
        <w:t xml:space="preserve">Doc. 14404 </w:t>
      </w:r>
      <w:r>
        <w:t>(</w:t>
      </w:r>
      <w:r w:rsidRPr="00A359BC">
        <w:t>25 September 2017</w:t>
      </w:r>
      <w:r>
        <w:t>), part C, paras. 49-50, available at &lt;</w:t>
      </w:r>
      <w:hyperlink r:id="rId49" w:anchor="_TOC_d19e146" w:history="1">
        <w:r w:rsidRPr="001D53E5">
          <w:rPr>
            <w:rStyle w:val="Hyperlink"/>
          </w:rPr>
          <w:t>https://pace.coe.int/en/files/24027/html#_TOC_d19e146</w:t>
        </w:r>
      </w:hyperlink>
      <w:r>
        <w:t xml:space="preserve">&gt;. </w:t>
      </w:r>
    </w:p>
  </w:footnote>
  <w:footnote w:id="41">
    <w:p w14:paraId="1376ED3E" w14:textId="78208C56" w:rsidR="00907CFA" w:rsidRPr="00FD2096" w:rsidRDefault="00907CFA">
      <w:pPr>
        <w:pStyle w:val="FootnoteText"/>
      </w:pPr>
      <w:r>
        <w:rPr>
          <w:rStyle w:val="FootnoteReference"/>
        </w:rPr>
        <w:footnoteRef/>
      </w:r>
      <w:r>
        <w:t xml:space="preserve"> </w:t>
      </w:r>
      <w:r w:rsidRPr="00FD2096">
        <w:t>The Netherlands Institute for Social Research</w:t>
      </w:r>
      <w:r>
        <w:t xml:space="preserve">: </w:t>
      </w:r>
      <w:r w:rsidRPr="00FD2096">
        <w:t>Jantine van Lisdonk</w:t>
      </w:r>
      <w:r>
        <w:t xml:space="preserve">, </w:t>
      </w:r>
      <w:r w:rsidRPr="00182517">
        <w:rPr>
          <w:i/>
          <w:iCs/>
        </w:rPr>
        <w:t>Living with intersex/DSD: An exploratory study of the social situation of persons with intersex/DSD</w:t>
      </w:r>
      <w:r>
        <w:t xml:space="preserve"> (</w:t>
      </w:r>
      <w:r w:rsidRPr="00FD2096">
        <w:t>The Hague, August 2014</w:t>
      </w:r>
      <w:r>
        <w:t>), 54, available at &lt;</w:t>
      </w:r>
      <w:hyperlink r:id="rId50" w:history="1">
        <w:r w:rsidRPr="001D53E5">
          <w:rPr>
            <w:rStyle w:val="Hyperlink"/>
          </w:rPr>
          <w:t>https://www.researchgate.net/publication/290446986_Living_with_intersexDSD_An_exploratory_study_of_the_social_situation_of_persons_with_intersexDSD</w:t>
        </w:r>
      </w:hyperlink>
      <w:r>
        <w:t xml:space="preserve">&gt;. For testimonies of rape in medical settings, see: </w:t>
      </w:r>
      <w:r w:rsidRPr="008B4365">
        <w:t>OII Europe,</w:t>
      </w:r>
      <w:r w:rsidRPr="008B4365">
        <w:rPr>
          <w:i/>
          <w:iCs/>
        </w:rPr>
        <w:t xml:space="preserve"> #MyIntersex Stories</w:t>
      </w:r>
      <w:r w:rsidRPr="00564A5E">
        <w:t>, 44-46, 69-70.</w:t>
      </w:r>
      <w:r>
        <w:t xml:space="preserve"> </w:t>
      </w:r>
    </w:p>
  </w:footnote>
  <w:footnote w:id="42">
    <w:p w14:paraId="4A3519EA" w14:textId="6477612D" w:rsidR="00907CFA" w:rsidRPr="00091F02" w:rsidRDefault="00907CFA" w:rsidP="00091F02">
      <w:pPr>
        <w:pStyle w:val="FootnoteText"/>
      </w:pPr>
      <w:r>
        <w:rPr>
          <w:rStyle w:val="FootnoteReference"/>
        </w:rPr>
        <w:footnoteRef/>
      </w:r>
      <w:r>
        <w:t xml:space="preserve"> </w:t>
      </w:r>
      <w:r w:rsidRPr="00091F02">
        <w:t>Dan Christian Ghattas</w:t>
      </w:r>
      <w:r>
        <w:t>,</w:t>
      </w:r>
      <w:r w:rsidRPr="00091F02">
        <w:t xml:space="preserve"> </w:t>
      </w:r>
      <w:r w:rsidRPr="00182517">
        <w:rPr>
          <w:i/>
          <w:iCs/>
        </w:rPr>
        <w:t xml:space="preserve">Human Rights Between the Sexes. A </w:t>
      </w:r>
      <w:r w:rsidRPr="00091F02">
        <w:rPr>
          <w:i/>
          <w:iCs/>
        </w:rPr>
        <w:t>preliminary study on the life situation of inter* individual</w:t>
      </w:r>
      <w:r>
        <w:t xml:space="preserve"> (Berlin: </w:t>
      </w:r>
      <w:r w:rsidRPr="00091F02">
        <w:t>Heinrich</w:t>
      </w:r>
      <w:r>
        <w:t xml:space="preserve"> </w:t>
      </w:r>
      <w:r w:rsidRPr="00091F02">
        <w:t>Boll Foundation</w:t>
      </w:r>
      <w:r>
        <w:t>, 2013),</w:t>
      </w:r>
      <w:r w:rsidRPr="00091F02">
        <w:t xml:space="preserve"> 22,</w:t>
      </w:r>
      <w:r>
        <w:t xml:space="preserve"> available at</w:t>
      </w:r>
      <w:r w:rsidRPr="00091F02">
        <w:t xml:space="preserve"> </w:t>
      </w:r>
      <w:r>
        <w:t>&lt;</w:t>
      </w:r>
      <w:hyperlink r:id="rId51" w:history="1">
        <w:r w:rsidRPr="00091F02">
          <w:rPr>
            <w:rStyle w:val="Hyperlink"/>
          </w:rPr>
          <w:t>https://www.boell.de/sites/default/files/</w:t>
        </w:r>
        <w:r w:rsidRPr="001D53E5">
          <w:rPr>
            <w:rStyle w:val="Hyperlink"/>
          </w:rPr>
          <w:t>endf_human_rights_between_the_sexes.pdf</w:t>
        </w:r>
      </w:hyperlink>
      <w:r>
        <w:t xml:space="preserve">&gt;.  </w:t>
      </w:r>
    </w:p>
  </w:footnote>
  <w:footnote w:id="43">
    <w:p w14:paraId="498DEAA3" w14:textId="6AE85ED2" w:rsidR="00907CFA" w:rsidRPr="008E5F8B" w:rsidRDefault="00907CFA" w:rsidP="007F5E3B">
      <w:pPr>
        <w:pStyle w:val="FootnoteText"/>
        <w:rPr>
          <w:i/>
          <w:iCs/>
          <w:lang w:val="de-DE"/>
        </w:rPr>
      </w:pPr>
      <w:r>
        <w:rPr>
          <w:rStyle w:val="FootnoteReference"/>
        </w:rPr>
        <w:footnoteRef/>
      </w:r>
      <w:r w:rsidRPr="008E5F8B">
        <w:rPr>
          <w:lang w:val="de-DE"/>
        </w:rPr>
        <w:t xml:space="preserve"> Bundesministerium fur Familie, Senioren, Frauen und Jugend, </w:t>
      </w:r>
      <w:r w:rsidRPr="008E5F8B">
        <w:rPr>
          <w:i/>
          <w:iCs/>
          <w:lang w:val="de-DE"/>
        </w:rPr>
        <w:t xml:space="preserve">Dokumentation Fachaustausch: </w:t>
      </w:r>
      <w:r w:rsidRPr="008E5F8B">
        <w:rPr>
          <w:rFonts w:hint="eastAsia"/>
          <w:i/>
          <w:iCs/>
          <w:lang w:val="de-DE"/>
        </w:rPr>
        <w:t>„</w:t>
      </w:r>
      <w:r w:rsidRPr="008E5F8B">
        <w:rPr>
          <w:i/>
          <w:iCs/>
          <w:lang w:val="de-DE"/>
        </w:rPr>
        <w:t>Beratung und Unterstutzung fur intersexuelle Menschen (i. S. v. Menschen mit angeborenen Variationen der Geschlechtsmerkmale) und ihre Familien</w:t>
      </w:r>
      <w:r w:rsidRPr="008E5F8B">
        <w:rPr>
          <w:rFonts w:hint="eastAsia"/>
          <w:i/>
          <w:iCs/>
          <w:lang w:val="de-DE"/>
        </w:rPr>
        <w:t>“</w:t>
      </w:r>
      <w:r w:rsidRPr="008E5F8B">
        <w:rPr>
          <w:i/>
          <w:iCs/>
          <w:lang w:val="de-DE"/>
        </w:rPr>
        <w:t xml:space="preserve"> 4. November 2015. Begleitmaterial zur Interministeriellen</w:t>
      </w:r>
    </w:p>
    <w:p w14:paraId="657279F8" w14:textId="10F2C2D0" w:rsidR="00907CFA" w:rsidRPr="008E5F8B" w:rsidRDefault="00907CFA" w:rsidP="007F5E3B">
      <w:pPr>
        <w:pStyle w:val="FootnoteText"/>
        <w:rPr>
          <w:lang w:val="de-DE"/>
        </w:rPr>
      </w:pPr>
      <w:r w:rsidRPr="008E5F8B">
        <w:rPr>
          <w:i/>
          <w:iCs/>
          <w:lang w:val="de-DE"/>
        </w:rPr>
        <w:t xml:space="preserve">Arbeitsgruppe Inter- &amp; Transsexualitat </w:t>
      </w:r>
      <w:r w:rsidRPr="008E5F8B">
        <w:rPr>
          <w:rFonts w:hint="eastAsia"/>
          <w:i/>
          <w:iCs/>
          <w:lang w:val="de-DE"/>
        </w:rPr>
        <w:t>–</w:t>
      </w:r>
      <w:r w:rsidRPr="008E5F8B">
        <w:rPr>
          <w:i/>
          <w:iCs/>
          <w:lang w:val="de-DE"/>
        </w:rPr>
        <w:t xml:space="preserve"> Band 3</w:t>
      </w:r>
      <w:r w:rsidRPr="008E5F8B">
        <w:rPr>
          <w:lang w:val="de-DE"/>
        </w:rPr>
        <w:t xml:space="preserve"> (Berlin, June 2016), 13, available at  &lt;</w:t>
      </w:r>
      <w:hyperlink r:id="rId52" w:history="1">
        <w:r w:rsidRPr="008E5F8B">
          <w:rPr>
            <w:rStyle w:val="Hyperlink"/>
            <w:lang w:val="de-DE"/>
          </w:rPr>
          <w:t>https://www.bmfsfj.de/blob/123144/40905d00b0bc5d9722523bb6f9e29824/imag-band-3-beratung-undunterstuetzung-fuer-intersexuelle-menschen-data.pdf</w:t>
        </w:r>
      </w:hyperlink>
      <w:r w:rsidRPr="008E5F8B">
        <w:rPr>
          <w:lang w:val="de-DE"/>
        </w:rPr>
        <w:t xml:space="preserve">&gt;. </w:t>
      </w:r>
    </w:p>
  </w:footnote>
  <w:footnote w:id="44">
    <w:p w14:paraId="26EA65CF" w14:textId="62C3008E" w:rsidR="00907CFA" w:rsidRPr="00D06A9E" w:rsidRDefault="00907CFA">
      <w:pPr>
        <w:pStyle w:val="FootnoteText"/>
      </w:pPr>
      <w:r>
        <w:rPr>
          <w:rStyle w:val="FootnoteReference"/>
        </w:rPr>
        <w:footnoteRef/>
      </w:r>
      <w:r>
        <w:t xml:space="preserve"> </w:t>
      </w:r>
      <w:r w:rsidRPr="00D06A9E">
        <w:rPr>
          <w:i/>
          <w:iCs/>
        </w:rPr>
        <w:t>Ibidem</w:t>
      </w:r>
      <w:r w:rsidRPr="00D06A9E">
        <w:t>, 14.</w:t>
      </w:r>
    </w:p>
  </w:footnote>
  <w:footnote w:id="45">
    <w:p w14:paraId="03FCE577" w14:textId="64DFE5EE" w:rsidR="00907CFA" w:rsidRPr="00D06A9E" w:rsidRDefault="00907CFA">
      <w:pPr>
        <w:pStyle w:val="FootnoteText"/>
      </w:pPr>
      <w:r>
        <w:rPr>
          <w:rStyle w:val="FootnoteReference"/>
        </w:rPr>
        <w:footnoteRef/>
      </w:r>
      <w:r>
        <w:t xml:space="preserve"> </w:t>
      </w:r>
      <w:r w:rsidRPr="00E8734E">
        <w:t xml:space="preserve">OII Europe, </w:t>
      </w:r>
      <w:r w:rsidRPr="00E8734E">
        <w:rPr>
          <w:i/>
          <w:iCs/>
        </w:rPr>
        <w:t>COVID-19</w:t>
      </w:r>
      <w:r>
        <w:rPr>
          <w:i/>
          <w:iCs/>
        </w:rPr>
        <w:t xml:space="preserve">, </w:t>
      </w:r>
      <w:r>
        <w:t>18.</w:t>
      </w:r>
    </w:p>
  </w:footnote>
  <w:footnote w:id="46">
    <w:p w14:paraId="2B5FE49F" w14:textId="6DBC88D0" w:rsidR="00907CFA" w:rsidRPr="00D06A9E" w:rsidRDefault="00907CFA">
      <w:pPr>
        <w:pStyle w:val="FootnoteText"/>
      </w:pPr>
      <w:r>
        <w:rPr>
          <w:rStyle w:val="FootnoteReference"/>
        </w:rPr>
        <w:footnoteRef/>
      </w:r>
      <w:r>
        <w:t xml:space="preserve"> </w:t>
      </w:r>
      <w:r w:rsidRPr="00D06A9E">
        <w:rPr>
          <w:i/>
          <w:iCs/>
        </w:rPr>
        <w:t>Ibidem</w:t>
      </w:r>
      <w:r w:rsidRPr="00D06A9E">
        <w:t>, 19.</w:t>
      </w:r>
    </w:p>
  </w:footnote>
  <w:footnote w:id="47">
    <w:p w14:paraId="7067CB43" w14:textId="132EFB5E" w:rsidR="00907CFA" w:rsidRPr="00F90444" w:rsidRDefault="00907CFA">
      <w:pPr>
        <w:pStyle w:val="FootnoteText"/>
      </w:pPr>
      <w:r>
        <w:rPr>
          <w:rStyle w:val="FootnoteReference"/>
        </w:rPr>
        <w:footnoteRef/>
      </w:r>
      <w:r>
        <w:t xml:space="preserve"> Parliamentary Assembly, </w:t>
      </w:r>
      <w:r w:rsidRPr="00E4370A">
        <w:t>Report</w:t>
      </w:r>
      <w:r>
        <w:t>, para. 52.</w:t>
      </w:r>
    </w:p>
  </w:footnote>
  <w:footnote w:id="48">
    <w:p w14:paraId="14ABEA33" w14:textId="2A22E978" w:rsidR="00907CFA" w:rsidRPr="00E4370A" w:rsidRDefault="00907CFA">
      <w:pPr>
        <w:pStyle w:val="FootnoteText"/>
        <w:rPr>
          <w:iCs/>
        </w:rPr>
      </w:pPr>
      <w:r>
        <w:rPr>
          <w:rStyle w:val="FootnoteReference"/>
        </w:rPr>
        <w:footnoteRef/>
      </w:r>
      <w:r>
        <w:t xml:space="preserve"> </w:t>
      </w:r>
      <w:bookmarkStart w:id="10" w:name="_Hlk93268432"/>
      <w:r w:rsidRPr="00E4370A">
        <w:t xml:space="preserve">Dan Christian Ghattas, </w:t>
      </w:r>
      <w:r w:rsidRPr="00E4370A">
        <w:rPr>
          <w:i/>
        </w:rPr>
        <w:t>Protecting Intersex people in Europe</w:t>
      </w:r>
      <w:r>
        <w:rPr>
          <w:i/>
        </w:rPr>
        <w:t xml:space="preserve">, </w:t>
      </w:r>
      <w:r>
        <w:rPr>
          <w:iCs/>
        </w:rPr>
        <w:t>38-39.</w:t>
      </w:r>
      <w:bookmarkEnd w:id="10"/>
    </w:p>
  </w:footnote>
  <w:footnote w:id="49">
    <w:p w14:paraId="17FD152C" w14:textId="63F75AC6" w:rsidR="00907CFA" w:rsidRPr="00C5023E" w:rsidRDefault="00907CFA">
      <w:pPr>
        <w:pStyle w:val="FootnoteText"/>
        <w:rPr>
          <w:b/>
          <w:bCs/>
        </w:rPr>
      </w:pPr>
      <w:r>
        <w:rPr>
          <w:rStyle w:val="FootnoteReference"/>
        </w:rPr>
        <w:footnoteRef/>
      </w:r>
      <w:r>
        <w:t xml:space="preserve"> </w:t>
      </w:r>
      <w:r w:rsidRPr="00C5023E">
        <w:t>STATEMENT of the 1st European Intersex Community Event (Vienna, 30st – 31st of March 2017), available at &lt;</w:t>
      </w:r>
      <w:hyperlink r:id="rId53" w:history="1">
        <w:r w:rsidRPr="00C5023E">
          <w:rPr>
            <w:rStyle w:val="Hyperlink"/>
          </w:rPr>
          <w:t>https://oiieurope.org/statement-1st-european-intersex-community-event-vienna-30st-31st-march-2017/</w:t>
        </w:r>
      </w:hyperlink>
      <w:r w:rsidRPr="00C5023E">
        <w:t>&gt;</w:t>
      </w:r>
      <w:r>
        <w:t>.</w:t>
      </w:r>
      <w:r>
        <w:rPr>
          <w:b/>
          <w:bCs/>
        </w:rPr>
        <w:t xml:space="preserve"> </w:t>
      </w:r>
    </w:p>
  </w:footnote>
  <w:footnote w:id="50">
    <w:p w14:paraId="2F073BA7" w14:textId="5AC793F4" w:rsidR="00907CFA" w:rsidRPr="0028028E" w:rsidRDefault="00907CFA">
      <w:pPr>
        <w:pStyle w:val="FootnoteText"/>
      </w:pPr>
      <w:r>
        <w:rPr>
          <w:rStyle w:val="FootnoteReference"/>
        </w:rPr>
        <w:footnoteRef/>
      </w:r>
      <w:r>
        <w:t xml:space="preserve"> </w:t>
      </w:r>
      <w:r w:rsidRPr="0028028E">
        <w:t>Find out more about the p</w:t>
      </w:r>
      <w:r>
        <w:t>roject at</w:t>
      </w:r>
      <w:r w:rsidRPr="0028028E">
        <w:t xml:space="preserve"> </w:t>
      </w:r>
      <w:r>
        <w:t>&lt;</w:t>
      </w:r>
      <w:hyperlink r:id="rId54" w:history="1">
        <w:r w:rsidRPr="001D53E5">
          <w:rPr>
            <w:rStyle w:val="Hyperlink"/>
          </w:rPr>
          <w:t>https://varges.at</w:t>
        </w:r>
      </w:hyperlink>
      <w:r>
        <w:t xml:space="preserve">&gt;. </w:t>
      </w:r>
    </w:p>
  </w:footnote>
  <w:footnote w:id="51">
    <w:p w14:paraId="206C464D" w14:textId="750BF2A0" w:rsidR="00907CFA" w:rsidRPr="0028028E" w:rsidRDefault="00907CFA">
      <w:pPr>
        <w:pStyle w:val="FootnoteText"/>
      </w:pPr>
      <w:r>
        <w:rPr>
          <w:rStyle w:val="FootnoteReference"/>
        </w:rPr>
        <w:footnoteRef/>
      </w:r>
      <w:r>
        <w:t xml:space="preserve"> </w:t>
      </w:r>
      <w:r w:rsidRPr="0028028E">
        <w:t>See OII Europe Good Practice M</w:t>
      </w:r>
      <w:r>
        <w:t>ap 2020 at &lt;</w:t>
      </w:r>
      <w:hyperlink r:id="rId55" w:anchor="fund" w:history="1">
        <w:r w:rsidRPr="001D53E5">
          <w:rPr>
            <w:rStyle w:val="Hyperlink"/>
          </w:rPr>
          <w:t>https://oiieurope.org/good-practice-map-2020/#fund</w:t>
        </w:r>
      </w:hyperlink>
      <w:r>
        <w:t xml:space="preserve">&gt;. </w:t>
      </w:r>
    </w:p>
  </w:footnote>
  <w:footnote w:id="52">
    <w:p w14:paraId="7B321FF1" w14:textId="56E9CBB2" w:rsidR="00907CFA" w:rsidRPr="00805DE9" w:rsidRDefault="00907CFA">
      <w:pPr>
        <w:pStyle w:val="FootnoteText"/>
      </w:pPr>
      <w:r>
        <w:rPr>
          <w:rStyle w:val="FootnoteReference"/>
        </w:rPr>
        <w:footnoteRef/>
      </w:r>
      <w:r>
        <w:t xml:space="preserve"> </w:t>
      </w:r>
      <w:r w:rsidRPr="00805DE9">
        <w:t xml:space="preserve">See Dan Christian Ghattas, </w:t>
      </w:r>
      <w:r w:rsidRPr="00805DE9">
        <w:rPr>
          <w:i/>
        </w:rPr>
        <w:t xml:space="preserve">Protecting Intersex people in Europe, </w:t>
      </w:r>
      <w:r>
        <w:rPr>
          <w:iCs/>
        </w:rPr>
        <w:t>15-20</w:t>
      </w:r>
      <w:r w:rsidRPr="00805DE9">
        <w:rPr>
          <w:iCs/>
        </w:rPr>
        <w:t>.</w:t>
      </w:r>
    </w:p>
  </w:footnote>
  <w:footnote w:id="53">
    <w:p w14:paraId="66B5A533" w14:textId="6DEE282B" w:rsidR="00907CFA" w:rsidRPr="00B97808" w:rsidRDefault="00907CFA">
      <w:pPr>
        <w:pStyle w:val="FootnoteText"/>
        <w:rPr>
          <w:b/>
          <w:bCs/>
        </w:rPr>
      </w:pPr>
      <w:r>
        <w:rPr>
          <w:rStyle w:val="FootnoteReference"/>
        </w:rPr>
        <w:footnoteRef/>
      </w:r>
      <w:r>
        <w:t xml:space="preserve"> For example, see our press release in regard to the German law: OII Europe, </w:t>
      </w:r>
      <w:r w:rsidRPr="00A109E2">
        <w:rPr>
          <w:i/>
          <w:iCs/>
        </w:rPr>
        <w:t xml:space="preserve">A good first step: Germany adopts law banning IGM. But there is still room for improvement </w:t>
      </w:r>
      <w:r>
        <w:t>(30 March 2021), available at &lt;</w:t>
      </w:r>
      <w:hyperlink r:id="rId56" w:history="1">
        <w:r w:rsidRPr="001D53E5">
          <w:rPr>
            <w:rStyle w:val="Hyperlink"/>
          </w:rPr>
          <w:t>https://oiieurope.org/a-good-first-step-germany-adopts-law-banning-igm/</w:t>
        </w:r>
      </w:hyperlink>
      <w:r>
        <w:t>&gt;.</w:t>
      </w:r>
    </w:p>
  </w:footnote>
  <w:footnote w:id="54">
    <w:p w14:paraId="203A38A6" w14:textId="6B8E27D5" w:rsidR="00907CFA" w:rsidRPr="00251040" w:rsidRDefault="00907CFA" w:rsidP="00251040">
      <w:pPr>
        <w:pStyle w:val="FootnoteText"/>
      </w:pPr>
      <w:r>
        <w:rPr>
          <w:rStyle w:val="FootnoteReference"/>
        </w:rPr>
        <w:footnoteRef/>
      </w:r>
      <w:r>
        <w:t xml:space="preserve"> </w:t>
      </w:r>
      <w:r w:rsidRPr="00251040">
        <w:t>European Commission, EU strategy on the rights of the child</w:t>
      </w:r>
      <w:r>
        <w:t xml:space="preserve"> (</w:t>
      </w:r>
      <w:r w:rsidRPr="00251040">
        <w:t>Brussels, 24.3.2021</w:t>
      </w:r>
      <w:r>
        <w:t>), 12, available at &lt;</w:t>
      </w:r>
      <w:hyperlink r:id="rId57" w:history="1">
        <w:r w:rsidRPr="001D53E5">
          <w:rPr>
            <w:rStyle w:val="Hyperlink"/>
          </w:rPr>
          <w:t>https://eur-lex.europa.eu/legal-content/en/TXT/?uri=CELEX%3A52021DC0142</w:t>
        </w:r>
      </w:hyperlink>
      <w:r>
        <w:t xml:space="preserve">&gt;. </w:t>
      </w:r>
    </w:p>
  </w:footnote>
  <w:footnote w:id="55">
    <w:p w14:paraId="67CE182D" w14:textId="78CF0383" w:rsidR="00907CFA" w:rsidRPr="00D82443" w:rsidRDefault="00907CFA">
      <w:pPr>
        <w:pStyle w:val="FootnoteText"/>
      </w:pPr>
      <w:r>
        <w:rPr>
          <w:rStyle w:val="FootnoteReference"/>
        </w:rPr>
        <w:footnoteRef/>
      </w:r>
      <w:r>
        <w:t xml:space="preserve"> </w:t>
      </w:r>
      <w:r w:rsidRPr="00D82443">
        <w:t>For more good practice examples,</w:t>
      </w:r>
      <w:r>
        <w:t xml:space="preserve"> please visit the section Map on OII Europe website, at &lt;</w:t>
      </w:r>
      <w:hyperlink r:id="rId58" w:history="1">
        <w:r w:rsidRPr="001D53E5">
          <w:rPr>
            <w:rStyle w:val="Hyperlink"/>
          </w:rPr>
          <w:t>https://oiieurope.org/library-en/map/</w:t>
        </w:r>
      </w:hyperlink>
      <w:r>
        <w:t xml:space="preserve">&gt;. </w:t>
      </w:r>
    </w:p>
  </w:footnote>
  <w:footnote w:id="56">
    <w:p w14:paraId="36037B6B" w14:textId="0EA2F392" w:rsidR="00907CFA" w:rsidRPr="00000ED0" w:rsidRDefault="00907CFA">
      <w:pPr>
        <w:pStyle w:val="FootnoteText"/>
      </w:pPr>
      <w:r>
        <w:rPr>
          <w:rStyle w:val="FootnoteReference"/>
        </w:rPr>
        <w:footnoteRef/>
      </w:r>
      <w:r>
        <w:t xml:space="preserve"> </w:t>
      </w:r>
      <w:r w:rsidRPr="00000ED0">
        <w:t xml:space="preserve">See the French campaign at </w:t>
      </w:r>
      <w:r>
        <w:t>&lt;</w:t>
      </w:r>
      <w:hyperlink r:id="rId59" w:history="1">
        <w:r w:rsidRPr="001D53E5">
          <w:rPr>
            <w:rStyle w:val="Hyperlink"/>
          </w:rPr>
          <w:t>https://droits-intersexes.fr/</w:t>
        </w:r>
      </w:hyperlink>
      <w:r>
        <w:t>&gt;. See the online events in Serbia at  &lt;</w:t>
      </w:r>
      <w:hyperlink r:id="rId60" w:history="1">
        <w:r w:rsidRPr="001D53E5">
          <w:rPr>
            <w:rStyle w:val="Hyperlink"/>
          </w:rPr>
          <w:t>https://www.facebook.com/events/199471551834721/</w:t>
        </w:r>
      </w:hyperlink>
      <w:r>
        <w:t>&gt; and &lt;</w:t>
      </w:r>
      <w:hyperlink r:id="rId61" w:history="1">
        <w:r w:rsidRPr="001D53E5">
          <w:rPr>
            <w:rStyle w:val="Hyperlink"/>
          </w:rPr>
          <w:t>https://www.facebook.com/events/1457464814461908/</w:t>
        </w:r>
      </w:hyperlink>
      <w:r>
        <w:t>&gt;. See OII Europe Good Practice Map 2020 at &lt;</w:t>
      </w:r>
      <w:hyperlink r:id="rId62" w:history="1">
        <w:r w:rsidRPr="001D53E5">
          <w:rPr>
            <w:rStyle w:val="Hyperlink"/>
          </w:rPr>
          <w:t>https://oiieurope.org/good-practice-map-2020/</w:t>
        </w:r>
      </w:hyperlink>
      <w:r>
        <w:t xml:space="preserve">&gt;.  </w:t>
      </w:r>
    </w:p>
  </w:footnote>
  <w:footnote w:id="57">
    <w:p w14:paraId="5DE50DE2" w14:textId="17B96A12" w:rsidR="00907CFA" w:rsidRPr="00FC6BC1" w:rsidRDefault="00907CFA">
      <w:pPr>
        <w:pStyle w:val="FootnoteText"/>
      </w:pPr>
      <w:r>
        <w:rPr>
          <w:rStyle w:val="FootnoteReference"/>
        </w:rPr>
        <w:footnoteRef/>
      </w:r>
      <w:r>
        <w:t xml:space="preserve"> </w:t>
      </w:r>
      <w:r w:rsidRPr="00FC6BC1">
        <w:t>See OII Europe Good Practice M</w:t>
      </w:r>
      <w:r>
        <w:t>ap 2019 at &lt;</w:t>
      </w:r>
      <w:hyperlink r:id="rId63" w:history="1">
        <w:r w:rsidRPr="001D53E5">
          <w:rPr>
            <w:rStyle w:val="Hyperlink"/>
          </w:rPr>
          <w:t>https://oiieurope.org/good-practice-map-2019/</w:t>
        </w:r>
      </w:hyperlink>
      <w:r>
        <w:t xml:space="preserve">&gt;. </w:t>
      </w:r>
    </w:p>
  </w:footnote>
  <w:footnote w:id="58">
    <w:p w14:paraId="135B647F" w14:textId="77777777" w:rsidR="00907CFA" w:rsidRPr="00E33071" w:rsidRDefault="00907CFA" w:rsidP="00907CFA">
      <w:pPr>
        <w:pStyle w:val="FootnoteText"/>
      </w:pPr>
      <w:r>
        <w:rPr>
          <w:rStyle w:val="FootnoteReference"/>
        </w:rPr>
        <w:footnoteRef/>
      </w:r>
      <w:r>
        <w:t xml:space="preserve"> </w:t>
      </w:r>
      <w:r w:rsidRPr="00123F78">
        <w:t>See more information at &lt;</w:t>
      </w:r>
      <w:hyperlink r:id="rId64" w:history="1">
        <w:r w:rsidRPr="00123F78">
          <w:rPr>
            <w:rStyle w:val="Hyperlink"/>
          </w:rPr>
          <w:t>https://www.intersexnew.co.uk/about/</w:t>
        </w:r>
      </w:hyperlink>
      <w:r>
        <w:t xml:space="preserve">&gt;. </w:t>
      </w:r>
    </w:p>
  </w:footnote>
  <w:footnote w:id="59">
    <w:p w14:paraId="69FEB18A" w14:textId="07B4BE36" w:rsidR="00907CFA" w:rsidRPr="00437ECF" w:rsidRDefault="00907CFA">
      <w:pPr>
        <w:pStyle w:val="FootnoteText"/>
      </w:pPr>
      <w:r>
        <w:rPr>
          <w:rStyle w:val="FootnoteReference"/>
        </w:rPr>
        <w:footnoteRef/>
      </w:r>
      <w:r>
        <w:t xml:space="preserve"> </w:t>
      </w:r>
      <w:r w:rsidRPr="00437ECF">
        <w:t xml:space="preserve">See </w:t>
      </w:r>
      <w:bookmarkStart w:id="11" w:name="_Hlk93271769"/>
      <w:r w:rsidRPr="00437ECF">
        <w:t xml:space="preserve">OII Europe Good Practice Map 2019 </w:t>
      </w:r>
      <w:bookmarkEnd w:id="11"/>
      <w:r w:rsidRPr="00437ECF">
        <w:t>at &lt;</w:t>
      </w:r>
      <w:hyperlink r:id="rId65" w:history="1">
        <w:r w:rsidRPr="00437ECF">
          <w:rPr>
            <w:rStyle w:val="Hyperlink"/>
          </w:rPr>
          <w:t>https://oiieurope.org/good-practice-map-2019/</w:t>
        </w:r>
      </w:hyperlink>
      <w:r w:rsidRPr="00437ECF">
        <w:t>&gt;.</w:t>
      </w:r>
      <w:r>
        <w:t xml:space="preserve"> </w:t>
      </w:r>
      <w:r w:rsidRPr="005C64C3">
        <w:t>See also a good example f</w:t>
      </w:r>
      <w:r>
        <w:t xml:space="preserve">rom Germany, where the Family Ministry funded the first-ever study on feminising and masculinising genital surgeries carried out on intersex children under the age of 10. The study is a best practice example of how to conduct a retrospective statistical data assessment of surgeries on people with variations of sex characteristics: see </w:t>
      </w:r>
      <w:r w:rsidRPr="005C64C3">
        <w:t>OII Europe Good Practice Map 201</w:t>
      </w:r>
      <w:r>
        <w:t>8 at &lt;</w:t>
      </w:r>
      <w:hyperlink r:id="rId66" w:history="1">
        <w:r w:rsidRPr="001D53E5">
          <w:rPr>
            <w:rStyle w:val="Hyperlink"/>
          </w:rPr>
          <w:t>https://oiieurope.org/good-practice-map-2018/</w:t>
        </w:r>
      </w:hyperlink>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907CFA" w:rsidRDefault="00907CFA" w:rsidP="00BE02E5">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8B6"/>
    <w:multiLevelType w:val="multilevel"/>
    <w:tmpl w:val="1A48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55664"/>
    <w:multiLevelType w:val="hybridMultilevel"/>
    <w:tmpl w:val="27A43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165F98"/>
    <w:multiLevelType w:val="multilevel"/>
    <w:tmpl w:val="3188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98585A"/>
    <w:multiLevelType w:val="hybridMultilevel"/>
    <w:tmpl w:val="76204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220D3A"/>
    <w:multiLevelType w:val="hybridMultilevel"/>
    <w:tmpl w:val="0CF45C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ED212F"/>
    <w:multiLevelType w:val="hybridMultilevel"/>
    <w:tmpl w:val="2AE26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A810CC"/>
    <w:multiLevelType w:val="hybridMultilevel"/>
    <w:tmpl w:val="085E7FE8"/>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074645"/>
    <w:multiLevelType w:val="hybridMultilevel"/>
    <w:tmpl w:val="F6E4401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6D5775D6"/>
    <w:multiLevelType w:val="multilevel"/>
    <w:tmpl w:val="A3D0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F17C7C"/>
    <w:multiLevelType w:val="multilevel"/>
    <w:tmpl w:val="DEDA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72D52FC1"/>
    <w:multiLevelType w:val="multilevel"/>
    <w:tmpl w:val="8686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E71963"/>
    <w:multiLevelType w:val="hybridMultilevel"/>
    <w:tmpl w:val="FD10E3A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994C54"/>
    <w:multiLevelType w:val="hybridMultilevel"/>
    <w:tmpl w:val="F334A9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C9833BC"/>
    <w:multiLevelType w:val="multilevel"/>
    <w:tmpl w:val="D4C66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12"/>
  </w:num>
  <w:num w:numId="4">
    <w:abstractNumId w:val="9"/>
  </w:num>
  <w:num w:numId="5">
    <w:abstractNumId w:val="4"/>
  </w:num>
  <w:num w:numId="6">
    <w:abstractNumId w:val="16"/>
  </w:num>
  <w:num w:numId="7">
    <w:abstractNumId w:val="2"/>
  </w:num>
  <w:num w:numId="8">
    <w:abstractNumId w:val="11"/>
  </w:num>
  <w:num w:numId="9">
    <w:abstractNumId w:val="10"/>
  </w:num>
  <w:num w:numId="10">
    <w:abstractNumId w:val="13"/>
  </w:num>
  <w:num w:numId="11">
    <w:abstractNumId w:val="1"/>
  </w:num>
  <w:num w:numId="12">
    <w:abstractNumId w:val="5"/>
  </w:num>
  <w:num w:numId="13">
    <w:abstractNumId w:val="6"/>
  </w:num>
  <w:num w:numId="14">
    <w:abstractNumId w:val="14"/>
  </w:num>
  <w:num w:numId="15">
    <w:abstractNumId w:val="7"/>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000ED0"/>
    <w:rsid w:val="000115B7"/>
    <w:rsid w:val="0002009F"/>
    <w:rsid w:val="00020E19"/>
    <w:rsid w:val="0005155A"/>
    <w:rsid w:val="0005193B"/>
    <w:rsid w:val="00051E3D"/>
    <w:rsid w:val="00052C2A"/>
    <w:rsid w:val="00090A67"/>
    <w:rsid w:val="000914BF"/>
    <w:rsid w:val="00091F02"/>
    <w:rsid w:val="000A369E"/>
    <w:rsid w:val="000C0264"/>
    <w:rsid w:val="000E4EF7"/>
    <w:rsid w:val="00100E52"/>
    <w:rsid w:val="0010744D"/>
    <w:rsid w:val="00107EA5"/>
    <w:rsid w:val="00115205"/>
    <w:rsid w:val="0013499A"/>
    <w:rsid w:val="00135BFA"/>
    <w:rsid w:val="001365D5"/>
    <w:rsid w:val="00156416"/>
    <w:rsid w:val="00157443"/>
    <w:rsid w:val="00163576"/>
    <w:rsid w:val="00176EE5"/>
    <w:rsid w:val="00182517"/>
    <w:rsid w:val="001903CE"/>
    <w:rsid w:val="001A7B73"/>
    <w:rsid w:val="001B0EA5"/>
    <w:rsid w:val="001B2225"/>
    <w:rsid w:val="001C148C"/>
    <w:rsid w:val="001D4CDC"/>
    <w:rsid w:val="001F3BC7"/>
    <w:rsid w:val="001F59D6"/>
    <w:rsid w:val="00227E63"/>
    <w:rsid w:val="00230606"/>
    <w:rsid w:val="002315D7"/>
    <w:rsid w:val="00251040"/>
    <w:rsid w:val="00254498"/>
    <w:rsid w:val="00256933"/>
    <w:rsid w:val="002658B0"/>
    <w:rsid w:val="0028028E"/>
    <w:rsid w:val="0029584A"/>
    <w:rsid w:val="00296D8A"/>
    <w:rsid w:val="002A4702"/>
    <w:rsid w:val="002A6E7B"/>
    <w:rsid w:val="002B1430"/>
    <w:rsid w:val="002B275A"/>
    <w:rsid w:val="002C51F1"/>
    <w:rsid w:val="002D101A"/>
    <w:rsid w:val="002F229C"/>
    <w:rsid w:val="002F270A"/>
    <w:rsid w:val="002F5739"/>
    <w:rsid w:val="002F5CDA"/>
    <w:rsid w:val="0030538B"/>
    <w:rsid w:val="003053A5"/>
    <w:rsid w:val="00311AC3"/>
    <w:rsid w:val="0031254D"/>
    <w:rsid w:val="00362B2A"/>
    <w:rsid w:val="003830AB"/>
    <w:rsid w:val="003901F0"/>
    <w:rsid w:val="00393034"/>
    <w:rsid w:val="0039321C"/>
    <w:rsid w:val="003963A5"/>
    <w:rsid w:val="003A5C14"/>
    <w:rsid w:val="003B5101"/>
    <w:rsid w:val="003E3FCF"/>
    <w:rsid w:val="003E7374"/>
    <w:rsid w:val="003F7D01"/>
    <w:rsid w:val="00407AEE"/>
    <w:rsid w:val="0042084E"/>
    <w:rsid w:val="00420E01"/>
    <w:rsid w:val="0042241D"/>
    <w:rsid w:val="00437ECF"/>
    <w:rsid w:val="0045107A"/>
    <w:rsid w:val="004523AD"/>
    <w:rsid w:val="004529B4"/>
    <w:rsid w:val="00466B9A"/>
    <w:rsid w:val="004675EB"/>
    <w:rsid w:val="004A7C58"/>
    <w:rsid w:val="004D746A"/>
    <w:rsid w:val="004D7FA5"/>
    <w:rsid w:val="004E49E7"/>
    <w:rsid w:val="004E5F31"/>
    <w:rsid w:val="00500EAD"/>
    <w:rsid w:val="005142FB"/>
    <w:rsid w:val="00525351"/>
    <w:rsid w:val="005447F2"/>
    <w:rsid w:val="005479C4"/>
    <w:rsid w:val="0055578D"/>
    <w:rsid w:val="00556920"/>
    <w:rsid w:val="005624A4"/>
    <w:rsid w:val="00564A5E"/>
    <w:rsid w:val="005754BD"/>
    <w:rsid w:val="0059005C"/>
    <w:rsid w:val="005A034A"/>
    <w:rsid w:val="005B5F97"/>
    <w:rsid w:val="005C2E17"/>
    <w:rsid w:val="005C64C3"/>
    <w:rsid w:val="005D5018"/>
    <w:rsid w:val="005D5BD1"/>
    <w:rsid w:val="005D7B46"/>
    <w:rsid w:val="005F7412"/>
    <w:rsid w:val="00600349"/>
    <w:rsid w:val="0065298A"/>
    <w:rsid w:val="00655E4F"/>
    <w:rsid w:val="00690042"/>
    <w:rsid w:val="006A3B70"/>
    <w:rsid w:val="006B051F"/>
    <w:rsid w:val="006B16A9"/>
    <w:rsid w:val="006B1FEE"/>
    <w:rsid w:val="006E2248"/>
    <w:rsid w:val="006F1FAD"/>
    <w:rsid w:val="006F37DF"/>
    <w:rsid w:val="006F5047"/>
    <w:rsid w:val="00700879"/>
    <w:rsid w:val="00710C03"/>
    <w:rsid w:val="00712A7F"/>
    <w:rsid w:val="007314A9"/>
    <w:rsid w:val="00735CD8"/>
    <w:rsid w:val="007410E0"/>
    <w:rsid w:val="00755CBD"/>
    <w:rsid w:val="0077533B"/>
    <w:rsid w:val="007860D2"/>
    <w:rsid w:val="007A09F2"/>
    <w:rsid w:val="007A53AD"/>
    <w:rsid w:val="007B2B09"/>
    <w:rsid w:val="007C4F6E"/>
    <w:rsid w:val="007C7131"/>
    <w:rsid w:val="007E14E2"/>
    <w:rsid w:val="007F056C"/>
    <w:rsid w:val="007F2714"/>
    <w:rsid w:val="007F5E3B"/>
    <w:rsid w:val="00805DE9"/>
    <w:rsid w:val="0082164E"/>
    <w:rsid w:val="00837C13"/>
    <w:rsid w:val="008475B3"/>
    <w:rsid w:val="00862A89"/>
    <w:rsid w:val="00870F4E"/>
    <w:rsid w:val="008A3067"/>
    <w:rsid w:val="008A6810"/>
    <w:rsid w:val="008B4365"/>
    <w:rsid w:val="008B4E9B"/>
    <w:rsid w:val="008C59E7"/>
    <w:rsid w:val="008C75C0"/>
    <w:rsid w:val="008E5F8B"/>
    <w:rsid w:val="008F1F10"/>
    <w:rsid w:val="00907CFA"/>
    <w:rsid w:val="00927790"/>
    <w:rsid w:val="009356C2"/>
    <w:rsid w:val="00942D00"/>
    <w:rsid w:val="0095763D"/>
    <w:rsid w:val="00965192"/>
    <w:rsid w:val="00992685"/>
    <w:rsid w:val="00997398"/>
    <w:rsid w:val="00997C62"/>
    <w:rsid w:val="009A0643"/>
    <w:rsid w:val="009C4CF0"/>
    <w:rsid w:val="009C6C81"/>
    <w:rsid w:val="009C79F3"/>
    <w:rsid w:val="009C7F46"/>
    <w:rsid w:val="009E0890"/>
    <w:rsid w:val="009E2767"/>
    <w:rsid w:val="009E3910"/>
    <w:rsid w:val="009F00AF"/>
    <w:rsid w:val="009F09E6"/>
    <w:rsid w:val="009F3BF2"/>
    <w:rsid w:val="009F41AF"/>
    <w:rsid w:val="009F7C50"/>
    <w:rsid w:val="00A04F0F"/>
    <w:rsid w:val="00A109E2"/>
    <w:rsid w:val="00A1726B"/>
    <w:rsid w:val="00A235E7"/>
    <w:rsid w:val="00A359BC"/>
    <w:rsid w:val="00A7360F"/>
    <w:rsid w:val="00AA345D"/>
    <w:rsid w:val="00AB5B6F"/>
    <w:rsid w:val="00AC230F"/>
    <w:rsid w:val="00AC6A82"/>
    <w:rsid w:val="00AC6AAE"/>
    <w:rsid w:val="00AE586B"/>
    <w:rsid w:val="00AF4A22"/>
    <w:rsid w:val="00B05F1A"/>
    <w:rsid w:val="00B11F39"/>
    <w:rsid w:val="00B12C86"/>
    <w:rsid w:val="00B16795"/>
    <w:rsid w:val="00B41CA4"/>
    <w:rsid w:val="00B814E5"/>
    <w:rsid w:val="00B90952"/>
    <w:rsid w:val="00B9261B"/>
    <w:rsid w:val="00B92A04"/>
    <w:rsid w:val="00B97808"/>
    <w:rsid w:val="00BA111B"/>
    <w:rsid w:val="00BA21AA"/>
    <w:rsid w:val="00BA417F"/>
    <w:rsid w:val="00BB056F"/>
    <w:rsid w:val="00BC2ECC"/>
    <w:rsid w:val="00BE02E5"/>
    <w:rsid w:val="00BF70C4"/>
    <w:rsid w:val="00C05D69"/>
    <w:rsid w:val="00C0657D"/>
    <w:rsid w:val="00C23CD3"/>
    <w:rsid w:val="00C275CE"/>
    <w:rsid w:val="00C3430C"/>
    <w:rsid w:val="00C359D8"/>
    <w:rsid w:val="00C5023E"/>
    <w:rsid w:val="00C52FEC"/>
    <w:rsid w:val="00C55643"/>
    <w:rsid w:val="00C669FA"/>
    <w:rsid w:val="00C670DE"/>
    <w:rsid w:val="00C67CB2"/>
    <w:rsid w:val="00C73302"/>
    <w:rsid w:val="00C75D8F"/>
    <w:rsid w:val="00C86EEC"/>
    <w:rsid w:val="00C91E29"/>
    <w:rsid w:val="00C97685"/>
    <w:rsid w:val="00CC1F24"/>
    <w:rsid w:val="00CC4AFE"/>
    <w:rsid w:val="00CE5C9F"/>
    <w:rsid w:val="00CF3C95"/>
    <w:rsid w:val="00CF4A08"/>
    <w:rsid w:val="00CF5548"/>
    <w:rsid w:val="00CF6106"/>
    <w:rsid w:val="00D06A9E"/>
    <w:rsid w:val="00D108AE"/>
    <w:rsid w:val="00D14CBD"/>
    <w:rsid w:val="00D26C5F"/>
    <w:rsid w:val="00D3098B"/>
    <w:rsid w:val="00D32384"/>
    <w:rsid w:val="00D456B9"/>
    <w:rsid w:val="00D7193C"/>
    <w:rsid w:val="00D7415C"/>
    <w:rsid w:val="00D74518"/>
    <w:rsid w:val="00D82443"/>
    <w:rsid w:val="00D82F56"/>
    <w:rsid w:val="00D90F79"/>
    <w:rsid w:val="00D97CD5"/>
    <w:rsid w:val="00DA3A23"/>
    <w:rsid w:val="00DA3F14"/>
    <w:rsid w:val="00DC45C9"/>
    <w:rsid w:val="00DC7F20"/>
    <w:rsid w:val="00DE18FB"/>
    <w:rsid w:val="00DF6D26"/>
    <w:rsid w:val="00E03A7C"/>
    <w:rsid w:val="00E27A3E"/>
    <w:rsid w:val="00E33071"/>
    <w:rsid w:val="00E4370A"/>
    <w:rsid w:val="00E86395"/>
    <w:rsid w:val="00E86416"/>
    <w:rsid w:val="00E8734E"/>
    <w:rsid w:val="00EE280A"/>
    <w:rsid w:val="00EF57D8"/>
    <w:rsid w:val="00F11452"/>
    <w:rsid w:val="00F149BF"/>
    <w:rsid w:val="00F26A63"/>
    <w:rsid w:val="00F50BC2"/>
    <w:rsid w:val="00F5438C"/>
    <w:rsid w:val="00F671CC"/>
    <w:rsid w:val="00F742E5"/>
    <w:rsid w:val="00F8058A"/>
    <w:rsid w:val="00F90444"/>
    <w:rsid w:val="00F92E77"/>
    <w:rsid w:val="00FB5FF5"/>
    <w:rsid w:val="00FC6BC1"/>
    <w:rsid w:val="00FD2096"/>
    <w:rsid w:val="00FD6BE7"/>
    <w:rsid w:val="00FD72B1"/>
    <w:rsid w:val="00FF4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3E1FA"/>
  <w15:chartTrackingRefBased/>
  <w15:docId w15:val="{99295A2E-0724-41CD-9951-E99CE03F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0914BF"/>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0914BF"/>
  </w:style>
  <w:style w:type="character" w:customStyle="1" w:styleId="FootnoteTextChar">
    <w:name w:val="Footnote Text Char"/>
    <w:basedOn w:val="DefaultParagraphFont"/>
    <w:link w:val="FootnoteText"/>
    <w:uiPriority w:val="99"/>
    <w:rsid w:val="000914B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914BF"/>
    <w:rPr>
      <w:vertAlign w:val="superscript"/>
    </w:rPr>
  </w:style>
  <w:style w:type="character" w:customStyle="1" w:styleId="UnresolvedMention">
    <w:name w:val="Unresolved Mention"/>
    <w:basedOn w:val="DefaultParagraphFont"/>
    <w:uiPriority w:val="99"/>
    <w:semiHidden/>
    <w:unhideWhenUsed/>
    <w:rsid w:val="000914BF"/>
    <w:rPr>
      <w:color w:val="605E5C"/>
      <w:shd w:val="clear" w:color="auto" w:fill="E1DFDD"/>
    </w:rPr>
  </w:style>
  <w:style w:type="table" w:styleId="TableGrid">
    <w:name w:val="Table Grid"/>
    <w:basedOn w:val="TableNormal"/>
    <w:uiPriority w:val="39"/>
    <w:rsid w:val="00362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229C"/>
    <w:rPr>
      <w:sz w:val="16"/>
      <w:szCs w:val="16"/>
    </w:rPr>
  </w:style>
  <w:style w:type="paragraph" w:styleId="CommentText">
    <w:name w:val="annotation text"/>
    <w:basedOn w:val="Normal"/>
    <w:link w:val="CommentTextChar"/>
    <w:uiPriority w:val="99"/>
    <w:semiHidden/>
    <w:unhideWhenUsed/>
    <w:rsid w:val="002F229C"/>
  </w:style>
  <w:style w:type="character" w:customStyle="1" w:styleId="CommentTextChar">
    <w:name w:val="Comment Text Char"/>
    <w:basedOn w:val="DefaultParagraphFont"/>
    <w:link w:val="CommentText"/>
    <w:uiPriority w:val="99"/>
    <w:semiHidden/>
    <w:rsid w:val="002F22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229C"/>
    <w:rPr>
      <w:b/>
      <w:bCs/>
    </w:rPr>
  </w:style>
  <w:style w:type="character" w:customStyle="1" w:styleId="CommentSubjectChar">
    <w:name w:val="Comment Subject Char"/>
    <w:basedOn w:val="CommentTextChar"/>
    <w:link w:val="CommentSubject"/>
    <w:uiPriority w:val="99"/>
    <w:semiHidden/>
    <w:rsid w:val="002F229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E5F8B"/>
    <w:rPr>
      <w:sz w:val="18"/>
      <w:szCs w:val="18"/>
    </w:rPr>
  </w:style>
  <w:style w:type="character" w:customStyle="1" w:styleId="BalloonTextChar">
    <w:name w:val="Balloon Text Char"/>
    <w:basedOn w:val="DefaultParagraphFont"/>
    <w:link w:val="BalloonText"/>
    <w:uiPriority w:val="99"/>
    <w:semiHidden/>
    <w:rsid w:val="008E5F8B"/>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53">
      <w:bodyDiv w:val="1"/>
      <w:marLeft w:val="0"/>
      <w:marRight w:val="0"/>
      <w:marTop w:val="0"/>
      <w:marBottom w:val="0"/>
      <w:divBdr>
        <w:top w:val="none" w:sz="0" w:space="0" w:color="auto"/>
        <w:left w:val="none" w:sz="0" w:space="0" w:color="auto"/>
        <w:bottom w:val="none" w:sz="0" w:space="0" w:color="auto"/>
        <w:right w:val="none" w:sz="0" w:space="0" w:color="auto"/>
      </w:divBdr>
    </w:div>
    <w:div w:id="24716495">
      <w:bodyDiv w:val="1"/>
      <w:marLeft w:val="0"/>
      <w:marRight w:val="0"/>
      <w:marTop w:val="0"/>
      <w:marBottom w:val="0"/>
      <w:divBdr>
        <w:top w:val="none" w:sz="0" w:space="0" w:color="auto"/>
        <w:left w:val="none" w:sz="0" w:space="0" w:color="auto"/>
        <w:bottom w:val="none" w:sz="0" w:space="0" w:color="auto"/>
        <w:right w:val="none" w:sz="0" w:space="0" w:color="auto"/>
      </w:divBdr>
    </w:div>
    <w:div w:id="25064759">
      <w:bodyDiv w:val="1"/>
      <w:marLeft w:val="0"/>
      <w:marRight w:val="0"/>
      <w:marTop w:val="0"/>
      <w:marBottom w:val="0"/>
      <w:divBdr>
        <w:top w:val="none" w:sz="0" w:space="0" w:color="auto"/>
        <w:left w:val="none" w:sz="0" w:space="0" w:color="auto"/>
        <w:bottom w:val="none" w:sz="0" w:space="0" w:color="auto"/>
        <w:right w:val="none" w:sz="0" w:space="0" w:color="auto"/>
      </w:divBdr>
    </w:div>
    <w:div w:id="341665104">
      <w:bodyDiv w:val="1"/>
      <w:marLeft w:val="0"/>
      <w:marRight w:val="0"/>
      <w:marTop w:val="0"/>
      <w:marBottom w:val="0"/>
      <w:divBdr>
        <w:top w:val="none" w:sz="0" w:space="0" w:color="auto"/>
        <w:left w:val="none" w:sz="0" w:space="0" w:color="auto"/>
        <w:bottom w:val="none" w:sz="0" w:space="0" w:color="auto"/>
        <w:right w:val="none" w:sz="0" w:space="0" w:color="auto"/>
      </w:divBdr>
    </w:div>
    <w:div w:id="437409980">
      <w:bodyDiv w:val="1"/>
      <w:marLeft w:val="0"/>
      <w:marRight w:val="0"/>
      <w:marTop w:val="0"/>
      <w:marBottom w:val="0"/>
      <w:divBdr>
        <w:top w:val="none" w:sz="0" w:space="0" w:color="auto"/>
        <w:left w:val="none" w:sz="0" w:space="0" w:color="auto"/>
        <w:bottom w:val="none" w:sz="0" w:space="0" w:color="auto"/>
        <w:right w:val="none" w:sz="0" w:space="0" w:color="auto"/>
      </w:divBdr>
    </w:div>
    <w:div w:id="470177821">
      <w:bodyDiv w:val="1"/>
      <w:marLeft w:val="0"/>
      <w:marRight w:val="0"/>
      <w:marTop w:val="0"/>
      <w:marBottom w:val="0"/>
      <w:divBdr>
        <w:top w:val="none" w:sz="0" w:space="0" w:color="auto"/>
        <w:left w:val="none" w:sz="0" w:space="0" w:color="auto"/>
        <w:bottom w:val="none" w:sz="0" w:space="0" w:color="auto"/>
        <w:right w:val="none" w:sz="0" w:space="0" w:color="auto"/>
      </w:divBdr>
    </w:div>
    <w:div w:id="471603029">
      <w:bodyDiv w:val="1"/>
      <w:marLeft w:val="0"/>
      <w:marRight w:val="0"/>
      <w:marTop w:val="0"/>
      <w:marBottom w:val="0"/>
      <w:divBdr>
        <w:top w:val="none" w:sz="0" w:space="0" w:color="auto"/>
        <w:left w:val="none" w:sz="0" w:space="0" w:color="auto"/>
        <w:bottom w:val="none" w:sz="0" w:space="0" w:color="auto"/>
        <w:right w:val="none" w:sz="0" w:space="0" w:color="auto"/>
      </w:divBdr>
    </w:div>
    <w:div w:id="758213804">
      <w:bodyDiv w:val="1"/>
      <w:marLeft w:val="0"/>
      <w:marRight w:val="0"/>
      <w:marTop w:val="0"/>
      <w:marBottom w:val="0"/>
      <w:divBdr>
        <w:top w:val="none" w:sz="0" w:space="0" w:color="auto"/>
        <w:left w:val="none" w:sz="0" w:space="0" w:color="auto"/>
        <w:bottom w:val="none" w:sz="0" w:space="0" w:color="auto"/>
        <w:right w:val="none" w:sz="0" w:space="0" w:color="auto"/>
      </w:divBdr>
    </w:div>
    <w:div w:id="894505803">
      <w:bodyDiv w:val="1"/>
      <w:marLeft w:val="0"/>
      <w:marRight w:val="0"/>
      <w:marTop w:val="0"/>
      <w:marBottom w:val="0"/>
      <w:divBdr>
        <w:top w:val="none" w:sz="0" w:space="0" w:color="auto"/>
        <w:left w:val="none" w:sz="0" w:space="0" w:color="auto"/>
        <w:bottom w:val="none" w:sz="0" w:space="0" w:color="auto"/>
        <w:right w:val="none" w:sz="0" w:space="0" w:color="auto"/>
      </w:divBdr>
    </w:div>
    <w:div w:id="906376253">
      <w:bodyDiv w:val="1"/>
      <w:marLeft w:val="0"/>
      <w:marRight w:val="0"/>
      <w:marTop w:val="0"/>
      <w:marBottom w:val="0"/>
      <w:divBdr>
        <w:top w:val="none" w:sz="0" w:space="0" w:color="auto"/>
        <w:left w:val="none" w:sz="0" w:space="0" w:color="auto"/>
        <w:bottom w:val="none" w:sz="0" w:space="0" w:color="auto"/>
        <w:right w:val="none" w:sz="0" w:space="0" w:color="auto"/>
      </w:divBdr>
    </w:div>
    <w:div w:id="1033967760">
      <w:bodyDiv w:val="1"/>
      <w:marLeft w:val="0"/>
      <w:marRight w:val="0"/>
      <w:marTop w:val="0"/>
      <w:marBottom w:val="0"/>
      <w:divBdr>
        <w:top w:val="none" w:sz="0" w:space="0" w:color="auto"/>
        <w:left w:val="none" w:sz="0" w:space="0" w:color="auto"/>
        <w:bottom w:val="none" w:sz="0" w:space="0" w:color="auto"/>
        <w:right w:val="none" w:sz="0" w:space="0" w:color="auto"/>
      </w:divBdr>
    </w:div>
    <w:div w:id="1504323419">
      <w:bodyDiv w:val="1"/>
      <w:marLeft w:val="0"/>
      <w:marRight w:val="0"/>
      <w:marTop w:val="0"/>
      <w:marBottom w:val="0"/>
      <w:divBdr>
        <w:top w:val="none" w:sz="0" w:space="0" w:color="auto"/>
        <w:left w:val="none" w:sz="0" w:space="0" w:color="auto"/>
        <w:bottom w:val="none" w:sz="0" w:space="0" w:color="auto"/>
        <w:right w:val="none" w:sz="0" w:space="0" w:color="auto"/>
      </w:divBdr>
    </w:div>
    <w:div w:id="1595283974">
      <w:bodyDiv w:val="1"/>
      <w:marLeft w:val="0"/>
      <w:marRight w:val="0"/>
      <w:marTop w:val="0"/>
      <w:marBottom w:val="0"/>
      <w:divBdr>
        <w:top w:val="none" w:sz="0" w:space="0" w:color="auto"/>
        <w:left w:val="none" w:sz="0" w:space="0" w:color="auto"/>
        <w:bottom w:val="none" w:sz="0" w:space="0" w:color="auto"/>
        <w:right w:val="none" w:sz="0" w:space="0" w:color="auto"/>
      </w:divBdr>
    </w:div>
    <w:div w:id="1638876897">
      <w:bodyDiv w:val="1"/>
      <w:marLeft w:val="0"/>
      <w:marRight w:val="0"/>
      <w:marTop w:val="0"/>
      <w:marBottom w:val="0"/>
      <w:divBdr>
        <w:top w:val="none" w:sz="0" w:space="0" w:color="auto"/>
        <w:left w:val="none" w:sz="0" w:space="0" w:color="auto"/>
        <w:bottom w:val="none" w:sz="0" w:space="0" w:color="auto"/>
        <w:right w:val="none" w:sz="0" w:space="0" w:color="auto"/>
      </w:divBdr>
    </w:div>
    <w:div w:id="1652054949">
      <w:bodyDiv w:val="1"/>
      <w:marLeft w:val="0"/>
      <w:marRight w:val="0"/>
      <w:marTop w:val="0"/>
      <w:marBottom w:val="0"/>
      <w:divBdr>
        <w:top w:val="none" w:sz="0" w:space="0" w:color="auto"/>
        <w:left w:val="none" w:sz="0" w:space="0" w:color="auto"/>
        <w:bottom w:val="none" w:sz="0" w:space="0" w:color="auto"/>
        <w:right w:val="none" w:sz="0" w:space="0" w:color="auto"/>
      </w:divBdr>
    </w:div>
    <w:div w:id="1760711373">
      <w:bodyDiv w:val="1"/>
      <w:marLeft w:val="0"/>
      <w:marRight w:val="0"/>
      <w:marTop w:val="0"/>
      <w:marBottom w:val="0"/>
      <w:divBdr>
        <w:top w:val="none" w:sz="0" w:space="0" w:color="auto"/>
        <w:left w:val="none" w:sz="0" w:space="0" w:color="auto"/>
        <w:bottom w:val="none" w:sz="0" w:space="0" w:color="auto"/>
        <w:right w:val="none" w:sz="0" w:space="0" w:color="auto"/>
      </w:divBdr>
    </w:div>
    <w:div w:id="1836535267">
      <w:bodyDiv w:val="1"/>
      <w:marLeft w:val="0"/>
      <w:marRight w:val="0"/>
      <w:marTop w:val="0"/>
      <w:marBottom w:val="0"/>
      <w:divBdr>
        <w:top w:val="none" w:sz="0" w:space="0" w:color="auto"/>
        <w:left w:val="none" w:sz="0" w:space="0" w:color="auto"/>
        <w:bottom w:val="none" w:sz="0" w:space="0" w:color="auto"/>
        <w:right w:val="none" w:sz="0" w:space="0" w:color="auto"/>
      </w:divBdr>
    </w:div>
    <w:div w:id="1869174718">
      <w:bodyDiv w:val="1"/>
      <w:marLeft w:val="0"/>
      <w:marRight w:val="0"/>
      <w:marTop w:val="0"/>
      <w:marBottom w:val="0"/>
      <w:divBdr>
        <w:top w:val="none" w:sz="0" w:space="0" w:color="auto"/>
        <w:left w:val="none" w:sz="0" w:space="0" w:color="auto"/>
        <w:bottom w:val="none" w:sz="0" w:space="0" w:color="auto"/>
        <w:right w:val="none" w:sz="0" w:space="0" w:color="auto"/>
      </w:divBdr>
    </w:div>
    <w:div w:id="2100523379">
      <w:bodyDiv w:val="1"/>
      <w:marLeft w:val="0"/>
      <w:marRight w:val="0"/>
      <w:marTop w:val="0"/>
      <w:marBottom w:val="0"/>
      <w:divBdr>
        <w:top w:val="none" w:sz="0" w:space="0" w:color="auto"/>
        <w:left w:val="none" w:sz="0" w:space="0" w:color="auto"/>
        <w:bottom w:val="none" w:sz="0" w:space="0" w:color="auto"/>
        <w:right w:val="none" w:sz="0" w:space="0" w:color="auto"/>
      </w:divBdr>
    </w:div>
    <w:div w:id="2115703745">
      <w:bodyDiv w:val="1"/>
      <w:marLeft w:val="0"/>
      <w:marRight w:val="0"/>
      <w:marTop w:val="0"/>
      <w:marBottom w:val="0"/>
      <w:divBdr>
        <w:top w:val="none" w:sz="0" w:space="0" w:color="auto"/>
        <w:left w:val="none" w:sz="0" w:space="0" w:color="auto"/>
        <w:bottom w:val="none" w:sz="0" w:space="0" w:color="auto"/>
        <w:right w:val="none" w:sz="0" w:space="0" w:color="auto"/>
      </w:divBdr>
      <w:divsChild>
        <w:div w:id="1661500674">
          <w:marLeft w:val="0"/>
          <w:marRight w:val="0"/>
          <w:marTop w:val="0"/>
          <w:marBottom w:val="0"/>
          <w:divBdr>
            <w:top w:val="none" w:sz="0" w:space="0" w:color="auto"/>
            <w:left w:val="none" w:sz="0" w:space="0" w:color="auto"/>
            <w:bottom w:val="none" w:sz="0" w:space="0" w:color="auto"/>
            <w:right w:val="none" w:sz="0" w:space="0" w:color="auto"/>
          </w:divBdr>
        </w:div>
        <w:div w:id="1415476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47/28" TargetMode="External"/><Relationship Id="rId18" Type="http://schemas.openxmlformats.org/officeDocument/2006/relationships/hyperlink" Target="https://ap.ohchr.org/documents/dpage_e.aspx?si=A/HRC/38/4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docs.org/en/S/2019/280" TargetMode="External"/><Relationship Id="rId7" Type="http://schemas.openxmlformats.org/officeDocument/2006/relationships/settings" Target="settings.xml"/><Relationship Id="rId12" Type="http://schemas.openxmlformats.org/officeDocument/2006/relationships/hyperlink" Target="mailto:srhealth@un.org" TargetMode="External"/><Relationship Id="rId17" Type="http://schemas.openxmlformats.org/officeDocument/2006/relationships/hyperlink" Target="https://tbinternet.ohchr.org/_layouts/15/treatybodyexternal/Download.aspx?symbolno=CRC%2fC%2fGC%2f13&amp;Lang=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20" Type="http://schemas.openxmlformats.org/officeDocument/2006/relationships/hyperlink" Target="https://www.ohchr.org/Documents/Issues/Discrimination/LGBT/BackgroundNoteHumanRightsViolationsagainstIntersexPeopl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health/pages/srrighthealthindex.asp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binternet.ohchr.org/_layouts/15/treatybodyexternal/Download.aspx?symbolno=INT/CEDAW/GEC/3731&amp;Lang=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hchr.org/Documents/Publications/Born_Free_and_Equal_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iieurope.org/library-en/map/"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rm.coe.int/ecri-general-policy-recommendation-no-15-on-combating-hate-speech/16808b5b01" TargetMode="External"/><Relationship Id="rId18" Type="http://schemas.openxmlformats.org/officeDocument/2006/relationships/hyperlink" Target="http://www.ejustice.just.fgov.be/cgi_loi/change_lg_2.pl?language=fr&amp;nm=2007002098&amp;la=F" TargetMode="External"/><Relationship Id="rId26" Type="http://schemas.openxmlformats.org/officeDocument/2006/relationships/hyperlink" Target="https://oiieurope.org/international-intersex-human-rights-movement-resource-list/" TargetMode="External"/><Relationship Id="rId39" Type="http://schemas.openxmlformats.org/officeDocument/2006/relationships/hyperlink" Target="https://assembly.coe.int/nw/xml/XRef/Xref-XML2HTML-EN.asp?fileid=24232&amp;lang=en" TargetMode="External"/><Relationship Id="rId21" Type="http://schemas.openxmlformats.org/officeDocument/2006/relationships/hyperlink" Target="https://www.kodiko.gr/nomothesia/document/307515/nomos-927-1979" TargetMode="External"/><Relationship Id="rId34" Type="http://schemas.openxmlformats.org/officeDocument/2006/relationships/hyperlink" Target="https://oiieurope.org/wp-content/uploads/2019/11/testimonial_broch_21-21cm_for_web.pdf" TargetMode="External"/><Relationship Id="rId42" Type="http://schemas.openxmlformats.org/officeDocument/2006/relationships/hyperlink" Target="https://www.pgdlisboa.pt/leis/lei_mostra_articulado.php?nid=2926&amp;tabela=leis&amp;ficha=1" TargetMode="External"/><Relationship Id="rId47" Type="http://schemas.openxmlformats.org/officeDocument/2006/relationships/hyperlink" Target="https://oiieurope.org/wp-content/uploads/2021/05/2020_Submission-OII-Europe_Gender-based-and-domestic-violence_FINAL.pdf" TargetMode="External"/><Relationship Id="rId50" Type="http://schemas.openxmlformats.org/officeDocument/2006/relationships/hyperlink" Target="https://www.researchgate.net/publication/290446986_Living_with_intersexDSD_An_exploratory_study_of_the_social_situation_of_persons_with_intersexDSD" TargetMode="External"/><Relationship Id="rId55" Type="http://schemas.openxmlformats.org/officeDocument/2006/relationships/hyperlink" Target="https://oiieurope.org/good-practice-map-2020/" TargetMode="External"/><Relationship Id="rId63" Type="http://schemas.openxmlformats.org/officeDocument/2006/relationships/hyperlink" Target="https://oiieurope.org/good-practice-map-2019/" TargetMode="External"/><Relationship Id="rId7" Type="http://schemas.openxmlformats.org/officeDocument/2006/relationships/hyperlink" Target="https://www.equallyours.org.uk/wp-content/uploads/2018/10/Hate-crime-cause-and-effect.pdf" TargetMode="External"/><Relationship Id="rId2" Type="http://schemas.openxmlformats.org/officeDocument/2006/relationships/hyperlink" Target="https://unfe.org/system/unfe-65-Intersex_Factsheet_ENGLISH.pdf" TargetMode="External"/><Relationship Id="rId16" Type="http://schemas.openxmlformats.org/officeDocument/2006/relationships/hyperlink" Target="https://legislation.mt/eli/cap/540/eng/pdf" TargetMode="External"/><Relationship Id="rId20" Type="http://schemas.openxmlformats.org/officeDocument/2006/relationships/hyperlink" Target="http://www.ejustice.just.fgov.be/cgi_loi/change_lg_2.pl?language=fr&amp;nm=2007002098&amp;la=F" TargetMode="External"/><Relationship Id="rId29" Type="http://schemas.openxmlformats.org/officeDocument/2006/relationships/hyperlink" Target="https://rm.coe.int/16806d8e2f" TargetMode="External"/><Relationship Id="rId41" Type="http://schemas.openxmlformats.org/officeDocument/2006/relationships/hyperlink" Target="https://legislation.mt/eli/cap/540/eng/pdf" TargetMode="External"/><Relationship Id="rId54" Type="http://schemas.openxmlformats.org/officeDocument/2006/relationships/hyperlink" Target="https://varges.at" TargetMode="External"/><Relationship Id="rId62" Type="http://schemas.openxmlformats.org/officeDocument/2006/relationships/hyperlink" Target="https://oiieurope.org/good-practice-map-2020/" TargetMode="External"/><Relationship Id="rId1" Type="http://schemas.openxmlformats.org/officeDocument/2006/relationships/hyperlink" Target="https://oiieurope.org/library-en/toolkit-cat/legal-toolkit/" TargetMode="External"/><Relationship Id="rId6" Type="http://schemas.openxmlformats.org/officeDocument/2006/relationships/hyperlink" Target="https://oiieurope.org/intersex-youth/" TargetMode="External"/><Relationship Id="rId11" Type="http://schemas.openxmlformats.org/officeDocument/2006/relationships/hyperlink" Target="http://yogyakartaprinciples.org/wp-content/uploads/2017/11/A5_yogyakartaWEB-2.pdf" TargetMode="External"/><Relationship Id="rId24" Type="http://schemas.openxmlformats.org/officeDocument/2006/relationships/hyperlink" Target="https://oiieurope.org/library-en/toolkit-cat/legal-toolkit/" TargetMode="External"/><Relationship Id="rId32" Type="http://schemas.openxmlformats.org/officeDocument/2006/relationships/hyperlink" Target="https://www.amnesty.org/en/documents/eur01/6086/2017/en/" TargetMode="External"/><Relationship Id="rId37" Type="http://schemas.openxmlformats.org/officeDocument/2006/relationships/hyperlink" Target="https://www.gender.hu-berlin.de/de/publikationen/gender-bulletins/bulletin-texte/texte-42/kloeppel-2016_zur-aktualitaet-kosmetischer-genitaloperationen" TargetMode="External"/><Relationship Id="rId40" Type="http://schemas.openxmlformats.org/officeDocument/2006/relationships/hyperlink" Target="https://www.europarl.europa.eu/doceo/document/TA-8-2019-0128_EN.pdf" TargetMode="External"/><Relationship Id="rId45" Type="http://schemas.openxmlformats.org/officeDocument/2006/relationships/hyperlink" Target="https://www.bgbl.de/xaver/bgbl/start.xav?start=//*%5b@attr_id=%27bgbl121s1082.pdf%27%5d" TargetMode="External"/><Relationship Id="rId53" Type="http://schemas.openxmlformats.org/officeDocument/2006/relationships/hyperlink" Target="https://oiieurope.org/statement-1st-european-intersex-community-event-vienna-30st-31st-march-2017/" TargetMode="External"/><Relationship Id="rId58" Type="http://schemas.openxmlformats.org/officeDocument/2006/relationships/hyperlink" Target="https://oiieurope.org/library-en/map/" TargetMode="External"/><Relationship Id="rId66" Type="http://schemas.openxmlformats.org/officeDocument/2006/relationships/hyperlink" Target="https://oiieurope.org/good-practice-map-2018/" TargetMode="External"/><Relationship Id="rId5" Type="http://schemas.openxmlformats.org/officeDocument/2006/relationships/hyperlink" Target="https://oiieurope.org/physical-violence-and-harassment/" TargetMode="External"/><Relationship Id="rId15" Type="http://schemas.openxmlformats.org/officeDocument/2006/relationships/hyperlink" Target="https://eur-lex.europa.eu/legal-content/EN/TXT/?uri=CELEX:52020DC0698" TargetMode="External"/><Relationship Id="rId23" Type="http://schemas.openxmlformats.org/officeDocument/2006/relationships/hyperlink" Target="https://fra.europa.eu/sites/default/files/fra_uploads/fra-2020-lgbti-equality-1_en.pdf" TargetMode="External"/><Relationship Id="rId28" Type="http://schemas.openxmlformats.org/officeDocument/2006/relationships/hyperlink" Target="http://www.un.org/en/ga/search/view_doc.asp?symbol=A/70/213" TargetMode="External"/><Relationship Id="rId36" Type="http://schemas.openxmlformats.org/officeDocument/2006/relationships/hyperlink" Target="https://omp.ub.rub.de/index.php/RUB/catalog/view/113/99/604-2" TargetMode="External"/><Relationship Id="rId49" Type="http://schemas.openxmlformats.org/officeDocument/2006/relationships/hyperlink" Target="https://pace.coe.int/en/files/24027/html" TargetMode="External"/><Relationship Id="rId57" Type="http://schemas.openxmlformats.org/officeDocument/2006/relationships/hyperlink" Target="https://eur-lex.europa.eu/legal-content/en/TXT/?uri=CELEX%3A52021DC0142" TargetMode="External"/><Relationship Id="rId61" Type="http://schemas.openxmlformats.org/officeDocument/2006/relationships/hyperlink" Target="https://www.facebook.com/events/1457464814461908/" TargetMode="External"/><Relationship Id="rId10" Type="http://schemas.openxmlformats.org/officeDocument/2006/relationships/hyperlink" Target="https://www.oiieurope.org/covid-19-survey-report/" TargetMode="External"/><Relationship Id="rId19" Type="http://schemas.openxmlformats.org/officeDocument/2006/relationships/hyperlink" Target="http://www.ejustice.just.fgov.be/cgi_loi/change_lg_2.pl?language=fr&amp;nm=2007002098&amp;la=F" TargetMode="External"/><Relationship Id="rId31" Type="http://schemas.openxmlformats.org/officeDocument/2006/relationships/hyperlink" Target="https://www.researchgate.net/publication/290446986_Living_with_intersexDSD_An_exploratory_study_of_the_social_situation_of_persons_with_intersexDSD" TargetMode="External"/><Relationship Id="rId44" Type="http://schemas.openxmlformats.org/officeDocument/2006/relationships/hyperlink" Target="https://www.althingi.is/altext/stjt/2020.154.html" TargetMode="External"/><Relationship Id="rId52" Type="http://schemas.openxmlformats.org/officeDocument/2006/relationships/hyperlink" Target="https://www.bmfsfj.de/blob/123144/40905d00b0bc5d9722523bb6f9e29824/imag-band-3-beratung-undunterstuetzung-fuer-intersexuelle-menschen-data.pdf" TargetMode="External"/><Relationship Id="rId60" Type="http://schemas.openxmlformats.org/officeDocument/2006/relationships/hyperlink" Target="https://www.facebook.com/events/199471551834721/" TargetMode="External"/><Relationship Id="rId65" Type="http://schemas.openxmlformats.org/officeDocument/2006/relationships/hyperlink" Target="https://oiieurope.org/good-practice-map-2019/" TargetMode="External"/><Relationship Id="rId4" Type="http://schemas.openxmlformats.org/officeDocument/2006/relationships/hyperlink" Target="https://fra.europa.eu/en/publication/2020/eu-lgbti-survey-results" TargetMode="External"/><Relationship Id="rId9" Type="http://schemas.openxmlformats.org/officeDocument/2006/relationships/hyperlink" Target="https://oiieurope.org/wp-content/uploads/2021/05/OII-Europe-Submission_Extension-Hate-Speech-and-Crime_FINAL.pdf" TargetMode="External"/><Relationship Id="rId14" Type="http://schemas.openxmlformats.org/officeDocument/2006/relationships/hyperlink" Target="https://ec.europa.eu/info/law/better-regulation/have-your-say/initiatives/12872-Hate-speech-&amp;-hate-crime-inclusion-on-list-of-EU-crimes_en" TargetMode="External"/><Relationship Id="rId22" Type="http://schemas.openxmlformats.org/officeDocument/2006/relationships/hyperlink" Target="http://www.ejustice.just.fgov.be/cgi_loi/change_lg_2.pl?language=fr&amp;nm=2007002098&amp;la=F" TargetMode="External"/><Relationship Id="rId27" Type="http://schemas.openxmlformats.org/officeDocument/2006/relationships/hyperlink" Target="https://oiieurope.org/wp-content/uploads/2020/12/2020_UN-SR-Right-to-Privacy-Submission_OII-Europe_FINAL-public.pdf" TargetMode="External"/><Relationship Id="rId30" Type="http://schemas.openxmlformats.org/officeDocument/2006/relationships/hyperlink" Target="https://pure.hud.ac.uk/en/publications/intersex-variations-of-sex-characteristics-and-dsd-the-need-for-c" TargetMode="External"/><Relationship Id="rId35" Type="http://schemas.openxmlformats.org/officeDocument/2006/relationships/hyperlink" Target="https://fra.europa.eu/en/publication/2015/fundamental-rights-situation-intersex-people" TargetMode="External"/><Relationship Id="rId43" Type="http://schemas.openxmlformats.org/officeDocument/2006/relationships/hyperlink" Target="https://www.althingi.is/lagas/nuna/2019080.html" TargetMode="External"/><Relationship Id="rId48" Type="http://schemas.openxmlformats.org/officeDocument/2006/relationships/hyperlink" Target="https://oiieurope.org/wp-content/uploads/2021/10/OII-Europe-Submission-Victims-Rights-Directive_FINAL.pdf" TargetMode="External"/><Relationship Id="rId56" Type="http://schemas.openxmlformats.org/officeDocument/2006/relationships/hyperlink" Target="https://oiieurope.org/a-good-first-step-germany-adopts-law-banning-igm/" TargetMode="External"/><Relationship Id="rId64" Type="http://schemas.openxmlformats.org/officeDocument/2006/relationships/hyperlink" Target="https://www.intersexnew.co.uk/about/" TargetMode="External"/><Relationship Id="rId8" Type="http://schemas.openxmlformats.org/officeDocument/2006/relationships/hyperlink" Target="https://oiieurope.org/intersex-youth/" TargetMode="External"/><Relationship Id="rId51" Type="http://schemas.openxmlformats.org/officeDocument/2006/relationships/hyperlink" Target="https://www.boell.de/sites/default/files/endf_human_rights_between_the_sexes.pdf" TargetMode="External"/><Relationship Id="rId3" Type="http://schemas.openxmlformats.org/officeDocument/2006/relationships/hyperlink" Target="https://worldpopulationprospects.info/" TargetMode="External"/><Relationship Id="rId12" Type="http://schemas.openxmlformats.org/officeDocument/2006/relationships/hyperlink" Target="https://search.coe.int/cm/Pages/result_details.aspx?ObjectID=09000016805cf40a" TargetMode="External"/><Relationship Id="rId17" Type="http://schemas.openxmlformats.org/officeDocument/2006/relationships/hyperlink" Target="https://www.kodiko.gr/nomothesia/document/140974/nomos-4356-2015" TargetMode="External"/><Relationship Id="rId25" Type="http://schemas.openxmlformats.org/officeDocument/2006/relationships/hyperlink" Target="https://www.ohchr.org/EN/Issues/Discrimination/Pages/BackgroundViolationsIntersexPeople.aspx" TargetMode="External"/><Relationship Id="rId33" Type="http://schemas.openxmlformats.org/officeDocument/2006/relationships/hyperlink" Target="https://pace.coe.int/en/files/24027/html" TargetMode="External"/><Relationship Id="rId38" Type="http://schemas.openxmlformats.org/officeDocument/2006/relationships/hyperlink" Target="https://rm.coe.int/16806da5d4" TargetMode="External"/><Relationship Id="rId46" Type="http://schemas.openxmlformats.org/officeDocument/2006/relationships/hyperlink" Target="https://oiieurope.org/library-en/toolkit-cat/legal-toolkit/" TargetMode="External"/><Relationship Id="rId59" Type="http://schemas.openxmlformats.org/officeDocument/2006/relationships/hyperlink" Target="https://droits-intersex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449B-CB6F-400B-BA6E-CF449830B8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3.xml><?xml version="1.0" encoding="utf-8"?>
<ds:datastoreItem xmlns:ds="http://schemas.openxmlformats.org/officeDocument/2006/customXml" ds:itemID="{B743C251-26A7-4258-ABAE-C1A3EFE8E00C}"/>
</file>

<file path=customXml/itemProps4.xml><?xml version="1.0" encoding="utf-8"?>
<ds:datastoreItem xmlns:ds="http://schemas.openxmlformats.org/officeDocument/2006/customXml" ds:itemID="{77D6E85F-794B-4612-9A30-4368D4FA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4961</Words>
  <Characters>28280</Characters>
  <Application>Microsoft Office Word</Application>
  <DocSecurity>0</DocSecurity>
  <Lines>235</Lines>
  <Paragraphs>66</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OHCHR</Company>
  <LinksUpToDate>false</LinksUpToDate>
  <CharactersWithSpaces>33175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3</cp:revision>
  <dcterms:created xsi:type="dcterms:W3CDTF">2022-01-19T15:19:00Z</dcterms:created>
  <dcterms:modified xsi:type="dcterms:W3CDTF">2022-01-27T15:29:00Z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