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53" w:rsidRDefault="004B5B41">
      <w:pPr>
        <w:ind w:left="2160"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QUESTIONNAIRE</w:t>
      </w:r>
    </w:p>
    <w:p w:rsidR="00972753" w:rsidRDefault="004B5B41">
      <w:pPr>
        <w:ind w:left="2160"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972753" w:rsidRDefault="004B5B4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“Violence and its impact on the right to health”</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the </w:t>
      </w:r>
      <w:proofErr w:type="spellStart"/>
      <w:r>
        <w:rPr>
          <w:rFonts w:ascii="Times New Roman" w:eastAsia="Times New Roman" w:hAnsi="Times New Roman" w:cs="Times New Roman"/>
          <w:sz w:val="24"/>
          <w:szCs w:val="24"/>
        </w:rPr>
        <w:t>honour</w:t>
      </w:r>
      <w:proofErr w:type="spellEnd"/>
      <w:r>
        <w:rPr>
          <w:rFonts w:ascii="Times New Roman" w:eastAsia="Times New Roman" w:hAnsi="Times New Roman" w:cs="Times New Roman"/>
          <w:sz w:val="24"/>
          <w:szCs w:val="24"/>
        </w:rPr>
        <w:t xml:space="preserve"> to address you in my capacity as Special Rapporteur on the right of everyone to the enjoyment of the highest attainable standard of physical and mental health, pursuant to Human Rights Council resolution 42/16. </w:t>
      </w:r>
    </w:p>
    <w:p w:rsidR="00972753" w:rsidRDefault="004B5B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like to invite you to respond to the questionnaire below. Submissions received will inform my next thematic report on “Violence and its impact on the right to health”, which will be presented to the Human Rights Council in June 2022.</w:t>
      </w:r>
    </w:p>
    <w:p w:rsidR="00972753" w:rsidRDefault="004B5B4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questionnaire on the report is available at OHCHR website in English (original language) as well as in French, and Spanish: (</w:t>
      </w:r>
      <w:hyperlink r:id="rId6">
        <w:r>
          <w:rPr>
            <w:rFonts w:ascii="Times New Roman" w:eastAsia="Times New Roman" w:hAnsi="Times New Roman" w:cs="Times New Roman"/>
            <w:color w:val="0000FF"/>
            <w:sz w:val="24"/>
            <w:szCs w:val="24"/>
            <w:u w:val="single"/>
          </w:rPr>
          <w:t>https://www.ohchr.org/EN/Issues/health/pages/srrighthealthindex.aspx</w:t>
        </w:r>
      </w:hyperlink>
      <w:r>
        <w:rPr>
          <w:rFonts w:ascii="Times New Roman" w:eastAsia="Times New Roman" w:hAnsi="Times New Roman" w:cs="Times New Roman"/>
          <w:sz w:val="24"/>
          <w:szCs w:val="24"/>
        </w:rPr>
        <w:t>).</w:t>
      </w:r>
    </w:p>
    <w:p w:rsidR="00972753" w:rsidRDefault="004B5B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All submissions received will be published in the aforementioned website, unless it is indicated that the submission should be kept confidential.</w:t>
      </w:r>
    </w:p>
    <w:p w:rsidR="00972753" w:rsidRDefault="004B5B4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There is a word limit of 750 words per question. Please submit the completed questionnaire to </w:t>
      </w:r>
      <w:r>
        <w:rPr>
          <w:rFonts w:ascii="Times New Roman" w:eastAsia="Times New Roman" w:hAnsi="Times New Roman" w:cs="Times New Roman"/>
          <w:color w:val="0000FF"/>
          <w:sz w:val="24"/>
          <w:szCs w:val="24"/>
          <w:u w:val="single"/>
        </w:rPr>
        <w:t>ohchr-</w:t>
      </w:r>
      <w:r>
        <w:rPr>
          <w:rFonts w:ascii="Times New Roman" w:eastAsia="Times New Roman" w:hAnsi="Times New Roman" w:cs="Times New Roman"/>
          <w:color w:val="0000FF"/>
          <w:sz w:val="24"/>
          <w:szCs w:val="24"/>
        </w:rPr>
        <w:t>srhealth@un.org</w:t>
      </w:r>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sz w:val="24"/>
          <w:szCs w:val="24"/>
        </w:rPr>
        <w:t xml:space="preserve">The deadline for submissions is: </w:t>
      </w:r>
      <w:r>
        <w:rPr>
          <w:rFonts w:ascii="Times New Roman" w:eastAsia="Times New Roman" w:hAnsi="Times New Roman" w:cs="Times New Roman"/>
          <w:b/>
          <w:sz w:val="24"/>
          <w:szCs w:val="24"/>
        </w:rPr>
        <w:t>18 January 2022.</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Tlaleng Mofokeng</w:t>
      </w:r>
    </w:p>
    <w:p w:rsidR="00972753" w:rsidRDefault="004B5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Special Rapporteur on the right of everyone to the enjoyment of the highest attainable standard of physical and mental health</w:t>
      </w:r>
    </w:p>
    <w:p w:rsidR="00972753" w:rsidRDefault="004B5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rsidR="00972753" w:rsidRDefault="004B5B4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Details</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your contact details in case we need to contact you in connection with this survey. Note that this is optional.</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8475" w:type="dxa"/>
        <w:tblBorders>
          <w:top w:val="nil"/>
          <w:left w:val="nil"/>
          <w:bottom w:val="nil"/>
          <w:right w:val="nil"/>
          <w:insideH w:val="nil"/>
          <w:insideV w:val="nil"/>
        </w:tblBorders>
        <w:tblLayout w:type="fixed"/>
        <w:tblLook w:val="0600" w:firstRow="0" w:lastRow="0" w:firstColumn="0" w:lastColumn="0" w:noHBand="1" w:noVBand="1"/>
      </w:tblPr>
      <w:tblGrid>
        <w:gridCol w:w="3345"/>
        <w:gridCol w:w="5130"/>
      </w:tblGrid>
      <w:tr w:rsidR="00972753">
        <w:trPr>
          <w:trHeight w:val="990"/>
        </w:trPr>
        <w:tc>
          <w:tcPr>
            <w:tcW w:w="334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Stakeholder (please select one)</w:t>
            </w:r>
          </w:p>
        </w:tc>
        <w:tc>
          <w:tcPr>
            <w:tcW w:w="5130" w:type="dxa"/>
            <w:tcBorders>
              <w:top w:val="single" w:sz="8" w:space="0" w:color="000000"/>
              <w:left w:val="nil"/>
              <w:bottom w:val="single" w:sz="8" w:space="0" w:color="000000"/>
              <w:right w:val="single" w:sz="8" w:space="0" w:color="000000"/>
            </w:tcBorders>
            <w:tcMar>
              <w:top w:w="80" w:type="dxa"/>
              <w:left w:w="80" w:type="dxa"/>
              <w:bottom w:w="80" w:type="dxa"/>
              <w:right w:w="80" w:type="dxa"/>
            </w:tcMar>
          </w:tcPr>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Member State    </w:t>
            </w:r>
          </w:p>
          <w:p w:rsidR="00972753" w:rsidRDefault="004B5B41">
            <w:pPr>
              <w:ind w:left="800" w:hanging="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Observer State</w:t>
            </w:r>
          </w:p>
          <w:p w:rsidR="00972753" w:rsidRDefault="004B5B41">
            <w:pPr>
              <w:ind w:left="800" w:hanging="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Other (please specify):CSO</w:t>
            </w:r>
          </w:p>
        </w:tc>
      </w:tr>
      <w:tr w:rsidR="00972753">
        <w:trPr>
          <w:trHeight w:val="720"/>
        </w:trPr>
        <w:tc>
          <w:tcPr>
            <w:tcW w:w="3345"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State</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Survey Respondent</w:t>
            </w:r>
          </w:p>
        </w:tc>
        <w:tc>
          <w:tcPr>
            <w:tcW w:w="5130" w:type="dxa"/>
            <w:tcBorders>
              <w:top w:val="nil"/>
              <w:left w:val="nil"/>
              <w:bottom w:val="single" w:sz="8" w:space="0" w:color="000000"/>
              <w:right w:val="single" w:sz="8" w:space="0" w:color="000000"/>
            </w:tcBorders>
            <w:tcMar>
              <w:top w:w="80" w:type="dxa"/>
              <w:left w:w="80" w:type="dxa"/>
              <w:bottom w:w="80" w:type="dxa"/>
              <w:right w:w="80" w:type="dxa"/>
            </w:tcMar>
          </w:tcPr>
          <w:p w:rsidR="00972753" w:rsidRDefault="004B5B41">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OutRight</w:t>
            </w:r>
            <w:proofErr w:type="spellEnd"/>
            <w:r>
              <w:rPr>
                <w:rFonts w:ascii="Times New Roman" w:eastAsia="Times New Roman" w:hAnsi="Times New Roman" w:cs="Times New Roman"/>
                <w:sz w:val="24"/>
                <w:szCs w:val="24"/>
              </w:rPr>
              <w:t xml:space="preserve"> Action International</w:t>
            </w:r>
          </w:p>
        </w:tc>
      </w:tr>
    </w:tbl>
    <w:p w:rsidR="00972753" w:rsidRDefault="004B5B41">
      <w:pP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 xml:space="preserve"> </w:t>
      </w:r>
    </w:p>
    <w:p w:rsidR="00972753" w:rsidRDefault="004B5B41">
      <w:pPr>
        <w:pStyle w:val="Heading1"/>
        <w:keepNext w:val="0"/>
        <w:keepLines w:val="0"/>
        <w:spacing w:before="480" w:after="0"/>
        <w:jc w:val="both"/>
        <w:rPr>
          <w:rFonts w:ascii="Times New Roman" w:eastAsia="Times New Roman" w:hAnsi="Times New Roman" w:cs="Times New Roman"/>
          <w:sz w:val="24"/>
          <w:szCs w:val="24"/>
        </w:rPr>
      </w:pPr>
      <w:bookmarkStart w:id="1" w:name="_w3pqb68svn9q" w:colFirst="0" w:colLast="0"/>
      <w:bookmarkEnd w:id="1"/>
      <w:proofErr w:type="spellStart"/>
      <w:r>
        <w:rPr>
          <w:rFonts w:ascii="Times New Roman" w:eastAsia="Times New Roman" w:hAnsi="Times New Roman" w:cs="Times New Roman"/>
          <w:sz w:val="24"/>
          <w:szCs w:val="24"/>
          <w:u w:val="single"/>
        </w:rPr>
        <w:t>OutRight</w:t>
      </w:r>
      <w:proofErr w:type="spellEnd"/>
      <w:r>
        <w:rPr>
          <w:rFonts w:ascii="Times New Roman" w:eastAsia="Times New Roman" w:hAnsi="Times New Roman" w:cs="Times New Roman"/>
          <w:sz w:val="24"/>
          <w:szCs w:val="24"/>
          <w:u w:val="single"/>
        </w:rPr>
        <w:t xml:space="preserve"> Action International </w:t>
      </w:r>
      <w:r>
        <w:rPr>
          <w:rFonts w:ascii="Times New Roman" w:eastAsia="Times New Roman" w:hAnsi="Times New Roman" w:cs="Times New Roman"/>
          <w:sz w:val="24"/>
          <w:szCs w:val="24"/>
        </w:rPr>
        <w:t>is an ECOSOC accredited civil society organization working at the international, regional and national levels to research, document, defend, and advance human rights for lesbian, gay, transgender, intersex</w:t>
      </w:r>
      <w:r w:rsidR="00076724">
        <w:rPr>
          <w:rFonts w:ascii="Times New Roman" w:eastAsia="Times New Roman" w:hAnsi="Times New Roman" w:cs="Times New Roman"/>
          <w:sz w:val="24"/>
          <w:szCs w:val="24"/>
        </w:rPr>
        <w:t xml:space="preserve"> and queer</w:t>
      </w:r>
      <w:r>
        <w:rPr>
          <w:rFonts w:ascii="Times New Roman" w:eastAsia="Times New Roman" w:hAnsi="Times New Roman" w:cs="Times New Roman"/>
          <w:sz w:val="24"/>
          <w:szCs w:val="24"/>
        </w:rPr>
        <w:t xml:space="preserve"> (hereinafter, “LGBTI</w:t>
      </w:r>
      <w:r w:rsidR="00076724">
        <w:rPr>
          <w:rFonts w:ascii="Times New Roman" w:eastAsia="Times New Roman" w:hAnsi="Times New Roman" w:cs="Times New Roman"/>
          <w:sz w:val="24"/>
          <w:szCs w:val="24"/>
        </w:rPr>
        <w:t>Q</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people. </w:t>
      </w:r>
    </w:p>
    <w:p w:rsidR="00972753" w:rsidRDefault="004B5B41">
      <w:pPr>
        <w:pStyle w:val="Heading1"/>
        <w:keepNext w:val="0"/>
        <w:keepLines w:val="0"/>
        <w:spacing w:before="480" w:after="0"/>
        <w:jc w:val="both"/>
        <w:rPr>
          <w:rFonts w:ascii="Times New Roman" w:eastAsia="Times New Roman" w:hAnsi="Times New Roman" w:cs="Times New Roman"/>
          <w:b/>
          <w:sz w:val="24"/>
          <w:szCs w:val="24"/>
        </w:rPr>
      </w:pPr>
      <w:bookmarkStart w:id="2" w:name="_dtpkfar2sx92" w:colFirst="0" w:colLast="0"/>
      <w:bookmarkEnd w:id="2"/>
      <w:r>
        <w:rPr>
          <w:rFonts w:ascii="Times New Roman" w:eastAsia="Times New Roman" w:hAnsi="Times New Roman" w:cs="Times New Roman"/>
          <w:b/>
          <w:sz w:val="24"/>
          <w:szCs w:val="24"/>
        </w:rPr>
        <w:t>Background</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Within the framework of Human Rights Council resolution 42/16, the Special Rapporteur on the highest attainable standard of physical and mental health has identified sexuality, gender based violence and femicide as one of her priorities during her tenure (See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0000FF"/>
            <w:sz w:val="24"/>
            <w:szCs w:val="24"/>
            <w:u w:val="single"/>
          </w:rPr>
          <w:t>A/HRC/47/28</w:t>
        </w:r>
      </w:hyperlink>
      <w:r>
        <w:rPr>
          <w:rFonts w:ascii="Times New Roman" w:eastAsia="Times New Roman" w:hAnsi="Times New Roman" w:cs="Times New Roman"/>
          <w:sz w:val="24"/>
          <w:szCs w:val="24"/>
        </w:rPr>
        <w:t xml:space="preserve"> paras 50-64). In compliance with her mandate and in line with this priority she has decided to devote her next thematic report to the 50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session of the Human Rights Council in June 2022 to the theme of “Violence and its impact on the right to health.”</w:t>
      </w:r>
    </w:p>
    <w:p w:rsidR="00972753" w:rsidRDefault="004B5B41">
      <w:pPr>
        <w:pStyle w:val="Heading1"/>
        <w:keepNext w:val="0"/>
        <w:keepLines w:val="0"/>
        <w:spacing w:before="480" w:after="0"/>
        <w:ind w:left="-560"/>
        <w:rPr>
          <w:rFonts w:ascii="Times New Roman" w:eastAsia="Times New Roman" w:hAnsi="Times New Roman" w:cs="Times New Roman"/>
          <w:b/>
          <w:sz w:val="24"/>
          <w:szCs w:val="24"/>
        </w:rPr>
      </w:pPr>
      <w:bookmarkStart w:id="3" w:name="_8diz6uac7s7b" w:colFirst="0" w:colLast="0"/>
      <w:bookmarkEnd w:id="3"/>
      <w:r>
        <w:rPr>
          <w:rFonts w:ascii="Times New Roman" w:eastAsia="Times New Roman" w:hAnsi="Times New Roman" w:cs="Times New Roman"/>
          <w:b/>
          <w:sz w:val="24"/>
          <w:szCs w:val="24"/>
        </w:rPr>
        <w:t xml:space="preserve"> Objectives of the report</w:t>
      </w:r>
    </w:p>
    <w:p w:rsidR="00972753" w:rsidRDefault="004B5B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Special Rapporteur intends to shed light on who is seen as victims of violence, and who is affected by what type of violence, with emphasis on the violence experienced by women, children, LGBTIQ persons and conflict related gender based violence. She will also explore the role of men as perpetrators and their experience as victims of violence. Her analysis will look into the responses that survivors of violence receive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with a focus on good practices, as well as the obligations, responsibilities, and protections that arise under the right to health framework and other relevant human rights in this connection. She will also report on emerging trends related to the impact of COVID-19 on all forms of violence and related responses.</w:t>
      </w:r>
    </w:p>
    <w:p w:rsidR="00972753" w:rsidRDefault="004B5B41">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her report, the Special Rapporteur will address, inter alia, issues related to gender based violence, (including inter-personal and intimate violence), as well as structural violence. She will also assess the impact of the criminalization of sex work, same sex relations, transgender persons, abortion, drug use etc. on the enjoyment of the right to health. The Special Rapporteur would like to identify good practices and examples of comprehensive health responses to survivors of violence, and to identify lessons learned at the community, national, regional and international levels.</w:t>
      </w:r>
    </w:p>
    <w:p w:rsidR="00972753" w:rsidRDefault="004B5B41">
      <w:pPr>
        <w:pStyle w:val="Heading1"/>
        <w:keepNext w:val="0"/>
        <w:keepLines w:val="0"/>
        <w:spacing w:before="480" w:after="0"/>
        <w:ind w:left="-560"/>
        <w:rPr>
          <w:rFonts w:ascii="Times New Roman" w:eastAsia="Times New Roman" w:hAnsi="Times New Roman" w:cs="Times New Roman"/>
          <w:b/>
          <w:sz w:val="24"/>
          <w:szCs w:val="24"/>
        </w:rPr>
      </w:pPr>
      <w:bookmarkStart w:id="4" w:name="_928fy0l9z3aa" w:colFirst="0" w:colLast="0"/>
      <w:bookmarkEnd w:id="4"/>
      <w:r>
        <w:rPr>
          <w:rFonts w:ascii="Times New Roman" w:eastAsia="Times New Roman" w:hAnsi="Times New Roman" w:cs="Times New Roman"/>
          <w:b/>
          <w:sz w:val="24"/>
          <w:szCs w:val="24"/>
        </w:rPr>
        <w:t>Key questions</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You can choose to answer all or some of the questions below. (750 words limit per question).</w:t>
      </w:r>
    </w:p>
    <w:p w:rsidR="00972753" w:rsidRDefault="004B5B41">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responding to the questions below, please use the glossary with definitions at the end of the questionnaire, and refer to all or some of the forms of violence in focus for this study as applicable in your country, countries or region in focus:</w:t>
      </w:r>
    </w:p>
    <w:p w:rsidR="00972753" w:rsidRDefault="004B5B41">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spacing w:line="256"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Please describe, share data and information on the characteristics, number of cases, and the profile of victims and perpetrators in your country/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or region(s) regarding:</w:t>
      </w:r>
    </w:p>
    <w:p w:rsidR="00972753" w:rsidRDefault="004B5B41">
      <w:pPr>
        <w:shd w:val="clear" w:color="auto" w:fill="FFFFFF"/>
        <w:spacing w:line="256"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spacing w:line="256" w:lineRule="auto"/>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1.1.  gender based violence against women</w:t>
      </w:r>
    </w:p>
    <w:p w:rsidR="00972753" w:rsidRDefault="004B5B41">
      <w:pPr>
        <w:shd w:val="clear" w:color="auto" w:fill="FFFFFF"/>
        <w:spacing w:line="256" w:lineRule="auto"/>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1.2.  gender based violence and other forms of violence against children:</w:t>
      </w:r>
    </w:p>
    <w:p w:rsidR="00972753" w:rsidRDefault="004B5B41">
      <w:pPr>
        <w:shd w:val="clear" w:color="auto" w:fill="FFFFFF"/>
        <w:spacing w:line="256" w:lineRule="auto"/>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1.3.  gender based violence against LGBTI or other persons based on real or imputed sexual orientation, sex characteristics, and gender identity:</w:t>
      </w:r>
    </w:p>
    <w:p w:rsidR="00972753" w:rsidRDefault="004B5B41">
      <w:pPr>
        <w:shd w:val="clear" w:color="auto" w:fill="FFFFFF"/>
        <w:spacing w:line="256" w:lineRule="auto"/>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1.4.  violence against persons with disabilities, including GBV.</w:t>
      </w:r>
    </w:p>
    <w:p w:rsidR="00972753" w:rsidRDefault="004B5B41">
      <w:pPr>
        <w:shd w:val="clear" w:color="auto" w:fill="FFFFFF"/>
        <w:spacing w:line="256" w:lineRule="auto"/>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1.5.  gender based violence against men</w:t>
      </w:r>
    </w:p>
    <w:p w:rsidR="00972753" w:rsidRDefault="004B5B41">
      <w:pPr>
        <w:shd w:val="clear" w:color="auto" w:fill="FFFFFF"/>
        <w:spacing w:line="256" w:lineRule="auto"/>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1.6.  conflict gender based violence, including sexual violence</w:t>
      </w:r>
    </w:p>
    <w:p w:rsidR="00972753" w:rsidRDefault="004B5B41">
      <w:pPr>
        <w:shd w:val="clear" w:color="auto" w:fill="FFFFFF"/>
        <w:spacing w:line="256" w:lineRule="auto"/>
        <w:ind w:left="1240" w:hanging="440"/>
        <w:rPr>
          <w:rFonts w:ascii="Times New Roman" w:eastAsia="Times New Roman" w:hAnsi="Times New Roman" w:cs="Times New Roman"/>
          <w:sz w:val="24"/>
          <w:szCs w:val="24"/>
        </w:rPr>
      </w:pPr>
      <w:r>
        <w:rPr>
          <w:rFonts w:ascii="Times New Roman" w:eastAsia="Times New Roman" w:hAnsi="Times New Roman" w:cs="Times New Roman"/>
          <w:sz w:val="24"/>
          <w:szCs w:val="24"/>
        </w:rPr>
        <w:t>1.7.  Please share analysis and available evidence on the impact of COVID on the above</w:t>
      </w:r>
    </w:p>
    <w:p w:rsidR="00972753" w:rsidRDefault="00972753">
      <w:pPr>
        <w:shd w:val="clear" w:color="auto" w:fill="FFFFFF"/>
        <w:spacing w:line="256" w:lineRule="auto"/>
        <w:ind w:left="1240" w:hanging="440"/>
        <w:rPr>
          <w:rFonts w:ascii="Times New Roman" w:eastAsia="Times New Roman" w:hAnsi="Times New Roman" w:cs="Times New Roman"/>
          <w:sz w:val="24"/>
          <w:szCs w:val="24"/>
        </w:rPr>
      </w:pPr>
    </w:p>
    <w:p w:rsidR="00972753" w:rsidRDefault="004B5B41">
      <w:pPr>
        <w:widowControl w:val="0"/>
        <w:spacing w:before="360"/>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LGBTIQ people continue to experience human rights violations because of their real or perceived sexual orientation, gender identity and expression, and sex characteristics (SOGIESC). This includes targeted killings, violent attacks, torture, arbitrary detention, incarceration, forced marriage, so-called honor killings, infanticide, hate speech, sexual orientation and gender identity change efforts (SOGICE), impingements on rights to assembly, association and free expression, family or intimate partner violence, and harassment by both state and non-state actors. Those who are marginalized on account of age, race, ethnicity, religion, language, migrant status, economic status, disability, health status or caste, among other marginalized identities, experience compounded discrimination and violence of all forms. Human rights defenders who defend the rights of gay, lesbian, bisexual, transgender, intersex, and queer people suffer specific and escalating challenges and vulnerabilities, such as prosecution, violence, harassment, and the imposition of discriminatory restrictions on their organizations, without access to mechanisms for recourse and redress. </w:t>
      </w:r>
    </w:p>
    <w:p w:rsidR="00972753" w:rsidRDefault="004B5B41">
      <w:pPr>
        <w:widowControl w:val="0"/>
        <w:spacing w:before="360"/>
        <w:ind w:righ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Socially constructed gender roles, norms, and stereotypes intersect with multiple other forms of discrimination, exacerbating the exclusion and oppression that LGBTIQ persons suffer. They have historically suffered from violence and discrimination based on the gender stereotypes that follow the rule of binaries, such as SOGICE, involuntary medical interventions, and social stigmatization when their sexual orientation and/or gender identity does not conform with the traditional expectations of their gender and sex assigned at birth. In this sense, violence and discrimination against LGBTIQ persons is gender-based violence and gender-based discrimination; therefore, the protection of the rights of LGBTIQ persons is also gender justice. </w:t>
      </w:r>
    </w:p>
    <w:p w:rsidR="00972753" w:rsidRDefault="00972753">
      <w:pPr>
        <w:shd w:val="clear" w:color="auto" w:fill="FFFFFF"/>
        <w:spacing w:line="256" w:lineRule="auto"/>
        <w:ind w:left="1960" w:hanging="440"/>
        <w:jc w:val="both"/>
        <w:rPr>
          <w:rFonts w:ascii="Times New Roman" w:eastAsia="Times New Roman" w:hAnsi="Times New Roman" w:cs="Times New Roman"/>
          <w:sz w:val="24"/>
          <w:szCs w:val="24"/>
        </w:rPr>
      </w:pPr>
    </w:p>
    <w:p w:rsidR="00972753" w:rsidRDefault="004B5B41">
      <w:p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United Nations Mechanisms and </w:t>
      </w:r>
      <w:r w:rsidR="00076724">
        <w:rPr>
          <w:rFonts w:ascii="Times New Roman" w:eastAsia="Times New Roman" w:hAnsi="Times New Roman" w:cs="Times New Roman"/>
          <w:sz w:val="24"/>
          <w:szCs w:val="24"/>
        </w:rPr>
        <w:t>B</w:t>
      </w:r>
      <w:r>
        <w:rPr>
          <w:rFonts w:ascii="Times New Roman" w:eastAsia="Times New Roman" w:hAnsi="Times New Roman" w:cs="Times New Roman"/>
          <w:sz w:val="24"/>
          <w:szCs w:val="24"/>
        </w:rPr>
        <w:t>odies have increasingly noted the importance of including LGBTIQ individuals in their work towards gender justice against gender-based discrimination.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inclusion has led to a comprehensive and intersectional gender analysis that has influenced the interpretation of rights recognized in International Human Rights Law. The recognition that gender is a socio-cultural construct increasingly informs United Nations advocacy around eliminating gender discrimination and gender-based violence. </w:t>
      </w:r>
    </w:p>
    <w:p w:rsidR="00972753" w:rsidRDefault="00972753">
      <w:pPr>
        <w:shd w:val="clear" w:color="auto" w:fill="FFFFFF"/>
        <w:spacing w:line="256" w:lineRule="auto"/>
        <w:jc w:val="both"/>
        <w:rPr>
          <w:rFonts w:ascii="Times New Roman" w:eastAsia="Times New Roman" w:hAnsi="Times New Roman" w:cs="Times New Roman"/>
          <w:sz w:val="24"/>
          <w:szCs w:val="24"/>
        </w:rPr>
      </w:pPr>
    </w:p>
    <w:p w:rsidR="00076724" w:rsidRDefault="004B5B41">
      <w:p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COVID-19 pandemic also had a devastating impact on LGBTIQ persons, as </w:t>
      </w:r>
      <w:proofErr w:type="spellStart"/>
      <w:r>
        <w:rPr>
          <w:rFonts w:ascii="Times New Roman" w:eastAsia="Times New Roman" w:hAnsi="Times New Roman" w:cs="Times New Roman"/>
          <w:sz w:val="24"/>
          <w:szCs w:val="24"/>
        </w:rPr>
        <w:t>OutRight</w:t>
      </w:r>
      <w:proofErr w:type="spellEnd"/>
      <w:r>
        <w:rPr>
          <w:rFonts w:ascii="Times New Roman" w:eastAsia="Times New Roman" w:hAnsi="Times New Roman" w:cs="Times New Roman"/>
          <w:sz w:val="24"/>
          <w:szCs w:val="24"/>
        </w:rPr>
        <w:t xml:space="preserve"> has shown in the report Vulnerability Amplified: “The Impact of the COVID-19 Pandemic on LGBTIQ People”.</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As the report shows, across various countries, there were steep increases in cases of domestic and gender based violence. In Kosovo, for instance, the Ministry of Justice reported a 17% increase in reported cases of gender-based violence, with one city registering a 100% increase, compared to the same time period in 2019. Similarly, in countries like Nigeria, the ability of LGBTIQ people living with HIV was hampered due to their living closely with family with no access to inclusive health services, they suffered increased mental health challenges, and the discovery of their identities also led to violence, homelessness, loss of livelihoods, with the experience of more familial verbal, emotional, and physical violence, including conversion practices.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rsidR="00076724" w:rsidRDefault="00076724">
      <w:pPr>
        <w:shd w:val="clear" w:color="auto" w:fill="FFFFFF"/>
        <w:spacing w:line="256" w:lineRule="auto"/>
        <w:jc w:val="both"/>
        <w:rPr>
          <w:rFonts w:ascii="Times New Roman" w:eastAsia="Times New Roman" w:hAnsi="Times New Roman" w:cs="Times New Roman"/>
          <w:sz w:val="24"/>
          <w:szCs w:val="24"/>
        </w:rPr>
      </w:pPr>
    </w:p>
    <w:p w:rsidR="00972753" w:rsidRDefault="004B5B41">
      <w:p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this period, LGBTIQ people faced higher risks of violence due to their sexual orientation or gender iden</w:t>
      </w:r>
      <w:r w:rsidR="00076724">
        <w:rPr>
          <w:rFonts w:ascii="Times New Roman" w:eastAsia="Times New Roman" w:hAnsi="Times New Roman" w:cs="Times New Roman"/>
          <w:sz w:val="24"/>
          <w:szCs w:val="24"/>
        </w:rPr>
        <w:t>ti</w:t>
      </w:r>
      <w:r>
        <w:rPr>
          <w:rFonts w:ascii="Times New Roman" w:eastAsia="Times New Roman" w:hAnsi="Times New Roman" w:cs="Times New Roman"/>
          <w:sz w:val="24"/>
          <w:szCs w:val="24"/>
        </w:rPr>
        <w:t>ty</w:t>
      </w:r>
      <w:r w:rsidR="0007672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expression from family members. At the same time, access to services and safe spaces was limited or non-existent due to measures imposed to address the </w:t>
      </w:r>
      <w:proofErr w:type="gramStart"/>
      <w:r>
        <w:rPr>
          <w:rFonts w:ascii="Times New Roman" w:eastAsia="Times New Roman" w:hAnsi="Times New Roman" w:cs="Times New Roman"/>
          <w:sz w:val="24"/>
          <w:szCs w:val="24"/>
        </w:rPr>
        <w:t>pandemic.​</w:t>
      </w:r>
      <w:proofErr w:type="gramEnd"/>
      <w:r>
        <w:rPr>
          <w:rFonts w:ascii="Times New Roman" w:eastAsia="Times New Roman" w:hAnsi="Times New Roman" w:cs="Times New Roman"/>
          <w:sz w:val="24"/>
          <w:szCs w:val="24"/>
        </w:rPr>
        <w:t>​</w:t>
      </w:r>
    </w:p>
    <w:p w:rsidR="00972753" w:rsidRDefault="00972753">
      <w:pPr>
        <w:shd w:val="clear" w:color="auto" w:fill="FFFFFF"/>
        <w:spacing w:line="256" w:lineRule="auto"/>
        <w:jc w:val="both"/>
        <w:rPr>
          <w:rFonts w:ascii="Times New Roman" w:eastAsia="Times New Roman" w:hAnsi="Times New Roman" w:cs="Times New Roman"/>
          <w:sz w:val="24"/>
          <w:szCs w:val="24"/>
        </w:rPr>
      </w:pPr>
    </w:p>
    <w:p w:rsidR="00972753" w:rsidRDefault="00972753">
      <w:pPr>
        <w:shd w:val="clear" w:color="auto" w:fill="FFFFFF"/>
        <w:spacing w:line="256" w:lineRule="auto"/>
        <w:jc w:val="both"/>
        <w:rPr>
          <w:rFonts w:ascii="Times New Roman" w:eastAsia="Times New Roman" w:hAnsi="Times New Roman" w:cs="Times New Roman"/>
          <w:sz w:val="24"/>
          <w:szCs w:val="24"/>
        </w:rPr>
      </w:pPr>
    </w:p>
    <w:p w:rsidR="00972753" w:rsidRDefault="004B5B41">
      <w:pPr>
        <w:shd w:val="clear" w:color="auto" w:fill="FFFFFF"/>
        <w:spacing w:line="256" w:lineRule="auto"/>
        <w:ind w:lef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spacing w:line="25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rsidR="00972753" w:rsidRDefault="00972753">
      <w:pPr>
        <w:shd w:val="clear" w:color="auto" w:fill="FFFFFF"/>
        <w:spacing w:line="256" w:lineRule="auto"/>
        <w:ind w:left="720" w:hanging="360"/>
        <w:jc w:val="both"/>
        <w:rPr>
          <w:rFonts w:ascii="Times New Roman" w:eastAsia="Times New Roman" w:hAnsi="Times New Roman" w:cs="Times New Roman"/>
          <w:sz w:val="24"/>
          <w:szCs w:val="24"/>
        </w:rPr>
      </w:pPr>
    </w:p>
    <w:p w:rsidR="00972753" w:rsidRDefault="004B5B41">
      <w:pPr>
        <w:shd w:val="clear" w:color="auto" w:fill="FFFFFF"/>
        <w:spacing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stated in the answer above, gender-based violence (GBV) against LGBTIQ persons is present everywhere around the globe. The lack of comprehensive disaggregated data collection in most countries of the world makes it also impossible to fully grasp the magnitude of the impact of GBV in LGBTIQ populations. Moreover, even when there is data collection, LGBTIQ persons still suffer discrimination by State officials due to gender stereotypes and prejudices. LGBTIQ persons also find difficulties when trying to access justice after suffering GBV. There are gaps in legal frameworks to protect them, State personnel are not trained and they fear persecution and victimization for looking for judicial redress.</w:t>
      </w:r>
      <w:r>
        <w:rPr>
          <w:rFonts w:ascii="Times New Roman" w:eastAsia="Times New Roman" w:hAnsi="Times New Roman" w:cs="Times New Roman"/>
          <w:sz w:val="24"/>
          <w:szCs w:val="24"/>
          <w:vertAlign w:val="superscript"/>
        </w:rPr>
        <w:footnoteReference w:id="5"/>
      </w:r>
    </w:p>
    <w:p w:rsidR="00972753" w:rsidRDefault="00972753">
      <w:pPr>
        <w:shd w:val="clear" w:color="auto" w:fill="FFFFFF"/>
        <w:spacing w:line="256" w:lineRule="auto"/>
        <w:ind w:left="360"/>
        <w:jc w:val="both"/>
        <w:rPr>
          <w:rFonts w:ascii="Times New Roman" w:eastAsia="Times New Roman" w:hAnsi="Times New Roman" w:cs="Times New Roman"/>
          <w:sz w:val="24"/>
          <w:szCs w:val="24"/>
        </w:rPr>
      </w:pPr>
    </w:p>
    <w:p w:rsidR="00972753" w:rsidRDefault="004B5B41">
      <w:pPr>
        <w:shd w:val="clear" w:color="auto" w:fill="FFFFFF"/>
        <w:spacing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there are States that are implementing laws, policies and programs to try to address these issues and to include LGBTIQ persons in their protection mechanisms.</w:t>
      </w:r>
      <w:r w:rsidR="00076724">
        <w:rPr>
          <w:rFonts w:ascii="Times New Roman" w:eastAsia="Times New Roman" w:hAnsi="Times New Roman" w:cs="Times New Roman"/>
          <w:sz w:val="24"/>
          <w:szCs w:val="24"/>
        </w:rPr>
        <w:t xml:space="preserve"> Those measures are only effective when civil society and other stakeholders have a sit at the table and a voice in its implementation, </w:t>
      </w:r>
      <w:r w:rsidR="00882A79">
        <w:rPr>
          <w:rFonts w:ascii="Times New Roman" w:eastAsia="Times New Roman" w:hAnsi="Times New Roman" w:cs="Times New Roman"/>
          <w:sz w:val="24"/>
          <w:szCs w:val="24"/>
        </w:rPr>
        <w:t xml:space="preserve">bringing </w:t>
      </w:r>
      <w:proofErr w:type="gramStart"/>
      <w:r w:rsidR="00882A79">
        <w:rPr>
          <w:rFonts w:ascii="Times New Roman" w:eastAsia="Times New Roman" w:hAnsi="Times New Roman" w:cs="Times New Roman"/>
          <w:sz w:val="24"/>
          <w:szCs w:val="24"/>
        </w:rPr>
        <w:t>their</w:t>
      </w:r>
      <w:proofErr w:type="gramEnd"/>
      <w:r w:rsidR="00882A79">
        <w:rPr>
          <w:rFonts w:ascii="Times New Roman" w:eastAsia="Times New Roman" w:hAnsi="Times New Roman" w:cs="Times New Roman"/>
          <w:sz w:val="24"/>
          <w:szCs w:val="24"/>
        </w:rPr>
        <w:t xml:space="preserve"> on the ground and lived realities expertise.</w:t>
      </w:r>
      <w:r w:rsidR="00076724">
        <w:rPr>
          <w:rFonts w:ascii="Times New Roman" w:eastAsia="Times New Roman" w:hAnsi="Times New Roman" w:cs="Times New Roman"/>
          <w:sz w:val="24"/>
          <w:szCs w:val="24"/>
        </w:rPr>
        <w:t xml:space="preserve"> </w:t>
      </w:r>
    </w:p>
    <w:p w:rsidR="00972753" w:rsidRDefault="00972753">
      <w:pPr>
        <w:shd w:val="clear" w:color="auto" w:fill="FFFFFF"/>
        <w:spacing w:line="256" w:lineRule="auto"/>
        <w:ind w:left="360"/>
        <w:jc w:val="both"/>
        <w:rPr>
          <w:rFonts w:ascii="Times New Roman" w:eastAsia="Times New Roman" w:hAnsi="Times New Roman" w:cs="Times New Roman"/>
          <w:sz w:val="24"/>
          <w:szCs w:val="24"/>
        </w:rPr>
      </w:pPr>
    </w:p>
    <w:p w:rsidR="00972753" w:rsidRDefault="00882A79">
      <w:pPr>
        <w:shd w:val="clear" w:color="auto" w:fill="FFFFFF"/>
        <w:spacing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example of a good practice is the </w:t>
      </w:r>
      <w:proofErr w:type="spellStart"/>
      <w:r>
        <w:rPr>
          <w:rFonts w:ascii="Times New Roman" w:eastAsia="Times New Roman" w:hAnsi="Times New Roman" w:cs="Times New Roman"/>
          <w:sz w:val="24"/>
          <w:szCs w:val="24"/>
        </w:rPr>
        <w:t>t</w:t>
      </w:r>
      <w:r w:rsidR="004B5B41">
        <w:rPr>
          <w:rFonts w:ascii="Times New Roman" w:eastAsia="Times New Roman" w:hAnsi="Times New Roman" w:cs="Times New Roman"/>
          <w:sz w:val="24"/>
          <w:szCs w:val="24"/>
        </w:rPr>
        <w:t>he</w:t>
      </w:r>
      <w:proofErr w:type="spellEnd"/>
      <w:r w:rsidR="004B5B41">
        <w:rPr>
          <w:rFonts w:ascii="Times New Roman" w:eastAsia="Times New Roman" w:hAnsi="Times New Roman" w:cs="Times New Roman"/>
          <w:sz w:val="24"/>
          <w:szCs w:val="24"/>
        </w:rPr>
        <w:t xml:space="preserve"> Public Prosecutor's Office of the Argentine Republic (MPF) </w:t>
      </w:r>
      <w:r>
        <w:rPr>
          <w:rFonts w:ascii="Times New Roman" w:eastAsia="Times New Roman" w:hAnsi="Times New Roman" w:cs="Times New Roman"/>
          <w:sz w:val="24"/>
          <w:szCs w:val="24"/>
        </w:rPr>
        <w:t>that created</w:t>
      </w:r>
      <w:r w:rsidR="004B5B41">
        <w:rPr>
          <w:rFonts w:ascii="Times New Roman" w:eastAsia="Times New Roman" w:hAnsi="Times New Roman" w:cs="Times New Roman"/>
          <w:sz w:val="24"/>
          <w:szCs w:val="24"/>
        </w:rPr>
        <w:t xml:space="preserve"> the Specialized Prosecutor's Unit on Violence against Women (UFEM)</w:t>
      </w:r>
      <w:r>
        <w:rPr>
          <w:rFonts w:ascii="Times New Roman" w:eastAsia="Times New Roman" w:hAnsi="Times New Roman" w:cs="Times New Roman"/>
          <w:sz w:val="24"/>
          <w:szCs w:val="24"/>
        </w:rPr>
        <w:t>,</w:t>
      </w:r>
      <w:r w:rsidR="004B5B41">
        <w:rPr>
          <w:rFonts w:ascii="Times New Roman" w:eastAsia="Times New Roman" w:hAnsi="Times New Roman" w:cs="Times New Roman"/>
          <w:sz w:val="24"/>
          <w:szCs w:val="24"/>
        </w:rPr>
        <w:t xml:space="preserve"> which has, among its legal abilities, the mandate to intervene in cases of gender-based violence against women and against the LGBTIQ population. Additionally, The General Directorate for Training and School of the MPF has conducted multiple workshops and courses on standards in the areas of equality and non-discrimination, access to justice and the rights of LGBTIQ persons, as well as criminal prosecution of cases of gender violence and hate crimes, with the participation and training of MPF agents from all over the country.</w:t>
      </w:r>
      <w:r w:rsidR="004B5B41">
        <w:rPr>
          <w:rFonts w:ascii="Times New Roman" w:eastAsia="Times New Roman" w:hAnsi="Times New Roman" w:cs="Times New Roman"/>
          <w:sz w:val="24"/>
          <w:szCs w:val="24"/>
          <w:vertAlign w:val="superscript"/>
        </w:rPr>
        <w:footnoteReference w:id="6"/>
      </w:r>
    </w:p>
    <w:p w:rsidR="00972753" w:rsidRDefault="00972753">
      <w:pPr>
        <w:shd w:val="clear" w:color="auto" w:fill="FFFFFF"/>
        <w:spacing w:line="256" w:lineRule="auto"/>
        <w:ind w:left="720" w:hanging="360"/>
        <w:jc w:val="both"/>
        <w:rPr>
          <w:rFonts w:ascii="Times New Roman" w:eastAsia="Times New Roman" w:hAnsi="Times New Roman" w:cs="Times New Roman"/>
          <w:sz w:val="24"/>
          <w:szCs w:val="24"/>
        </w:rPr>
      </w:pPr>
    </w:p>
    <w:p w:rsidR="00972753" w:rsidRDefault="004B5B41">
      <w:pPr>
        <w:shd w:val="clear" w:color="auto" w:fill="FFFFFF"/>
        <w:spacing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case on attacks suffered during </w:t>
      </w:r>
      <w:r w:rsidR="00882A79">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pride</w:t>
      </w:r>
      <w:r w:rsidR="00882A79">
        <w:rPr>
          <w:rFonts w:ascii="Times New Roman" w:eastAsia="Times New Roman" w:hAnsi="Times New Roman" w:cs="Times New Roman"/>
          <w:sz w:val="24"/>
          <w:szCs w:val="24"/>
        </w:rPr>
        <w:t xml:space="preserve"> celebration</w:t>
      </w:r>
      <w:r>
        <w:rPr>
          <w:rFonts w:ascii="Times New Roman" w:eastAsia="Times New Roman" w:hAnsi="Times New Roman" w:cs="Times New Roman"/>
          <w:sz w:val="24"/>
          <w:szCs w:val="24"/>
        </w:rPr>
        <w:t xml:space="preserve"> in Georgia, the European Court of Human Rights has stated that “[w]hen investigating violent incidents, such as ill-treatment, State authorities have the duty to take all reasonable steps to unmask possible discriminatory motives” and that States must take measures to do “whatever is reasonable in the circumstances to collect and secure the evidence, explore all practical means of discovering the truth and deliver fully reasoned, impartial and objective decisions, without omitting suspicious facts that may be indicative of violence motivated by gender-based discrimination”</w:t>
      </w:r>
      <w:r w:rsidR="00882A79">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p>
    <w:p w:rsidR="00882A79" w:rsidRDefault="00882A79">
      <w:pPr>
        <w:shd w:val="clear" w:color="auto" w:fill="FFFFFF"/>
        <w:spacing w:line="256" w:lineRule="auto"/>
        <w:ind w:left="360"/>
        <w:jc w:val="both"/>
        <w:rPr>
          <w:rFonts w:ascii="Times New Roman" w:eastAsia="Times New Roman" w:hAnsi="Times New Roman" w:cs="Times New Roman"/>
          <w:sz w:val="24"/>
          <w:szCs w:val="24"/>
        </w:rPr>
      </w:pPr>
    </w:p>
    <w:p w:rsidR="00882A79" w:rsidRDefault="00882A79">
      <w:pPr>
        <w:shd w:val="clear" w:color="auto" w:fill="FFFFFF"/>
        <w:spacing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practices need also to be collected and systematized and Member States should cooperate on sharing barriers and success that they have achieved along the way in order to widespread better practices everywhere.</w:t>
      </w:r>
    </w:p>
    <w:p w:rsidR="00972753" w:rsidRDefault="004B5B41">
      <w:pPr>
        <w:shd w:val="clear" w:color="auto" w:fill="FFFFFF"/>
        <w:spacing w:line="256"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spacing w:line="25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Please share examples of the types of structural and institutional violence with origins within the State, (perpetrated or condoned by the State) or perpetrated by those not representing or affiliated to the state in your country/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of region, and who is affected. In particular, describe structural/institutional violence in medical settings against women and girls, LGBTI persons and persons with disabilities or any other individuals or groups relevant in your country/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or regions. </w:t>
      </w:r>
    </w:p>
    <w:p w:rsidR="00972753" w:rsidRDefault="00972753">
      <w:pPr>
        <w:spacing w:line="360" w:lineRule="auto"/>
        <w:jc w:val="both"/>
        <w:rPr>
          <w:rFonts w:ascii="Times New Roman" w:eastAsia="Times New Roman" w:hAnsi="Times New Roman" w:cs="Times New Roman"/>
          <w:sz w:val="24"/>
          <w:szCs w:val="24"/>
        </w:rPr>
      </w:pPr>
    </w:p>
    <w:p w:rsidR="00972753" w:rsidRDefault="004B5B41">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Sexual orientation and gender identity change efforts</w:t>
      </w:r>
    </w:p>
    <w:p w:rsidR="00972753" w:rsidRDefault="004B5B41">
      <w:p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previously, LGBTIQ individuals are subjected to ​​SOGICE when their sexual orientation and/or gender identity does not conform with traditional expectations of their gender and sex assigned at birth. SOGICE refers to any and all treatments, practices, or sustained efforts that aim to suppress or change a person’s sexual orientation, gender identity, or gender expression</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These harmful practices, perpetrated largely in the name of religion or pseudo-science, occur globally and take on various forms including exorcisms, talk therapy, physical beatings, food deprivation and electric shock therapy</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rsidR="00972753" w:rsidRDefault="00972753">
      <w:pPr>
        <w:shd w:val="clear" w:color="auto" w:fill="FFFFFF"/>
        <w:spacing w:line="256" w:lineRule="auto"/>
        <w:jc w:val="both"/>
        <w:rPr>
          <w:rFonts w:ascii="Times New Roman" w:eastAsia="Times New Roman" w:hAnsi="Times New Roman" w:cs="Times New Roman"/>
          <w:sz w:val="24"/>
          <w:szCs w:val="24"/>
        </w:rPr>
      </w:pPr>
    </w:p>
    <w:p w:rsidR="00972753" w:rsidRDefault="004B5B41">
      <w:pPr>
        <w:shd w:val="clear" w:color="auto" w:fill="FFFFFF"/>
        <w:spacing w:line="25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OutRight</w:t>
      </w:r>
      <w:proofErr w:type="spellEnd"/>
      <w:r>
        <w:rPr>
          <w:rFonts w:ascii="Times New Roman" w:eastAsia="Times New Roman" w:hAnsi="Times New Roman" w:cs="Times New Roman"/>
          <w:sz w:val="24"/>
          <w:szCs w:val="24"/>
        </w:rPr>
        <w:t xml:space="preserve"> Action International in its report, </w:t>
      </w:r>
      <w:r>
        <w:rPr>
          <w:rFonts w:ascii="Times New Roman" w:eastAsia="Times New Roman" w:hAnsi="Times New Roman" w:cs="Times New Roman"/>
          <w:i/>
          <w:sz w:val="24"/>
          <w:szCs w:val="24"/>
        </w:rPr>
        <w:t>Harmful Treatment: The Global Reach of So-called Conversion Therapy</w:t>
      </w:r>
      <w:r>
        <w:rPr>
          <w:rFonts w:ascii="Times New Roman" w:eastAsia="Times New Roman" w:hAnsi="Times New Roman" w:cs="Times New Roman"/>
          <w:sz w:val="24"/>
          <w:szCs w:val="24"/>
        </w:rPr>
        <w:t>, found that over 57% of respondents knew someone who had experienced “conversion practices.” And 100 respondents, or about 22% of all respondents globally had undergone some form of “conversion practices.”  Among those who had been subjected to some form of “conversion practices” or SOGICE, 67.5% reported that they were coerced, while 33.5% said that they voluntarily sought out “treatment”. The findings further suggest that in Africa (76%) and the Latin America and the Caribbean (88%) religious leaders and institutions are believed to be, by far, the leading perpetrators of conversion practices, followed by traditional healers and private and public mental health providers. This is further supported by the data on forms of “conversion therapy,” which indicated that religious rituals involving physical violations such as the use of canes, blades, hot candle-wax, and prayer were predominately used within Africa.</w:t>
      </w:r>
      <w:r>
        <w:rPr>
          <w:rFonts w:ascii="Times New Roman" w:eastAsia="Times New Roman" w:hAnsi="Times New Roman" w:cs="Times New Roman"/>
          <w:sz w:val="24"/>
          <w:szCs w:val="24"/>
          <w:vertAlign w:val="superscript"/>
        </w:rPr>
        <w:footnoteReference w:id="10"/>
      </w:r>
    </w:p>
    <w:p w:rsidR="00972753" w:rsidRDefault="00972753">
      <w:pPr>
        <w:shd w:val="clear" w:color="auto" w:fill="FFFFFF"/>
        <w:spacing w:line="256" w:lineRule="auto"/>
        <w:jc w:val="both"/>
        <w:rPr>
          <w:rFonts w:ascii="Times New Roman" w:eastAsia="Times New Roman" w:hAnsi="Times New Roman" w:cs="Times New Roman"/>
          <w:sz w:val="24"/>
          <w:szCs w:val="24"/>
        </w:rPr>
      </w:pPr>
    </w:p>
    <w:p w:rsidR="00972753" w:rsidRDefault="004B5B41">
      <w:pPr>
        <w:shd w:val="clear" w:color="auto" w:fill="FFFFFF"/>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practices violate the fundamental human rights of LGBTIQ individuals, including their right to freely express themselves and their freedom from torture or other cruel, inhuman, or degrading treatment. In 2016, the UN Special Rapporteur on Torture, in his report to the Human Rights Council, acknowledged that conversion efforts to change a person’s SOGIE lead to severe and life-long physical and mental pain and suffering and c</w:t>
      </w:r>
      <w:r w:rsidR="00882A79">
        <w:rPr>
          <w:rFonts w:ascii="Times New Roman" w:eastAsia="Times New Roman" w:hAnsi="Times New Roman" w:cs="Times New Roman"/>
          <w:sz w:val="24"/>
          <w:szCs w:val="24"/>
        </w:rPr>
        <w:t>ould</w:t>
      </w:r>
      <w:r>
        <w:rPr>
          <w:rFonts w:ascii="Times New Roman" w:eastAsia="Times New Roman" w:hAnsi="Times New Roman" w:cs="Times New Roman"/>
          <w:sz w:val="24"/>
          <w:szCs w:val="24"/>
        </w:rPr>
        <w:t xml:space="preserve"> amount to torture and ill-treatment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This conforms with the American Psychological Association’s landmark summary of evidence related to so-called conversion therapy.</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The same was reiterated by the Independent Expert on SOGI in his 2020 report on Conversion Therapy, where he stated that “These practices also violate the prohibition of torture and ill-treatment, since they take point of departure in the belief that sexually diverse or gender-diverse persons are somehow inferior – morally, spiritually or physically – than their heterosexual and cisgender siblings and must modify their orientation or identity to remedy that inferiority.”</w:t>
      </w:r>
      <w:r>
        <w:rPr>
          <w:rFonts w:ascii="Times New Roman" w:eastAsia="Times New Roman" w:hAnsi="Times New Roman" w:cs="Times New Roman"/>
          <w:sz w:val="24"/>
          <w:szCs w:val="24"/>
          <w:vertAlign w:val="superscript"/>
        </w:rPr>
        <w:footnoteReference w:id="13"/>
      </w:r>
    </w:p>
    <w:p w:rsidR="00972753" w:rsidRDefault="00972753">
      <w:pPr>
        <w:spacing w:line="360" w:lineRule="auto"/>
        <w:jc w:val="both"/>
        <w:rPr>
          <w:rFonts w:ascii="Times New Roman" w:eastAsia="Times New Roman" w:hAnsi="Times New Roman" w:cs="Times New Roman"/>
          <w:sz w:val="24"/>
          <w:szCs w:val="24"/>
        </w:rPr>
      </w:pPr>
    </w:p>
    <w:p w:rsidR="00972753" w:rsidRDefault="004B5B41">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Unnecessary and nonconsensual surgeries on Intersex people</w:t>
      </w:r>
    </w:p>
    <w:p w:rsidR="00972753" w:rsidRDefault="004B5B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practice of nonconsensual and unnecessary surgeries on intersex infants remains an underrecognized and underserved issue. Intersex people continue to be subjected to irreversible surgical interventions that share many of the same impacts of female genital mutilation – including physical and psychological suffering, scarring, and a reduction or erasure in sexual pleasure, function, and fertility. Medical need is often cited as justification for these surgeries, however there is little to no medical evidence supporting the need for such intervention or its alleged short or long term medical benefits. Multiple United Nations treaty bodies and human rights experts have recognized that harmful, forced, coercive, and non-consensual procedures on intersex persons violates their rights to bodily integrity and freedom from torture and ill treatment. Additionally, nonconsensual and unnecessary genital surgery performed on intersex youth directly violates both the spirit and letter of the 1989 Convention on the Rights of Children. In 2021, for instance, a state government in northern Nigeria carried out medically unnecessary intersex surgeries (also known as Intersex Genital Mutilation) on 7 persons, and disclosed its plans to ‘fish out’ more intersex persons for the same.</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The police have also been found to be one of the major perpetrators of violence in the form of extortion, physical assaults, intimidation and so on against LGBTQI persons in countries like Nigeria where diverse sexual orientation is criminalized.</w:t>
      </w:r>
      <w:r>
        <w:rPr>
          <w:rFonts w:ascii="Times New Roman" w:eastAsia="Times New Roman" w:hAnsi="Times New Roman" w:cs="Times New Roman"/>
          <w:sz w:val="24"/>
          <w:szCs w:val="24"/>
          <w:vertAlign w:val="superscript"/>
        </w:rPr>
        <w:footnoteReference w:id="15"/>
      </w:r>
    </w:p>
    <w:p w:rsidR="00972753" w:rsidRDefault="00972753">
      <w:pPr>
        <w:spacing w:line="360" w:lineRule="auto"/>
        <w:jc w:val="both"/>
        <w:rPr>
          <w:rFonts w:ascii="Times New Roman" w:eastAsia="Times New Roman" w:hAnsi="Times New Roman" w:cs="Times New Roman"/>
          <w:sz w:val="24"/>
          <w:szCs w:val="24"/>
        </w:rPr>
      </w:pPr>
    </w:p>
    <w:p w:rsidR="00972753" w:rsidRPr="00882A79" w:rsidRDefault="004B5B41">
      <w:pPr>
        <w:spacing w:line="360" w:lineRule="auto"/>
        <w:jc w:val="both"/>
        <w:rPr>
          <w:rFonts w:ascii="Times New Roman" w:eastAsia="Times New Roman" w:hAnsi="Times New Roman" w:cs="Times New Roman"/>
          <w:sz w:val="24"/>
          <w:szCs w:val="24"/>
          <w:u w:val="single"/>
        </w:rPr>
      </w:pPr>
      <w:proofErr w:type="spellStart"/>
      <w:r w:rsidRPr="00882A79">
        <w:rPr>
          <w:rFonts w:ascii="Times New Roman" w:eastAsia="Times New Roman" w:hAnsi="Times New Roman" w:cs="Times New Roman"/>
          <w:sz w:val="24"/>
          <w:szCs w:val="24"/>
          <w:u w:val="single"/>
        </w:rPr>
        <w:t>Pathologization</w:t>
      </w:r>
      <w:proofErr w:type="spellEnd"/>
      <w:r w:rsidRPr="00882A79">
        <w:rPr>
          <w:rFonts w:ascii="Times New Roman" w:eastAsia="Times New Roman" w:hAnsi="Times New Roman" w:cs="Times New Roman"/>
          <w:sz w:val="24"/>
          <w:szCs w:val="24"/>
          <w:u w:val="single"/>
        </w:rPr>
        <w:t xml:space="preserve"> and stigmatization</w:t>
      </w:r>
    </w:p>
    <w:p w:rsidR="00972753" w:rsidRDefault="004B5B41">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Pathologization</w:t>
      </w:r>
      <w:proofErr w:type="spellEnd"/>
      <w:r>
        <w:rPr>
          <w:rFonts w:ascii="Times New Roman" w:eastAsia="Times New Roman" w:hAnsi="Times New Roman" w:cs="Times New Roman"/>
          <w:sz w:val="24"/>
          <w:szCs w:val="24"/>
        </w:rPr>
        <w:t xml:space="preserve"> and stigmatization relating to gender identity and expression in medical classifications are used to justify subjecting trans people, even at young ages, to forced or coercive sterilization, hormone therapy, surgeries, and psychiatric evaluations, violating their human rights. These pathologizing classifications also create abusive obstacles to access safe gender affirming procedures, which leads to unsafe and clandestine procedures that create lifelong consequences and can even be deadly.</w:t>
      </w:r>
    </w:p>
    <w:p w:rsidR="00972753" w:rsidRDefault="00972753">
      <w:pPr>
        <w:spacing w:line="360" w:lineRule="auto"/>
        <w:jc w:val="both"/>
        <w:rPr>
          <w:rFonts w:ascii="Times New Roman" w:eastAsia="Times New Roman" w:hAnsi="Times New Roman" w:cs="Times New Roman"/>
          <w:sz w:val="24"/>
          <w:szCs w:val="24"/>
        </w:rPr>
      </w:pPr>
    </w:p>
    <w:p w:rsidR="00972753" w:rsidRDefault="004B5B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Homosexuality was removed from the International Classification of Diseases in 1990, and transgender identities were removed from ICD-11 in 2019</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Further, the American Phycological Association has affirmed repeatedly that insufficient evidence exists to support the use of psychological interventions to change sexual orientation and, in fact, these interventions are likely to do harm.</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Nevertheless, perceptions of LGBTQ identities as disorders persist, and efforts to change, “convert”, suppress or divert one’s SOGIE - by medical and mental health practitioners - continue.</w:t>
      </w:r>
    </w:p>
    <w:p w:rsidR="00972753" w:rsidRDefault="004B5B41">
      <w:pPr>
        <w:spacing w:line="25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shd w:val="clear" w:color="auto" w:fill="FFFFFF"/>
        <w:spacing w:line="256"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Please also share information on the impact of criminalization of sex work, same sex relations, transgender persons, abortion, drug abuse, harmful practices in obstetric care, female genital mutilation on the violence experienced by the affected individuals and their enjoyment of the right to health.</w:t>
      </w:r>
    </w:p>
    <w:p w:rsidR="00972753" w:rsidRDefault="00972753">
      <w:pPr>
        <w:shd w:val="clear" w:color="auto" w:fill="FFFFFF"/>
        <w:spacing w:line="256" w:lineRule="auto"/>
        <w:ind w:left="720" w:hanging="360"/>
        <w:jc w:val="both"/>
        <w:rPr>
          <w:rFonts w:ascii="Times New Roman" w:eastAsia="Times New Roman" w:hAnsi="Times New Roman" w:cs="Times New Roman"/>
          <w:sz w:val="24"/>
          <w:szCs w:val="24"/>
        </w:rPr>
      </w:pPr>
    </w:p>
    <w:p w:rsidR="00972753" w:rsidRDefault="004B5B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Discrimination and violence are exacerbated by laws that directly or indirectly criminalize individuals based on their real or perceived SOGIESC. Punitive laws, policies and practices combined with lack of access to justice or protective legal structures leave LGBTIQ people without forms of redress. Furthermore, they face targeted violence and discrimination when seeking refuge from persecution, as well as in humanitarian emergencies. Responses to these violations are inadequate, underreported, and rarely properly investigated and prosecuted, leading to impunity for those responsible and depriving victims of justice, remedies, and support. </w:t>
      </w:r>
    </w:p>
    <w:p w:rsidR="00972753" w:rsidRDefault="00972753">
      <w:pPr>
        <w:spacing w:line="360" w:lineRule="auto"/>
        <w:jc w:val="both"/>
        <w:rPr>
          <w:rFonts w:ascii="Times New Roman" w:eastAsia="Times New Roman" w:hAnsi="Times New Roman" w:cs="Times New Roman"/>
          <w:sz w:val="24"/>
          <w:szCs w:val="24"/>
        </w:rPr>
      </w:pPr>
    </w:p>
    <w:p w:rsidR="00972753" w:rsidRDefault="004B5B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Criminalization of sexual orientation and gender identity is not only a violation </w:t>
      </w:r>
      <w:proofErr w:type="gramStart"/>
      <w:r>
        <w:rPr>
          <w:rFonts w:ascii="Times New Roman" w:eastAsia="Times New Roman" w:hAnsi="Times New Roman" w:cs="Times New Roman"/>
          <w:sz w:val="24"/>
          <w:szCs w:val="24"/>
        </w:rPr>
        <w:t>of  human</w:t>
      </w:r>
      <w:proofErr w:type="gramEnd"/>
      <w:r>
        <w:rPr>
          <w:rFonts w:ascii="Times New Roman" w:eastAsia="Times New Roman" w:hAnsi="Times New Roman" w:cs="Times New Roman"/>
          <w:sz w:val="24"/>
          <w:szCs w:val="24"/>
        </w:rPr>
        <w:t xml:space="preserve"> rights, but also legitimizes prejudice in societies, exposing LGBTIQ people to possible hate crimes. This criminalization also sanctions abuse and ill-treatment of LGBTIQ persons by state actors..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Therefore, abuse is by both state and non-state actors. In spaces where LGBTIQ persons are under the constant threat of criminalization and violence, they are unable to publicly express themselves and fully access their right to health, due to a constant threat of prosecution and persecution. </w:t>
      </w:r>
    </w:p>
    <w:p w:rsidR="00972753" w:rsidRDefault="00972753">
      <w:pPr>
        <w:spacing w:line="360" w:lineRule="auto"/>
        <w:jc w:val="both"/>
        <w:rPr>
          <w:rFonts w:ascii="Times New Roman" w:eastAsia="Times New Roman" w:hAnsi="Times New Roman" w:cs="Times New Roman"/>
          <w:sz w:val="24"/>
          <w:szCs w:val="24"/>
        </w:rPr>
      </w:pPr>
    </w:p>
    <w:p w:rsidR="00972753" w:rsidRDefault="004B5B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in 2019 in Uganda, where same-sex relations are </w:t>
      </w:r>
      <w:proofErr w:type="spellStart"/>
      <w:r>
        <w:rPr>
          <w:rFonts w:ascii="Times New Roman" w:eastAsia="Times New Roman" w:hAnsi="Times New Roman" w:cs="Times New Roman"/>
          <w:sz w:val="24"/>
          <w:szCs w:val="24"/>
        </w:rPr>
        <w:t>criminalilized</w:t>
      </w:r>
      <w:proofErr w:type="spellEnd"/>
      <w:r>
        <w:rPr>
          <w:rFonts w:ascii="Times New Roman" w:eastAsia="Times New Roman" w:hAnsi="Times New Roman" w:cs="Times New Roman"/>
          <w:sz w:val="24"/>
          <w:szCs w:val="24"/>
        </w:rPr>
        <w:t xml:space="preserve"> with severe punishments, police officials arrested sixteen LGBTIQ activists who were gathered peacefully at a sexual health organization. The arrest cited presence of condoms, lubricants, HIV-medicine; anal exams were performed and interrogations about sexual orientation was used as evidence of the crime of “carnal knowledge against the order of nature” under Section 145 of the Ugandan Penal Code.</w:t>
      </w:r>
      <w:r>
        <w:rPr>
          <w:rFonts w:ascii="Times New Roman" w:eastAsia="Times New Roman" w:hAnsi="Times New Roman" w:cs="Times New Roman"/>
          <w:sz w:val="24"/>
          <w:szCs w:val="24"/>
          <w:vertAlign w:val="superscript"/>
        </w:rPr>
        <w:footnoteReference w:id="19"/>
      </w:r>
    </w:p>
    <w:p w:rsidR="00972753" w:rsidRDefault="00972753">
      <w:pPr>
        <w:spacing w:line="360" w:lineRule="auto"/>
        <w:jc w:val="both"/>
        <w:rPr>
          <w:rFonts w:ascii="Times New Roman" w:eastAsia="Times New Roman" w:hAnsi="Times New Roman" w:cs="Times New Roman"/>
          <w:sz w:val="24"/>
          <w:szCs w:val="24"/>
        </w:rPr>
      </w:pPr>
    </w:p>
    <w:p w:rsidR="00972753" w:rsidRDefault="004B5B4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gender non-conforming, transgender and intersex people experience multiple layers of discrimination preventing access to basic healthcare, and specific care needed by these groups of persons.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This results in the infringement of their rights to health, privacy, freedom from non-discrimination, among others.</w:t>
      </w:r>
    </w:p>
    <w:p w:rsidR="00972753" w:rsidRDefault="00972753">
      <w:pPr>
        <w:spacing w:line="360" w:lineRule="auto"/>
        <w:jc w:val="both"/>
        <w:rPr>
          <w:rFonts w:ascii="Times New Roman" w:eastAsia="Times New Roman" w:hAnsi="Times New Roman" w:cs="Times New Roman"/>
          <w:sz w:val="24"/>
          <w:szCs w:val="24"/>
        </w:rPr>
      </w:pPr>
    </w:p>
    <w:p w:rsidR="00972753" w:rsidRDefault="004B5B41">
      <w:pPr>
        <w:spacing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Sex workers</w:t>
      </w:r>
    </w:p>
    <w:p w:rsidR="00972753" w:rsidRDefault="00882A79">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OutRight</w:t>
      </w:r>
      <w:proofErr w:type="spellEnd"/>
      <w:r>
        <w:rPr>
          <w:rFonts w:ascii="Times New Roman" w:eastAsia="Times New Roman" w:hAnsi="Times New Roman" w:cs="Times New Roman"/>
          <w:sz w:val="24"/>
          <w:szCs w:val="24"/>
        </w:rPr>
        <w:t xml:space="preserve"> would just like to highlight that t</w:t>
      </w:r>
      <w:r w:rsidR="004B5B41">
        <w:rPr>
          <w:rFonts w:ascii="Times New Roman" w:eastAsia="Times New Roman" w:hAnsi="Times New Roman" w:cs="Times New Roman"/>
          <w:sz w:val="24"/>
          <w:szCs w:val="24"/>
        </w:rPr>
        <w:t>here is an overrepresentation of trans people among sex workers, which is “undeniably a result of widespread structural, institutional, and interpersonal violence experienced by trans people from their early lives with regards to receiving support from their families and their immediate environments and accessing education and alternative employment”</w:t>
      </w:r>
      <w:r w:rsidR="004B5B41">
        <w:rPr>
          <w:rFonts w:ascii="Times New Roman" w:eastAsia="Times New Roman" w:hAnsi="Times New Roman" w:cs="Times New Roman"/>
          <w:sz w:val="24"/>
          <w:szCs w:val="24"/>
          <w:vertAlign w:val="superscript"/>
        </w:rPr>
        <w:footnoteReference w:id="21"/>
      </w:r>
      <w:r w:rsidR="004B5B41">
        <w:rPr>
          <w:rFonts w:ascii="Times New Roman" w:eastAsia="Times New Roman" w:hAnsi="Times New Roman" w:cs="Times New Roman"/>
          <w:sz w:val="24"/>
          <w:szCs w:val="24"/>
        </w:rPr>
        <w:t>.</w:t>
      </w:r>
    </w:p>
    <w:p w:rsidR="00972753" w:rsidRDefault="00972753">
      <w:pPr>
        <w:jc w:val="both"/>
        <w:rPr>
          <w:rFonts w:ascii="Times New Roman" w:eastAsia="Times New Roman" w:hAnsi="Times New Roman" w:cs="Times New Roman"/>
          <w:sz w:val="24"/>
          <w:szCs w:val="24"/>
        </w:rPr>
      </w:pPr>
    </w:p>
    <w:p w:rsidR="00972753" w:rsidRDefault="004B5B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Sex workers experience specific challenges in attaining their right to sexual and reproductive health. For instance, sex workers might only be able to seek health services at night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access to which might be severely limited when resources are stretched thin to accommodate COVID-19 cases.</w:t>
      </w:r>
    </w:p>
    <w:p w:rsidR="00A14D57" w:rsidRDefault="00A14D57">
      <w:pPr>
        <w:jc w:val="both"/>
        <w:rPr>
          <w:rFonts w:ascii="Times New Roman" w:eastAsia="Times New Roman" w:hAnsi="Times New Roman" w:cs="Times New Roman"/>
          <w:sz w:val="24"/>
          <w:szCs w:val="24"/>
        </w:rPr>
      </w:pPr>
    </w:p>
    <w:p w:rsidR="00A14D57" w:rsidRDefault="00A14D5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that sense, a lot of the State and non-State violence and discrimination that sex workers are victim of come from the same root causes and stereotypes that are at the birth of GBV and discrimination against LGBTIQ persons.</w:t>
      </w:r>
    </w:p>
    <w:p w:rsidR="00972753" w:rsidRDefault="00972753">
      <w:pPr>
        <w:shd w:val="clear" w:color="auto" w:fill="FFFFFF"/>
        <w:spacing w:line="256" w:lineRule="auto"/>
        <w:jc w:val="both"/>
        <w:rPr>
          <w:rFonts w:ascii="Times New Roman" w:eastAsia="Times New Roman" w:hAnsi="Times New Roman" w:cs="Times New Roman"/>
          <w:sz w:val="24"/>
          <w:szCs w:val="24"/>
        </w:rPr>
      </w:pPr>
    </w:p>
    <w:p w:rsidR="00972753" w:rsidRDefault="00972753">
      <w:pPr>
        <w:rPr>
          <w:rFonts w:ascii="Times New Roman" w:eastAsia="Times New Roman" w:hAnsi="Times New Roman" w:cs="Times New Roman"/>
          <w:sz w:val="24"/>
          <w:szCs w:val="24"/>
          <w:highlight w:val="white"/>
        </w:rPr>
      </w:pPr>
    </w:p>
    <w:p w:rsidR="00972753" w:rsidRDefault="004B5B4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972753" w:rsidRDefault="004B5B41">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Glossary of definitions for the purpose of this questionnaire</w:t>
      </w:r>
    </w:p>
    <w:p w:rsidR="00972753" w:rsidRDefault="004B5B41">
      <w:pPr>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Gender based-violence, is violence directed toward, or disproportionately affecting someone because of their gender or sex. Such violence takes multiple forms, including acts or omissions intended or likely to cause or result in death or physical, sexual, psychological or economic harm or suffering, threats of such acts, harassment, coercion and arbitrary deprivation of liberty. Examples include, sexual violence, trafficking, domestic violence, battery, dowry related violence, coerced or forced use of contraceptives, violence against LGBTI people, femicide, female infanticide, harmful practices and certain forms of slavery and servitude. Gender-based violence may be perpetrated against women, girls, men, boys, and non-binary persons. Gender-based violence, including sexual violence, may linked to a conflict.</w:t>
      </w:r>
    </w:p>
    <w:p w:rsidR="00972753" w:rsidRDefault="004B5B4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ind w:left="560" w:hanging="280"/>
        <w:jc w:val="both"/>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Gender based violence against women (including girls) refers to violence that is directed against a woman because she is a woman or that affects women disproportionately. (CEDAW,</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0000FF"/>
            <w:sz w:val="24"/>
            <w:szCs w:val="24"/>
          </w:rPr>
          <w:t>General recommendation 19</w:t>
        </w:r>
      </w:hyperlink>
      <w:r>
        <w:rPr>
          <w:rFonts w:ascii="Times New Roman" w:eastAsia="Times New Roman" w:hAnsi="Times New Roman" w:cs="Times New Roman"/>
          <w:sz w:val="24"/>
          <w:szCs w:val="24"/>
        </w:rPr>
        <w:t>, 1992). It includes acts that inflict physical, mental or sexual harm or suffering, threats of such acts, coercion and other deprivations of liberty. Gender based violence affect women to different degrees depending on their experience of varying or intersecting forms of discrimination including on the basis of ethnicity/race, socioeconomic status, age, disability, being lesbian, bisexual, transgender or intersex, etc.</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0000FF"/>
            <w:sz w:val="24"/>
            <w:szCs w:val="24"/>
          </w:rPr>
          <w:t>(CEDAW, General recommendation 35, 2017).</w:t>
        </w:r>
      </w:hyperlink>
    </w:p>
    <w:p w:rsidR="00972753" w:rsidRDefault="004B5B41">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Violence against children refers to all forms of physical or mental violence, injury or abuse, neglect or negligent treatment, maltreatment or exploitation, including sexual abuse against children. (CRC,</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0000FF"/>
            <w:sz w:val="24"/>
            <w:szCs w:val="24"/>
            <w:u w:val="single"/>
          </w:rPr>
          <w:t>General Comment No. 13</w:t>
        </w:r>
      </w:hyperlink>
      <w:r>
        <w:rPr>
          <w:rFonts w:ascii="Times New Roman" w:eastAsia="Times New Roman" w:hAnsi="Times New Roman" w:cs="Times New Roman"/>
          <w:sz w:val="24"/>
          <w:szCs w:val="24"/>
        </w:rPr>
        <w:t>, 2011). Violence experienced by boys and girls may also be a form of gender-based violence.</w:t>
      </w:r>
    </w:p>
    <w:p w:rsidR="00972753" w:rsidRDefault="004B5B41">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Gender based violence perpetrated against LGBTI or other persons based on real or imputed sexual orientation, gender identity, and /or sex characteristics includes killings, imposition of death penalty for homosexuality, death threats, beatings, corporal punishment imposed as a penalty for same-sex conduct, and/or transgender persons, arbitrary arrest and detention, abduction, incommunicado detention, rape and sexual assault, humiliation, verbal abuse, harassment, bullying, hate speech and forced medical examinations, including anal examinations, and instances of so-called “conversion therapy” and forced/coerced medically </w:t>
      </w:r>
      <w:proofErr w:type="spellStart"/>
      <w:r>
        <w:rPr>
          <w:rFonts w:ascii="Times New Roman" w:eastAsia="Times New Roman" w:hAnsi="Times New Roman" w:cs="Times New Roman"/>
          <w:sz w:val="24"/>
          <w:szCs w:val="24"/>
        </w:rPr>
        <w:t>unecessary</w:t>
      </w:r>
      <w:proofErr w:type="spellEnd"/>
      <w:r>
        <w:rPr>
          <w:rFonts w:ascii="Times New Roman" w:eastAsia="Times New Roman" w:hAnsi="Times New Roman" w:cs="Times New Roman"/>
          <w:sz w:val="24"/>
          <w:szCs w:val="24"/>
        </w:rPr>
        <w:t xml:space="preserve"> procedures on intersex children and adults. (Report of the Independent Expert on protection against sexual orientation and gender </w:t>
      </w:r>
      <w:proofErr w:type="spellStart"/>
      <w:r>
        <w:rPr>
          <w:rFonts w:ascii="Times New Roman" w:eastAsia="Times New Roman" w:hAnsi="Times New Roman" w:cs="Times New Roman"/>
          <w:sz w:val="24"/>
          <w:szCs w:val="24"/>
        </w:rPr>
        <w:t>identitiy</w:t>
      </w:r>
      <w:proofErr w:type="spellEnd"/>
      <w:r>
        <w:rPr>
          <w:rFonts w:ascii="Times New Roman" w:eastAsia="Times New Roman" w:hAnsi="Times New Roman" w:cs="Times New Roman"/>
          <w:sz w:val="24"/>
          <w:szCs w:val="24"/>
        </w:rPr>
        <w:t>, (</w:t>
      </w:r>
      <w:hyperlink r:id="rId15">
        <w:r>
          <w:rPr>
            <w:rFonts w:ascii="Times New Roman" w:eastAsia="Times New Roman" w:hAnsi="Times New Roman" w:cs="Times New Roman"/>
            <w:color w:val="0000FF"/>
            <w:sz w:val="24"/>
            <w:szCs w:val="24"/>
            <w:u w:val="single"/>
          </w:rPr>
          <w:t>A/HRC/38/43</w:t>
        </w:r>
      </w:hyperlink>
      <w:r>
        <w:rPr>
          <w:rFonts w:ascii="Times New Roman" w:eastAsia="Times New Roman" w:hAnsi="Times New Roman" w:cs="Times New Roman"/>
          <w:sz w:val="24"/>
          <w:szCs w:val="24"/>
        </w:rPr>
        <w:t>, 2018,</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0000FF"/>
            <w:sz w:val="24"/>
            <w:szCs w:val="24"/>
            <w:u w:val="single"/>
          </w:rPr>
          <w:t>OHCHR, Born Free and equal</w:t>
        </w:r>
      </w:hyperlink>
      <w:r>
        <w:rPr>
          <w:rFonts w:ascii="Times New Roman" w:eastAsia="Times New Roman" w:hAnsi="Times New Roman" w:cs="Times New Roman"/>
          <w:sz w:val="24"/>
          <w:szCs w:val="24"/>
        </w:rPr>
        <w:t>, OHCHR,</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0000FF"/>
            <w:sz w:val="24"/>
            <w:szCs w:val="24"/>
            <w:u w:val="single"/>
          </w:rPr>
          <w:t xml:space="preserve">Background note on human rights violations against intersex </w:t>
        </w:r>
        <w:proofErr w:type="spellStart"/>
        <w:r>
          <w:rPr>
            <w:rFonts w:ascii="Times New Roman" w:eastAsia="Times New Roman" w:hAnsi="Times New Roman" w:cs="Times New Roman"/>
            <w:color w:val="0000FF"/>
            <w:sz w:val="24"/>
            <w:szCs w:val="24"/>
            <w:u w:val="single"/>
          </w:rPr>
          <w:t>perople</w:t>
        </w:r>
        <w:proofErr w:type="spellEnd"/>
        <w:r>
          <w:rPr>
            <w:rFonts w:ascii="Times New Roman" w:eastAsia="Times New Roman" w:hAnsi="Times New Roman" w:cs="Times New Roman"/>
            <w:color w:val="0000FF"/>
            <w:sz w:val="24"/>
            <w:szCs w:val="24"/>
            <w:u w:val="single"/>
          </w:rPr>
          <w:t>).</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sz w:val="24"/>
          <w:szCs w:val="24"/>
        </w:rPr>
        <w:t xml:space="preserve"> </w:t>
      </w:r>
    </w:p>
    <w:p w:rsidR="00972753" w:rsidRDefault="004B5B41">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Conflict related gender-based violence: </w:t>
      </w:r>
      <w:r>
        <w:rPr>
          <w:rFonts w:ascii="Times New Roman" w:eastAsia="Times New Roman" w:hAnsi="Times New Roman" w:cs="Times New Roman"/>
          <w:sz w:val="24"/>
          <w:szCs w:val="24"/>
          <w:highlight w:val="white"/>
        </w:rPr>
        <w:t xml:space="preserve">Conflict can result in higher levels of gender-based violence against </w:t>
      </w:r>
      <w:r>
        <w:rPr>
          <w:rFonts w:ascii="Times New Roman" w:eastAsia="Times New Roman" w:hAnsi="Times New Roman" w:cs="Times New Roman"/>
          <w:b/>
          <w:sz w:val="24"/>
          <w:szCs w:val="24"/>
          <w:highlight w:val="white"/>
        </w:rPr>
        <w:t>women and girls</w:t>
      </w:r>
      <w:r>
        <w:rPr>
          <w:rFonts w:ascii="Times New Roman" w:eastAsia="Times New Roman" w:hAnsi="Times New Roman" w:cs="Times New Roman"/>
          <w:sz w:val="24"/>
          <w:szCs w:val="24"/>
          <w:highlight w:val="white"/>
        </w:rPr>
        <w:t xml:space="preserve">, including arbitrary killings, torture, </w:t>
      </w:r>
      <w:r>
        <w:rPr>
          <w:rFonts w:ascii="Times New Roman" w:eastAsia="Times New Roman" w:hAnsi="Times New Roman" w:cs="Times New Roman"/>
          <w:b/>
          <w:sz w:val="24"/>
          <w:szCs w:val="24"/>
          <w:highlight w:val="white"/>
        </w:rPr>
        <w:t>sexual violence</w:t>
      </w:r>
      <w:r>
        <w:rPr>
          <w:rFonts w:ascii="Times New Roman" w:eastAsia="Times New Roman" w:hAnsi="Times New Roman" w:cs="Times New Roman"/>
          <w:sz w:val="24"/>
          <w:szCs w:val="24"/>
          <w:highlight w:val="white"/>
        </w:rPr>
        <w:t xml:space="preserve"> and forced marriage. Women and girls are primarily and increasingly targeted by the use of sexual violence, including as a tactic of war. M</w:t>
      </w:r>
      <w:r>
        <w:rPr>
          <w:rFonts w:ascii="Times New Roman" w:eastAsia="Times New Roman" w:hAnsi="Times New Roman" w:cs="Times New Roman"/>
          <w:b/>
          <w:sz w:val="24"/>
          <w:szCs w:val="24"/>
          <w:highlight w:val="white"/>
        </w:rPr>
        <w:t>en and boys</w:t>
      </w:r>
      <w:r>
        <w:rPr>
          <w:rFonts w:ascii="Times New Roman" w:eastAsia="Times New Roman" w:hAnsi="Times New Roman" w:cs="Times New Roman"/>
          <w:sz w:val="24"/>
          <w:szCs w:val="24"/>
          <w:highlight w:val="white"/>
        </w:rPr>
        <w:t xml:space="preserve"> have also been victims of sexual violence, especially in contexts of detention. </w:t>
      </w:r>
      <w:r>
        <w:rPr>
          <w:rFonts w:ascii="Times New Roman" w:eastAsia="Times New Roman" w:hAnsi="Times New Roman" w:cs="Times New Roman"/>
          <w:i/>
          <w:sz w:val="24"/>
          <w:szCs w:val="24"/>
        </w:rPr>
        <w:t>Conflict related sexual violence</w:t>
      </w:r>
      <w:r>
        <w:rPr>
          <w:rFonts w:ascii="Times New Roman" w:eastAsia="Times New Roman" w:hAnsi="Times New Roman" w:cs="Times New Roman"/>
          <w:sz w:val="24"/>
          <w:szCs w:val="24"/>
        </w:rPr>
        <w:t xml:space="preserve"> refers to rape, sexual slavery, forced prostitution, forced pregnancy, forced abortion, enforced sterilization, forced marriage, and any other form of sexual violence of comparable gravity perpetrated against women, men, girls or boys that is directly or indirectly linked to a conflict. That link may be evident in the profile of the perpetrator, (often affiliated with a State or non-State armed group, which includes terrorist entities); the profile of the victim, ( frequently an actual or perceived member of a political, ethnic or religious minority group or targeted on the basis of actual or perceived sexual orientation or gender identity); the climate of impunity, (generally associated with State collapse, cross-border consequences such as displacement or trafficking, and/or violations of a ceasefire agreement). The term also encompasses trafficking in persons for the purpose of sexual violence or exploitation, when committed in situations of conflict”. (Report of the Secretary General</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0000FF"/>
            <w:sz w:val="24"/>
            <w:szCs w:val="24"/>
            <w:u w:val="single"/>
          </w:rPr>
          <w:t>S/2019/280</w:t>
        </w:r>
      </w:hyperlink>
      <w:r>
        <w:rPr>
          <w:rFonts w:ascii="Times New Roman" w:eastAsia="Times New Roman" w:hAnsi="Times New Roman" w:cs="Times New Roman"/>
          <w:sz w:val="24"/>
          <w:szCs w:val="24"/>
        </w:rPr>
        <w:t>, 2019.)</w:t>
      </w:r>
    </w:p>
    <w:p w:rsidR="00972753" w:rsidRDefault="004B5B4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ind w:left="560" w:hanging="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Systemic or institutional violence refers to institutional practices, laws or procedures that adversely affect groups or individuals psychologically, mentally, culturally, economically, spiritually, or physically.  This violence has its origins within or outside the state, and is a major obstacle for the realization of the right to health, a right which is interconnected with rights to the underlying determinants of health.</w:t>
      </w:r>
    </w:p>
    <w:p w:rsidR="00972753" w:rsidRDefault="004B5B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4B5B4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72753" w:rsidRDefault="00972753">
      <w:pPr>
        <w:rPr>
          <w:rFonts w:ascii="Times New Roman" w:eastAsia="Times New Roman" w:hAnsi="Times New Roman" w:cs="Times New Roman"/>
          <w:sz w:val="24"/>
          <w:szCs w:val="24"/>
        </w:rPr>
      </w:pPr>
    </w:p>
    <w:sectPr w:rsidR="00972753">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B41" w:rsidRDefault="004B5B41">
      <w:pPr>
        <w:spacing w:line="240" w:lineRule="auto"/>
      </w:pPr>
      <w:r>
        <w:separator/>
      </w:r>
    </w:p>
  </w:endnote>
  <w:endnote w:type="continuationSeparator" w:id="0">
    <w:p w:rsidR="004B5B41" w:rsidRDefault="004B5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B41" w:rsidRDefault="004B5B41">
      <w:pPr>
        <w:spacing w:line="240" w:lineRule="auto"/>
      </w:pPr>
      <w:r>
        <w:separator/>
      </w:r>
    </w:p>
  </w:footnote>
  <w:footnote w:type="continuationSeparator" w:id="0">
    <w:p w:rsidR="004B5B41" w:rsidRDefault="004B5B41">
      <w:pPr>
        <w:spacing w:line="240" w:lineRule="auto"/>
      </w:pPr>
      <w:r>
        <w:continuationSeparator/>
      </w:r>
    </w:p>
  </w:footnote>
  <w:footnote w:id="1">
    <w:p w:rsidR="00972753" w:rsidRDefault="004B5B41">
      <w:pPr>
        <w:spacing w:line="240" w:lineRule="auto"/>
        <w:jc w:val="both"/>
        <w:rPr>
          <w:sz w:val="20"/>
          <w:szCs w:val="20"/>
        </w:rPr>
      </w:pPr>
      <w:r>
        <w:rPr>
          <w:vertAlign w:val="superscript"/>
        </w:rPr>
        <w:footnoteRef/>
      </w:r>
      <w:r>
        <w:rPr>
          <w:sz w:val="20"/>
          <w:szCs w:val="20"/>
        </w:rPr>
        <w:t xml:space="preserve"> </w:t>
      </w:r>
      <w:proofErr w:type="spellStart"/>
      <w:r>
        <w:rPr>
          <w:sz w:val="20"/>
          <w:szCs w:val="20"/>
        </w:rPr>
        <w:t>OutRight</w:t>
      </w:r>
      <w:proofErr w:type="spellEnd"/>
      <w:r>
        <w:rPr>
          <w:sz w:val="20"/>
          <w:szCs w:val="20"/>
        </w:rPr>
        <w:t xml:space="preserve"> International uses the acronym LGBTI</w:t>
      </w:r>
      <w:r w:rsidR="00076724">
        <w:rPr>
          <w:sz w:val="20"/>
          <w:szCs w:val="20"/>
        </w:rPr>
        <w:t>Q</w:t>
      </w:r>
      <w:r>
        <w:rPr>
          <w:sz w:val="20"/>
          <w:szCs w:val="20"/>
        </w:rPr>
        <w:t xml:space="preserve"> to denote the lesbian, gay, bisexual, transgender, queer and intersex community. We believe this acronym is inclusive of a broad range of people across our community. It is not exhaustive, nor is it universally accepted or used.</w:t>
      </w:r>
    </w:p>
  </w:footnote>
  <w:footnote w:id="2">
    <w:p w:rsidR="00972753" w:rsidRDefault="004B5B41">
      <w:pPr>
        <w:spacing w:line="240" w:lineRule="auto"/>
        <w:jc w:val="both"/>
        <w:rPr>
          <w:sz w:val="20"/>
          <w:szCs w:val="20"/>
        </w:rPr>
      </w:pPr>
      <w:r>
        <w:rPr>
          <w:vertAlign w:val="superscript"/>
        </w:rPr>
        <w:footnoteRef/>
      </w:r>
      <w:r>
        <w:rPr>
          <w:sz w:val="20"/>
          <w:szCs w:val="20"/>
        </w:rPr>
        <w:t xml:space="preserve"> United Nations, Committee on the Elimination of Discrimination against Women – CEDAW, General recommendation No. 28 on the core obligations of States parties under article 2 of the Convention on the Elimination of All Forms of Discrimination against Women, CEDAW/C/GC/28, 16 December 2010, para. 5; UN Committee on the Elimination of Discrimination Against Women (CEDAW), General Recommendation No. 35 (2017) on Gender-based Violence Against Women, Updating General Recommendation No. 19, 26 July 2017, CEDAW/C/GC/35, paras 12 and 29; UN Committee on the Elimination of Discrimination Against Women (CEDAW), General Recommendation No. 37 (2018) on the Gender-related Dimensions of Disaster Risk Reduction in the Context of Climate Change, 13 March 2018, CEDAW/C/GC/37, paras 57(e); 68(f).</w:t>
      </w:r>
    </w:p>
  </w:footnote>
  <w:footnote w:id="3">
    <w:p w:rsidR="00972753" w:rsidRDefault="004B5B41">
      <w:pPr>
        <w:spacing w:line="240" w:lineRule="auto"/>
        <w:rPr>
          <w:sz w:val="20"/>
          <w:szCs w:val="20"/>
        </w:rPr>
      </w:pPr>
      <w:r>
        <w:rPr>
          <w:vertAlign w:val="superscript"/>
        </w:rPr>
        <w:footnoteRef/>
      </w:r>
      <w:r>
        <w:rPr>
          <w:sz w:val="20"/>
          <w:szCs w:val="20"/>
        </w:rPr>
        <w:t xml:space="preserve"> </w:t>
      </w:r>
      <w:proofErr w:type="spellStart"/>
      <w:r>
        <w:rPr>
          <w:sz w:val="20"/>
          <w:szCs w:val="20"/>
        </w:rPr>
        <w:t>OutRight</w:t>
      </w:r>
      <w:proofErr w:type="spellEnd"/>
      <w:r>
        <w:rPr>
          <w:sz w:val="20"/>
          <w:szCs w:val="20"/>
        </w:rPr>
        <w:t xml:space="preserve"> Action International, </w:t>
      </w:r>
      <w:hyperlink r:id="rId1">
        <w:r>
          <w:rPr>
            <w:color w:val="1155CC"/>
            <w:sz w:val="20"/>
            <w:szCs w:val="20"/>
            <w:u w:val="single"/>
          </w:rPr>
          <w:t>“Vulnerability Amplified: “The Impact of the COVID-19 Pandemic on LGBTIQ People</w:t>
        </w:r>
      </w:hyperlink>
      <w:r>
        <w:rPr>
          <w:sz w:val="20"/>
          <w:szCs w:val="20"/>
        </w:rPr>
        <w:t>, p.43 , 2020</w:t>
      </w:r>
    </w:p>
  </w:footnote>
  <w:footnote w:id="4">
    <w:p w:rsidR="00972753" w:rsidRDefault="004B5B41">
      <w:pPr>
        <w:spacing w:line="240" w:lineRule="auto"/>
        <w:rPr>
          <w:sz w:val="20"/>
          <w:szCs w:val="20"/>
        </w:rPr>
      </w:pPr>
      <w:r>
        <w:rPr>
          <w:vertAlign w:val="superscript"/>
        </w:rPr>
        <w:footnoteRef/>
      </w:r>
      <w:r>
        <w:rPr>
          <w:sz w:val="20"/>
          <w:szCs w:val="20"/>
        </w:rPr>
        <w:t xml:space="preserve"> The Initiative for Equal Rights &amp; Education as a Vaccine, Gender and COVID-19 in Nigeria: Impacts on LGBTQI+ People </w:t>
      </w:r>
      <w:hyperlink r:id="rId2">
        <w:r>
          <w:rPr>
            <w:color w:val="1155CC"/>
            <w:sz w:val="20"/>
            <w:szCs w:val="20"/>
            <w:u w:val="single"/>
          </w:rPr>
          <w:t>https://theinitiativeforequalrights.org/wp-content/uploads/2021/02/Gender-and-COVID-19-in-Nigeria-PART-2.pdf</w:t>
        </w:r>
      </w:hyperlink>
      <w:r>
        <w:rPr>
          <w:sz w:val="20"/>
          <w:szCs w:val="20"/>
        </w:rPr>
        <w:t xml:space="preserve"> See also Gender and COVID-19 in Nigeria: Violence against Women and Girls </w:t>
      </w:r>
      <w:hyperlink r:id="rId3">
        <w:r>
          <w:rPr>
            <w:color w:val="1155CC"/>
            <w:sz w:val="20"/>
            <w:szCs w:val="20"/>
            <w:u w:val="single"/>
          </w:rPr>
          <w:t>https://theinitiativeforequalrights.org/wp-content/uploads/2021/02/Gender-and-COVID-19-in-Nigeria-1-1.pdf</w:t>
        </w:r>
      </w:hyperlink>
      <w:r>
        <w:rPr>
          <w:sz w:val="20"/>
          <w:szCs w:val="20"/>
        </w:rPr>
        <w:t xml:space="preserve"> </w:t>
      </w:r>
    </w:p>
  </w:footnote>
  <w:footnote w:id="5">
    <w:p w:rsidR="00972753" w:rsidRDefault="004B5B41">
      <w:pPr>
        <w:spacing w:line="240" w:lineRule="auto"/>
        <w:rPr>
          <w:sz w:val="20"/>
          <w:szCs w:val="20"/>
        </w:rPr>
      </w:pPr>
      <w:r>
        <w:rPr>
          <w:vertAlign w:val="superscript"/>
        </w:rPr>
        <w:footnoteRef/>
      </w:r>
      <w:r>
        <w:rPr>
          <w:sz w:val="20"/>
          <w:szCs w:val="20"/>
        </w:rPr>
        <w:t xml:space="preserve"> </w:t>
      </w:r>
      <w:r w:rsidR="00076724" w:rsidRPr="00076724">
        <w:rPr>
          <w:sz w:val="20"/>
          <w:szCs w:val="20"/>
        </w:rPr>
        <w:t xml:space="preserve">Piotr </w:t>
      </w:r>
      <w:proofErr w:type="spellStart"/>
      <w:r w:rsidR="00076724" w:rsidRPr="00076724">
        <w:rPr>
          <w:sz w:val="20"/>
          <w:szCs w:val="20"/>
        </w:rPr>
        <w:t>Godzisz</w:t>
      </w:r>
      <w:proofErr w:type="spellEnd"/>
      <w:r w:rsidR="00076724" w:rsidRPr="00076724">
        <w:rPr>
          <w:sz w:val="20"/>
          <w:szCs w:val="20"/>
        </w:rPr>
        <w:t xml:space="preserve"> and Giacomo </w:t>
      </w:r>
      <w:proofErr w:type="spellStart"/>
      <w:r w:rsidR="00076724" w:rsidRPr="00076724">
        <w:rPr>
          <w:sz w:val="20"/>
          <w:szCs w:val="20"/>
        </w:rPr>
        <w:t>Viggiani</w:t>
      </w:r>
      <w:proofErr w:type="spellEnd"/>
      <w:r w:rsidR="00076724">
        <w:rPr>
          <w:sz w:val="20"/>
          <w:szCs w:val="20"/>
        </w:rPr>
        <w:t>,</w:t>
      </w:r>
      <w:r>
        <w:rPr>
          <w:sz w:val="20"/>
          <w:szCs w:val="20"/>
        </w:rPr>
        <w:t xml:space="preserve"> </w:t>
      </w:r>
      <w:r w:rsidR="00076724">
        <w:rPr>
          <w:sz w:val="20"/>
          <w:szCs w:val="20"/>
        </w:rPr>
        <w:t>“</w:t>
      </w:r>
      <w:r w:rsidR="00076724" w:rsidRPr="00076724">
        <w:rPr>
          <w:sz w:val="20"/>
          <w:szCs w:val="20"/>
        </w:rPr>
        <w:t>Running through Hurdles: Obstacles in the Access to Justice for Victims of Anti-LGBTI Hate Crimes</w:t>
      </w:r>
      <w:r w:rsidR="00076724">
        <w:rPr>
          <w:sz w:val="20"/>
          <w:szCs w:val="20"/>
        </w:rPr>
        <w:t xml:space="preserve">” </w:t>
      </w:r>
      <w:r>
        <w:rPr>
          <w:sz w:val="20"/>
          <w:szCs w:val="20"/>
        </w:rPr>
        <w:t xml:space="preserve">P. 315 </w:t>
      </w:r>
      <w:r w:rsidR="00076724">
        <w:rPr>
          <w:sz w:val="20"/>
          <w:szCs w:val="20"/>
        </w:rPr>
        <w:t xml:space="preserve">see more: </w:t>
      </w:r>
      <w:r>
        <w:rPr>
          <w:sz w:val="20"/>
          <w:szCs w:val="20"/>
        </w:rPr>
        <w:t>https://lgbthatecrime.eu/researchbook/2018%20Running%20through%20hurdles.pdf</w:t>
      </w:r>
    </w:p>
  </w:footnote>
  <w:footnote w:id="6">
    <w:p w:rsidR="00972753" w:rsidRDefault="004B5B41">
      <w:pPr>
        <w:spacing w:line="240" w:lineRule="auto"/>
        <w:rPr>
          <w:sz w:val="20"/>
          <w:szCs w:val="20"/>
        </w:rPr>
      </w:pPr>
      <w:r>
        <w:rPr>
          <w:vertAlign w:val="superscript"/>
        </w:rPr>
        <w:footnoteRef/>
      </w:r>
      <w:r>
        <w:rPr>
          <w:sz w:val="20"/>
          <w:szCs w:val="20"/>
        </w:rPr>
        <w:t xml:space="preserve"> IACHR,</w:t>
      </w:r>
      <w:r w:rsidR="00076724">
        <w:rPr>
          <w:sz w:val="20"/>
          <w:szCs w:val="20"/>
        </w:rPr>
        <w:t xml:space="preserve"> “</w:t>
      </w:r>
      <w:r>
        <w:rPr>
          <w:sz w:val="20"/>
          <w:szCs w:val="20"/>
        </w:rPr>
        <w:t>Advances and Challenges towards the Recognition of the Rights of LGBTI Persons in the Americas</w:t>
      </w:r>
      <w:r w:rsidR="00076724">
        <w:rPr>
          <w:sz w:val="20"/>
          <w:szCs w:val="20"/>
        </w:rPr>
        <w:t>”</w:t>
      </w:r>
      <w:r>
        <w:rPr>
          <w:sz w:val="20"/>
          <w:szCs w:val="20"/>
        </w:rPr>
        <w:t>, 2018 p. 96</w:t>
      </w:r>
    </w:p>
  </w:footnote>
  <w:footnote w:id="7">
    <w:p w:rsidR="00972753" w:rsidRDefault="004B5B41">
      <w:pPr>
        <w:spacing w:line="240" w:lineRule="auto"/>
        <w:rPr>
          <w:sz w:val="20"/>
          <w:szCs w:val="20"/>
        </w:rPr>
      </w:pPr>
      <w:r>
        <w:rPr>
          <w:vertAlign w:val="superscript"/>
        </w:rPr>
        <w:footnoteRef/>
      </w:r>
      <w:r>
        <w:rPr>
          <w:sz w:val="20"/>
          <w:szCs w:val="20"/>
        </w:rPr>
        <w:t xml:space="preserve"> European Court of Human Rights, </w:t>
      </w:r>
      <w:proofErr w:type="spellStart"/>
      <w:r>
        <w:rPr>
          <w:sz w:val="20"/>
          <w:szCs w:val="20"/>
        </w:rPr>
        <w:t>Identoba</w:t>
      </w:r>
      <w:proofErr w:type="spellEnd"/>
      <w:r>
        <w:rPr>
          <w:sz w:val="20"/>
          <w:szCs w:val="20"/>
        </w:rPr>
        <w:t xml:space="preserve"> and others v. Georgia, (Application no. 73235/12), May 12, 2015, para. 67.</w:t>
      </w:r>
    </w:p>
  </w:footnote>
  <w:footnote w:id="8">
    <w:p w:rsidR="00972753" w:rsidRDefault="004B5B41">
      <w:pPr>
        <w:spacing w:line="240" w:lineRule="auto"/>
        <w:rPr>
          <w:sz w:val="20"/>
          <w:szCs w:val="20"/>
        </w:rPr>
      </w:pPr>
      <w:r>
        <w:rPr>
          <w:vertAlign w:val="superscript"/>
        </w:rPr>
        <w:footnoteRef/>
      </w:r>
      <w:r>
        <w:rPr>
          <w:sz w:val="20"/>
          <w:szCs w:val="20"/>
        </w:rPr>
        <w:t xml:space="preserve"> </w:t>
      </w:r>
      <w:proofErr w:type="spellStart"/>
      <w:r>
        <w:rPr>
          <w:rFonts w:ascii="Calibri" w:eastAsia="Calibri" w:hAnsi="Calibri" w:cs="Calibri"/>
          <w:sz w:val="18"/>
          <w:szCs w:val="18"/>
        </w:rPr>
        <w:t>OutRight</w:t>
      </w:r>
      <w:proofErr w:type="spellEnd"/>
      <w:r>
        <w:rPr>
          <w:rFonts w:ascii="Calibri" w:eastAsia="Calibri" w:hAnsi="Calibri" w:cs="Calibri"/>
          <w:sz w:val="18"/>
          <w:szCs w:val="18"/>
        </w:rPr>
        <w:t xml:space="preserve"> Action International. Harmful Treatment: The Global report on so called conversion therapy. </w:t>
      </w:r>
      <w:hyperlink r:id="rId4">
        <w:r>
          <w:rPr>
            <w:rFonts w:ascii="Calibri" w:eastAsia="Calibri" w:hAnsi="Calibri" w:cs="Calibri"/>
            <w:color w:val="1155CC"/>
            <w:sz w:val="18"/>
            <w:szCs w:val="18"/>
            <w:u w:val="single"/>
          </w:rPr>
          <w:t>https://outrightinternational.org/reports/global-reach-so-called-conversion-therapy</w:t>
        </w:r>
      </w:hyperlink>
      <w:r>
        <w:rPr>
          <w:rFonts w:ascii="Calibri" w:eastAsia="Calibri" w:hAnsi="Calibri" w:cs="Calibri"/>
          <w:sz w:val="18"/>
          <w:szCs w:val="18"/>
        </w:rPr>
        <w:t xml:space="preserve"> </w:t>
      </w:r>
    </w:p>
  </w:footnote>
  <w:footnote w:id="9">
    <w:p w:rsidR="00972753" w:rsidRDefault="004B5B41">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UN Human Rights Council, Report of the </w:t>
      </w:r>
      <w:r>
        <w:rPr>
          <w:rFonts w:ascii="Calibri" w:eastAsia="Calibri" w:hAnsi="Calibri" w:cs="Calibri"/>
          <w:sz w:val="18"/>
          <w:szCs w:val="18"/>
          <w:highlight w:val="white"/>
        </w:rPr>
        <w:t>Independent Expert on protection against violence and discrimination based on sexual orientation and gender identity on Conversion Therapy, May 2020</w:t>
      </w:r>
      <w:hyperlink r:id="rId5">
        <w:r>
          <w:rPr>
            <w:rFonts w:ascii="Calibri" w:eastAsia="Calibri" w:hAnsi="Calibri" w:cs="Calibri"/>
            <w:sz w:val="18"/>
            <w:szCs w:val="18"/>
            <w:highlight w:val="white"/>
          </w:rPr>
          <w:t xml:space="preserve"> </w:t>
        </w:r>
      </w:hyperlink>
      <w:hyperlink r:id="rId6">
        <w:r>
          <w:rPr>
            <w:rFonts w:ascii="Calibri" w:eastAsia="Calibri" w:hAnsi="Calibri" w:cs="Calibri"/>
            <w:color w:val="0000FF"/>
            <w:sz w:val="18"/>
            <w:szCs w:val="18"/>
            <w:highlight w:val="white"/>
            <w:u w:val="single"/>
          </w:rPr>
          <w:t>https://www.ohchr.org/EN/Issues/SexualOrientationGender/Pages/ReportOnConversiontherapy.aspx</w:t>
        </w:r>
      </w:hyperlink>
    </w:p>
  </w:footnote>
  <w:footnote w:id="10">
    <w:p w:rsidR="00972753" w:rsidRDefault="004B5B41">
      <w:pPr>
        <w:spacing w:line="240" w:lineRule="auto"/>
        <w:rPr>
          <w:sz w:val="20"/>
          <w:szCs w:val="20"/>
        </w:rPr>
      </w:pPr>
      <w:r>
        <w:rPr>
          <w:vertAlign w:val="superscript"/>
        </w:rPr>
        <w:footnoteRef/>
      </w:r>
      <w:r>
        <w:rPr>
          <w:sz w:val="20"/>
          <w:szCs w:val="20"/>
        </w:rPr>
        <w:t xml:space="preserve"> </w:t>
      </w:r>
      <w:proofErr w:type="spellStart"/>
      <w:r>
        <w:rPr>
          <w:rFonts w:ascii="Calibri" w:eastAsia="Calibri" w:hAnsi="Calibri" w:cs="Calibri"/>
          <w:sz w:val="18"/>
          <w:szCs w:val="18"/>
        </w:rPr>
        <w:t>OutRight</w:t>
      </w:r>
      <w:proofErr w:type="spellEnd"/>
      <w:r>
        <w:rPr>
          <w:rFonts w:ascii="Calibri" w:eastAsia="Calibri" w:hAnsi="Calibri" w:cs="Calibri"/>
          <w:sz w:val="18"/>
          <w:szCs w:val="18"/>
        </w:rPr>
        <w:t xml:space="preserve"> Action International. Harmful Treatment: The Global report on so called conversion therapy. </w:t>
      </w:r>
      <w:hyperlink r:id="rId7">
        <w:r>
          <w:rPr>
            <w:rFonts w:ascii="Calibri" w:eastAsia="Calibri" w:hAnsi="Calibri" w:cs="Calibri"/>
            <w:color w:val="1155CC"/>
            <w:sz w:val="18"/>
            <w:szCs w:val="18"/>
            <w:u w:val="single"/>
          </w:rPr>
          <w:t>https://outrightinternational.org/reports/global-reach-so-called-conversion-therapy</w:t>
        </w:r>
      </w:hyperlink>
      <w:r>
        <w:rPr>
          <w:rFonts w:ascii="Calibri" w:eastAsia="Calibri" w:hAnsi="Calibri" w:cs="Calibri"/>
          <w:sz w:val="18"/>
          <w:szCs w:val="18"/>
        </w:rPr>
        <w:t xml:space="preserve"> </w:t>
      </w:r>
    </w:p>
  </w:footnote>
  <w:footnote w:id="11">
    <w:p w:rsidR="00972753" w:rsidRPr="00882A79" w:rsidRDefault="004B5B41">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UN Human Rights Council, </w:t>
      </w:r>
      <w:r>
        <w:rPr>
          <w:rFonts w:ascii="Calibri" w:eastAsia="Calibri" w:hAnsi="Calibri" w:cs="Calibri"/>
          <w:i/>
          <w:sz w:val="18"/>
          <w:szCs w:val="18"/>
        </w:rPr>
        <w:t xml:space="preserve">Report of the </w:t>
      </w:r>
      <w:r w:rsidRPr="00882A79">
        <w:rPr>
          <w:rFonts w:ascii="Calibri" w:eastAsia="Calibri" w:hAnsi="Calibri" w:cs="Calibri"/>
          <w:sz w:val="18"/>
          <w:szCs w:val="18"/>
        </w:rPr>
        <w:t>Special Rapporteur on torture and other cruel, inhuman or degrading treatment or punishment</w:t>
      </w:r>
      <w:r>
        <w:rPr>
          <w:rFonts w:ascii="Calibri" w:eastAsia="Calibri" w:hAnsi="Calibri" w:cs="Calibri"/>
          <w:sz w:val="18"/>
          <w:szCs w:val="18"/>
        </w:rPr>
        <w:t xml:space="preserve">, 5 January 2016, A/HRC/31/57, available at: https://www.refworld.org/docid/56c435714.html </w:t>
      </w:r>
    </w:p>
  </w:footnote>
  <w:footnote w:id="12">
    <w:p w:rsidR="00972753" w:rsidRPr="00882A79" w:rsidRDefault="004B5B41">
      <w:pPr>
        <w:spacing w:line="240" w:lineRule="auto"/>
        <w:rPr>
          <w:rFonts w:ascii="Calibri" w:eastAsia="Calibri" w:hAnsi="Calibri" w:cs="Calibri"/>
          <w:sz w:val="18"/>
          <w:szCs w:val="18"/>
        </w:rPr>
      </w:pPr>
      <w:r w:rsidRPr="00882A79">
        <w:rPr>
          <w:rFonts w:ascii="Calibri" w:eastAsia="Calibri" w:hAnsi="Calibri" w:cs="Calibri"/>
          <w:sz w:val="18"/>
          <w:szCs w:val="18"/>
        </w:rPr>
        <w:footnoteRef/>
      </w:r>
      <w:r w:rsidRPr="00882A79">
        <w:rPr>
          <w:rFonts w:ascii="Calibri" w:eastAsia="Calibri" w:hAnsi="Calibri" w:cs="Calibri"/>
          <w:sz w:val="18"/>
          <w:szCs w:val="18"/>
        </w:rPr>
        <w:t xml:space="preserve"> American Psychological Association (APA), Task Force on Appropriate Therapeutic Responses to Sexual Orientation. (2009). Report of the American Psychological Association Task Force on Appropriate Therapeutic Responses to Sexual Orientation. Re- </w:t>
      </w:r>
      <w:proofErr w:type="spellStart"/>
      <w:r w:rsidRPr="00882A79">
        <w:rPr>
          <w:rFonts w:ascii="Calibri" w:eastAsia="Calibri" w:hAnsi="Calibri" w:cs="Calibri"/>
          <w:sz w:val="18"/>
          <w:szCs w:val="18"/>
        </w:rPr>
        <w:t>trieved</w:t>
      </w:r>
      <w:proofErr w:type="spellEnd"/>
      <w:r w:rsidRPr="00882A79">
        <w:rPr>
          <w:rFonts w:ascii="Calibri" w:eastAsia="Calibri" w:hAnsi="Calibri" w:cs="Calibri"/>
          <w:sz w:val="18"/>
          <w:szCs w:val="18"/>
        </w:rPr>
        <w:t xml:space="preserve"> from https://www.apa.org/pi/lgbt/resources/therapeutic-response.pdf</w:t>
      </w:r>
    </w:p>
  </w:footnote>
  <w:footnote w:id="13">
    <w:p w:rsidR="00972753" w:rsidRDefault="004B5B41">
      <w:pPr>
        <w:spacing w:line="240" w:lineRule="auto"/>
        <w:rPr>
          <w:sz w:val="20"/>
          <w:szCs w:val="20"/>
        </w:rPr>
      </w:pPr>
      <w:r w:rsidRPr="00882A79">
        <w:rPr>
          <w:rFonts w:ascii="Calibri" w:eastAsia="Calibri" w:hAnsi="Calibri" w:cs="Calibri"/>
          <w:sz w:val="18"/>
          <w:szCs w:val="18"/>
        </w:rPr>
        <w:footnoteRef/>
      </w:r>
      <w:r w:rsidRPr="00882A79">
        <w:rPr>
          <w:rFonts w:ascii="Calibri" w:eastAsia="Calibri" w:hAnsi="Calibri" w:cs="Calibri"/>
          <w:sz w:val="18"/>
          <w:szCs w:val="18"/>
        </w:rPr>
        <w:t xml:space="preserve"> </w:t>
      </w:r>
      <w:r>
        <w:rPr>
          <w:rFonts w:ascii="Calibri" w:eastAsia="Calibri" w:hAnsi="Calibri" w:cs="Calibri"/>
          <w:sz w:val="18"/>
          <w:szCs w:val="18"/>
        </w:rPr>
        <w:t xml:space="preserve">UN Human Rights Council, Report of the </w:t>
      </w:r>
      <w:r w:rsidRPr="00882A79">
        <w:rPr>
          <w:rFonts w:ascii="Calibri" w:eastAsia="Calibri" w:hAnsi="Calibri" w:cs="Calibri"/>
          <w:sz w:val="18"/>
          <w:szCs w:val="18"/>
        </w:rPr>
        <w:t>Independent Expert on protection</w:t>
      </w:r>
      <w:r>
        <w:rPr>
          <w:rFonts w:ascii="Calibri" w:eastAsia="Calibri" w:hAnsi="Calibri" w:cs="Calibri"/>
          <w:sz w:val="18"/>
          <w:szCs w:val="18"/>
          <w:highlight w:val="white"/>
        </w:rPr>
        <w:t xml:space="preserve"> against violence and discrimination based on sexual orientation and gender identity on Conversion Therapy, May 2020</w:t>
      </w:r>
      <w:hyperlink r:id="rId8">
        <w:r>
          <w:rPr>
            <w:rFonts w:ascii="Calibri" w:eastAsia="Calibri" w:hAnsi="Calibri" w:cs="Calibri"/>
            <w:sz w:val="18"/>
            <w:szCs w:val="18"/>
            <w:highlight w:val="white"/>
          </w:rPr>
          <w:t xml:space="preserve"> </w:t>
        </w:r>
      </w:hyperlink>
      <w:hyperlink r:id="rId9">
        <w:r>
          <w:rPr>
            <w:rFonts w:ascii="Calibri" w:eastAsia="Calibri" w:hAnsi="Calibri" w:cs="Calibri"/>
            <w:color w:val="0000FF"/>
            <w:sz w:val="18"/>
            <w:szCs w:val="18"/>
            <w:highlight w:val="white"/>
            <w:u w:val="single"/>
          </w:rPr>
          <w:t>https://www.ohchr.org/EN/Issues/SexualOrientationGender/Pages/ReportOnConversiontherapy.aspx</w:t>
        </w:r>
      </w:hyperlink>
    </w:p>
  </w:footnote>
  <w:footnote w:id="14">
    <w:p w:rsidR="00972753" w:rsidRPr="00882A79" w:rsidRDefault="004B5B41">
      <w:pPr>
        <w:pStyle w:val="Heading1"/>
        <w:keepNext w:val="0"/>
        <w:keepLines w:val="0"/>
        <w:spacing w:before="160" w:after="300" w:line="240" w:lineRule="auto"/>
        <w:contextualSpacing/>
        <w:rPr>
          <w:rFonts w:ascii="Calibri" w:eastAsia="Calibri" w:hAnsi="Calibri" w:cs="Calibri"/>
          <w:sz w:val="18"/>
          <w:szCs w:val="18"/>
          <w:highlight w:val="white"/>
        </w:rPr>
      </w:pPr>
      <w:bookmarkStart w:id="5" w:name="_8x5t05qdfh3a" w:colFirst="0" w:colLast="0"/>
      <w:bookmarkEnd w:id="5"/>
      <w:r w:rsidRPr="00882A79">
        <w:rPr>
          <w:rFonts w:ascii="Calibri" w:eastAsia="Calibri" w:hAnsi="Calibri" w:cs="Calibri"/>
          <w:sz w:val="18"/>
          <w:szCs w:val="18"/>
          <w:highlight w:val="white"/>
        </w:rPr>
        <w:footnoteRef/>
      </w:r>
      <w:r w:rsidRPr="00882A79">
        <w:rPr>
          <w:rFonts w:ascii="Calibri" w:eastAsia="Calibri" w:hAnsi="Calibri" w:cs="Calibri"/>
          <w:sz w:val="18"/>
          <w:szCs w:val="18"/>
          <w:highlight w:val="white"/>
        </w:rPr>
        <w:t xml:space="preserve"> The Guardian ‘Kano Government sponsors surgery of 7 patients with intersex problem’ https://guardian.ng/news/kano-government-sponsors-surgery-of-7-patients-with-intersex-problem/</w:t>
      </w:r>
    </w:p>
  </w:footnote>
  <w:footnote w:id="15">
    <w:p w:rsidR="00972753" w:rsidRDefault="004B5B41">
      <w:pPr>
        <w:spacing w:line="240" w:lineRule="auto"/>
        <w:contextualSpacing/>
        <w:rPr>
          <w:sz w:val="20"/>
          <w:szCs w:val="20"/>
        </w:rPr>
      </w:pPr>
      <w:r w:rsidRPr="00882A79">
        <w:rPr>
          <w:rFonts w:ascii="Calibri" w:eastAsia="Calibri" w:hAnsi="Calibri" w:cs="Calibri"/>
          <w:sz w:val="18"/>
          <w:szCs w:val="18"/>
          <w:highlight w:val="white"/>
        </w:rPr>
        <w:footnoteRef/>
      </w:r>
      <w:r w:rsidRPr="00882A79">
        <w:rPr>
          <w:rFonts w:ascii="Calibri" w:eastAsia="Calibri" w:hAnsi="Calibri" w:cs="Calibri"/>
          <w:sz w:val="18"/>
          <w:szCs w:val="18"/>
          <w:highlight w:val="white"/>
        </w:rPr>
        <w:t xml:space="preserve"> The Initiative for Equal Rights ‘2021 Human Rights Violations Report Based on SOGIESC’ https://theinitiativeforequalrights.org/wp-content/uploads/2022/01/2021-Human-Rights-Violations-Report.pdf</w:t>
      </w:r>
    </w:p>
  </w:footnote>
  <w:footnote w:id="16">
    <w:p w:rsidR="00972753" w:rsidRDefault="004B5B41">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World Health </w:t>
      </w:r>
      <w:proofErr w:type="spellStart"/>
      <w:r>
        <w:rPr>
          <w:rFonts w:ascii="Calibri" w:eastAsia="Calibri" w:hAnsi="Calibri" w:cs="Calibri"/>
          <w:sz w:val="18"/>
          <w:szCs w:val="18"/>
        </w:rPr>
        <w:t>Organisation</w:t>
      </w:r>
      <w:proofErr w:type="spellEnd"/>
      <w:r>
        <w:rPr>
          <w:rFonts w:ascii="Calibri" w:eastAsia="Calibri" w:hAnsi="Calibri" w:cs="Calibri"/>
          <w:sz w:val="18"/>
          <w:szCs w:val="18"/>
        </w:rPr>
        <w:t xml:space="preserve">. Proposed declassification of disease categories related to sexual orientation in the </w:t>
      </w:r>
      <w:r>
        <w:rPr>
          <w:rFonts w:ascii="Calibri" w:eastAsia="Calibri" w:hAnsi="Calibri" w:cs="Calibri"/>
          <w:i/>
          <w:sz w:val="18"/>
          <w:szCs w:val="18"/>
        </w:rPr>
        <w:t>International Statistical Classification of Diseases and Related Health Problems</w:t>
      </w:r>
      <w:r>
        <w:rPr>
          <w:rFonts w:ascii="Calibri" w:eastAsia="Calibri" w:hAnsi="Calibri" w:cs="Calibri"/>
          <w:sz w:val="18"/>
          <w:szCs w:val="18"/>
        </w:rPr>
        <w:t xml:space="preserve"> (ICD-11).</w:t>
      </w:r>
      <w:hyperlink r:id="rId10">
        <w:r>
          <w:rPr>
            <w:rFonts w:ascii="Calibri" w:eastAsia="Calibri" w:hAnsi="Calibri" w:cs="Calibri"/>
            <w:sz w:val="18"/>
            <w:szCs w:val="18"/>
          </w:rPr>
          <w:t xml:space="preserve"> </w:t>
        </w:r>
      </w:hyperlink>
      <w:hyperlink r:id="rId11">
        <w:r>
          <w:rPr>
            <w:rFonts w:ascii="Calibri" w:eastAsia="Calibri" w:hAnsi="Calibri" w:cs="Calibri"/>
            <w:color w:val="0000FF"/>
            <w:sz w:val="18"/>
            <w:szCs w:val="18"/>
            <w:u w:val="single"/>
          </w:rPr>
          <w:t>https://www.who.int/bulletin/volumes/92/9/14-135541/en/</w:t>
        </w:r>
      </w:hyperlink>
    </w:p>
  </w:footnote>
  <w:footnote w:id="17">
    <w:p w:rsidR="00972753" w:rsidRDefault="004B5B41">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American Psychological Association. APA Policy Statements and Resolutions; the Committee About APA Policy Statements and Resolutions; the Committee on Lesbian, Gay, Bisexual, and Transgender Concerns; and the on Lesbian, Gay, Bisexual, and Transgender Concerns; and the Lesbian, Gay, Bisexual, and Transgender Concerns Office (2011)</w:t>
      </w:r>
    </w:p>
  </w:footnote>
  <w:footnote w:id="18">
    <w:p w:rsidR="00972753" w:rsidRDefault="004B5B41">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United Nations. Free &amp; Equal Fact Sheet. Available at: </w:t>
      </w:r>
      <w:hyperlink r:id="rId12">
        <w:r>
          <w:rPr>
            <w:rFonts w:ascii="Times New Roman" w:eastAsia="Times New Roman" w:hAnsi="Times New Roman" w:cs="Times New Roman"/>
            <w:color w:val="1155CC"/>
            <w:sz w:val="20"/>
            <w:szCs w:val="20"/>
            <w:u w:val="single"/>
          </w:rPr>
          <w:t>https://www.unfe.org/system/unfe-43-UN_Fact_Sheets_-_FINAL_-_Criminalization_(1).pdf</w:t>
        </w:r>
      </w:hyperlink>
      <w:r>
        <w:rPr>
          <w:rFonts w:ascii="Times New Roman" w:eastAsia="Times New Roman" w:hAnsi="Times New Roman" w:cs="Times New Roman"/>
          <w:sz w:val="20"/>
          <w:szCs w:val="20"/>
        </w:rPr>
        <w:t xml:space="preserve"> </w:t>
      </w:r>
    </w:p>
  </w:footnote>
  <w:footnote w:id="19">
    <w:p w:rsidR="00972753" w:rsidRDefault="004B5B41">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Washington Post. “Uganda arrested 16 LGBTQ activists. Here’s where else gay rights are a battleground in the world”. Available at: </w:t>
      </w:r>
      <w:hyperlink r:id="rId13">
        <w:r>
          <w:rPr>
            <w:rFonts w:ascii="Times New Roman" w:eastAsia="Times New Roman" w:hAnsi="Times New Roman" w:cs="Times New Roman"/>
            <w:color w:val="1155CC"/>
            <w:sz w:val="20"/>
            <w:szCs w:val="20"/>
            <w:u w:val="single"/>
          </w:rPr>
          <w:t>https://www.washingtonpost.com/world/2019/10/26/uganda-arrested-lgbtq-activists-heres-where-else-gay-rights-are-battleground-world/</w:t>
        </w:r>
      </w:hyperlink>
      <w:r>
        <w:rPr>
          <w:rFonts w:ascii="Times New Roman" w:eastAsia="Times New Roman" w:hAnsi="Times New Roman" w:cs="Times New Roman"/>
          <w:sz w:val="20"/>
          <w:szCs w:val="20"/>
        </w:rPr>
        <w:t xml:space="preserve">; Young Park, Onen Cylus. </w:t>
      </w:r>
      <w:r>
        <w:rPr>
          <w:rFonts w:ascii="Times New Roman" w:eastAsia="Times New Roman" w:hAnsi="Times New Roman" w:cs="Times New Roman"/>
          <w:color w:val="001E3C"/>
          <w:sz w:val="20"/>
          <w:szCs w:val="20"/>
        </w:rPr>
        <w:t xml:space="preserve">Stigmatization and Criminalization of LGBT Persons in Uganda during the COVID-19 pandemic. Available at: </w:t>
      </w:r>
      <w:hyperlink r:id="rId14">
        <w:r>
          <w:rPr>
            <w:rFonts w:ascii="Times New Roman" w:eastAsia="Times New Roman" w:hAnsi="Times New Roman" w:cs="Times New Roman"/>
            <w:color w:val="1155CC"/>
            <w:sz w:val="20"/>
            <w:szCs w:val="20"/>
            <w:u w:val="single"/>
          </w:rPr>
          <w:t>http://opiniojuris.org/2021/06/30/stigmatization-and-criminalization-of-lgbt-persons-in-uganda-during-the-covid-19-pandemic/</w:t>
        </w:r>
      </w:hyperlink>
      <w:r>
        <w:rPr>
          <w:rFonts w:ascii="Times New Roman" w:eastAsia="Times New Roman" w:hAnsi="Times New Roman" w:cs="Times New Roman"/>
          <w:sz w:val="20"/>
          <w:szCs w:val="20"/>
        </w:rPr>
        <w:t xml:space="preserve"> </w:t>
      </w:r>
    </w:p>
  </w:footnote>
  <w:footnote w:id="20">
    <w:p w:rsidR="00972753" w:rsidRPr="00A14D57" w:rsidRDefault="004B5B41">
      <w:pPr>
        <w:spacing w:line="240" w:lineRule="auto"/>
        <w:rPr>
          <w:rFonts w:ascii="Times New Roman" w:hAnsi="Times New Roman" w:cs="Times New Roman"/>
          <w:sz w:val="20"/>
          <w:szCs w:val="20"/>
        </w:rPr>
      </w:pPr>
      <w:r w:rsidRPr="00A14D57">
        <w:rPr>
          <w:rFonts w:ascii="Times New Roman" w:eastAsia="Times New Roman" w:hAnsi="Times New Roman" w:cs="Times New Roman"/>
          <w:sz w:val="20"/>
          <w:szCs w:val="20"/>
          <w:vertAlign w:val="superscript"/>
        </w:rPr>
        <w:footnoteRef/>
      </w:r>
      <w:r w:rsidRPr="00A14D57">
        <w:rPr>
          <w:rFonts w:ascii="Times New Roman" w:eastAsia="Times New Roman" w:hAnsi="Times New Roman" w:cs="Times New Roman"/>
          <w:sz w:val="20"/>
          <w:szCs w:val="20"/>
        </w:rPr>
        <w:t xml:space="preserve"> The Initiative for Equal Rights ‘Equal in Dignity’ </w:t>
      </w:r>
      <w:hyperlink r:id="rId15">
        <w:r w:rsidRPr="00A14D57">
          <w:rPr>
            <w:rFonts w:ascii="Times New Roman" w:eastAsia="Times New Roman" w:hAnsi="Times New Roman" w:cs="Times New Roman"/>
            <w:sz w:val="20"/>
            <w:szCs w:val="20"/>
          </w:rPr>
          <w:t>https://youtu.be/eqPE6-a0hj4</w:t>
        </w:r>
      </w:hyperlink>
      <w:r w:rsidRPr="00A14D57">
        <w:rPr>
          <w:rFonts w:ascii="Times New Roman" w:hAnsi="Times New Roman" w:cs="Times New Roman"/>
          <w:sz w:val="20"/>
          <w:szCs w:val="20"/>
        </w:rPr>
        <w:t xml:space="preserve"> </w:t>
      </w:r>
    </w:p>
  </w:footnote>
  <w:footnote w:id="21">
    <w:p w:rsidR="00972753" w:rsidRPr="00A14D57" w:rsidRDefault="004B5B41">
      <w:pPr>
        <w:spacing w:line="240" w:lineRule="auto"/>
        <w:rPr>
          <w:rFonts w:ascii="Times New Roman" w:eastAsia="Garamond" w:hAnsi="Times New Roman" w:cs="Times New Roman"/>
          <w:sz w:val="20"/>
          <w:szCs w:val="20"/>
        </w:rPr>
      </w:pPr>
      <w:r w:rsidRPr="00A14D57">
        <w:rPr>
          <w:rFonts w:ascii="Times New Roman" w:hAnsi="Times New Roman" w:cs="Times New Roman"/>
          <w:vertAlign w:val="superscript"/>
        </w:rPr>
        <w:footnoteRef/>
      </w:r>
      <w:r w:rsidRPr="00A14D57">
        <w:rPr>
          <w:rFonts w:ascii="Times New Roman" w:eastAsia="Garamond" w:hAnsi="Times New Roman" w:cs="Times New Roman"/>
          <w:sz w:val="20"/>
          <w:szCs w:val="20"/>
        </w:rPr>
        <w:t xml:space="preserve"> Transgender Europe, </w:t>
      </w:r>
      <w:r w:rsidRPr="00A14D57">
        <w:rPr>
          <w:rFonts w:ascii="Times New Roman" w:eastAsia="Garamond" w:hAnsi="Times New Roman" w:cs="Times New Roman"/>
          <w:i/>
          <w:sz w:val="20"/>
          <w:szCs w:val="20"/>
        </w:rPr>
        <w:t>The vicious circle of violence: Trans and gender-diverse people, migration, and sex work</w:t>
      </w:r>
      <w:r w:rsidRPr="00A14D57">
        <w:rPr>
          <w:rFonts w:ascii="Times New Roman" w:eastAsia="Garamond" w:hAnsi="Times New Roman" w:cs="Times New Roman"/>
          <w:sz w:val="20"/>
          <w:szCs w:val="20"/>
        </w:rPr>
        <w:t>, October 2017.</w:t>
      </w:r>
    </w:p>
  </w:footnote>
  <w:footnote w:id="22">
    <w:p w:rsidR="00972753" w:rsidRDefault="004B5B41">
      <w:pPr>
        <w:spacing w:line="240" w:lineRule="auto"/>
        <w:rPr>
          <w:rFonts w:ascii="Garamond" w:eastAsia="Garamond" w:hAnsi="Garamond" w:cs="Garamond"/>
          <w:sz w:val="20"/>
          <w:szCs w:val="20"/>
        </w:rPr>
      </w:pPr>
      <w:r w:rsidRPr="00A14D57">
        <w:rPr>
          <w:rFonts w:ascii="Times New Roman" w:hAnsi="Times New Roman" w:cs="Times New Roman"/>
          <w:vertAlign w:val="superscript"/>
        </w:rPr>
        <w:footnoteRef/>
      </w:r>
      <w:r w:rsidRPr="004D6CDA">
        <w:rPr>
          <w:rFonts w:ascii="Times New Roman" w:eastAsia="Garamond" w:hAnsi="Times New Roman" w:cs="Times New Roman"/>
          <w:sz w:val="20"/>
          <w:szCs w:val="20"/>
          <w:lang w:val="es-AR"/>
        </w:rPr>
        <w:t xml:space="preserve"> IE SOGI, Report A/75/258, para. </w:t>
      </w:r>
      <w:r w:rsidRPr="00A14D57">
        <w:rPr>
          <w:rFonts w:ascii="Times New Roman" w:eastAsia="Garamond" w:hAnsi="Times New Roman" w:cs="Times New Roman"/>
          <w:sz w:val="20"/>
          <w:szCs w:val="20"/>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753" w:rsidRDefault="009727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53"/>
    <w:rsid w:val="00076724"/>
    <w:rsid w:val="004B5B41"/>
    <w:rsid w:val="004D6CDA"/>
    <w:rsid w:val="00882A79"/>
    <w:rsid w:val="00972753"/>
    <w:rsid w:val="00A14D57"/>
    <w:rsid w:val="00C7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66E0A1-34EC-7540-8614-E9EC714E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ED7E7"/>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672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67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docs.org/A/HRC/47/28" TargetMode="External"/><Relationship Id="rId13" Type="http://schemas.openxmlformats.org/officeDocument/2006/relationships/hyperlink" Target="https://tbinternet.ohchr.org/_layouts/15/treatybodyexternal/Download.aspx?symbolno=CRC%2fC%2fGC%2f13&amp;Lang=en" TargetMode="External"/><Relationship Id="rId18" Type="http://schemas.openxmlformats.org/officeDocument/2006/relationships/hyperlink" Target="https://www.ohchr.org/Documents/Issues/Discrimination/LGBT/BackgroundNoteHumanRightsViolationsagainstIntersexPeople.pdf" TargetMode="External"/><Relationship Id="rId26" Type="http://schemas.openxmlformats.org/officeDocument/2006/relationships/customXml" Target="../customXml/item2.xml"/><Relationship Id="rId3" Type="http://schemas.openxmlformats.org/officeDocument/2006/relationships/webSettings" Target="webSettings.xml"/><Relationship Id="rId21" Type="http://schemas.openxmlformats.org/officeDocument/2006/relationships/hyperlink" Target="https://undocs.org/en/S/2019/280" TargetMode="External"/><Relationship Id="rId7" Type="http://schemas.openxmlformats.org/officeDocument/2006/relationships/hyperlink" Target="https://undocs.org/A/HRC/47/28" TargetMode="External"/><Relationship Id="rId12"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17" Type="http://schemas.openxmlformats.org/officeDocument/2006/relationships/hyperlink" Target="https://www.ohchr.org/Documents/Publications/Born_Free_and_Equal_WEB.pdf" TargetMode="External"/><Relationship Id="rId25"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hyperlink" Target="https://www.ohchr.org/Documents/Publications/Born_Free_and_Equal_WEB.pdf" TargetMode="External"/><Relationship Id="rId20" Type="http://schemas.openxmlformats.org/officeDocument/2006/relationships/hyperlink" Target="https://undocs.org/en/S/2019/280" TargetMode="External"/><Relationship Id="rId1" Type="http://schemas.openxmlformats.org/officeDocument/2006/relationships/styles" Target="styles.xml"/><Relationship Id="rId6" Type="http://schemas.openxmlformats.org/officeDocument/2006/relationships/hyperlink" Target="https://www.ohchr.org/EN/Issues/health/pages/srrighthealthindex.aspx" TargetMode="External"/><Relationship Id="rId11" Type="http://schemas.openxmlformats.org/officeDocument/2006/relationships/hyperlink" Target="https://tbinternet.ohchr.org/_layouts/15/treatybodyexternal/Download.aspx?symbolno=CEDAW/C/GC/35&amp;Lang=enhttps://tbinternet.ohchr.org/_layouts/15/treatybodyexternal/Download.aspx?symbolno=CEDAW/C/GC/35&amp;Lang=en"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ap.ohchr.org/documents/dpage_e.aspx?si=A/HRC/38/43" TargetMode="External"/><Relationship Id="rId23" Type="http://schemas.openxmlformats.org/officeDocument/2006/relationships/fontTable" Target="fontTable.xml"/><Relationship Id="rId10" Type="http://schemas.openxmlformats.org/officeDocument/2006/relationships/hyperlink" Target="https://tbinternet.ohchr.org/_layouts/15/treatybodyexternal/Download.aspx?symbolno=INT/CEDAW/GEC/3731&amp;Lang=en" TargetMode="External"/><Relationship Id="rId19" Type="http://schemas.openxmlformats.org/officeDocument/2006/relationships/hyperlink" Target="https://www.ohchr.org/Documents/Issues/Discrimination/LGBT/BackgroundNoteHumanRightsViolationsagainstIntersexPeople.pdf" TargetMode="External"/><Relationship Id="rId4" Type="http://schemas.openxmlformats.org/officeDocument/2006/relationships/footnotes" Target="footnotes.xml"/><Relationship Id="rId9" Type="http://schemas.openxmlformats.org/officeDocument/2006/relationships/hyperlink" Target="https://tbinternet.ohchr.org/_layouts/15/treatybodyexternal/Download.aspx?symbolno=INT/CEDAW/GEC/3731&amp;Lang=en" TargetMode="External"/><Relationship Id="rId14" Type="http://schemas.openxmlformats.org/officeDocument/2006/relationships/hyperlink" Target="https://tbinternet.ohchr.org/_layouts/15/treatybodyexternal/Download.aspx?symbolno=CRC%2fC%2fGC%2f13&amp;Lang=en" TargetMode="External"/><Relationship Id="rId22" Type="http://schemas.openxmlformats.org/officeDocument/2006/relationships/header" Target="header1.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Issues/SexualOrientationGender/Pages/ReportOnConversiontherapy.aspx" TargetMode="External"/><Relationship Id="rId13" Type="http://schemas.openxmlformats.org/officeDocument/2006/relationships/hyperlink" Target="https://www.washingtonpost.com/world/2019/10/26/uganda-arrested-lgbtq-activists-heres-where-else-gay-rights-are-battleground-world/" TargetMode="External"/><Relationship Id="rId3" Type="http://schemas.openxmlformats.org/officeDocument/2006/relationships/hyperlink" Target="https://theinitiativeforequalrights.org/wp-content/uploads/2021/02/Gender-and-COVID-19-in-Nigeria-1-1.pdf" TargetMode="External"/><Relationship Id="rId7" Type="http://schemas.openxmlformats.org/officeDocument/2006/relationships/hyperlink" Target="https://outrightinternational.org/reports/global-reach-so-called-conversion-therapy" TargetMode="External"/><Relationship Id="rId12" Type="http://schemas.openxmlformats.org/officeDocument/2006/relationships/hyperlink" Target="https://www.unfe.org/system/unfe-43-UN_Fact_Sheets_-_FINAL_-_Criminalization_(1).pdf" TargetMode="External"/><Relationship Id="rId2" Type="http://schemas.openxmlformats.org/officeDocument/2006/relationships/hyperlink" Target="https://theinitiativeforequalrights.org/wp-content/uploads/2021/02/Gender-and-COVID-19-in-Nigeria-PART-2.pdf" TargetMode="External"/><Relationship Id="rId1" Type="http://schemas.openxmlformats.org/officeDocument/2006/relationships/hyperlink" Target="https://outrightinternational.org/sites/default/files/COVIDsReportDesign_FINAL_LR_0.pdf" TargetMode="External"/><Relationship Id="rId6" Type="http://schemas.openxmlformats.org/officeDocument/2006/relationships/hyperlink" Target="https://www.ohchr.org/EN/Issues/SexualOrientationGender/Pages/ReportOnConversiontherapy.aspx" TargetMode="External"/><Relationship Id="rId11" Type="http://schemas.openxmlformats.org/officeDocument/2006/relationships/hyperlink" Target="https://www.who.int/bulletin/volumes/92/9/14-135541/en/" TargetMode="External"/><Relationship Id="rId5" Type="http://schemas.openxmlformats.org/officeDocument/2006/relationships/hyperlink" Target="https://www.ohchr.org/EN/Issues/SexualOrientationGender/Pages/ReportOnConversiontherapy.aspx" TargetMode="External"/><Relationship Id="rId15" Type="http://schemas.openxmlformats.org/officeDocument/2006/relationships/hyperlink" Target="https://youtu.be/eqPE6-a0hj4" TargetMode="External"/><Relationship Id="rId10" Type="http://schemas.openxmlformats.org/officeDocument/2006/relationships/hyperlink" Target="https://www.who.int/bulletin/volumes/92/9/14-135541/en/" TargetMode="External"/><Relationship Id="rId4" Type="http://schemas.openxmlformats.org/officeDocument/2006/relationships/hyperlink" Target="https://outrightinternational.org/reports/global-reach-so-called-conversion-therapy" TargetMode="External"/><Relationship Id="rId9" Type="http://schemas.openxmlformats.org/officeDocument/2006/relationships/hyperlink" Target="https://www.ohchr.org/EN/Issues/SexualOrientationGender/Pages/ReportOnConversiontherapy.aspx" TargetMode="External"/><Relationship Id="rId14" Type="http://schemas.openxmlformats.org/officeDocument/2006/relationships/hyperlink" Target="http://opiniojuris.org/2021/06/30/stigmatization-and-criminalization-of-lgbt-persons-in-uganda-during-the-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96EA3AE-F2DC-480B-9ECF-79F1C18B2E6A}"/>
</file>

<file path=customXml/itemProps2.xml><?xml version="1.0" encoding="utf-8"?>
<ds:datastoreItem xmlns:ds="http://schemas.openxmlformats.org/officeDocument/2006/customXml" ds:itemID="{533C4CE4-F72E-4297-B758-ABF6DB453C62}"/>
</file>

<file path=customXml/itemProps3.xml><?xml version="1.0" encoding="utf-8"?>
<ds:datastoreItem xmlns:ds="http://schemas.openxmlformats.org/officeDocument/2006/customXml" ds:itemID="{33436E05-473F-4655-8268-2A302ECFDD04}"/>
</file>

<file path=docProps/app.xml><?xml version="1.0" encoding="utf-8"?>
<Properties xmlns="http://schemas.openxmlformats.org/officeDocument/2006/extended-properties" xmlns:vt="http://schemas.openxmlformats.org/officeDocument/2006/docPropsVTypes">
  <Template>Normal.dotm</Template>
  <TotalTime>1</TotalTime>
  <Pages>11</Pages>
  <Words>4082</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Adriana Zarraluqui</cp:lastModifiedBy>
  <cp:revision>3</cp:revision>
  <dcterms:created xsi:type="dcterms:W3CDTF">2022-01-25T15:36:00Z</dcterms:created>
  <dcterms:modified xsi:type="dcterms:W3CDTF">2022-01-27T15:31:00Z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