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bookmarkStart w:id="0" w:name="_GoBack"/>
      <w:bookmarkEnd w:id="0"/>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1" w:name="allegation"/>
      <w:bookmarkEnd w:id="1"/>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E7ADA">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E7ADA">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E7ADA">
            <w:pPr>
              <w:rPr>
                <w:sz w:val="24"/>
                <w:szCs w:val="24"/>
              </w:rPr>
            </w:pPr>
            <w:r w:rsidRPr="006512F6">
              <w:rPr>
                <w:sz w:val="24"/>
                <w:szCs w:val="24"/>
              </w:rPr>
              <w:fldChar w:fldCharType="begin">
                <w:ffData>
                  <w:name w:val="Check3"/>
                  <w:enabled/>
                  <w:calcOnExit w:val="0"/>
                  <w:checkBox>
                    <w:sizeAuto/>
                    <w:default w:val="0"/>
                  </w:checkBox>
                </w:ffData>
              </w:fldChar>
            </w:r>
            <w:bookmarkStart w:id="2" w:name="Check3"/>
            <w:r w:rsidRPr="006512F6">
              <w:rPr>
                <w:sz w:val="24"/>
                <w:szCs w:val="24"/>
              </w:rPr>
              <w:instrText xml:space="preserve"> FORMCHECKBOX </w:instrText>
            </w:r>
            <w:r w:rsidR="009C74B7">
              <w:rPr>
                <w:sz w:val="24"/>
                <w:szCs w:val="24"/>
              </w:rPr>
            </w:r>
            <w:r w:rsidR="009C74B7">
              <w:rPr>
                <w:sz w:val="24"/>
                <w:szCs w:val="24"/>
              </w:rPr>
              <w:fldChar w:fldCharType="separate"/>
            </w:r>
            <w:r w:rsidRPr="006512F6">
              <w:rPr>
                <w:sz w:val="24"/>
                <w:szCs w:val="24"/>
              </w:rPr>
              <w:fldChar w:fldCharType="end"/>
            </w:r>
            <w:bookmarkEnd w:id="2"/>
            <w:r w:rsidRPr="006512F6">
              <w:rPr>
                <w:sz w:val="24"/>
                <w:szCs w:val="24"/>
              </w:rPr>
              <w:t xml:space="preserve">  Member State     </w:t>
            </w:r>
          </w:p>
          <w:p w14:paraId="064105A3" w14:textId="77777777" w:rsidR="009F00AF" w:rsidRPr="006512F6" w:rsidRDefault="009F00AF" w:rsidP="008E7ADA">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9C74B7">
              <w:rPr>
                <w:sz w:val="24"/>
                <w:szCs w:val="24"/>
              </w:rPr>
            </w:r>
            <w:r w:rsidR="009C74B7">
              <w:rPr>
                <w:sz w:val="24"/>
                <w:szCs w:val="24"/>
              </w:rPr>
              <w:fldChar w:fldCharType="separate"/>
            </w:r>
            <w:r w:rsidRPr="006512F6">
              <w:rPr>
                <w:sz w:val="24"/>
                <w:szCs w:val="24"/>
              </w:rPr>
              <w:fldChar w:fldCharType="end"/>
            </w:r>
            <w:r w:rsidRPr="006512F6">
              <w:rPr>
                <w:sz w:val="24"/>
                <w:szCs w:val="24"/>
              </w:rPr>
              <w:t xml:space="preserve">  Observer State</w:t>
            </w:r>
          </w:p>
          <w:p w14:paraId="0781E329" w14:textId="6AB7C79B" w:rsidR="009F00AF" w:rsidRPr="006512F6" w:rsidRDefault="00814DDA" w:rsidP="008E7ADA">
            <w:pPr>
              <w:ind w:left="394" w:hanging="394"/>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C74B7">
              <w:rPr>
                <w:sz w:val="24"/>
                <w:szCs w:val="24"/>
              </w:rPr>
            </w:r>
            <w:r w:rsidR="009C74B7">
              <w:rPr>
                <w:sz w:val="24"/>
                <w:szCs w:val="24"/>
              </w:rPr>
              <w:fldChar w:fldCharType="separate"/>
            </w:r>
            <w:r>
              <w:rPr>
                <w:sz w:val="24"/>
                <w:szCs w:val="24"/>
              </w:rPr>
              <w:fldChar w:fldCharType="end"/>
            </w:r>
            <w:r w:rsidR="009F00AF" w:rsidRPr="006512F6">
              <w:rPr>
                <w:sz w:val="24"/>
                <w:szCs w:val="24"/>
              </w:rPr>
              <w:t xml:space="preserve">  Other (please specify</w:t>
            </w:r>
            <w:r w:rsidR="009F00AF" w:rsidRPr="002C0350">
              <w:rPr>
                <w:sz w:val="24"/>
                <w:szCs w:val="24"/>
                <w:highlight w:val="green"/>
              </w:rPr>
              <w:t>)</w:t>
            </w:r>
            <w:r w:rsidR="002C0350" w:rsidRPr="002C0350">
              <w:rPr>
                <w:sz w:val="24"/>
                <w:szCs w:val="24"/>
                <w:highlight w:val="green"/>
              </w:rPr>
              <w:t xml:space="preserve">  NGO</w:t>
            </w:r>
          </w:p>
        </w:tc>
      </w:tr>
      <w:tr w:rsidR="009F00AF" w:rsidRPr="006512F6" w14:paraId="17F5FE06" w14:textId="77777777" w:rsidTr="008E7ADA">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E7ADA">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E7ADA">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CEC6B" w14:textId="77777777" w:rsidR="00814DDA" w:rsidRDefault="00814DDA" w:rsidP="008E7ADA">
            <w:pPr>
              <w:rPr>
                <w:sz w:val="24"/>
                <w:szCs w:val="24"/>
              </w:rPr>
            </w:pPr>
            <w:r>
              <w:rPr>
                <w:sz w:val="24"/>
                <w:szCs w:val="24"/>
              </w:rPr>
              <w:t>Suriname</w:t>
            </w:r>
          </w:p>
          <w:p w14:paraId="2A65A19E" w14:textId="292C8DE1" w:rsidR="00814DDA" w:rsidRPr="006512F6" w:rsidRDefault="00814DDA" w:rsidP="008E7ADA">
            <w:pPr>
              <w:rPr>
                <w:sz w:val="24"/>
                <w:szCs w:val="24"/>
              </w:rPr>
            </w:pPr>
            <w:r>
              <w:rPr>
                <w:sz w:val="24"/>
                <w:szCs w:val="24"/>
              </w:rPr>
              <w:t>Stichting Projekta</w:t>
            </w:r>
          </w:p>
        </w:tc>
      </w:tr>
      <w:tr w:rsidR="009F00AF" w:rsidRPr="006512F6" w14:paraId="690C7624" w14:textId="77777777" w:rsidTr="008E7ADA">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2DB6AD9F" w:rsidR="009F00AF" w:rsidRPr="006512F6" w:rsidRDefault="009F00AF" w:rsidP="008E7ADA">
            <w:pPr>
              <w:pStyle w:val="BodyA"/>
              <w:rPr>
                <w:rStyle w:val="None"/>
                <w:rFonts w:ascii="Times New Roman" w:hAnsi="Times New Roman" w:cs="Times New Roman"/>
              </w:rPr>
            </w:pPr>
            <w:r w:rsidRPr="006512F6">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6B4AC6A7" w:rsidR="009F00AF" w:rsidRPr="006512F6" w:rsidRDefault="00814DDA" w:rsidP="008E7ADA">
            <w:pPr>
              <w:rPr>
                <w:sz w:val="24"/>
                <w:szCs w:val="24"/>
              </w:rPr>
            </w:pPr>
            <w:r>
              <w:rPr>
                <w:sz w:val="24"/>
                <w:szCs w:val="24"/>
              </w:rPr>
              <w:t>projekta@sr.net</w:t>
            </w:r>
          </w:p>
        </w:tc>
      </w:tr>
      <w:tr w:rsidR="009F00AF" w:rsidRPr="006512F6" w14:paraId="57732BA4" w14:textId="77777777" w:rsidTr="008E7ADA">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77777777" w:rsidR="009F00AF" w:rsidRPr="006512F6" w:rsidRDefault="009F00AF" w:rsidP="008E7ADA">
            <w:pPr>
              <w:pStyle w:val="BodyA"/>
              <w:rPr>
                <w:rFonts w:ascii="Times New Roman" w:hAnsi="Times New Roman" w:cs="Times New Roman"/>
              </w:rPr>
            </w:pPr>
            <w:r w:rsidRPr="006512F6">
              <w:rPr>
                <w:rStyle w:val="None"/>
                <w:rFonts w:ascii="Times New Roman" w:hAnsi="Times New Roman" w:cs="Times New Roman"/>
              </w:rPr>
              <w:t xml:space="preserve">Can we attribute responses to this questionnaire to </w:t>
            </w:r>
            <w:r>
              <w:rPr>
                <w:rStyle w:val="None"/>
                <w:rFonts w:ascii="Times New Roman" w:hAnsi="Times New Roman" w:cs="Times New Roman"/>
              </w:rPr>
              <w:t xml:space="preserve">your State </w:t>
            </w:r>
            <w:r w:rsidRPr="006512F6">
              <w:rPr>
                <w:rStyle w:val="None"/>
                <w:rFonts w:ascii="Times New Roman" w:hAnsi="Times New Roman" w:cs="Times New Roman"/>
              </w:rPr>
              <w:t>publicly</w:t>
            </w:r>
            <w:r w:rsidRPr="006512F6">
              <w:rPr>
                <w:rFonts w:ascii="Times New Roman" w:hAnsi="Times New Roman" w:cs="Times New Roman"/>
              </w:rPr>
              <w:t>*</w:t>
            </w:r>
            <w:r w:rsidRPr="006512F6">
              <w:rPr>
                <w:rStyle w:val="None"/>
                <w:rFonts w:ascii="Times New Roman" w:hAnsi="Times New Roman" w:cs="Times New Roman"/>
              </w:rPr>
              <w:t>?</w:t>
            </w:r>
            <w:r w:rsidRPr="006512F6">
              <w:rPr>
                <w:rFonts w:ascii="Times New Roman" w:hAnsi="Times New Roman" w:cs="Times New Roman"/>
              </w:rPr>
              <w:t xml:space="preserve"> </w:t>
            </w:r>
          </w:p>
          <w:p w14:paraId="5ED6EA70" w14:textId="77777777" w:rsidR="009F00AF" w:rsidRPr="006512F6" w:rsidRDefault="009F00AF" w:rsidP="008E7ADA">
            <w:pPr>
              <w:pStyle w:val="BodyA"/>
              <w:rPr>
                <w:rFonts w:ascii="Times New Roman" w:hAnsi="Times New Roman" w:cs="Times New Roman"/>
              </w:rPr>
            </w:pPr>
          </w:p>
          <w:p w14:paraId="75ECAB6B" w14:textId="77777777" w:rsidR="009F00AF" w:rsidRPr="006512F6" w:rsidRDefault="009F00AF" w:rsidP="008E7ADA">
            <w:pPr>
              <w:pStyle w:val="BodyA"/>
              <w:rPr>
                <w:rFonts w:ascii="Times New Roman" w:hAnsi="Times New Roman" w:cs="Times New Roman"/>
              </w:rPr>
            </w:pPr>
            <w:r w:rsidRPr="006512F6">
              <w:rPr>
                <w:rFonts w:ascii="Times New Roman" w:hAnsi="Times New Roman" w:cs="Times New Roman"/>
              </w:rPr>
              <w:t xml:space="preserve">*On OHCHR website, under the section of SR </w:t>
            </w:r>
            <w:r>
              <w:rPr>
                <w:rFonts w:ascii="Times New Roman" w:hAnsi="Times New Roman" w:cs="Times New Roman"/>
              </w:rPr>
              <w:t>h</w:t>
            </w:r>
            <w:r w:rsidRPr="006512F6">
              <w:rPr>
                <w:rFonts w:ascii="Times New Roman" w:hAnsi="Times New Roman" w:cs="Times New Roman"/>
              </w:rPr>
              <w:t>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14D2" w14:textId="77777777" w:rsidR="009F00AF" w:rsidRPr="006512F6" w:rsidRDefault="009F00AF" w:rsidP="008E7ADA">
            <w:pPr>
              <w:pStyle w:val="BodyA"/>
              <w:rPr>
                <w:rStyle w:val="None"/>
                <w:rFonts w:ascii="Times New Roman" w:eastAsia="Times New Roman" w:hAnsi="Times New Roman" w:cs="Times New Roman"/>
              </w:rPr>
            </w:pPr>
            <w:r w:rsidRPr="006512F6">
              <w:rPr>
                <w:rStyle w:val="None"/>
                <w:rFonts w:ascii="Times New Roman" w:hAnsi="Times New Roman" w:cs="Times New Roman"/>
              </w:rPr>
              <w:t xml:space="preserve"> </w:t>
            </w:r>
            <w:r w:rsidRPr="00814DDA">
              <w:rPr>
                <w:rStyle w:val="None"/>
                <w:rFonts w:ascii="Times New Roman" w:hAnsi="Times New Roman" w:cs="Times New Roman"/>
                <w:u w:val="single"/>
              </w:rPr>
              <w:t>Yes</w:t>
            </w:r>
            <w:r w:rsidRPr="006512F6">
              <w:rPr>
                <w:rStyle w:val="None"/>
                <w:rFonts w:ascii="Times New Roman" w:hAnsi="Times New Roman" w:cs="Times New Roman"/>
              </w:rPr>
              <w:t xml:space="preserve">           No</w:t>
            </w:r>
          </w:p>
          <w:p w14:paraId="272073F6" w14:textId="77777777" w:rsidR="009F00AF" w:rsidRPr="006512F6" w:rsidRDefault="009F00AF" w:rsidP="008E7ADA">
            <w:pPr>
              <w:pStyle w:val="BodyA"/>
              <w:rPr>
                <w:rStyle w:val="None"/>
                <w:rFonts w:ascii="Times New Roman" w:eastAsia="Times New Roman" w:hAnsi="Times New Roman" w:cs="Times New Roman"/>
              </w:rPr>
            </w:pPr>
          </w:p>
          <w:p w14:paraId="230D7CA3" w14:textId="77777777" w:rsidR="009F00AF" w:rsidRPr="006512F6" w:rsidRDefault="009F00AF" w:rsidP="008E7ADA">
            <w:pPr>
              <w:pStyle w:val="BodyA"/>
              <w:rPr>
                <w:rFonts w:ascii="Times New Roman" w:hAnsi="Times New Roman" w:cs="Times New Roman"/>
              </w:rPr>
            </w:pPr>
            <w:r w:rsidRPr="006512F6">
              <w:rPr>
                <w:rStyle w:val="None"/>
                <w:rFonts w:ascii="Times New Roman" w:hAnsi="Times New Roman" w:cs="Times New Roman"/>
              </w:rPr>
              <w:t>Comments (if any):</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lastRenderedPageBreak/>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3"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4DAA2970"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 xml:space="preserve">gender based violence against women </w:t>
      </w:r>
    </w:p>
    <w:p w14:paraId="3406FB0E" w14:textId="77777777" w:rsidR="00165E7C" w:rsidRDefault="006A59ED" w:rsidP="00D479B9">
      <w:pPr>
        <w:pStyle w:val="ListParagraph"/>
        <w:numPr>
          <w:ilvl w:val="0"/>
          <w:numId w:val="14"/>
        </w:numPr>
        <w:shd w:val="clear" w:color="auto" w:fill="FFFFFF"/>
        <w:spacing w:line="259" w:lineRule="auto"/>
        <w:outlineLvl w:val="2"/>
        <w:rPr>
          <w:color w:val="000000"/>
          <w:sz w:val="22"/>
          <w:szCs w:val="24"/>
          <w:lang w:eastAsia="en-GB"/>
        </w:rPr>
      </w:pPr>
      <w:r w:rsidRPr="00165E7C">
        <w:rPr>
          <w:color w:val="000000"/>
          <w:sz w:val="22"/>
          <w:szCs w:val="24"/>
          <w:lang w:eastAsia="en-GB"/>
        </w:rPr>
        <w:t>32 percent of ever-partnered women reported at least</w:t>
      </w:r>
      <w:r w:rsidR="00D479B9" w:rsidRPr="00165E7C">
        <w:rPr>
          <w:color w:val="000000"/>
          <w:sz w:val="22"/>
          <w:szCs w:val="24"/>
          <w:lang w:eastAsia="en-GB"/>
        </w:rPr>
        <w:t xml:space="preserve"> one act of physical and/or </w:t>
      </w:r>
      <w:r w:rsidR="00AE3455" w:rsidRPr="00165E7C">
        <w:rPr>
          <w:color w:val="000000"/>
          <w:sz w:val="22"/>
          <w:szCs w:val="24"/>
          <w:lang w:eastAsia="en-GB"/>
        </w:rPr>
        <w:t>sexual</w:t>
      </w:r>
      <w:r w:rsidRPr="00165E7C">
        <w:rPr>
          <w:color w:val="000000"/>
          <w:sz w:val="22"/>
          <w:szCs w:val="24"/>
          <w:lang w:eastAsia="en-GB"/>
        </w:rPr>
        <w:t xml:space="preserve"> violence by an intimate partner in their lifetime and 6 percent reported at least one act in the 12 months prior to data collection. </w:t>
      </w:r>
    </w:p>
    <w:p w14:paraId="20E5AF04" w14:textId="0ADA169D" w:rsidR="006A59ED" w:rsidRPr="00165E7C" w:rsidRDefault="006A59ED" w:rsidP="00D479B9">
      <w:pPr>
        <w:pStyle w:val="ListParagraph"/>
        <w:numPr>
          <w:ilvl w:val="0"/>
          <w:numId w:val="14"/>
        </w:numPr>
        <w:shd w:val="clear" w:color="auto" w:fill="FFFFFF"/>
        <w:spacing w:line="259" w:lineRule="auto"/>
        <w:outlineLvl w:val="2"/>
        <w:rPr>
          <w:color w:val="000000"/>
          <w:sz w:val="22"/>
          <w:szCs w:val="24"/>
          <w:lang w:eastAsia="en-GB"/>
        </w:rPr>
      </w:pPr>
      <w:r w:rsidRPr="00165E7C">
        <w:rPr>
          <w:color w:val="000000"/>
          <w:sz w:val="22"/>
          <w:szCs w:val="24"/>
          <w:lang w:eastAsia="en-GB"/>
        </w:rPr>
        <w:t>Approximately 17 percent of all respondents reported having been forced into sexual intercourse by a non-partner in their lifetime (2 percent in the past 12 months)</w:t>
      </w:r>
    </w:p>
    <w:p w14:paraId="177CC69E" w14:textId="194964E9" w:rsidR="00D479B9" w:rsidRPr="00165E7C" w:rsidRDefault="003C4408" w:rsidP="00D479B9">
      <w:pPr>
        <w:pStyle w:val="ListParagraph"/>
        <w:numPr>
          <w:ilvl w:val="0"/>
          <w:numId w:val="14"/>
        </w:numPr>
        <w:shd w:val="clear" w:color="auto" w:fill="FFFFFF"/>
        <w:spacing w:line="259" w:lineRule="auto"/>
        <w:outlineLvl w:val="2"/>
        <w:rPr>
          <w:color w:val="000000"/>
          <w:sz w:val="22"/>
          <w:szCs w:val="24"/>
          <w:lang w:eastAsia="en-GB"/>
        </w:rPr>
      </w:pPr>
      <w:r w:rsidRPr="00165E7C">
        <w:rPr>
          <w:color w:val="000000"/>
          <w:sz w:val="22"/>
          <w:szCs w:val="24"/>
          <w:lang w:val="en-US" w:eastAsia="en-GB"/>
        </w:rPr>
        <w:t xml:space="preserve">In 15–64 age bracket, approximately 50,000 women in Suriname are estimated to have experienced one act or more of physical and/or sexual violence perpetrated by </w:t>
      </w:r>
      <w:r w:rsidRPr="00165E7C">
        <w:rPr>
          <w:color w:val="000000"/>
          <w:sz w:val="22"/>
          <w:szCs w:val="24"/>
          <w:lang w:val="en-US" w:eastAsia="en-GB"/>
        </w:rPr>
        <w:lastRenderedPageBreak/>
        <w:t>their male partners. Of these women, over 9,000 women are likely to still be in an abusive relationship</w:t>
      </w:r>
    </w:p>
    <w:p w14:paraId="53CC0987" w14:textId="77777777"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Lower educational attainment is associated with higher prevalence of current physical IPV. </w:t>
      </w:r>
    </w:p>
    <w:p w14:paraId="75D84908" w14:textId="63B497DC"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Unmarried women with partners showed higher rates o</w:t>
      </w:r>
      <w:r w:rsidR="00AE3455" w:rsidRPr="00165E7C">
        <w:rPr>
          <w:color w:val="000000"/>
          <w:sz w:val="22"/>
          <w:szCs w:val="24"/>
          <w:lang w:eastAsia="en-GB"/>
        </w:rPr>
        <w:t>f both physical and sexual vio</w:t>
      </w:r>
      <w:r w:rsidRPr="00165E7C">
        <w:rPr>
          <w:color w:val="000000"/>
          <w:sz w:val="22"/>
          <w:szCs w:val="24"/>
          <w:lang w:eastAsia="en-GB"/>
        </w:rPr>
        <w:t xml:space="preserve">lence over their lifetime than currently married women. </w:t>
      </w:r>
    </w:p>
    <w:p w14:paraId="3694DB42" w14:textId="17133249"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Women between the ages of 25 and 29 were more likely than women from any other age group to be currently experiencing physical IPV (9 percent). </w:t>
      </w:r>
    </w:p>
    <w:p w14:paraId="593280B3" w14:textId="2246C239"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Women who were married or lived with a partner at a young age had higher li</w:t>
      </w:r>
      <w:r w:rsidR="00AE3455" w:rsidRPr="00165E7C">
        <w:rPr>
          <w:color w:val="000000"/>
          <w:sz w:val="22"/>
          <w:szCs w:val="24"/>
          <w:lang w:eastAsia="en-GB"/>
        </w:rPr>
        <w:t xml:space="preserve">fetime </w:t>
      </w:r>
      <w:r w:rsidR="00AE3455" w:rsidRPr="00165E7C">
        <w:rPr>
          <w:color w:val="000000"/>
          <w:sz w:val="22"/>
          <w:szCs w:val="24"/>
          <w:lang w:val="en-US" w:eastAsia="en-GB"/>
        </w:rPr>
        <w:t>phys</w:t>
      </w:r>
      <w:r w:rsidRPr="00165E7C">
        <w:rPr>
          <w:color w:val="000000"/>
          <w:sz w:val="22"/>
          <w:szCs w:val="24"/>
          <w:lang w:val="en-US" w:eastAsia="en-GB"/>
        </w:rPr>
        <w:t xml:space="preserve">ical </w:t>
      </w:r>
      <w:r w:rsidRPr="00165E7C">
        <w:rPr>
          <w:color w:val="000000"/>
          <w:sz w:val="22"/>
          <w:szCs w:val="24"/>
          <w:lang w:eastAsia="en-GB"/>
        </w:rPr>
        <w:t xml:space="preserve">and/or sexual IPV prevalence than those whose first union was at 19 years or older. </w:t>
      </w:r>
    </w:p>
    <w:p w14:paraId="28F82BB3" w14:textId="0EFCEA09"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Lifetime  physical  IPV  was  higher  among  women  who  identified  their  ethnicity  as African (34 percent). </w:t>
      </w:r>
    </w:p>
    <w:p w14:paraId="4E788F91" w14:textId="17AB0169"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Lifetime sexual IPV was higher among those who were financially independent, which is counter-intuitive. </w:t>
      </w:r>
    </w:p>
    <w:p w14:paraId="499C15C4" w14:textId="77777777"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Women in non-consensual marriages were more likely to have experienced physical (43 percent) and sexual (38 percent) IPV than those who choose their own partners (21 percent and 24 percent, respectively). </w:t>
      </w:r>
    </w:p>
    <w:p w14:paraId="1269FCBD" w14:textId="1661DE15" w:rsidR="006A59ED" w:rsidRPr="00165E7C" w:rsidRDefault="006A59ED" w:rsidP="006A59ED">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Women who identified as Roman Catholic experienced the highest prevalence of life - time physical IPV (34 percent). </w:t>
      </w:r>
    </w:p>
    <w:p w14:paraId="585A8AC6" w14:textId="6AB94155" w:rsidR="006A59ED" w:rsidRPr="00165E7C" w:rsidRDefault="006A59ED"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Women  who  were  never  married  experienced  a  higher  prevalence  of  physical  IPV (32 percent) than women who were married at least once before (22 percent). </w:t>
      </w:r>
    </w:p>
    <w:p w14:paraId="0A3C9BB2" w14:textId="77777777" w:rsidR="00AE3455" w:rsidRPr="00165E7C" w:rsidRDefault="006A59ED"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Women whose partners’ ages ranged from 35 to 44, were unemployed, engaged in some form of substance abuse, or had prior relationships experienced higher levels of physical and sexual IPV. </w:t>
      </w:r>
    </w:p>
    <w:p w14:paraId="0B7FD158" w14:textId="623101FA" w:rsidR="00AE3455" w:rsidRPr="00165E7C" w:rsidRDefault="006A59ED"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 xml:space="preserve"> </w:t>
      </w:r>
      <w:r w:rsidR="003C4408" w:rsidRPr="00165E7C">
        <w:rPr>
          <w:color w:val="000000"/>
          <w:sz w:val="22"/>
          <w:szCs w:val="24"/>
          <w:lang w:eastAsia="en-GB"/>
        </w:rPr>
        <w:t>Roughly one in four respondents (26 percent) had experienced sexual violence as an adult or as a minor, either from a partner and/or a non-partner. The prevalence of NPSV (non partner sexual violence) (14 percent) is almost double that of sexual IPV (7 percent).</w:t>
      </w:r>
    </w:p>
    <w:p w14:paraId="12C793D8" w14:textId="0D25CB7C" w:rsidR="00AE3455" w:rsidRPr="00165E7C" w:rsidRDefault="003C4408"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Of all respondents, 4 percent (lifetime) reported having been forced into sexual intercourse by a non-partner</w:t>
      </w:r>
      <w:r w:rsidR="00AE3455" w:rsidRPr="00165E7C">
        <w:rPr>
          <w:color w:val="000000"/>
          <w:sz w:val="22"/>
          <w:szCs w:val="24"/>
          <w:lang w:eastAsia="en-GB"/>
        </w:rPr>
        <w:t>.</w:t>
      </w:r>
      <w:r w:rsidRPr="00165E7C">
        <w:rPr>
          <w:color w:val="000000"/>
          <w:sz w:val="22"/>
          <w:szCs w:val="24"/>
          <w:lang w:eastAsia="en-GB"/>
        </w:rPr>
        <w:t xml:space="preserve"> </w:t>
      </w:r>
    </w:p>
    <w:p w14:paraId="08631872" w14:textId="368558AE" w:rsidR="00AE3455" w:rsidRPr="00165E7C" w:rsidRDefault="003C4408"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Of the respondents, 13 percent reported being touched sexually or made to sexually touch another when they did not want to at least once in their lifetime</w:t>
      </w:r>
      <w:r w:rsidR="00AE3455" w:rsidRPr="00165E7C">
        <w:rPr>
          <w:color w:val="000000"/>
          <w:sz w:val="22"/>
          <w:szCs w:val="24"/>
          <w:lang w:eastAsia="en-GB"/>
        </w:rPr>
        <w:t>.</w:t>
      </w:r>
      <w:r w:rsidRPr="00165E7C">
        <w:rPr>
          <w:color w:val="000000"/>
          <w:sz w:val="22"/>
          <w:szCs w:val="24"/>
          <w:lang w:eastAsia="en-GB"/>
        </w:rPr>
        <w:t xml:space="preserve"> </w:t>
      </w:r>
    </w:p>
    <w:p w14:paraId="5D57E5B2" w14:textId="77777777" w:rsidR="00AE3455" w:rsidRPr="00165E7C" w:rsidRDefault="003C4408"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Of the women surveyed, 4 percent indicated they were victims of attempted intercourse at least once by a non-partner.</w:t>
      </w:r>
    </w:p>
    <w:p w14:paraId="78687242" w14:textId="1013C9CA" w:rsidR="003C4408" w:rsidRPr="00165E7C" w:rsidRDefault="003C4408" w:rsidP="00AE3455">
      <w:pPr>
        <w:pStyle w:val="ListParagraph"/>
        <w:numPr>
          <w:ilvl w:val="0"/>
          <w:numId w:val="12"/>
        </w:numPr>
        <w:shd w:val="clear" w:color="auto" w:fill="FFFFFF"/>
        <w:spacing w:line="259" w:lineRule="auto"/>
        <w:outlineLvl w:val="2"/>
        <w:rPr>
          <w:color w:val="000000"/>
          <w:sz w:val="22"/>
          <w:szCs w:val="24"/>
          <w:lang w:eastAsia="en-GB"/>
        </w:rPr>
      </w:pPr>
      <w:r w:rsidRPr="00165E7C">
        <w:rPr>
          <w:color w:val="000000"/>
          <w:sz w:val="22"/>
          <w:szCs w:val="24"/>
          <w:lang w:eastAsia="en-GB"/>
        </w:rPr>
        <w:t>The majority of women reported one perpetrator, in many instances a family member or friend. The majority of such experiences (85 percent) were left unreported to police.</w:t>
      </w:r>
    </w:p>
    <w:p w14:paraId="57BE3B93" w14:textId="57F18FB4" w:rsidR="003C4408" w:rsidRPr="00165E7C" w:rsidRDefault="003C4408" w:rsidP="003C4408">
      <w:pPr>
        <w:pStyle w:val="ListParagraph"/>
        <w:shd w:val="clear" w:color="auto" w:fill="FFFFFF"/>
        <w:spacing w:line="259" w:lineRule="auto"/>
        <w:ind w:left="792"/>
        <w:outlineLvl w:val="2"/>
        <w:rPr>
          <w:color w:val="000000"/>
          <w:sz w:val="22"/>
          <w:szCs w:val="24"/>
          <w:lang w:eastAsia="en-GB"/>
        </w:rPr>
      </w:pPr>
      <w:r w:rsidRPr="00165E7C">
        <w:rPr>
          <w:color w:val="000000"/>
          <w:sz w:val="22"/>
          <w:szCs w:val="24"/>
          <w:lang w:eastAsia="en-GB"/>
        </w:rPr>
        <w:t>• Sexual harassment (at work, on the job, on public transport, and in virtual spaces) was experienced by 25 percent of women, with the highest prevalence being in the form of electronic messages with sexual content (19 percent) and being groped in a public space (9 percent).</w:t>
      </w:r>
    </w:p>
    <w:p w14:paraId="3C72205F" w14:textId="42BD2E7E" w:rsidR="00495C64" w:rsidRPr="00AE3455" w:rsidRDefault="00495C64" w:rsidP="00495C64">
      <w:pPr>
        <w:pStyle w:val="ListParagraph"/>
        <w:shd w:val="clear" w:color="auto" w:fill="FFFFFF"/>
        <w:spacing w:line="259" w:lineRule="auto"/>
        <w:ind w:left="792"/>
        <w:outlineLvl w:val="2"/>
        <w:rPr>
          <w:color w:val="000000"/>
          <w:sz w:val="24"/>
          <w:szCs w:val="24"/>
          <w:lang w:val="en-US" w:eastAsia="en-GB"/>
        </w:rPr>
      </w:pPr>
    </w:p>
    <w:p w14:paraId="3A0A28DC" w14:textId="77777777" w:rsidR="00495C64" w:rsidRPr="00495C64" w:rsidRDefault="009C74B7" w:rsidP="00495C64">
      <w:pPr>
        <w:pStyle w:val="ListParagraph"/>
        <w:shd w:val="clear" w:color="auto" w:fill="FFFFFF"/>
        <w:spacing w:line="259" w:lineRule="auto"/>
        <w:ind w:left="792"/>
        <w:outlineLvl w:val="2"/>
        <w:rPr>
          <w:color w:val="000000"/>
          <w:sz w:val="24"/>
          <w:szCs w:val="24"/>
          <w:lang w:val="en-US" w:eastAsia="en-GB"/>
        </w:rPr>
      </w:pPr>
      <w:hyperlink r:id="rId14" w:history="1">
        <w:r w:rsidR="00495C64" w:rsidRPr="00495C64">
          <w:rPr>
            <w:rStyle w:val="Hyperlink"/>
            <w:sz w:val="24"/>
            <w:szCs w:val="24"/>
            <w:lang w:val="en-US" w:eastAsia="en-GB"/>
          </w:rPr>
          <w:t>https://publications.iadb.org/publications/english/document/National_Women%E2%80%99s_Health_Survey_for_Suriname_en.pdf</w:t>
        </w:r>
      </w:hyperlink>
    </w:p>
    <w:p w14:paraId="6EAD7EA6" w14:textId="77777777" w:rsidR="00495C64" w:rsidRPr="00495C64" w:rsidRDefault="00495C64" w:rsidP="00495C64">
      <w:pPr>
        <w:pStyle w:val="ListParagraph"/>
        <w:shd w:val="clear" w:color="auto" w:fill="FFFFFF"/>
        <w:spacing w:line="259" w:lineRule="auto"/>
        <w:ind w:left="792"/>
        <w:outlineLvl w:val="2"/>
        <w:rPr>
          <w:i/>
          <w:color w:val="000000"/>
          <w:sz w:val="24"/>
          <w:szCs w:val="24"/>
          <w:lang w:val="en-US" w:eastAsia="en-GB"/>
        </w:rPr>
      </w:pPr>
    </w:p>
    <w:p w14:paraId="14C884C4" w14:textId="77777777" w:rsidR="005335F8" w:rsidRPr="005335F8" w:rsidRDefault="005335F8" w:rsidP="005335F8">
      <w:pPr>
        <w:pStyle w:val="ListParagraph"/>
        <w:shd w:val="clear" w:color="auto" w:fill="FFFFFF"/>
        <w:spacing w:line="259" w:lineRule="auto"/>
        <w:ind w:left="792"/>
        <w:outlineLvl w:val="2"/>
        <w:rPr>
          <w:color w:val="000000"/>
          <w:sz w:val="24"/>
          <w:szCs w:val="24"/>
          <w:lang w:val="en-US" w:eastAsia="en-GB"/>
        </w:rPr>
      </w:pPr>
    </w:p>
    <w:p w14:paraId="62026D07" w14:textId="25E2FFFD"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and other forms of violence against children:</w:t>
      </w:r>
    </w:p>
    <w:p w14:paraId="1F7AC65C" w14:textId="77777777" w:rsidR="004924AD" w:rsidRDefault="004924AD" w:rsidP="004924AD">
      <w:pPr>
        <w:shd w:val="clear" w:color="auto" w:fill="FFFFFF"/>
        <w:spacing w:line="259" w:lineRule="auto"/>
        <w:ind w:left="360"/>
        <w:outlineLvl w:val="2"/>
        <w:rPr>
          <w:i/>
        </w:rPr>
      </w:pPr>
    </w:p>
    <w:p w14:paraId="37C4C8C6" w14:textId="77777777" w:rsidR="002C0350" w:rsidRDefault="004924AD" w:rsidP="004924AD">
      <w:pPr>
        <w:shd w:val="clear" w:color="auto" w:fill="FFFFFF"/>
        <w:spacing w:line="259" w:lineRule="auto"/>
        <w:ind w:left="360"/>
        <w:outlineLvl w:val="2"/>
        <w:rPr>
          <w:sz w:val="22"/>
        </w:rPr>
      </w:pPr>
      <w:r w:rsidRPr="002C0350">
        <w:rPr>
          <w:sz w:val="22"/>
        </w:rPr>
        <w:t>The incidence of violent child discipline is very high in Suriname</w:t>
      </w:r>
    </w:p>
    <w:p w14:paraId="3CF39B95" w14:textId="4A6F2BF3"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88 percent of children aged 2‐14 years were subjected to at least one form of violent psychological or physical punishment by household members. </w:t>
      </w:r>
    </w:p>
    <w:p w14:paraId="7CA3586D" w14:textId="6145AF08"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9 out of 10 children aged 1 to 14 years experienced violent disciplining in the past month. </w:t>
      </w:r>
    </w:p>
    <w:p w14:paraId="0A675846" w14:textId="77777777" w:rsidR="00165E7C"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8 out of 10 children aged 1 to 14 year experienced shouting, yelling or screaming, as a form of discipline. </w:t>
      </w:r>
    </w:p>
    <w:p w14:paraId="006E3CEA" w14:textId="2FFA5160"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Only 7 out of 100 children under age 15 were disciplined in a NON-violent way. </w:t>
      </w:r>
    </w:p>
    <w:p w14:paraId="7F4946E9" w14:textId="3110902A"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The incidence of violent discipline is higher (89%) for boys than girls (86%). </w:t>
      </w:r>
    </w:p>
    <w:p w14:paraId="02650CFC" w14:textId="1783BD6F"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92% for those living in a poor household versus 81% for those living in the richest households</w:t>
      </w:r>
      <w:r w:rsidR="00165E7C">
        <w:rPr>
          <w:sz w:val="22"/>
        </w:rPr>
        <w:t xml:space="preserve"> experienced violene</w:t>
      </w:r>
      <w:r w:rsidRPr="002C0350">
        <w:rPr>
          <w:sz w:val="22"/>
        </w:rPr>
        <w:t xml:space="preserve">. </w:t>
      </w:r>
    </w:p>
    <w:p w14:paraId="43CD6D6C" w14:textId="23DB528B"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For each type of violent disciplining, the highest incidence is found for children aged 3-4 years and slightly decreases for the following age groups. </w:t>
      </w:r>
    </w:p>
    <w:p w14:paraId="08D0CEDE" w14:textId="59DA603E"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24 percent of the respondents think that physical punishment is necessary for disciplining, while 63% of the children under 15 year experienced any physical punishment in the last month. </w:t>
      </w:r>
    </w:p>
    <w:p w14:paraId="29E75461" w14:textId="3409DB42"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 The respondents (24%) who justify child discipline by physical punishment are almost evenly distributed by sex (21-24 %) and age group (23- 27%). </w:t>
      </w:r>
    </w:p>
    <w:p w14:paraId="686B3BE2" w14:textId="0D709B7E" w:rsidR="004924AD" w:rsidRPr="002C0350" w:rsidRDefault="004924AD" w:rsidP="002C0350">
      <w:pPr>
        <w:pStyle w:val="ListParagraph"/>
        <w:numPr>
          <w:ilvl w:val="0"/>
          <w:numId w:val="16"/>
        </w:numPr>
        <w:shd w:val="clear" w:color="auto" w:fill="FFFFFF"/>
        <w:spacing w:line="259" w:lineRule="auto"/>
        <w:outlineLvl w:val="2"/>
        <w:rPr>
          <w:sz w:val="22"/>
        </w:rPr>
      </w:pPr>
      <w:r w:rsidRPr="002C0350">
        <w:rPr>
          <w:sz w:val="22"/>
        </w:rPr>
        <w:t xml:space="preserve"> Comparison by educational level shows a higher incidence among those with no education (38%), the poorest quintile (32% versus the richest with an incidence of 18%) and those living in the rural interior area (43% versus 18% for the rural coastal area).</w:t>
      </w:r>
    </w:p>
    <w:p w14:paraId="3FC345D7" w14:textId="42745E52" w:rsidR="004924AD" w:rsidRDefault="004924AD" w:rsidP="004924AD">
      <w:pPr>
        <w:shd w:val="clear" w:color="auto" w:fill="FFFFFF"/>
        <w:spacing w:line="259" w:lineRule="auto"/>
        <w:ind w:left="360"/>
        <w:outlineLvl w:val="2"/>
        <w:rPr>
          <w:i/>
        </w:rPr>
      </w:pPr>
    </w:p>
    <w:p w14:paraId="0B544A8D" w14:textId="77777777" w:rsidR="004924AD" w:rsidRPr="004924AD" w:rsidRDefault="009C74B7" w:rsidP="004924AD">
      <w:pPr>
        <w:shd w:val="clear" w:color="auto" w:fill="FFFFFF"/>
        <w:spacing w:line="259" w:lineRule="auto"/>
        <w:outlineLvl w:val="2"/>
        <w:rPr>
          <w:color w:val="000000"/>
          <w:sz w:val="24"/>
          <w:szCs w:val="24"/>
          <w:lang w:val="en-US" w:eastAsia="en-GB"/>
        </w:rPr>
      </w:pPr>
      <w:hyperlink r:id="rId15" w:history="1">
        <w:r w:rsidR="004924AD" w:rsidRPr="004924AD">
          <w:rPr>
            <w:rStyle w:val="Hyperlink"/>
            <w:sz w:val="24"/>
            <w:szCs w:val="24"/>
            <w:lang w:val="en-US" w:eastAsia="en-GB"/>
          </w:rPr>
          <w:t>https://statistics-suriname.org/wp-content/uploads/2020/03/Suriname_MICS_2018_Snapshots_English-resized.pdf</w:t>
        </w:r>
      </w:hyperlink>
    </w:p>
    <w:p w14:paraId="05533CBF" w14:textId="77777777" w:rsidR="004924AD" w:rsidRPr="004924AD" w:rsidRDefault="004924AD" w:rsidP="004924AD">
      <w:pPr>
        <w:shd w:val="clear" w:color="auto" w:fill="FFFFFF"/>
        <w:spacing w:line="259" w:lineRule="auto"/>
        <w:ind w:left="360"/>
        <w:outlineLvl w:val="2"/>
        <w:rPr>
          <w:i/>
          <w:lang w:val="en-US"/>
        </w:rPr>
      </w:pPr>
    </w:p>
    <w:p w14:paraId="6A49A365" w14:textId="77777777" w:rsidR="004924AD" w:rsidRPr="004924AD" w:rsidRDefault="004924AD" w:rsidP="004924AD">
      <w:pPr>
        <w:shd w:val="clear" w:color="auto" w:fill="FFFFFF"/>
        <w:spacing w:line="259" w:lineRule="auto"/>
        <w:ind w:left="360"/>
        <w:outlineLvl w:val="2"/>
        <w:rPr>
          <w:i/>
          <w:color w:val="000000"/>
          <w:sz w:val="24"/>
          <w:szCs w:val="24"/>
          <w:lang w:eastAsia="en-GB"/>
        </w:rPr>
      </w:pPr>
    </w:p>
    <w:p w14:paraId="121D9F14" w14:textId="77777777" w:rsidR="009F00AF" w:rsidRPr="0096645F" w:rsidRDefault="009F00AF" w:rsidP="009F00AF">
      <w:pPr>
        <w:pStyle w:val="ListParagraph"/>
        <w:numPr>
          <w:ilvl w:val="1"/>
          <w:numId w:val="2"/>
        </w:numPr>
        <w:shd w:val="clear" w:color="auto" w:fill="FFFFFF"/>
        <w:spacing w:line="259" w:lineRule="auto"/>
        <w:outlineLvl w:val="2"/>
        <w:rPr>
          <w:sz w:val="24"/>
          <w:szCs w:val="24"/>
          <w:lang w:eastAsia="en-GB"/>
        </w:rPr>
      </w:pPr>
      <w:r w:rsidRPr="0096645F">
        <w:rPr>
          <w:color w:val="000000"/>
          <w:sz w:val="24"/>
          <w:szCs w:val="24"/>
          <w:lang w:eastAsia="en-GB"/>
        </w:rPr>
        <w:t xml:space="preserve">gender based violence against </w:t>
      </w:r>
      <w:r w:rsidRPr="0096645F">
        <w:rPr>
          <w:sz w:val="24"/>
          <w:szCs w:val="24"/>
          <w:lang w:eastAsia="en-GB"/>
        </w:rPr>
        <w:t xml:space="preserve">LGBTI or other persons based on </w:t>
      </w:r>
      <w:r w:rsidRPr="0096645F">
        <w:rPr>
          <w:color w:val="000000"/>
          <w:sz w:val="24"/>
          <w:szCs w:val="24"/>
          <w:lang w:eastAsia="en-GB"/>
        </w:rPr>
        <w:t>real or imputed sexual orientation</w:t>
      </w:r>
      <w:r w:rsidRPr="0096645F">
        <w:rPr>
          <w:sz w:val="24"/>
          <w:szCs w:val="24"/>
          <w:lang w:eastAsia="en-GB"/>
        </w:rPr>
        <w:t xml:space="preserve">, sex characteristics, and gender identity: </w:t>
      </w:r>
    </w:p>
    <w:p w14:paraId="156C8D92"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p>
    <w:p w14:paraId="007FE293"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24FD184D" w14:textId="44DA20E3" w:rsidR="005335F8" w:rsidRPr="00D479B9" w:rsidRDefault="009F00AF" w:rsidP="00495C64">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01D854AD" w14:textId="77777777" w:rsidR="00814DDA" w:rsidRPr="00E63A84" w:rsidRDefault="00814DDA" w:rsidP="009F00AF">
      <w:pPr>
        <w:pStyle w:val="ListParagraph"/>
        <w:shd w:val="clear" w:color="auto" w:fill="FFFFFF"/>
        <w:spacing w:line="259" w:lineRule="auto"/>
        <w:ind w:left="792"/>
        <w:outlineLvl w:val="2"/>
        <w:rPr>
          <w:color w:val="000000"/>
          <w:sz w:val="24"/>
          <w:szCs w:val="24"/>
          <w:lang w:val="en-US" w:eastAsia="en-GB"/>
        </w:rPr>
      </w:pPr>
    </w:p>
    <w:p w14:paraId="0F1F665E" w14:textId="77777777" w:rsidR="009F00A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6A59ED">
        <w:rPr>
          <w:sz w:val="24"/>
          <w:szCs w:val="24"/>
          <w:lang w:val="en-US" w:eastAsia="en-GB"/>
        </w:rPr>
        <w:t>Please descr</w:t>
      </w:r>
      <w:r w:rsidRPr="0096645F">
        <w:rPr>
          <w:sz w:val="24"/>
          <w:szCs w:val="24"/>
          <w:lang w:eastAsia="en-GB"/>
        </w:rPr>
        <w:t>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64255207" w14:textId="55EF8266" w:rsidR="00B61A47" w:rsidRPr="00B61A47" w:rsidRDefault="00B61A47" w:rsidP="00B61A47">
      <w:pPr>
        <w:shd w:val="clear" w:color="auto" w:fill="FFFFFF"/>
        <w:spacing w:line="259" w:lineRule="auto"/>
        <w:jc w:val="both"/>
        <w:outlineLvl w:val="2"/>
        <w:rPr>
          <w:sz w:val="24"/>
          <w:szCs w:val="24"/>
          <w:lang w:eastAsia="en-GB"/>
        </w:rPr>
      </w:pPr>
    </w:p>
    <w:p w14:paraId="46A94F01" w14:textId="77777777" w:rsidR="00165E7C" w:rsidRPr="00165E7C" w:rsidRDefault="00F904BC" w:rsidP="00F904BC">
      <w:pPr>
        <w:pStyle w:val="ListParagraph"/>
        <w:numPr>
          <w:ilvl w:val="0"/>
          <w:numId w:val="17"/>
        </w:numPr>
        <w:shd w:val="clear" w:color="auto" w:fill="FFFFFF"/>
        <w:spacing w:line="259" w:lineRule="auto"/>
        <w:jc w:val="both"/>
        <w:outlineLvl w:val="2"/>
        <w:rPr>
          <w:color w:val="000000"/>
          <w:sz w:val="22"/>
          <w:szCs w:val="24"/>
          <w:lang w:val="en-US" w:eastAsia="en-GB"/>
        </w:rPr>
      </w:pPr>
      <w:r w:rsidRPr="00165E7C">
        <w:rPr>
          <w:color w:val="000000"/>
          <w:sz w:val="22"/>
          <w:szCs w:val="24"/>
          <w:lang w:eastAsia="en-GB"/>
        </w:rPr>
        <w:t>C</w:t>
      </w:r>
      <w:r w:rsidR="003A1542" w:rsidRPr="00165E7C">
        <w:rPr>
          <w:color w:val="000000"/>
          <w:sz w:val="22"/>
          <w:szCs w:val="24"/>
          <w:lang w:eastAsia="en-GB"/>
        </w:rPr>
        <w:t xml:space="preserve">urrent legislation </w:t>
      </w:r>
      <w:r w:rsidRPr="00165E7C">
        <w:rPr>
          <w:color w:val="000000"/>
          <w:sz w:val="22"/>
          <w:szCs w:val="24"/>
          <w:lang w:eastAsia="en-GB"/>
        </w:rPr>
        <w:t>on domestic violence such as the Domestic Violence P</w:t>
      </w:r>
      <w:r w:rsidR="008C5C8D" w:rsidRPr="00165E7C">
        <w:rPr>
          <w:color w:val="000000"/>
          <w:sz w:val="22"/>
          <w:szCs w:val="24"/>
          <w:lang w:eastAsia="en-GB"/>
        </w:rPr>
        <w:t>rotection A</w:t>
      </w:r>
      <w:r w:rsidRPr="00165E7C">
        <w:rPr>
          <w:color w:val="000000"/>
          <w:sz w:val="22"/>
          <w:szCs w:val="24"/>
          <w:lang w:eastAsia="en-GB"/>
        </w:rPr>
        <w:t>ct don’t indicate specific definitions or classifications for GBV. Domestic violence is define</w:t>
      </w:r>
      <w:r w:rsidR="008C5C8D" w:rsidRPr="00165E7C">
        <w:rPr>
          <w:color w:val="000000"/>
          <w:sz w:val="22"/>
          <w:szCs w:val="24"/>
          <w:lang w:eastAsia="en-GB"/>
        </w:rPr>
        <w:t xml:space="preserve">d in </w:t>
      </w:r>
      <w:r w:rsidRPr="00165E7C">
        <w:rPr>
          <w:color w:val="000000"/>
          <w:sz w:val="22"/>
          <w:szCs w:val="24"/>
          <w:lang w:eastAsia="en-GB"/>
        </w:rPr>
        <w:t xml:space="preserve">general terms such as physical, mental, sexual and financial abuse, without explicitly mentioning gender components of DV. </w:t>
      </w:r>
    </w:p>
    <w:p w14:paraId="4036B906" w14:textId="77777777" w:rsidR="00165E7C" w:rsidRPr="00165E7C" w:rsidRDefault="00F904BC" w:rsidP="00B61A47">
      <w:pPr>
        <w:pStyle w:val="ListParagraph"/>
        <w:numPr>
          <w:ilvl w:val="0"/>
          <w:numId w:val="17"/>
        </w:numPr>
        <w:shd w:val="clear" w:color="auto" w:fill="FFFFFF"/>
        <w:autoSpaceDE w:val="0"/>
        <w:autoSpaceDN w:val="0"/>
        <w:adjustRightInd w:val="0"/>
        <w:spacing w:line="259" w:lineRule="auto"/>
        <w:jc w:val="both"/>
        <w:outlineLvl w:val="2"/>
        <w:rPr>
          <w:color w:val="000000"/>
          <w:sz w:val="22"/>
          <w:szCs w:val="24"/>
        </w:rPr>
      </w:pPr>
      <w:r w:rsidRPr="00165E7C">
        <w:rPr>
          <w:color w:val="000000"/>
          <w:sz w:val="22"/>
          <w:szCs w:val="24"/>
          <w:lang w:val="en-US" w:eastAsia="en-GB"/>
        </w:rPr>
        <w:t xml:space="preserve">Redress options are minimal, and access to care for survivors remains a </w:t>
      </w:r>
      <w:r w:rsidR="008C5C8D" w:rsidRPr="00165E7C">
        <w:rPr>
          <w:color w:val="000000"/>
          <w:sz w:val="22"/>
          <w:szCs w:val="24"/>
          <w:lang w:val="en-US" w:eastAsia="en-GB"/>
        </w:rPr>
        <w:t>non-recognized</w:t>
      </w:r>
      <w:r w:rsidRPr="00165E7C">
        <w:rPr>
          <w:color w:val="000000"/>
          <w:sz w:val="22"/>
          <w:szCs w:val="24"/>
          <w:lang w:val="en-US" w:eastAsia="en-GB"/>
        </w:rPr>
        <w:t xml:space="preserve"> form of reparation. </w:t>
      </w:r>
    </w:p>
    <w:p w14:paraId="69580D3F" w14:textId="77777777" w:rsidR="00165E7C" w:rsidRDefault="00B61A47" w:rsidP="00165E7C">
      <w:pPr>
        <w:shd w:val="clear" w:color="auto" w:fill="FFFFFF"/>
        <w:autoSpaceDE w:val="0"/>
        <w:autoSpaceDN w:val="0"/>
        <w:adjustRightInd w:val="0"/>
        <w:spacing w:line="259" w:lineRule="auto"/>
        <w:ind w:left="360"/>
        <w:jc w:val="both"/>
        <w:outlineLvl w:val="2"/>
        <w:rPr>
          <w:color w:val="000000"/>
          <w:sz w:val="22"/>
          <w:szCs w:val="24"/>
        </w:rPr>
      </w:pPr>
      <w:r w:rsidRPr="00165E7C">
        <w:rPr>
          <w:color w:val="000000"/>
          <w:sz w:val="22"/>
          <w:szCs w:val="24"/>
        </w:rPr>
        <w:t>In a study conducted in 2017 by Mr. Maya Manohar, partially aimed at making an inventory of the current support system for protecting children in Suriname, in the field of law, education, and social measures, medical and judicial help provides the following information:</w:t>
      </w:r>
    </w:p>
    <w:p w14:paraId="1A412D03" w14:textId="72011302" w:rsidR="00B61A47" w:rsidRPr="00165E7C" w:rsidRDefault="00B61A47" w:rsidP="00165E7C">
      <w:pPr>
        <w:pStyle w:val="ListParagraph"/>
        <w:numPr>
          <w:ilvl w:val="0"/>
          <w:numId w:val="18"/>
        </w:numPr>
        <w:shd w:val="clear" w:color="auto" w:fill="FFFFFF"/>
        <w:autoSpaceDE w:val="0"/>
        <w:autoSpaceDN w:val="0"/>
        <w:adjustRightInd w:val="0"/>
        <w:spacing w:line="259" w:lineRule="auto"/>
        <w:jc w:val="both"/>
        <w:outlineLvl w:val="2"/>
        <w:rPr>
          <w:sz w:val="22"/>
          <w:szCs w:val="24"/>
        </w:rPr>
      </w:pPr>
      <w:r w:rsidRPr="00165E7C">
        <w:rPr>
          <w:sz w:val="22"/>
          <w:szCs w:val="24"/>
        </w:rPr>
        <w:t>The civil protection of juveniles in Suriname focuses on 8 child protection measures, such as those in the Surinamese Civil Code. This concerns preventive measures such as the supervision of a child and also acute measures with the aim to protect the child against further abuse or other forms of violence.</w:t>
      </w:r>
    </w:p>
    <w:p w14:paraId="43515378" w14:textId="77777777" w:rsidR="00165E7C" w:rsidRPr="00165E7C" w:rsidRDefault="00165E7C" w:rsidP="00B61A47">
      <w:pPr>
        <w:rPr>
          <w:sz w:val="22"/>
          <w:szCs w:val="24"/>
        </w:rPr>
      </w:pPr>
    </w:p>
    <w:p w14:paraId="1A55267C" w14:textId="77777777" w:rsidR="00165E7C" w:rsidRDefault="00B61A47" w:rsidP="00165E7C">
      <w:pPr>
        <w:pStyle w:val="ListParagraph"/>
        <w:numPr>
          <w:ilvl w:val="0"/>
          <w:numId w:val="18"/>
        </w:numPr>
        <w:rPr>
          <w:sz w:val="22"/>
          <w:szCs w:val="24"/>
        </w:rPr>
      </w:pPr>
      <w:r w:rsidRPr="00165E7C">
        <w:rPr>
          <w:sz w:val="22"/>
          <w:szCs w:val="24"/>
        </w:rPr>
        <w:t xml:space="preserve">Other protective rules for children are mentioned in the penal code (S.B. 2015, No. 44). Physical abuse with physical injury, manslaughter, infanticide, serious neglect, such as leaving children in a helpless state (Article 315, 350 - 362 Penal Code). </w:t>
      </w:r>
    </w:p>
    <w:p w14:paraId="1F4AED96" w14:textId="77777777" w:rsidR="00165E7C" w:rsidRDefault="00B61A47" w:rsidP="00165E7C">
      <w:pPr>
        <w:pStyle w:val="ListParagraph"/>
        <w:numPr>
          <w:ilvl w:val="0"/>
          <w:numId w:val="18"/>
        </w:numPr>
        <w:rPr>
          <w:sz w:val="22"/>
          <w:szCs w:val="24"/>
        </w:rPr>
      </w:pPr>
      <w:r w:rsidRPr="00165E7C">
        <w:rPr>
          <w:sz w:val="22"/>
          <w:szCs w:val="24"/>
        </w:rPr>
        <w:t xml:space="preserve">In Title XIII, Crimes against Morality, of the Penal Code, various sexual offenses against children are made punishable. </w:t>
      </w:r>
    </w:p>
    <w:p w14:paraId="3391F05F" w14:textId="77777777" w:rsidR="00165E7C" w:rsidRDefault="00B61A47" w:rsidP="00165E7C">
      <w:pPr>
        <w:pStyle w:val="ListParagraph"/>
        <w:numPr>
          <w:ilvl w:val="0"/>
          <w:numId w:val="18"/>
        </w:numPr>
        <w:rPr>
          <w:sz w:val="22"/>
          <w:szCs w:val="24"/>
        </w:rPr>
      </w:pPr>
      <w:r w:rsidRPr="00165E7C">
        <w:rPr>
          <w:sz w:val="22"/>
          <w:szCs w:val="24"/>
        </w:rPr>
        <w:t xml:space="preserve">Physical sexual abuse of children, child trafficking and neglect are punishable under the Penal Code. </w:t>
      </w:r>
    </w:p>
    <w:p w14:paraId="51689A2A" w14:textId="7E12D8A5" w:rsidR="00B61A47" w:rsidRPr="00165E7C" w:rsidRDefault="00B61A47" w:rsidP="00165E7C">
      <w:pPr>
        <w:pStyle w:val="ListParagraph"/>
        <w:ind w:left="1080"/>
        <w:rPr>
          <w:sz w:val="22"/>
          <w:szCs w:val="24"/>
        </w:rPr>
      </w:pPr>
      <w:r w:rsidRPr="00165E7C">
        <w:rPr>
          <w:sz w:val="22"/>
          <w:szCs w:val="24"/>
        </w:rPr>
        <w:t>.</w:t>
      </w:r>
    </w:p>
    <w:p w14:paraId="10D319DB" w14:textId="77777777" w:rsidR="00F904BC" w:rsidRPr="00165E7C" w:rsidRDefault="00F904BC" w:rsidP="00B61A47">
      <w:pPr>
        <w:rPr>
          <w:sz w:val="22"/>
          <w:szCs w:val="24"/>
        </w:rPr>
      </w:pPr>
    </w:p>
    <w:p w14:paraId="34EF2170" w14:textId="36E6AF01" w:rsidR="00B61A47" w:rsidRPr="00165E7C" w:rsidRDefault="00B61A47" w:rsidP="00B61A47">
      <w:pPr>
        <w:rPr>
          <w:sz w:val="22"/>
          <w:szCs w:val="24"/>
        </w:rPr>
      </w:pPr>
      <w:r w:rsidRPr="00165E7C">
        <w:rPr>
          <w:sz w:val="22"/>
          <w:szCs w:val="24"/>
        </w:rPr>
        <w:t xml:space="preserve">The Domestic Violence Prevention Act (MSB 2009 No. 84) </w:t>
      </w:r>
      <w:r w:rsidR="00165E7C">
        <w:rPr>
          <w:sz w:val="22"/>
          <w:szCs w:val="24"/>
        </w:rPr>
        <w:t xml:space="preserve">also </w:t>
      </w:r>
      <w:r w:rsidRPr="00165E7C">
        <w:rPr>
          <w:sz w:val="22"/>
          <w:szCs w:val="24"/>
        </w:rPr>
        <w:t>contains regulations that offer the child more protection options. In this law, both physical and mental violence is punishable. In reality, there is rarely a report of mental violence experienced by a child. Usually there is a report filed of physical or sexual violence, to which mental abuse is connected. Article 2 paragraph 2 sub c of this Act creates the possibility for a protection order to be requested in court on behalf of a child, by intervention and with the support of another person.</w:t>
      </w:r>
    </w:p>
    <w:p w14:paraId="54E299E8" w14:textId="77777777" w:rsidR="00B61A47" w:rsidRPr="00165E7C" w:rsidRDefault="00B61A47" w:rsidP="00B61A47">
      <w:pPr>
        <w:rPr>
          <w:sz w:val="22"/>
          <w:szCs w:val="24"/>
        </w:rPr>
      </w:pPr>
      <w:r w:rsidRPr="00165E7C">
        <w:rPr>
          <w:sz w:val="22"/>
          <w:szCs w:val="24"/>
        </w:rPr>
        <w:t>Familiarity with legislation in the community is a gap, which means that enforcement can not be optimal. The results from the qualitative research material indicated that mental violence is not reported. Monitoring the implementation of the policy for the protection of children from a Central Reporting Point can improve the child protection system. Regulations concerning a right to report / duty to report for professional groups working with children should be considered.</w:t>
      </w:r>
    </w:p>
    <w:p w14:paraId="5F849592" w14:textId="1437396B" w:rsidR="00B61A47" w:rsidRPr="00B61A47" w:rsidRDefault="009C74B7" w:rsidP="00B61A47">
      <w:pPr>
        <w:pStyle w:val="ListParagraph"/>
        <w:shd w:val="clear" w:color="auto" w:fill="FFFFFF"/>
        <w:spacing w:line="259" w:lineRule="auto"/>
        <w:ind w:left="360"/>
        <w:jc w:val="both"/>
        <w:outlineLvl w:val="2"/>
        <w:rPr>
          <w:color w:val="000000"/>
          <w:sz w:val="24"/>
          <w:szCs w:val="24"/>
          <w:lang w:eastAsia="en-GB"/>
        </w:rPr>
      </w:pPr>
      <w:hyperlink r:id="rId16" w:history="1">
        <w:r w:rsidR="00B61A47" w:rsidRPr="00B61A47">
          <w:rPr>
            <w:rStyle w:val="Hyperlink"/>
            <w:sz w:val="24"/>
            <w:szCs w:val="24"/>
          </w:rPr>
          <w:t>https://www.unicef.org/lac/media/4546/file/PDF%20Sub-study%20national%20response%20policies%20and%20legislation%20.pdf</w:t>
        </w:r>
      </w:hyperlink>
    </w:p>
    <w:p w14:paraId="24DE0D15" w14:textId="77777777" w:rsidR="00814DDA" w:rsidRDefault="00814DDA" w:rsidP="009F00AF">
      <w:pPr>
        <w:pStyle w:val="ListParagraph"/>
        <w:shd w:val="clear" w:color="auto" w:fill="FFFFFF"/>
        <w:spacing w:line="259" w:lineRule="auto"/>
        <w:ind w:left="360"/>
        <w:jc w:val="both"/>
        <w:outlineLvl w:val="2"/>
        <w:rPr>
          <w:color w:val="000000"/>
          <w:sz w:val="24"/>
          <w:szCs w:val="24"/>
          <w:lang w:eastAsia="en-GB"/>
        </w:rPr>
      </w:pPr>
    </w:p>
    <w:p w14:paraId="75A8995F" w14:textId="77777777" w:rsidR="00814DDA" w:rsidRPr="0096645F" w:rsidRDefault="00814DDA" w:rsidP="009F00AF">
      <w:pPr>
        <w:pStyle w:val="ListParagraph"/>
        <w:shd w:val="clear" w:color="auto" w:fill="FFFFFF"/>
        <w:spacing w:line="259" w:lineRule="auto"/>
        <w:ind w:left="360"/>
        <w:jc w:val="both"/>
        <w:outlineLvl w:val="2"/>
        <w:rPr>
          <w:color w:val="000000"/>
          <w:sz w:val="24"/>
          <w:szCs w:val="24"/>
          <w:lang w:eastAsia="en-GB"/>
        </w:rPr>
      </w:pPr>
    </w:p>
    <w:p w14:paraId="1740349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152D4C16" w14:textId="77777777" w:rsidR="009F00AF" w:rsidRDefault="009F00AF" w:rsidP="009F00AF">
      <w:pPr>
        <w:pStyle w:val="ListParagraph"/>
        <w:spacing w:line="259" w:lineRule="auto"/>
        <w:jc w:val="both"/>
        <w:rPr>
          <w:color w:val="000000"/>
          <w:sz w:val="24"/>
          <w:szCs w:val="24"/>
          <w:lang w:eastAsia="en-GB"/>
        </w:rPr>
      </w:pPr>
    </w:p>
    <w:p w14:paraId="592116A1" w14:textId="2B9D0AA3" w:rsidR="00814DDA" w:rsidRDefault="00814DDA" w:rsidP="00814DDA">
      <w:pPr>
        <w:pStyle w:val="ListParagraph"/>
        <w:numPr>
          <w:ilvl w:val="0"/>
          <w:numId w:val="5"/>
        </w:numPr>
        <w:spacing w:line="259" w:lineRule="auto"/>
        <w:jc w:val="both"/>
        <w:rPr>
          <w:color w:val="000000"/>
          <w:sz w:val="24"/>
          <w:szCs w:val="24"/>
          <w:lang w:eastAsia="en-GB"/>
        </w:rPr>
      </w:pPr>
      <w:r>
        <w:rPr>
          <w:color w:val="000000"/>
          <w:sz w:val="24"/>
          <w:szCs w:val="24"/>
          <w:lang w:eastAsia="en-GB"/>
        </w:rPr>
        <w:t>Structural &amp; institutional violence with State origins: police violence against LGBT</w:t>
      </w:r>
      <w:r w:rsidR="008E7ADA">
        <w:rPr>
          <w:color w:val="000000"/>
          <w:sz w:val="24"/>
          <w:szCs w:val="24"/>
          <w:lang w:eastAsia="en-GB"/>
        </w:rPr>
        <w:t>QI, especially sex workers</w:t>
      </w:r>
      <w:r w:rsidR="005F16A0">
        <w:rPr>
          <w:color w:val="000000"/>
          <w:sz w:val="24"/>
          <w:szCs w:val="24"/>
          <w:lang w:eastAsia="en-GB"/>
        </w:rPr>
        <w:t>.</w:t>
      </w:r>
    </w:p>
    <w:p w14:paraId="4E3EFA8C" w14:textId="15396ECF" w:rsidR="008E7ADA" w:rsidRDefault="005F16A0" w:rsidP="00814DDA">
      <w:pPr>
        <w:pStyle w:val="ListParagraph"/>
        <w:numPr>
          <w:ilvl w:val="0"/>
          <w:numId w:val="5"/>
        </w:numPr>
        <w:spacing w:line="259" w:lineRule="auto"/>
        <w:jc w:val="both"/>
        <w:rPr>
          <w:color w:val="000000"/>
          <w:sz w:val="24"/>
          <w:szCs w:val="24"/>
          <w:lang w:eastAsia="en-GB"/>
        </w:rPr>
      </w:pPr>
      <w:r>
        <w:rPr>
          <w:color w:val="000000"/>
          <w:sz w:val="24"/>
          <w:szCs w:val="24"/>
          <w:lang w:eastAsia="en-GB"/>
        </w:rPr>
        <w:t>L</w:t>
      </w:r>
      <w:r w:rsidR="008E7ADA">
        <w:rPr>
          <w:color w:val="000000"/>
          <w:sz w:val="24"/>
          <w:szCs w:val="24"/>
          <w:lang w:eastAsia="en-GB"/>
        </w:rPr>
        <w:t>ack of gender-sens</w:t>
      </w:r>
      <w:r>
        <w:rPr>
          <w:color w:val="000000"/>
          <w:sz w:val="24"/>
          <w:szCs w:val="24"/>
          <w:lang w:eastAsia="en-GB"/>
        </w:rPr>
        <w:t xml:space="preserve">itive care for girls/women and LGBTQI persons. </w:t>
      </w:r>
    </w:p>
    <w:p w14:paraId="656DF87A" w14:textId="77777777" w:rsidR="00814DDA" w:rsidRDefault="00814DDA" w:rsidP="009F00AF">
      <w:pPr>
        <w:pStyle w:val="ListParagraph"/>
        <w:spacing w:line="259" w:lineRule="auto"/>
        <w:jc w:val="both"/>
        <w:rPr>
          <w:color w:val="000000"/>
          <w:sz w:val="24"/>
          <w:szCs w:val="24"/>
          <w:lang w:eastAsia="en-GB"/>
        </w:rPr>
      </w:pPr>
    </w:p>
    <w:p w14:paraId="46E23FEE" w14:textId="77777777" w:rsidR="00814DDA" w:rsidRPr="0096645F" w:rsidRDefault="00814DDA" w:rsidP="009F00AF">
      <w:pPr>
        <w:pStyle w:val="ListParagraph"/>
        <w:spacing w:line="259" w:lineRule="auto"/>
        <w:jc w:val="both"/>
        <w:rPr>
          <w:color w:val="000000"/>
          <w:sz w:val="24"/>
          <w:szCs w:val="24"/>
          <w:lang w:eastAsia="en-GB"/>
        </w:rPr>
      </w:pPr>
    </w:p>
    <w:p w14:paraId="05CC9E52" w14:textId="77777777" w:rsidR="009F00AF" w:rsidRPr="008529B9"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677CB140" w14:textId="77777777" w:rsidR="008529B9" w:rsidRDefault="008529B9" w:rsidP="008529B9">
      <w:pPr>
        <w:pStyle w:val="ListParagraph"/>
        <w:shd w:val="clear" w:color="auto" w:fill="FFFFFF"/>
        <w:spacing w:line="259" w:lineRule="auto"/>
        <w:ind w:left="360"/>
        <w:jc w:val="both"/>
        <w:outlineLvl w:val="2"/>
        <w:rPr>
          <w:rFonts w:eastAsia="Verdana"/>
          <w:color w:val="000000"/>
          <w:sz w:val="24"/>
          <w:szCs w:val="24"/>
        </w:rPr>
      </w:pPr>
    </w:p>
    <w:p w14:paraId="08B348F4" w14:textId="77777777" w:rsidR="008529B9" w:rsidRPr="00165E7C" w:rsidRDefault="008529B9" w:rsidP="008529B9">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 xml:space="preserve">In November 2011 Stichting Lobi Health Center in collaboration with Professional Associates for Representation, Equality and Acceptance (PAREA) and Women’s Rights Centre submitted a Stakeholders’ contributions to the 39th session of the Universal Periodic Review (UPR) working group of the Human Rights Council in the occasion of the upcoming review of the Republic of Suriname, November 2021. </w:t>
      </w:r>
    </w:p>
    <w:p w14:paraId="539DB5D2" w14:textId="77777777" w:rsidR="008529B9" w:rsidRPr="00165E7C" w:rsidRDefault="008529B9" w:rsidP="008529B9">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 xml:space="preserve">Stichting Lobi Health Center is an accredited member of the International Planned Parenthood Federation and is considered by local government bodies as The Family Planning organization. </w:t>
      </w:r>
    </w:p>
    <w:p w14:paraId="75571819" w14:textId="32803FFC" w:rsidR="008529B9" w:rsidRPr="00165E7C" w:rsidRDefault="008529B9" w:rsidP="008529B9">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 xml:space="preserve">In the case of the criminalization of abortion the submitted UPR contribution mentioned the following: </w:t>
      </w:r>
    </w:p>
    <w:p w14:paraId="29447051" w14:textId="77777777" w:rsidR="008529B9" w:rsidRPr="00165E7C" w:rsidRDefault="008529B9" w:rsidP="008529B9">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 xml:space="preserve">Suriname applies a criminal law approach to abortion, making it illegal, regardless of the risk to the pregnant women’s life, pregnancy in the case of rape or incest, or fetal malformation incompatible with life. This makes Suriname one of the less than 20 countries in the world with such inhuman criminal standards that are coercive in reproductive decision making and therewith it violates international human rights law and standards. </w:t>
      </w:r>
    </w:p>
    <w:p w14:paraId="04622A6A" w14:textId="77777777" w:rsidR="001A4E85" w:rsidRPr="00165E7C" w:rsidRDefault="001A4E85" w:rsidP="008529B9">
      <w:pPr>
        <w:pStyle w:val="ListParagraph"/>
        <w:shd w:val="clear" w:color="auto" w:fill="FFFFFF"/>
        <w:spacing w:line="259" w:lineRule="auto"/>
        <w:ind w:left="360"/>
        <w:jc w:val="both"/>
        <w:outlineLvl w:val="2"/>
        <w:rPr>
          <w:color w:val="000000"/>
          <w:sz w:val="22"/>
          <w:szCs w:val="24"/>
          <w:lang w:eastAsia="en-GB"/>
        </w:rPr>
      </w:pPr>
    </w:p>
    <w:p w14:paraId="4195A95E" w14:textId="77777777" w:rsidR="008529B9" w:rsidRPr="00165E7C" w:rsidRDefault="008529B9" w:rsidP="008529B9">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 xml:space="preserve">Although the Surinamese government claims that it does not enforce the abortion criminal laws, it fails to justify why it does not amend the laws accordingly to the 2017 urge by the IACHR to adopt comprehensive, immediate measures to respect and protect women’s SRHR, including legal and safe abortions, to create an environment in which women can fully enjoy their right to health. </w:t>
      </w:r>
    </w:p>
    <w:p w14:paraId="4501CFD1" w14:textId="77777777" w:rsidR="001A4E85" w:rsidRPr="00165E7C" w:rsidRDefault="001A4E85" w:rsidP="008529B9">
      <w:pPr>
        <w:pStyle w:val="ListParagraph"/>
        <w:shd w:val="clear" w:color="auto" w:fill="FFFFFF"/>
        <w:spacing w:line="259" w:lineRule="auto"/>
        <w:ind w:left="360"/>
        <w:jc w:val="both"/>
        <w:outlineLvl w:val="2"/>
        <w:rPr>
          <w:color w:val="000000"/>
          <w:sz w:val="22"/>
          <w:szCs w:val="24"/>
          <w:lang w:eastAsia="en-GB"/>
        </w:rPr>
      </w:pPr>
    </w:p>
    <w:p w14:paraId="35A8D372" w14:textId="258F621A" w:rsidR="008529B9" w:rsidRPr="00165E7C" w:rsidRDefault="008529B9" w:rsidP="008529B9">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It is public knowledge that because of the illegal status of abortions, women and girls in need of an abortion resort to unsafe abortions with serious health threats. Not seldom, women end up at the emergency room of the Academic Hospital with complications due to unsafe abortions causing serious health threats. Another result of the illegality of abortion is the absence of reliable abortion-related data, because abortions done in hospitals are inaccurately registered as dilation and curettage. Nonetheless, estimated numbers of annual abortions are ranging between 5.000 and 10.000. Furthermore, due to its illegality, abortions are not covered by health insurance packages, causing adverse financial affects hampering access to safe abortion services, including effective pre- and post-abortion counselling services aimed at harm reduction and future unwanted pregnancies as an integrated part of comprehensive SRHR-policies. This means that while safe abortion is available mostly to wealthy women, it is an additional violation of the right to health for poor women and the most marginalized, who might undergo financial risks in order to access this service. Furthermore, abortions, including medical abortions with Cytotec, occur without proper medical guidance and information on the potential risks and adverse effects.</w:t>
      </w:r>
    </w:p>
    <w:p w14:paraId="0828702F" w14:textId="77777777" w:rsidR="008757C8" w:rsidRPr="00165E7C" w:rsidRDefault="008757C8" w:rsidP="008529B9">
      <w:pPr>
        <w:pStyle w:val="ListParagraph"/>
        <w:shd w:val="clear" w:color="auto" w:fill="FFFFFF"/>
        <w:spacing w:line="259" w:lineRule="auto"/>
        <w:ind w:left="360"/>
        <w:jc w:val="both"/>
        <w:outlineLvl w:val="2"/>
        <w:rPr>
          <w:color w:val="000000"/>
          <w:sz w:val="22"/>
          <w:szCs w:val="24"/>
          <w:lang w:eastAsia="en-GB"/>
        </w:rPr>
      </w:pPr>
    </w:p>
    <w:p w14:paraId="105CC7ED" w14:textId="4536CC96" w:rsidR="008757C8" w:rsidRPr="00165E7C" w:rsidRDefault="008757C8" w:rsidP="008757C8">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 xml:space="preserve">This PHD thesis by a local gynaecologist Lachmi Kodan describes how healthcare providers ownership combined with government commitment can improve the maternal death surveillance and response (MDSR) cycle, aimed to reduce maternal deaths in Suriname. One of the conclusion of the study states the following: </w:t>
      </w:r>
    </w:p>
    <w:p w14:paraId="526E7948" w14:textId="77777777" w:rsidR="008757C8" w:rsidRPr="00165E7C" w:rsidRDefault="008757C8" w:rsidP="008757C8">
      <w:pPr>
        <w:pStyle w:val="ListParagraph"/>
        <w:shd w:val="clear" w:color="auto" w:fill="FFFFFF"/>
        <w:spacing w:line="259" w:lineRule="auto"/>
        <w:ind w:left="360"/>
        <w:jc w:val="both"/>
        <w:outlineLvl w:val="2"/>
        <w:rPr>
          <w:color w:val="000000"/>
          <w:sz w:val="22"/>
          <w:szCs w:val="24"/>
          <w:lang w:eastAsia="en-GB"/>
        </w:rPr>
      </w:pPr>
      <w:r w:rsidRPr="00165E7C">
        <w:rPr>
          <w:color w:val="000000"/>
          <w:sz w:val="22"/>
          <w:szCs w:val="24"/>
          <w:lang w:eastAsia="en-GB"/>
        </w:rPr>
        <w:t>Delay in care was dominated by insufficient care in the health facilities (phase III delay) as decided by the review committees, which is one of the characteristics of obstetric transition stage III. Perinatal deaths concomitant with the maternal deaths decreased significantly over time with improved perinatal care in Suriname.24 Urbanization and better transportation might have contributed to a significant decreasing trend in maternal deaths in the rural interior of Suriname.25 Phase I delay has not improved yet indicating that universal access to care is still an issue in Suriname. The passing of the National Basic Health Insurance Law in 2014 was intended to achieve universal health coverage and make equitable health care available to everyone.26,27 However, several gaps in this system and the deteriorating financial position of the country since 2015 have left those, who were financially dependent on the government for their insurance, uninsured, probably delaying their decision to seek health care.</w:t>
      </w:r>
    </w:p>
    <w:p w14:paraId="732FA31C" w14:textId="77777777" w:rsidR="008757C8" w:rsidRPr="008757C8" w:rsidRDefault="008757C8" w:rsidP="008757C8">
      <w:pPr>
        <w:pStyle w:val="ListParagraph"/>
        <w:shd w:val="clear" w:color="auto" w:fill="FFFFFF"/>
        <w:spacing w:line="259" w:lineRule="auto"/>
        <w:ind w:left="360"/>
        <w:jc w:val="both"/>
        <w:outlineLvl w:val="2"/>
        <w:rPr>
          <w:color w:val="000000"/>
          <w:sz w:val="24"/>
          <w:szCs w:val="24"/>
          <w:lang w:eastAsia="en-GB"/>
        </w:rPr>
      </w:pPr>
    </w:p>
    <w:p w14:paraId="12646BDB" w14:textId="51D895BE" w:rsidR="008757C8" w:rsidRDefault="009C74B7" w:rsidP="008757C8">
      <w:pPr>
        <w:pStyle w:val="ListParagraph"/>
        <w:shd w:val="clear" w:color="auto" w:fill="FFFFFF"/>
        <w:spacing w:line="259" w:lineRule="auto"/>
        <w:ind w:left="360"/>
        <w:jc w:val="both"/>
        <w:outlineLvl w:val="2"/>
        <w:rPr>
          <w:color w:val="000000"/>
          <w:sz w:val="24"/>
          <w:szCs w:val="24"/>
          <w:lang w:eastAsia="en-GB"/>
        </w:rPr>
      </w:pPr>
      <w:hyperlink r:id="rId17" w:history="1">
        <w:r w:rsidR="008757C8" w:rsidRPr="00C26676">
          <w:rPr>
            <w:rStyle w:val="Hyperlink"/>
            <w:sz w:val="24"/>
            <w:szCs w:val="24"/>
            <w:lang w:eastAsia="en-GB"/>
          </w:rPr>
          <w:t>https://www.verloskundesuriname.org/uploads/7/5/4/5/75459511/phd_thesis_-_l._kodan.pdf</w:t>
        </w:r>
      </w:hyperlink>
    </w:p>
    <w:p w14:paraId="727674BE" w14:textId="77777777" w:rsidR="008E7ADA" w:rsidRPr="00E63A84" w:rsidRDefault="008E7ADA" w:rsidP="008757C8">
      <w:pPr>
        <w:shd w:val="clear" w:color="auto" w:fill="FFFFFF"/>
        <w:spacing w:line="259" w:lineRule="auto"/>
        <w:jc w:val="both"/>
        <w:outlineLvl w:val="2"/>
        <w:rPr>
          <w:color w:val="000000"/>
          <w:sz w:val="24"/>
          <w:szCs w:val="24"/>
          <w:lang w:eastAsia="en-GB"/>
        </w:rPr>
      </w:pPr>
    </w:p>
    <w:p w14:paraId="273DEDF1" w14:textId="77777777"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5E038B2F" w14:textId="77777777" w:rsidR="00C0604E" w:rsidRPr="00C0604E" w:rsidRDefault="00C0604E" w:rsidP="00C0604E">
      <w:pPr>
        <w:shd w:val="clear" w:color="auto" w:fill="FFFFFF"/>
        <w:spacing w:line="259" w:lineRule="auto"/>
        <w:jc w:val="both"/>
        <w:outlineLvl w:val="2"/>
        <w:rPr>
          <w:color w:val="000000"/>
          <w:sz w:val="24"/>
          <w:szCs w:val="24"/>
          <w:lang w:eastAsia="en-GB"/>
        </w:rPr>
      </w:pPr>
    </w:p>
    <w:p w14:paraId="106F778F" w14:textId="77777777" w:rsidR="00C0604E" w:rsidRPr="00165E7C" w:rsidRDefault="00C0604E" w:rsidP="008C5C8D">
      <w:pPr>
        <w:pStyle w:val="ListParagraph"/>
        <w:numPr>
          <w:ilvl w:val="0"/>
          <w:numId w:val="15"/>
        </w:numPr>
        <w:shd w:val="clear" w:color="auto" w:fill="FFFFFF"/>
        <w:spacing w:line="259" w:lineRule="auto"/>
        <w:jc w:val="both"/>
        <w:outlineLvl w:val="2"/>
        <w:rPr>
          <w:color w:val="000000"/>
          <w:sz w:val="22"/>
          <w:szCs w:val="24"/>
          <w:lang w:val="en-US" w:eastAsia="en-GB"/>
        </w:rPr>
      </w:pPr>
      <w:r w:rsidRPr="00E63A84">
        <w:rPr>
          <w:color w:val="000000"/>
          <w:sz w:val="24"/>
          <w:szCs w:val="24"/>
          <w:lang w:val="en-US" w:eastAsia="en-GB"/>
        </w:rPr>
        <w:t xml:space="preserve">The Violence against Children (VAC) study 2017 – 2018 in Suriname study </w:t>
      </w:r>
      <w:r w:rsidRPr="00165E7C">
        <w:rPr>
          <w:color w:val="000000"/>
          <w:sz w:val="22"/>
          <w:szCs w:val="24"/>
          <w:lang w:val="en-US" w:eastAsia="en-GB"/>
        </w:rPr>
        <w:t>showed that government child protection programmes are inadequate, due to a myriad of reasons, e.g. a lack of a coordinated approach and a tracking system in the support process, lack of case management and monitoring systems; and lack of defined processes and protocols for professional groups working with children present. There is a shortage of social workers in public service and at NGO level, as well as of adequate childcare and guidance of traumatized children.</w:t>
      </w:r>
    </w:p>
    <w:p w14:paraId="24916A88" w14:textId="6A8F2446" w:rsidR="008757C8" w:rsidRPr="00165E7C" w:rsidRDefault="008757C8" w:rsidP="008757C8">
      <w:pPr>
        <w:shd w:val="clear" w:color="auto" w:fill="FFFFFF"/>
        <w:spacing w:line="259" w:lineRule="auto"/>
        <w:jc w:val="both"/>
        <w:outlineLvl w:val="2"/>
        <w:rPr>
          <w:color w:val="000000"/>
          <w:sz w:val="22"/>
          <w:szCs w:val="24"/>
          <w:lang w:eastAsia="en-GB"/>
        </w:rPr>
      </w:pPr>
    </w:p>
    <w:p w14:paraId="7CF57B21" w14:textId="3C92510B" w:rsidR="008757C8" w:rsidRPr="00165E7C" w:rsidRDefault="00B44A3F" w:rsidP="008E7ADA">
      <w:pPr>
        <w:pStyle w:val="ListParagraph"/>
        <w:numPr>
          <w:ilvl w:val="0"/>
          <w:numId w:val="7"/>
        </w:numPr>
        <w:shd w:val="clear" w:color="auto" w:fill="FFFFFF"/>
        <w:spacing w:line="259" w:lineRule="auto"/>
        <w:jc w:val="both"/>
        <w:outlineLvl w:val="2"/>
        <w:rPr>
          <w:color w:val="000000"/>
          <w:sz w:val="22"/>
          <w:szCs w:val="24"/>
          <w:lang w:eastAsia="en-GB"/>
        </w:rPr>
      </w:pPr>
      <w:r w:rsidRPr="00165E7C">
        <w:rPr>
          <w:color w:val="000000"/>
          <w:sz w:val="22"/>
          <w:szCs w:val="24"/>
          <w:lang w:eastAsia="en-GB"/>
        </w:rPr>
        <w:t>1 government-run shelter</w:t>
      </w:r>
      <w:r w:rsidR="008C5C8D" w:rsidRPr="00165E7C">
        <w:rPr>
          <w:color w:val="000000"/>
          <w:sz w:val="22"/>
          <w:szCs w:val="24"/>
          <w:lang w:eastAsia="en-GB"/>
        </w:rPr>
        <w:t xml:space="preserve"> active for female</w:t>
      </w:r>
      <w:r w:rsidRPr="00165E7C">
        <w:rPr>
          <w:color w:val="000000"/>
          <w:sz w:val="22"/>
          <w:szCs w:val="24"/>
          <w:lang w:eastAsia="en-GB"/>
        </w:rPr>
        <w:t xml:space="preserve"> victims of DV</w:t>
      </w:r>
      <w:r w:rsidR="008C5C8D" w:rsidRPr="00165E7C">
        <w:rPr>
          <w:color w:val="000000"/>
          <w:sz w:val="22"/>
          <w:szCs w:val="24"/>
          <w:lang w:eastAsia="en-GB"/>
        </w:rPr>
        <w:t>.</w:t>
      </w:r>
      <w:r w:rsidR="00852BA1" w:rsidRPr="00165E7C">
        <w:rPr>
          <w:color w:val="000000"/>
          <w:sz w:val="22"/>
          <w:szCs w:val="24"/>
          <w:lang w:eastAsia="en-GB"/>
        </w:rPr>
        <w:t xml:space="preserve"> </w:t>
      </w:r>
    </w:p>
    <w:p w14:paraId="0DDDECA7" w14:textId="0ADF9155" w:rsidR="009F00AF" w:rsidRPr="00165E7C" w:rsidRDefault="008C5C8D" w:rsidP="008E7ADA">
      <w:pPr>
        <w:pStyle w:val="ListParagraph"/>
        <w:numPr>
          <w:ilvl w:val="0"/>
          <w:numId w:val="7"/>
        </w:numPr>
        <w:shd w:val="clear" w:color="auto" w:fill="FFFFFF"/>
        <w:spacing w:line="259" w:lineRule="auto"/>
        <w:jc w:val="both"/>
        <w:outlineLvl w:val="2"/>
        <w:rPr>
          <w:color w:val="000000"/>
          <w:sz w:val="22"/>
          <w:szCs w:val="24"/>
          <w:lang w:eastAsia="en-GB"/>
        </w:rPr>
      </w:pPr>
      <w:r w:rsidRPr="00165E7C">
        <w:rPr>
          <w:color w:val="000000"/>
          <w:sz w:val="22"/>
          <w:szCs w:val="24"/>
          <w:lang w:eastAsia="en-GB"/>
        </w:rPr>
        <w:t>P</w:t>
      </w:r>
      <w:r w:rsidR="008B6C85" w:rsidRPr="00165E7C">
        <w:rPr>
          <w:color w:val="000000"/>
          <w:sz w:val="22"/>
          <w:szCs w:val="24"/>
          <w:lang w:eastAsia="en-GB"/>
        </w:rPr>
        <w:t xml:space="preserve">rivate shelters </w:t>
      </w:r>
      <w:r w:rsidR="00852BA1" w:rsidRPr="00165E7C">
        <w:rPr>
          <w:color w:val="000000"/>
          <w:sz w:val="22"/>
          <w:szCs w:val="24"/>
          <w:lang w:eastAsia="en-GB"/>
        </w:rPr>
        <w:t>Stricris &amp; Hadassah</w:t>
      </w:r>
      <w:r w:rsidRPr="00165E7C">
        <w:rPr>
          <w:color w:val="000000"/>
          <w:sz w:val="22"/>
          <w:szCs w:val="24"/>
          <w:lang w:eastAsia="en-GB"/>
        </w:rPr>
        <w:t xml:space="preserve">. </w:t>
      </w:r>
    </w:p>
    <w:p w14:paraId="543BEF28" w14:textId="6DAEDE37" w:rsidR="008C5C8D" w:rsidRPr="00165E7C" w:rsidRDefault="00502993" w:rsidP="00502993">
      <w:pPr>
        <w:pStyle w:val="ListParagraph"/>
        <w:numPr>
          <w:ilvl w:val="0"/>
          <w:numId w:val="7"/>
        </w:numPr>
        <w:shd w:val="clear" w:color="auto" w:fill="FFFFFF"/>
        <w:spacing w:line="259" w:lineRule="auto"/>
        <w:jc w:val="both"/>
        <w:outlineLvl w:val="2"/>
        <w:rPr>
          <w:color w:val="000000"/>
          <w:sz w:val="22"/>
          <w:szCs w:val="24"/>
          <w:lang w:eastAsia="en-GB"/>
        </w:rPr>
      </w:pPr>
      <w:r w:rsidRPr="00165E7C">
        <w:rPr>
          <w:color w:val="000000"/>
          <w:sz w:val="22"/>
          <w:szCs w:val="24"/>
          <w:lang w:eastAsia="en-GB"/>
        </w:rPr>
        <w:t>Stichting Stop Geweld tegen Vrouwen (Stop Violence Against Women Foundation) focuses on the guidance of victims, perpetrators and family members (children). Prevention, information and influencing policy are also part of the integrated approach.</w:t>
      </w:r>
    </w:p>
    <w:p w14:paraId="3DF3929E" w14:textId="77777777" w:rsidR="008E7ADA" w:rsidRPr="00165E7C" w:rsidRDefault="008E7ADA" w:rsidP="009F00AF">
      <w:pPr>
        <w:pStyle w:val="ListParagraph"/>
        <w:shd w:val="clear" w:color="auto" w:fill="FFFFFF"/>
        <w:spacing w:line="259" w:lineRule="auto"/>
        <w:ind w:left="360"/>
        <w:jc w:val="both"/>
        <w:outlineLvl w:val="2"/>
        <w:rPr>
          <w:color w:val="000000"/>
          <w:sz w:val="22"/>
          <w:szCs w:val="24"/>
          <w:lang w:val="en-US"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Covid 19 to </w:t>
      </w:r>
      <w:r w:rsidRPr="0096645F">
        <w:rPr>
          <w:color w:val="000000"/>
          <w:sz w:val="24"/>
          <w:szCs w:val="24"/>
          <w:lang w:eastAsia="en-GB"/>
        </w:rPr>
        <w:t xml:space="preserve">the funding of responses to all/some forms of violence in your State/institution.  </w:t>
      </w:r>
    </w:p>
    <w:p w14:paraId="5B3AD8EB" w14:textId="77777777" w:rsidR="00B44A3F" w:rsidRPr="00E63A84" w:rsidRDefault="00B44A3F" w:rsidP="009F00AF">
      <w:pPr>
        <w:pStyle w:val="ListParagraph"/>
        <w:shd w:val="clear" w:color="auto" w:fill="FFFFFF"/>
        <w:spacing w:line="259" w:lineRule="auto"/>
        <w:ind w:left="360"/>
        <w:jc w:val="both"/>
        <w:outlineLvl w:val="2"/>
        <w:rPr>
          <w:color w:val="000000"/>
          <w:sz w:val="24"/>
          <w:szCs w:val="24"/>
          <w:lang w:val="en-US"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5C1547C0" w14:textId="77777777" w:rsidR="00B44A3F" w:rsidRPr="00E63A84" w:rsidRDefault="00B44A3F" w:rsidP="009F00AF">
      <w:pPr>
        <w:pStyle w:val="ListParagraph"/>
        <w:spacing w:line="259" w:lineRule="auto"/>
        <w:jc w:val="both"/>
        <w:rPr>
          <w:color w:val="000000"/>
          <w:sz w:val="24"/>
          <w:szCs w:val="24"/>
          <w:lang w:val="en-US"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249EC498" w:rsidR="009F00AF" w:rsidRPr="00165E7C" w:rsidRDefault="00C0604E" w:rsidP="00502993">
      <w:pPr>
        <w:pStyle w:val="ListParagraph"/>
        <w:numPr>
          <w:ilvl w:val="0"/>
          <w:numId w:val="9"/>
        </w:numPr>
        <w:rPr>
          <w:color w:val="000000"/>
          <w:sz w:val="22"/>
          <w:szCs w:val="24"/>
          <w:lang w:eastAsia="en-GB"/>
        </w:rPr>
      </w:pPr>
      <w:r w:rsidRPr="00165E7C">
        <w:rPr>
          <w:color w:val="000000"/>
          <w:sz w:val="22"/>
          <w:szCs w:val="24"/>
          <w:lang w:eastAsia="en-GB"/>
        </w:rPr>
        <w:t>Based on the recommendations of the Violence against Children Study, in 2018, the Government of Suriname initiated setting up a coordinated mechanism for the child protection services through the IKBen network of service providers both at public and NGO level. Processes and procedures were discussed and a set of tools were developed and a system for case work and case management was proposed. Although the initial steps are hopeful, this system is still not fully implemented among all service providers working in the chain of child protection.</w:t>
      </w:r>
    </w:p>
    <w:p w14:paraId="0DA7C714" w14:textId="5BFC3546" w:rsidR="001B5E87" w:rsidRPr="00165E7C" w:rsidRDefault="00796AF5" w:rsidP="00796AF5">
      <w:pPr>
        <w:pStyle w:val="ListParagraph"/>
        <w:numPr>
          <w:ilvl w:val="0"/>
          <w:numId w:val="9"/>
        </w:numPr>
        <w:spacing w:line="259" w:lineRule="auto"/>
        <w:jc w:val="both"/>
        <w:rPr>
          <w:color w:val="000000"/>
          <w:sz w:val="22"/>
          <w:szCs w:val="24"/>
          <w:lang w:eastAsia="en-GB"/>
        </w:rPr>
      </w:pPr>
      <w:r w:rsidRPr="00165E7C">
        <w:rPr>
          <w:color w:val="000000"/>
          <w:sz w:val="22"/>
          <w:szCs w:val="24"/>
          <w:lang w:eastAsia="en-GB"/>
        </w:rPr>
        <w:t>Network of NGOs against violence:</w:t>
      </w:r>
      <w:r w:rsidRPr="00165E7C">
        <w:rPr>
          <w:rStyle w:val="jlqj4b"/>
          <w:sz w:val="22"/>
          <w:szCs w:val="24"/>
        </w:rPr>
        <w:t xml:space="preserve"> active network of 35 national- and community organizations that are committed to combating sexual and domestic violence</w:t>
      </w:r>
      <w:r w:rsidR="00E63A84" w:rsidRPr="00165E7C">
        <w:rPr>
          <w:rStyle w:val="jlqj4b"/>
          <w:sz w:val="22"/>
          <w:szCs w:val="24"/>
        </w:rPr>
        <w:t>, under the leadership of Projeka-foundation</w:t>
      </w:r>
      <w:r w:rsidRPr="00165E7C">
        <w:rPr>
          <w:rStyle w:val="jlqj4b"/>
          <w:sz w:val="22"/>
          <w:szCs w:val="24"/>
        </w:rPr>
        <w:t>. A priority list against sexual and domestic violence has been created, which is supported by these organizations.</w:t>
      </w:r>
    </w:p>
    <w:p w14:paraId="376E69B1" w14:textId="177ADBF3" w:rsidR="00B44A3F" w:rsidRPr="00165E7C" w:rsidRDefault="00852BA1" w:rsidP="00F3707F">
      <w:pPr>
        <w:pStyle w:val="ListParagraph"/>
        <w:numPr>
          <w:ilvl w:val="0"/>
          <w:numId w:val="9"/>
        </w:numPr>
        <w:spacing w:line="259" w:lineRule="auto"/>
        <w:jc w:val="both"/>
        <w:rPr>
          <w:color w:val="000000"/>
          <w:sz w:val="22"/>
          <w:szCs w:val="24"/>
          <w:lang w:eastAsia="en-GB"/>
        </w:rPr>
      </w:pPr>
      <w:r w:rsidRPr="00165E7C">
        <w:rPr>
          <w:color w:val="000000"/>
          <w:sz w:val="22"/>
          <w:szCs w:val="24"/>
          <w:lang w:eastAsia="en-GB"/>
        </w:rPr>
        <w:t>Hadassah</w:t>
      </w:r>
      <w:r w:rsidR="00F61269" w:rsidRPr="00165E7C">
        <w:rPr>
          <w:color w:val="000000"/>
          <w:sz w:val="22"/>
          <w:szCs w:val="24"/>
          <w:lang w:eastAsia="en-GB"/>
        </w:rPr>
        <w:t xml:space="preserve"> Shelter</w:t>
      </w:r>
      <w:r w:rsidR="00796AF5" w:rsidRPr="00165E7C">
        <w:rPr>
          <w:color w:val="000000"/>
          <w:sz w:val="22"/>
          <w:szCs w:val="24"/>
          <w:lang w:eastAsia="en-GB"/>
        </w:rPr>
        <w:t xml:space="preserve">: </w:t>
      </w:r>
      <w:r w:rsidR="00F61269" w:rsidRPr="00165E7C">
        <w:rPr>
          <w:color w:val="000000"/>
          <w:sz w:val="22"/>
          <w:szCs w:val="24"/>
          <w:lang w:eastAsia="en-GB"/>
        </w:rPr>
        <w:t>a crises shelter under the management of a local foundation called Weid Mijn Lammeren, houses vulnerable children and women. Their housing, well-being and guidance are taken care of. The young people and women go through a process in which they are guided to independent living and live in society.</w:t>
      </w:r>
    </w:p>
    <w:p w14:paraId="21D97615" w14:textId="77777777" w:rsidR="00B44A3F" w:rsidRPr="0096645F" w:rsidRDefault="00B44A3F" w:rsidP="009F00AF">
      <w:pPr>
        <w:pStyle w:val="ListParagraph"/>
        <w:spacing w:line="259" w:lineRule="auto"/>
        <w:jc w:val="both"/>
        <w:rPr>
          <w:color w:val="000000"/>
          <w:sz w:val="24"/>
          <w:szCs w:val="24"/>
          <w:lang w:eastAsia="en-GB"/>
        </w:rPr>
      </w:pPr>
    </w:p>
    <w:p w14:paraId="09A07E91" w14:textId="77777777" w:rsidR="00D479B9" w:rsidRPr="00D479B9" w:rsidRDefault="009F00AF" w:rsidP="00D479B9">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Please describe State and other actors initiatives and measures to prevent these forms of violence, specific budget allocated to prevention, and good practices in this regard.</w:t>
      </w:r>
    </w:p>
    <w:p w14:paraId="0E41BC74" w14:textId="44CFE511" w:rsidR="00F611AA" w:rsidRPr="00165E7C" w:rsidRDefault="00AE5AE4" w:rsidP="00165E7C">
      <w:pPr>
        <w:pStyle w:val="ListParagraph"/>
        <w:numPr>
          <w:ilvl w:val="0"/>
          <w:numId w:val="19"/>
        </w:numPr>
        <w:spacing w:before="200" w:after="200" w:line="276" w:lineRule="auto"/>
        <w:rPr>
          <w:sz w:val="22"/>
          <w:szCs w:val="24"/>
          <w:lang w:val="en-US"/>
        </w:rPr>
      </w:pPr>
      <w:r w:rsidRPr="00165E7C">
        <w:rPr>
          <w:sz w:val="22"/>
          <w:szCs w:val="24"/>
          <w:lang w:val="en-US"/>
        </w:rPr>
        <w:t xml:space="preserve">Hear Us Now: </w:t>
      </w:r>
      <w:r w:rsidRPr="00165E7C">
        <w:rPr>
          <w:sz w:val="22"/>
          <w:szCs w:val="24"/>
        </w:rPr>
        <w:t xml:space="preserve">a multi-year program to increase awareness and build capacity on gender equality and sexual and domestic violence through the activities of sports-, culture- and community organizations with a special focus on inclusiveness.  </w:t>
      </w:r>
      <w:r w:rsidRPr="00165E7C">
        <w:rPr>
          <w:rStyle w:val="jlqj4b"/>
          <w:sz w:val="22"/>
          <w:szCs w:val="24"/>
        </w:rPr>
        <w:t>This program has resulted in an active network of 35 national- and community organizations that are committed to combating sexual and domestic violence. A priority list against sexual and domestic violence has been created, which is supported by these organizations.</w:t>
      </w:r>
      <w:r w:rsidR="00F611AA" w:rsidRPr="00165E7C">
        <w:rPr>
          <w:sz w:val="22"/>
          <w:szCs w:val="24"/>
          <w:lang w:val="en-US"/>
        </w:rPr>
        <w:t xml:space="preserve"> </w:t>
      </w:r>
      <w:r w:rsidR="008529B9" w:rsidRPr="00165E7C">
        <w:rPr>
          <w:sz w:val="22"/>
          <w:szCs w:val="24"/>
          <w:lang w:val="en-US"/>
        </w:rPr>
        <w:t>Executed by Stichting Projekta</w:t>
      </w:r>
      <w:r w:rsidR="00E63A84" w:rsidRPr="00165E7C">
        <w:rPr>
          <w:sz w:val="22"/>
          <w:szCs w:val="24"/>
          <w:lang w:val="en-US"/>
        </w:rPr>
        <w:t xml:space="preserve"> (or Projekta Foundation)</w:t>
      </w:r>
      <w:r w:rsidR="008529B9" w:rsidRPr="00165E7C">
        <w:rPr>
          <w:sz w:val="22"/>
          <w:szCs w:val="24"/>
          <w:lang w:val="en-US"/>
        </w:rPr>
        <w:t xml:space="preserve">, funded by the European Fund for Democracy and Human Rights. </w:t>
      </w:r>
    </w:p>
    <w:p w14:paraId="5F54AEC6" w14:textId="77777777" w:rsidR="00F61269" w:rsidRPr="00165E7C" w:rsidRDefault="00F611AA" w:rsidP="00165E7C">
      <w:pPr>
        <w:pStyle w:val="ListParagraph"/>
        <w:numPr>
          <w:ilvl w:val="0"/>
          <w:numId w:val="19"/>
        </w:numPr>
        <w:spacing w:before="200" w:after="200" w:line="276" w:lineRule="auto"/>
        <w:rPr>
          <w:sz w:val="22"/>
          <w:szCs w:val="24"/>
          <w:lang w:val="en-US"/>
        </w:rPr>
      </w:pPr>
      <w:r w:rsidRPr="00165E7C">
        <w:rPr>
          <w:sz w:val="22"/>
          <w:szCs w:val="24"/>
          <w:lang w:val="en-US"/>
        </w:rPr>
        <w:t>Strengthening of Community Based Organisations against domesti</w:t>
      </w:r>
      <w:r w:rsidR="00241D4A" w:rsidRPr="00165E7C">
        <w:rPr>
          <w:sz w:val="22"/>
          <w:szCs w:val="24"/>
          <w:lang w:val="en-US"/>
        </w:rPr>
        <w:t>c violence with the focus on Violence Against Children</w:t>
      </w:r>
      <w:r w:rsidRPr="00165E7C">
        <w:rPr>
          <w:sz w:val="22"/>
          <w:szCs w:val="24"/>
          <w:lang w:val="en-US"/>
        </w:rPr>
        <w:t xml:space="preserve"> and G</w:t>
      </w:r>
      <w:r w:rsidR="00241D4A" w:rsidRPr="00165E7C">
        <w:rPr>
          <w:sz w:val="22"/>
          <w:szCs w:val="24"/>
          <w:lang w:val="en-US"/>
        </w:rPr>
        <w:t xml:space="preserve">ender </w:t>
      </w:r>
      <w:r w:rsidRPr="00165E7C">
        <w:rPr>
          <w:sz w:val="22"/>
          <w:szCs w:val="24"/>
          <w:lang w:val="en-US"/>
        </w:rPr>
        <w:t>B</w:t>
      </w:r>
      <w:r w:rsidR="00241D4A" w:rsidRPr="00165E7C">
        <w:rPr>
          <w:sz w:val="22"/>
          <w:szCs w:val="24"/>
          <w:lang w:val="en-US"/>
        </w:rPr>
        <w:t xml:space="preserve">ased </w:t>
      </w:r>
      <w:r w:rsidRPr="00165E7C">
        <w:rPr>
          <w:sz w:val="22"/>
          <w:szCs w:val="24"/>
          <w:lang w:val="en-US"/>
        </w:rPr>
        <w:t>V</w:t>
      </w:r>
      <w:r w:rsidR="00241D4A" w:rsidRPr="00165E7C">
        <w:rPr>
          <w:sz w:val="22"/>
          <w:szCs w:val="24"/>
          <w:lang w:val="en-US"/>
        </w:rPr>
        <w:t>iolence</w:t>
      </w:r>
      <w:r w:rsidRPr="00165E7C">
        <w:rPr>
          <w:sz w:val="22"/>
          <w:szCs w:val="24"/>
          <w:lang w:val="en-US"/>
        </w:rPr>
        <w:t xml:space="preserve">: </w:t>
      </w:r>
      <w:r w:rsidR="003F1A3F" w:rsidRPr="00165E7C">
        <w:rPr>
          <w:sz w:val="22"/>
          <w:szCs w:val="24"/>
          <w:lang w:val="en-US"/>
        </w:rPr>
        <w:t xml:space="preserve">pilot (8 months) that builds on the Hear Us Now program. The pilot included action research on the effectiveness of community-based awareness strategies </w:t>
      </w:r>
      <w:r w:rsidR="00241D4A" w:rsidRPr="00165E7C">
        <w:rPr>
          <w:sz w:val="22"/>
          <w:szCs w:val="24"/>
          <w:lang w:val="en-US"/>
        </w:rPr>
        <w:t>on Domestic Violence</w:t>
      </w:r>
      <w:r w:rsidR="003F1A3F" w:rsidRPr="00165E7C">
        <w:rPr>
          <w:sz w:val="22"/>
          <w:szCs w:val="24"/>
          <w:lang w:val="en-US"/>
        </w:rPr>
        <w:t xml:space="preserve"> </w:t>
      </w:r>
      <w:r w:rsidR="00241D4A" w:rsidRPr="00165E7C">
        <w:rPr>
          <w:sz w:val="22"/>
          <w:szCs w:val="24"/>
          <w:lang w:val="en-US"/>
        </w:rPr>
        <w:t>with emphasis on child abuse.</w:t>
      </w:r>
      <w:r w:rsidR="008529B9" w:rsidRPr="00165E7C">
        <w:rPr>
          <w:sz w:val="22"/>
          <w:szCs w:val="24"/>
          <w:lang w:val="en-US"/>
        </w:rPr>
        <w:t xml:space="preserve"> Executed by Stichting Projekta, funded by Unicef Suriname.</w:t>
      </w:r>
    </w:p>
    <w:p w14:paraId="2280A7D0" w14:textId="495B35DC" w:rsidR="00F61269" w:rsidRPr="00165E7C" w:rsidRDefault="00F61269" w:rsidP="00165E7C">
      <w:pPr>
        <w:pStyle w:val="ListParagraph"/>
        <w:numPr>
          <w:ilvl w:val="0"/>
          <w:numId w:val="19"/>
        </w:numPr>
        <w:spacing w:before="200" w:after="200" w:line="276" w:lineRule="auto"/>
        <w:rPr>
          <w:sz w:val="22"/>
          <w:szCs w:val="24"/>
          <w:lang w:val="en-US"/>
        </w:rPr>
      </w:pPr>
      <w:r w:rsidRPr="00165E7C">
        <w:rPr>
          <w:sz w:val="22"/>
          <w:szCs w:val="24"/>
          <w:lang w:val="en-US"/>
        </w:rPr>
        <w:t>iGROW: The iGROW programme creates a more supportive school environment for students in lower secondary vocational education and training on issues relating to ASRHR and GBV.</w:t>
      </w:r>
      <w:r w:rsidR="008529B9" w:rsidRPr="00165E7C">
        <w:rPr>
          <w:sz w:val="22"/>
          <w:szCs w:val="24"/>
          <w:lang w:val="en-US"/>
        </w:rPr>
        <w:t xml:space="preserve"> </w:t>
      </w:r>
      <w:r w:rsidRPr="00165E7C">
        <w:rPr>
          <w:sz w:val="22"/>
          <w:szCs w:val="24"/>
          <w:lang w:val="en-US"/>
        </w:rPr>
        <w:t xml:space="preserve">The iGROW programme pilots a whole school approach to creating a supportive environment on issues relating to ASRHR and GBV. The programme centers on improving the professional development of teachers and school leaders, and on strengthening the collaboration between schools and civil society. Executed by VVOB Suriname, funded by Belgium and the European Union. </w:t>
      </w:r>
    </w:p>
    <w:p w14:paraId="3CB291FB" w14:textId="77777777" w:rsidR="00F61269" w:rsidRPr="00F61269" w:rsidRDefault="00F61269" w:rsidP="00F61269">
      <w:pPr>
        <w:spacing w:before="200" w:after="200" w:line="276" w:lineRule="auto"/>
        <w:rPr>
          <w:sz w:val="24"/>
          <w:szCs w:val="24"/>
          <w:lang w:val="en-US"/>
        </w:rPr>
      </w:pPr>
    </w:p>
    <w:p w14:paraId="4007B6BC" w14:textId="77777777" w:rsidR="009F00AF" w:rsidRPr="00E63A84" w:rsidRDefault="009F00AF" w:rsidP="009F00AF">
      <w:pPr>
        <w:rPr>
          <w:sz w:val="24"/>
          <w:szCs w:val="24"/>
          <w:shd w:val="clear" w:color="auto" w:fill="FFFFFF"/>
          <w:lang w:val="en-US"/>
        </w:rPr>
      </w:pPr>
      <w:r w:rsidRPr="00E63A84">
        <w:rPr>
          <w:sz w:val="24"/>
          <w:szCs w:val="24"/>
          <w:shd w:val="clear" w:color="auto" w:fill="FFFFFF"/>
          <w:lang w:val="en-US"/>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8"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9"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20"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21"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22"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23"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4"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rPr>
      </w:pPr>
    </w:p>
    <w:p w14:paraId="29D8CEEE" w14:textId="77777777" w:rsidR="008E7ADA" w:rsidRPr="009F00AF" w:rsidRDefault="008E7ADA"/>
    <w:sectPr w:rsidR="008E7ADA" w:rsidRPr="009F00AF" w:rsidSect="008E7ADA">
      <w:footerReference w:type="default" r:id="rId25"/>
      <w:headerReference w:type="first" r:id="rId26"/>
      <w:footerReference w:type="first" r:id="rId2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587E6" w14:textId="77777777" w:rsidR="00923156" w:rsidRDefault="00923156" w:rsidP="009F00AF">
      <w:r>
        <w:separator/>
      </w:r>
    </w:p>
  </w:endnote>
  <w:endnote w:type="continuationSeparator" w:id="0">
    <w:p w14:paraId="3817A5FC" w14:textId="77777777" w:rsidR="00923156" w:rsidRDefault="00923156"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46247A06" w:rsidR="008E7ADA" w:rsidRDefault="008E7ADA">
        <w:pPr>
          <w:pStyle w:val="Footer"/>
          <w:jc w:val="center"/>
        </w:pPr>
        <w:r>
          <w:fldChar w:fldCharType="begin"/>
        </w:r>
        <w:r>
          <w:instrText xml:space="preserve"> PAGE   \* MERGEFORMAT </w:instrText>
        </w:r>
        <w:r>
          <w:fldChar w:fldCharType="separate"/>
        </w:r>
        <w:r w:rsidR="009C74B7">
          <w:rPr>
            <w:noProof/>
          </w:rPr>
          <w:t>4</w:t>
        </w:r>
        <w:r>
          <w:rPr>
            <w:noProof/>
          </w:rPr>
          <w:fldChar w:fldCharType="end"/>
        </w:r>
      </w:p>
    </w:sdtContent>
  </w:sdt>
  <w:p w14:paraId="5A6E9ADE" w14:textId="77777777" w:rsidR="008E7ADA" w:rsidRDefault="008E7ADA" w:rsidP="008E7ADA">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8E7ADA" w:rsidRPr="003F10CA" w:rsidRDefault="008E7ADA" w:rsidP="008E7ADA">
    <w:pPr>
      <w:pStyle w:val="Footer"/>
      <w:tabs>
        <w:tab w:val="left" w:pos="567"/>
      </w:tabs>
    </w:pPr>
    <w:r w:rsidRPr="00904039">
      <w:rPr>
        <w:sz w:val="24"/>
      </w:rPr>
      <w:t xml:space="preserve"> </w:t>
    </w:r>
  </w:p>
  <w:p w14:paraId="2C78BA67" w14:textId="77777777" w:rsidR="008E7ADA" w:rsidRPr="00282983" w:rsidRDefault="008E7ADA" w:rsidP="008E7ADA">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349D" w14:textId="77777777" w:rsidR="00923156" w:rsidRDefault="00923156" w:rsidP="009F00AF">
      <w:r>
        <w:separator/>
      </w:r>
    </w:p>
  </w:footnote>
  <w:footnote w:type="continuationSeparator" w:id="0">
    <w:p w14:paraId="7D850BB8" w14:textId="77777777" w:rsidR="00923156" w:rsidRDefault="00923156" w:rsidP="009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8E7ADA" w:rsidRDefault="008E7ADA" w:rsidP="008E7ADA">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248"/>
    <w:multiLevelType w:val="hybridMultilevel"/>
    <w:tmpl w:val="EE8880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15B02B8"/>
    <w:multiLevelType w:val="hybridMultilevel"/>
    <w:tmpl w:val="C67E5004"/>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 w15:restartNumberingAfterBreak="0">
    <w:nsid w:val="16295689"/>
    <w:multiLevelType w:val="hybridMultilevel"/>
    <w:tmpl w:val="C1C2C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ED6AD8"/>
    <w:multiLevelType w:val="hybridMultilevel"/>
    <w:tmpl w:val="76B8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FB5993"/>
    <w:multiLevelType w:val="hybridMultilevel"/>
    <w:tmpl w:val="671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26242"/>
    <w:multiLevelType w:val="hybridMultilevel"/>
    <w:tmpl w:val="FDE83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93757B"/>
    <w:multiLevelType w:val="hybridMultilevel"/>
    <w:tmpl w:val="8A62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9F4D20"/>
    <w:multiLevelType w:val="hybridMultilevel"/>
    <w:tmpl w:val="DC949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E61383"/>
    <w:multiLevelType w:val="hybridMultilevel"/>
    <w:tmpl w:val="73004B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5687CC3"/>
    <w:multiLevelType w:val="hybridMultilevel"/>
    <w:tmpl w:val="53E60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D356E8"/>
    <w:multiLevelType w:val="hybridMultilevel"/>
    <w:tmpl w:val="B30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717C8"/>
    <w:multiLevelType w:val="hybridMultilevel"/>
    <w:tmpl w:val="9C747D3A"/>
    <w:lvl w:ilvl="0" w:tplc="963CE9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47E65"/>
    <w:multiLevelType w:val="hybridMultilevel"/>
    <w:tmpl w:val="795EAF2C"/>
    <w:lvl w:ilvl="0" w:tplc="E95C2486">
      <w:start w:val="5"/>
      <w:numFmt w:val="bullet"/>
      <w:lvlText w:val="-"/>
      <w:lvlJc w:val="left"/>
      <w:pPr>
        <w:ind w:left="1512" w:hanging="360"/>
      </w:pPr>
      <w:rPr>
        <w:rFonts w:ascii="Verdana" w:eastAsia="Times New Roman" w:hAnsi="Verdana"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32C90"/>
    <w:multiLevelType w:val="hybridMultilevel"/>
    <w:tmpl w:val="A4E8F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BA5F28"/>
    <w:multiLevelType w:val="hybridMultilevel"/>
    <w:tmpl w:val="9F8C6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237381"/>
    <w:multiLevelType w:val="hybridMultilevel"/>
    <w:tmpl w:val="88989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4"/>
  </w:num>
  <w:num w:numId="2">
    <w:abstractNumId w:val="4"/>
  </w:num>
  <w:num w:numId="3">
    <w:abstractNumId w:val="18"/>
  </w:num>
  <w:num w:numId="4">
    <w:abstractNumId w:val="8"/>
  </w:num>
  <w:num w:numId="5">
    <w:abstractNumId w:val="16"/>
  </w:num>
  <w:num w:numId="6">
    <w:abstractNumId w:val="10"/>
  </w:num>
  <w:num w:numId="7">
    <w:abstractNumId w:val="17"/>
  </w:num>
  <w:num w:numId="8">
    <w:abstractNumId w:val="7"/>
  </w:num>
  <w:num w:numId="9">
    <w:abstractNumId w:val="2"/>
  </w:num>
  <w:num w:numId="10">
    <w:abstractNumId w:val="15"/>
  </w:num>
  <w:num w:numId="11">
    <w:abstractNumId w:val="12"/>
  </w:num>
  <w:num w:numId="12">
    <w:abstractNumId w:val="9"/>
  </w:num>
  <w:num w:numId="13">
    <w:abstractNumId w:val="13"/>
  </w:num>
  <w:num w:numId="14">
    <w:abstractNumId w:val="0"/>
  </w:num>
  <w:num w:numId="15">
    <w:abstractNumId w:val="3"/>
  </w:num>
  <w:num w:numId="16">
    <w:abstractNumId w:val="1"/>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125A22"/>
    <w:rsid w:val="00165E7C"/>
    <w:rsid w:val="001A4E85"/>
    <w:rsid w:val="001A6BC8"/>
    <w:rsid w:val="001B5E87"/>
    <w:rsid w:val="00241D4A"/>
    <w:rsid w:val="00252F93"/>
    <w:rsid w:val="002B6F2B"/>
    <w:rsid w:val="002C0350"/>
    <w:rsid w:val="002F202B"/>
    <w:rsid w:val="003830AB"/>
    <w:rsid w:val="003A1542"/>
    <w:rsid w:val="003C18EF"/>
    <w:rsid w:val="003C4408"/>
    <w:rsid w:val="003F1A3F"/>
    <w:rsid w:val="00403C27"/>
    <w:rsid w:val="004924AD"/>
    <w:rsid w:val="00495C64"/>
    <w:rsid w:val="004F74CD"/>
    <w:rsid w:val="00502993"/>
    <w:rsid w:val="005335F8"/>
    <w:rsid w:val="005F16A0"/>
    <w:rsid w:val="005F7412"/>
    <w:rsid w:val="006A59ED"/>
    <w:rsid w:val="00704053"/>
    <w:rsid w:val="00757855"/>
    <w:rsid w:val="00796AF5"/>
    <w:rsid w:val="00814DDA"/>
    <w:rsid w:val="00846CAE"/>
    <w:rsid w:val="008529B9"/>
    <w:rsid w:val="00852BA1"/>
    <w:rsid w:val="008757C8"/>
    <w:rsid w:val="00884FDC"/>
    <w:rsid w:val="008B6C85"/>
    <w:rsid w:val="008C5C8D"/>
    <w:rsid w:val="008E7ADA"/>
    <w:rsid w:val="00923156"/>
    <w:rsid w:val="0095668E"/>
    <w:rsid w:val="009C74B7"/>
    <w:rsid w:val="009F00AF"/>
    <w:rsid w:val="00AB5B6F"/>
    <w:rsid w:val="00AC07E9"/>
    <w:rsid w:val="00AE3455"/>
    <w:rsid w:val="00AE5AE4"/>
    <w:rsid w:val="00B44A3F"/>
    <w:rsid w:val="00B61A47"/>
    <w:rsid w:val="00C0604E"/>
    <w:rsid w:val="00C7427F"/>
    <w:rsid w:val="00C86EEC"/>
    <w:rsid w:val="00D108AE"/>
    <w:rsid w:val="00D479B9"/>
    <w:rsid w:val="00D668D6"/>
    <w:rsid w:val="00D7193C"/>
    <w:rsid w:val="00DA3A23"/>
    <w:rsid w:val="00E2338B"/>
    <w:rsid w:val="00E63A84"/>
    <w:rsid w:val="00E86C59"/>
    <w:rsid w:val="00E877AD"/>
    <w:rsid w:val="00F3707F"/>
    <w:rsid w:val="00F611AA"/>
    <w:rsid w:val="00F61269"/>
    <w:rsid w:val="00F904BC"/>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docId w15:val="{372BFBD1-7B58-413F-81C0-1DB05906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 w:type="paragraph" w:styleId="NormalWeb">
    <w:name w:val="Normal (Web)"/>
    <w:basedOn w:val="Normal"/>
    <w:uiPriority w:val="99"/>
    <w:unhideWhenUsed/>
    <w:rsid w:val="009F00AF"/>
    <w:pPr>
      <w:spacing w:before="120"/>
    </w:pPr>
    <w:rPr>
      <w:rFonts w:ascii="Verdana" w:eastAsia="Helvetica Neue" w:hAnsi="Verdana"/>
      <w:szCs w:val="24"/>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character" w:customStyle="1" w:styleId="jlqj4b">
    <w:name w:val="jlqj4b"/>
    <w:basedOn w:val="DefaultParagraphFont"/>
    <w:rsid w:val="00AE5AE4"/>
  </w:style>
  <w:style w:type="character" w:styleId="FollowedHyperlink">
    <w:name w:val="FollowedHyperlink"/>
    <w:basedOn w:val="DefaultParagraphFont"/>
    <w:uiPriority w:val="99"/>
    <w:semiHidden/>
    <w:unhideWhenUsed/>
    <w:rsid w:val="006A5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201796">
      <w:bodyDiv w:val="1"/>
      <w:marLeft w:val="0"/>
      <w:marRight w:val="0"/>
      <w:marTop w:val="0"/>
      <w:marBottom w:val="0"/>
      <w:divBdr>
        <w:top w:val="none" w:sz="0" w:space="0" w:color="auto"/>
        <w:left w:val="none" w:sz="0" w:space="0" w:color="auto"/>
        <w:bottom w:val="none" w:sz="0" w:space="0" w:color="auto"/>
        <w:right w:val="none" w:sz="0" w:space="0" w:color="auto"/>
      </w:divBdr>
    </w:div>
    <w:div w:id="20667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7/28" TargetMode="External"/><Relationship Id="rId18" Type="http://schemas.openxmlformats.org/officeDocument/2006/relationships/hyperlink" Target="https://tbinternet.ohchr.org/_layouts/15/treatybodyexternal/Download.aspx?symbolno=INT/CEDAW/GEC/3731&amp;Lang=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ohchr.org/documents/dpage_e.aspx?si=A/HRC/38/43" TargetMode="Externa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www.verloskundesuriname.org/uploads/7/5/4/5/75459511/phd_thesis_-_l._koda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icef.org/lac/media/4546/file/PDF%20Sub-study%20national%20response%20policies%20and%20legislation%20.pdf" TargetMode="External"/><Relationship Id="rId20" Type="http://schemas.openxmlformats.org/officeDocument/2006/relationships/hyperlink" Target="https://tbinternet.ohchr.org/_layouts/15/treatybodyexternal/Download.aspx?symbolno=CRC%2fC%2fGC%2f13&amp;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hyperlink" Target="https://undocs.org/en/S/2019/280" TargetMode="External"/><Relationship Id="rId5" Type="http://schemas.openxmlformats.org/officeDocument/2006/relationships/numbering" Target="numbering.xml"/><Relationship Id="rId15" Type="http://schemas.openxmlformats.org/officeDocument/2006/relationships/hyperlink" Target="https://statistics-suriname.org/wp-content/uploads/2020/03/Suriname_MICS_2018_Snapshots_English-resized.pdf" TargetMode="External"/><Relationship Id="rId23" Type="http://schemas.openxmlformats.org/officeDocument/2006/relationships/hyperlink" Target="https://www.ohchr.org/Documents/Issues/Discrimination/LGBT/BackgroundNoteHumanRightsViolationsagainstIntersexPeopl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iadb.org/publications/english/document/National_Women%E2%80%99s_Health_Survey_for_Suriname_en.pdf" TargetMode="External"/><Relationship Id="rId22" Type="http://schemas.openxmlformats.org/officeDocument/2006/relationships/hyperlink" Target="https://www.ohchr.org/Documents/Publications/Born_Free_and_Equal_WEB.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449B-CB6F-400B-BA6E-CF449830B8B0}">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5D6D3DF5-B3BB-40AD-8F4C-D8BE90B8B5C7}"/>
</file>

<file path=customXml/itemProps4.xml><?xml version="1.0" encoding="utf-8"?>
<ds:datastoreItem xmlns:ds="http://schemas.openxmlformats.org/officeDocument/2006/customXml" ds:itemID="{39D790B8-8211-4E86-8DBB-E81BF3E2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4338</Words>
  <Characters>24733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Zarraluqui</dc:creator>
  <cp:lastModifiedBy>Adriana Zarraluqui</cp:lastModifiedBy>
  <cp:revision>2</cp:revision>
  <dcterms:created xsi:type="dcterms:W3CDTF">2022-01-27T17:15:00Z</dcterms:created>
  <dcterms:modified xsi:type="dcterms:W3CDTF">2022-01-27T17:15:00Z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