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bookmarkStart w:id="0" w:name="_GoBack"/>
      <w:bookmarkEnd w:id="0"/>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1"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hyperlink r:id="rId12"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1" w:name="allegation"/>
      <w:bookmarkEnd w:id="1"/>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20E9E">
            <w:pPr>
              <w:rPr>
                <w:sz w:val="24"/>
                <w:szCs w:val="24"/>
              </w:rPr>
            </w:pPr>
            <w:r w:rsidRPr="006512F6">
              <w:rPr>
                <w:sz w:val="24"/>
                <w:szCs w:val="24"/>
              </w:rPr>
              <w:fldChar w:fldCharType="begin">
                <w:ffData>
                  <w:name w:val="Check3"/>
                  <w:enabled/>
                  <w:calcOnExit w:val="0"/>
                  <w:checkBox>
                    <w:sizeAuto/>
                    <w:default w:val="0"/>
                  </w:checkBox>
                </w:ffData>
              </w:fldChar>
            </w:r>
            <w:bookmarkStart w:id="2" w:name="Check3"/>
            <w:r w:rsidRPr="006512F6">
              <w:rPr>
                <w:sz w:val="24"/>
                <w:szCs w:val="24"/>
              </w:rPr>
              <w:instrText xml:space="preserve"> FORMCHECKBOX </w:instrText>
            </w:r>
            <w:r w:rsidR="00B85066">
              <w:rPr>
                <w:sz w:val="24"/>
                <w:szCs w:val="24"/>
              </w:rPr>
            </w:r>
            <w:r w:rsidR="00B85066">
              <w:rPr>
                <w:sz w:val="24"/>
                <w:szCs w:val="24"/>
              </w:rPr>
              <w:fldChar w:fldCharType="separate"/>
            </w:r>
            <w:r w:rsidRPr="006512F6">
              <w:rPr>
                <w:sz w:val="24"/>
                <w:szCs w:val="24"/>
              </w:rPr>
              <w:fldChar w:fldCharType="end"/>
            </w:r>
            <w:bookmarkEnd w:id="2"/>
            <w:r w:rsidRPr="006512F6">
              <w:rPr>
                <w:sz w:val="24"/>
                <w:szCs w:val="24"/>
              </w:rPr>
              <w:t xml:space="preserve">  Member State     </w:t>
            </w:r>
          </w:p>
          <w:p w14:paraId="064105A3"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B85066">
              <w:rPr>
                <w:sz w:val="24"/>
                <w:szCs w:val="24"/>
              </w:rPr>
            </w:r>
            <w:r w:rsidR="00B85066">
              <w:rPr>
                <w:sz w:val="24"/>
                <w:szCs w:val="24"/>
              </w:rPr>
              <w:fldChar w:fldCharType="separate"/>
            </w:r>
            <w:r w:rsidRPr="006512F6">
              <w:rPr>
                <w:sz w:val="24"/>
                <w:szCs w:val="24"/>
              </w:rPr>
              <w:fldChar w:fldCharType="end"/>
            </w:r>
            <w:r w:rsidRPr="006512F6">
              <w:rPr>
                <w:sz w:val="24"/>
                <w:szCs w:val="24"/>
              </w:rPr>
              <w:t xml:space="preserve">  Observer State</w:t>
            </w:r>
          </w:p>
          <w:p w14:paraId="0781E329"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B85066">
              <w:rPr>
                <w:sz w:val="24"/>
                <w:szCs w:val="24"/>
              </w:rPr>
            </w:r>
            <w:r w:rsidR="00B85066">
              <w:rPr>
                <w:sz w:val="24"/>
                <w:szCs w:val="24"/>
              </w:rPr>
              <w:fldChar w:fldCharType="separate"/>
            </w:r>
            <w:r w:rsidRPr="006512F6">
              <w:rPr>
                <w:sz w:val="24"/>
                <w:szCs w:val="24"/>
              </w:rPr>
              <w:fldChar w:fldCharType="end"/>
            </w:r>
            <w:r w:rsidRPr="006512F6">
              <w:rPr>
                <w:sz w:val="24"/>
                <w:szCs w:val="24"/>
              </w:rPr>
              <w:t xml:space="preserve">  Other (please specify)</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5A19E" w14:textId="77777777" w:rsidR="009F00AF" w:rsidRPr="006512F6" w:rsidRDefault="009F00AF" w:rsidP="00820E9E">
            <w:pPr>
              <w:rPr>
                <w:sz w:val="24"/>
                <w:szCs w:val="24"/>
              </w:rPr>
            </w:pPr>
          </w:p>
        </w:tc>
      </w:tr>
      <w:tr w:rsidR="009F00AF" w:rsidRPr="006512F6" w14:paraId="690C7624" w14:textId="77777777" w:rsidTr="00820E9E">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EE011" w14:textId="77777777" w:rsidR="009F00AF" w:rsidRPr="006512F6" w:rsidRDefault="009F00AF" w:rsidP="00820E9E">
            <w:pPr>
              <w:pStyle w:val="BodyA"/>
              <w:rPr>
                <w:rStyle w:val="None"/>
                <w:rFonts w:ascii="Times New Roman" w:hAnsi="Times New Roman" w:cs="Times New Roman"/>
              </w:rPr>
            </w:pPr>
            <w:r w:rsidRPr="006512F6">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6D0FD" w14:textId="77777777" w:rsidR="009F00AF" w:rsidRPr="006512F6" w:rsidRDefault="009F00AF" w:rsidP="00820E9E">
            <w:pPr>
              <w:rPr>
                <w:sz w:val="24"/>
                <w:szCs w:val="24"/>
              </w:rPr>
            </w:pPr>
          </w:p>
        </w:tc>
      </w:tr>
      <w:tr w:rsidR="009F00AF" w:rsidRPr="006512F6" w14:paraId="57732BA4" w14:textId="77777777" w:rsidTr="00820E9E">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2310"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 xml:space="preserve">Can we attribute responses to this questionnaire to </w:t>
            </w:r>
            <w:r>
              <w:rPr>
                <w:rStyle w:val="None"/>
                <w:rFonts w:ascii="Times New Roman" w:hAnsi="Times New Roman" w:cs="Times New Roman"/>
              </w:rPr>
              <w:t xml:space="preserve">your State </w:t>
            </w:r>
            <w:r w:rsidRPr="006512F6">
              <w:rPr>
                <w:rStyle w:val="None"/>
                <w:rFonts w:ascii="Times New Roman" w:hAnsi="Times New Roman" w:cs="Times New Roman"/>
              </w:rPr>
              <w:t>publicly</w:t>
            </w:r>
            <w:r w:rsidRPr="006512F6">
              <w:rPr>
                <w:rFonts w:ascii="Times New Roman" w:hAnsi="Times New Roman" w:cs="Times New Roman"/>
              </w:rPr>
              <w:t>*</w:t>
            </w:r>
            <w:r w:rsidRPr="006512F6">
              <w:rPr>
                <w:rStyle w:val="None"/>
                <w:rFonts w:ascii="Times New Roman" w:hAnsi="Times New Roman" w:cs="Times New Roman"/>
              </w:rPr>
              <w:t>?</w:t>
            </w:r>
            <w:r w:rsidRPr="006512F6">
              <w:rPr>
                <w:rFonts w:ascii="Times New Roman" w:hAnsi="Times New Roman" w:cs="Times New Roman"/>
              </w:rPr>
              <w:t xml:space="preserve"> </w:t>
            </w:r>
          </w:p>
          <w:p w14:paraId="5ED6EA70" w14:textId="77777777" w:rsidR="009F00AF" w:rsidRPr="006512F6" w:rsidRDefault="009F00AF" w:rsidP="00820E9E">
            <w:pPr>
              <w:pStyle w:val="BodyA"/>
              <w:rPr>
                <w:rFonts w:ascii="Times New Roman" w:hAnsi="Times New Roman" w:cs="Times New Roman"/>
              </w:rPr>
            </w:pPr>
          </w:p>
          <w:p w14:paraId="75ECAB6B" w14:textId="77777777" w:rsidR="009F00AF" w:rsidRPr="006512F6" w:rsidRDefault="009F00AF" w:rsidP="00820E9E">
            <w:pPr>
              <w:pStyle w:val="BodyA"/>
              <w:rPr>
                <w:rFonts w:ascii="Times New Roman" w:hAnsi="Times New Roman" w:cs="Times New Roman"/>
              </w:rPr>
            </w:pPr>
            <w:r w:rsidRPr="006512F6">
              <w:rPr>
                <w:rFonts w:ascii="Times New Roman" w:hAnsi="Times New Roman" w:cs="Times New Roman"/>
              </w:rPr>
              <w:t xml:space="preserve">*On OHCHR website, under the section of SR </w:t>
            </w:r>
            <w:r>
              <w:rPr>
                <w:rFonts w:ascii="Times New Roman" w:hAnsi="Times New Roman" w:cs="Times New Roman"/>
              </w:rPr>
              <w:t>h</w:t>
            </w:r>
            <w:r w:rsidRPr="006512F6">
              <w:rPr>
                <w:rFonts w:ascii="Times New Roman" w:hAnsi="Times New Roman" w:cs="Times New Roman"/>
              </w:rPr>
              <w:t>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914D2" w14:textId="77777777" w:rsidR="009F00AF" w:rsidRPr="006512F6" w:rsidRDefault="009F00AF" w:rsidP="00820E9E">
            <w:pPr>
              <w:pStyle w:val="BodyA"/>
              <w:rPr>
                <w:rStyle w:val="None"/>
                <w:rFonts w:ascii="Times New Roman" w:eastAsia="Times New Roman" w:hAnsi="Times New Roman" w:cs="Times New Roman"/>
              </w:rPr>
            </w:pPr>
            <w:r w:rsidRPr="006512F6">
              <w:rPr>
                <w:rStyle w:val="None"/>
                <w:rFonts w:ascii="Times New Roman" w:hAnsi="Times New Roman" w:cs="Times New Roman"/>
              </w:rPr>
              <w:t xml:space="preserve"> Yes           No</w:t>
            </w:r>
          </w:p>
          <w:p w14:paraId="272073F6" w14:textId="77777777" w:rsidR="009F00AF" w:rsidRPr="006512F6" w:rsidRDefault="009F00AF" w:rsidP="00820E9E">
            <w:pPr>
              <w:pStyle w:val="BodyA"/>
              <w:rPr>
                <w:rStyle w:val="None"/>
                <w:rFonts w:ascii="Times New Roman" w:eastAsia="Times New Roman" w:hAnsi="Times New Roman" w:cs="Times New Roman"/>
              </w:rPr>
            </w:pPr>
          </w:p>
          <w:p w14:paraId="230D7CA3"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Comments (if any):</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p>
    <w:p w14:paraId="4C768660" w14:textId="77777777" w:rsidR="009F00AF" w:rsidRDefault="009F00AF" w:rsidP="009F00AF">
      <w:pPr>
        <w:pStyle w:val="Heading1"/>
        <w:ind w:left="0"/>
        <w:jc w:val="left"/>
        <w:rPr>
          <w:rStyle w:val="Instructions"/>
          <w:sz w:val="24"/>
          <w:szCs w:val="24"/>
        </w:rPr>
      </w:pPr>
      <w:bookmarkStart w:id="3" w:name="_Toc48734679"/>
      <w:r w:rsidRPr="006512F6">
        <w:rPr>
          <w:sz w:val="24"/>
          <w:szCs w:val="24"/>
        </w:rPr>
        <w:lastRenderedPageBreak/>
        <w:t>Background</w:t>
      </w:r>
      <w:r w:rsidRPr="006512F6">
        <w:rPr>
          <w:rStyle w:val="Instructions"/>
          <w:sz w:val="24"/>
          <w:szCs w:val="24"/>
        </w:rPr>
        <w:t xml:space="preserve"> </w:t>
      </w:r>
      <w:bookmarkStart w:id="4" w:name="_Toc48734680"/>
      <w:bookmarkEnd w:id="3"/>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femicide as one of her priorities during her tenure (See </w:t>
      </w:r>
      <w:hyperlink r:id="rId13"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5"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77777777" w:rsidR="009F00AF" w:rsidRDefault="009F00AF" w:rsidP="009F00AF">
      <w:pPr>
        <w:pStyle w:val="ListParagraph"/>
        <w:numPr>
          <w:ilvl w:val="0"/>
          <w:numId w:val="1"/>
        </w:numPr>
        <w:shd w:val="clear" w:color="auto" w:fill="FFFFFF"/>
        <w:spacing w:line="259" w:lineRule="auto"/>
        <w:outlineLvl w:val="2"/>
        <w:rPr>
          <w:color w:val="000000"/>
          <w:sz w:val="24"/>
          <w:szCs w:val="24"/>
          <w:lang w:eastAsia="en-GB"/>
        </w:rPr>
      </w:pPr>
      <w:r w:rsidRPr="0096645F">
        <w:rPr>
          <w:color w:val="000000"/>
          <w:sz w:val="24"/>
          <w:szCs w:val="24"/>
          <w:lang w:eastAsia="en-GB"/>
        </w:rPr>
        <w:t>Please describe, share data and information on the characteristics, number of cases, and the profile of victims and perpetrators in your country/ies or region(s) regarding:</w:t>
      </w:r>
    </w:p>
    <w:p w14:paraId="6BBA6985" w14:textId="77777777" w:rsidR="009F00AF" w:rsidRPr="0096645F" w:rsidRDefault="009F00AF" w:rsidP="009F00AF">
      <w:pPr>
        <w:pStyle w:val="ListParagraph"/>
        <w:shd w:val="clear" w:color="auto" w:fill="FFFFFF"/>
        <w:spacing w:line="259" w:lineRule="auto"/>
        <w:ind w:left="360"/>
        <w:outlineLvl w:val="2"/>
        <w:rPr>
          <w:color w:val="000000"/>
          <w:sz w:val="24"/>
          <w:szCs w:val="24"/>
          <w:lang w:eastAsia="en-GB"/>
        </w:rPr>
      </w:pPr>
    </w:p>
    <w:p w14:paraId="696EFD90" w14:textId="77777777" w:rsidR="009F00AF" w:rsidRPr="00D26877"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 xml:space="preserve">gender based violence against women </w:t>
      </w:r>
    </w:p>
    <w:p w14:paraId="62026D07"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and other forms of violence against children:</w:t>
      </w:r>
    </w:p>
    <w:p w14:paraId="121D9F14" w14:textId="77777777" w:rsidR="009F00AF" w:rsidRPr="0096645F" w:rsidRDefault="009F00AF" w:rsidP="009F00AF">
      <w:pPr>
        <w:pStyle w:val="ListParagraph"/>
        <w:numPr>
          <w:ilvl w:val="1"/>
          <w:numId w:val="2"/>
        </w:numPr>
        <w:shd w:val="clear" w:color="auto" w:fill="FFFFFF"/>
        <w:spacing w:line="259" w:lineRule="auto"/>
        <w:outlineLvl w:val="2"/>
        <w:rPr>
          <w:sz w:val="24"/>
          <w:szCs w:val="24"/>
          <w:lang w:eastAsia="en-GB"/>
        </w:rPr>
      </w:pPr>
      <w:r w:rsidRPr="0096645F">
        <w:rPr>
          <w:color w:val="000000"/>
          <w:sz w:val="24"/>
          <w:szCs w:val="24"/>
          <w:lang w:eastAsia="en-GB"/>
        </w:rPr>
        <w:t xml:space="preserve">gender based violence against </w:t>
      </w:r>
      <w:r w:rsidRPr="0096645F">
        <w:rPr>
          <w:sz w:val="24"/>
          <w:szCs w:val="24"/>
          <w:lang w:eastAsia="en-GB"/>
        </w:rPr>
        <w:t xml:space="preserve">LGBTI or other persons based on </w:t>
      </w:r>
      <w:r w:rsidRPr="0096645F">
        <w:rPr>
          <w:color w:val="000000"/>
          <w:sz w:val="24"/>
          <w:szCs w:val="24"/>
          <w:lang w:eastAsia="en-GB"/>
        </w:rPr>
        <w:t>real or imputed sexual orientation</w:t>
      </w:r>
      <w:r w:rsidRPr="0096645F">
        <w:rPr>
          <w:sz w:val="24"/>
          <w:szCs w:val="24"/>
          <w:lang w:eastAsia="en-GB"/>
        </w:rPr>
        <w:t xml:space="preserve">, sex characteristics, and gender identity: </w:t>
      </w:r>
    </w:p>
    <w:p w14:paraId="156C8D92"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sz w:val="24"/>
          <w:szCs w:val="24"/>
          <w:lang w:eastAsia="en-GB"/>
        </w:rPr>
        <w:t>violence against persons with disabilities</w:t>
      </w:r>
      <w:r w:rsidRPr="0096645F">
        <w:rPr>
          <w:color w:val="000000"/>
          <w:sz w:val="24"/>
          <w:szCs w:val="24"/>
          <w:lang w:eastAsia="en-GB"/>
        </w:rPr>
        <w:t>, including GBV.</w:t>
      </w:r>
    </w:p>
    <w:p w14:paraId="007FE293"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against men</w:t>
      </w:r>
    </w:p>
    <w:p w14:paraId="4523CE49"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conflict gender based violence, including sexual violence</w:t>
      </w:r>
    </w:p>
    <w:p w14:paraId="09AD98CC"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Please share analysis and available evidence on the impact of COVID on the above</w:t>
      </w:r>
    </w:p>
    <w:p w14:paraId="63CB739E" w14:textId="77777777" w:rsidR="009F00AF" w:rsidRPr="0096645F" w:rsidRDefault="009F00AF" w:rsidP="009F00AF">
      <w:pPr>
        <w:pStyle w:val="ListParagraph"/>
        <w:shd w:val="clear" w:color="auto" w:fill="FFFFFF"/>
        <w:spacing w:line="259" w:lineRule="auto"/>
        <w:ind w:left="792"/>
        <w:outlineLvl w:val="2"/>
        <w:rPr>
          <w:color w:val="000000"/>
          <w:sz w:val="24"/>
          <w:szCs w:val="24"/>
          <w:lang w:eastAsia="en-GB"/>
        </w:rPr>
      </w:pPr>
    </w:p>
    <w:p w14:paraId="0F1F665E" w14:textId="77777777" w:rsidR="009F00AF" w:rsidRPr="0096645F" w:rsidRDefault="009F00AF" w:rsidP="009F00AF">
      <w:pPr>
        <w:pStyle w:val="ListParagraph"/>
        <w:numPr>
          <w:ilvl w:val="0"/>
          <w:numId w:val="1"/>
        </w:numPr>
        <w:shd w:val="clear" w:color="auto" w:fill="FFFFFF"/>
        <w:spacing w:line="259" w:lineRule="auto"/>
        <w:jc w:val="both"/>
        <w:outlineLvl w:val="2"/>
        <w:rPr>
          <w:sz w:val="24"/>
          <w:szCs w:val="24"/>
          <w:lang w:eastAsia="en-GB"/>
        </w:rPr>
      </w:pPr>
      <w:r w:rsidRPr="0096645F">
        <w:rPr>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w:t>
      </w:r>
      <w:r>
        <w:rPr>
          <w:sz w:val="24"/>
          <w:szCs w:val="24"/>
          <w:lang w:eastAsia="en-GB"/>
        </w:rPr>
        <w:t>mplaint), levels of impunity</w:t>
      </w:r>
      <w:r w:rsidRPr="0096645F">
        <w:rPr>
          <w:sz w:val="24"/>
          <w:szCs w:val="24"/>
          <w:lang w:eastAsia="en-GB"/>
        </w:rPr>
        <w:t xml:space="preserve"> and if access to comprehensive physical and mental care for GBV-survivors is recognized as a form of reparation.</w:t>
      </w:r>
    </w:p>
    <w:p w14:paraId="42A6E230"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740349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examples of the types of structural and institutional violence with origins within the State, (</w:t>
      </w:r>
      <w:r w:rsidRPr="0096645F">
        <w:rPr>
          <w:color w:val="000000"/>
          <w:sz w:val="24"/>
          <w:szCs w:val="24"/>
          <w:shd w:val="clear" w:color="auto" w:fill="FFFFFF"/>
          <w:lang w:val="en-ZA" w:eastAsia="en-GB"/>
        </w:rPr>
        <w:t>perpetrated or condoned by the State)</w:t>
      </w:r>
      <w:r w:rsidRPr="0096645F">
        <w:rPr>
          <w:sz w:val="24"/>
          <w:szCs w:val="24"/>
          <w:lang w:val="en-ZA" w:eastAsia="en-GB"/>
        </w:rPr>
        <w:t xml:space="preserve"> or </w:t>
      </w:r>
      <w:r w:rsidRPr="0096645F">
        <w:rPr>
          <w:color w:val="000000"/>
          <w:sz w:val="24"/>
          <w:szCs w:val="24"/>
          <w:shd w:val="clear" w:color="auto" w:fill="FFFFFF"/>
          <w:lang w:val="en-ZA" w:eastAsia="en-GB"/>
        </w:rPr>
        <w:t xml:space="preserve">perpetrated by those not representing or affiliated to the state </w:t>
      </w:r>
      <w:r w:rsidRPr="0096645F">
        <w:rPr>
          <w:color w:val="000000"/>
          <w:sz w:val="24"/>
          <w:szCs w:val="24"/>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152D4C16" w14:textId="77777777" w:rsidR="009F00AF" w:rsidRPr="0096645F" w:rsidRDefault="009F00AF" w:rsidP="009F00AF">
      <w:pPr>
        <w:pStyle w:val="ListParagraph"/>
        <w:spacing w:line="259" w:lineRule="auto"/>
        <w:jc w:val="both"/>
        <w:rPr>
          <w:color w:val="000000"/>
          <w:sz w:val="24"/>
          <w:szCs w:val="24"/>
          <w:lang w:eastAsia="en-GB"/>
        </w:rPr>
      </w:pPr>
    </w:p>
    <w:p w14:paraId="05CC9E52" w14:textId="395D5322" w:rsidR="009F00AF" w:rsidRPr="00D410E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also </w:t>
      </w:r>
      <w:r w:rsidRPr="0096645F">
        <w:rPr>
          <w:sz w:val="24"/>
          <w:szCs w:val="24"/>
          <w:lang w:eastAsia="en-GB"/>
        </w:rPr>
        <w:t xml:space="preserve">share information on the impact of criminalization of sex work, same sex relations, transgender persons, abortion, drug abuse, </w:t>
      </w:r>
      <w:r w:rsidRPr="0096645F">
        <w:rPr>
          <w:rFonts w:eastAsia="Verdana"/>
          <w:sz w:val="24"/>
          <w:szCs w:val="24"/>
        </w:rPr>
        <w:t>harmful practices in obstetric care, female genital mutilation</w:t>
      </w:r>
      <w:r w:rsidRPr="0096645F">
        <w:rPr>
          <w:sz w:val="24"/>
          <w:szCs w:val="24"/>
          <w:lang w:eastAsia="en-GB"/>
        </w:rPr>
        <w:t xml:space="preserve"> </w:t>
      </w:r>
      <w:r w:rsidRPr="0096645F">
        <w:rPr>
          <w:color w:val="000000"/>
          <w:sz w:val="24"/>
          <w:szCs w:val="24"/>
          <w:lang w:eastAsia="en-GB"/>
        </w:rPr>
        <w:t>on the violence experienced by the affected individuals and their enjoyment of the right to health.</w:t>
      </w:r>
      <w:r w:rsidRPr="0096645F">
        <w:rPr>
          <w:rFonts w:eastAsia="Verdana"/>
          <w:color w:val="000000"/>
          <w:sz w:val="24"/>
          <w:szCs w:val="24"/>
        </w:rPr>
        <w:t xml:space="preserve"> </w:t>
      </w:r>
    </w:p>
    <w:p w14:paraId="7609F5E1" w14:textId="77777777" w:rsidR="00D410EF" w:rsidRPr="00D410EF" w:rsidRDefault="00D410EF" w:rsidP="00D410EF">
      <w:pPr>
        <w:pStyle w:val="ListParagraph"/>
        <w:rPr>
          <w:color w:val="000000"/>
          <w:sz w:val="24"/>
          <w:szCs w:val="24"/>
          <w:lang w:eastAsia="en-GB"/>
        </w:rPr>
      </w:pPr>
    </w:p>
    <w:p w14:paraId="591585DC" w14:textId="492161FB" w:rsidR="00D410EF" w:rsidRDefault="00D410EF" w:rsidP="00D410EF">
      <w:pPr>
        <w:autoSpaceDE w:val="0"/>
        <w:autoSpaceDN w:val="0"/>
        <w:adjustRightInd w:val="0"/>
        <w:spacing w:line="276" w:lineRule="auto"/>
        <w:jc w:val="both"/>
        <w:rPr>
          <w:rFonts w:asciiTheme="majorHAnsi" w:hAnsiTheme="majorHAnsi" w:cstheme="majorHAnsi"/>
          <w:color w:val="000000"/>
          <w:lang w:val="en-US"/>
        </w:rPr>
      </w:pPr>
      <w:r>
        <w:rPr>
          <w:rFonts w:asciiTheme="majorHAnsi" w:hAnsiTheme="majorHAnsi" w:cstheme="majorHAnsi"/>
          <w:color w:val="000000"/>
          <w:lang w:val="en-US"/>
        </w:rPr>
        <w:t>Selling sex is not illegal in the South Asian country Bangladesh, whereas the Bangladesh constitution provides that the "State shall endeavor to prevent gambling and prostitution."</w:t>
      </w:r>
      <w:r>
        <w:rPr>
          <w:rStyle w:val="FootnoteReference"/>
          <w:rFonts w:asciiTheme="majorHAnsi" w:hAnsiTheme="majorHAnsi" w:cstheme="majorHAnsi"/>
          <w:color w:val="000000"/>
          <w:lang w:val="en-US"/>
        </w:rPr>
        <w:footnoteReference w:id="1"/>
      </w:r>
      <w:r>
        <w:rPr>
          <w:rFonts w:asciiTheme="majorHAnsi" w:hAnsiTheme="majorHAnsi" w:cstheme="majorHAnsi"/>
          <w:color w:val="000000"/>
          <w:lang w:val="en-US"/>
        </w:rPr>
        <w:t xml:space="preserve"> Associated activities related to sex work are criminalized. Soliciting in public is illegal and it is punishable by prison for 1 month or a fine. Keeping a brothel, allowing a premise to be used as a brothel, living on the earnings of sex work, and procuring a female for purposes of sex work all criminalized</w:t>
      </w:r>
      <w:r w:rsidR="000035E5">
        <w:rPr>
          <w:rFonts w:asciiTheme="majorHAnsi" w:hAnsiTheme="majorHAnsi" w:cstheme="majorHAnsi"/>
          <w:color w:val="000000"/>
          <w:lang w:val="en-US"/>
        </w:rPr>
        <w:t>.</w:t>
      </w:r>
      <w:r w:rsidR="000035E5">
        <w:rPr>
          <w:rStyle w:val="FootnoteReference"/>
          <w:rFonts w:asciiTheme="majorHAnsi" w:hAnsiTheme="majorHAnsi" w:cstheme="majorHAnsi"/>
          <w:color w:val="000000"/>
          <w:lang w:val="en-US"/>
        </w:rPr>
        <w:footnoteReference w:id="2"/>
      </w:r>
      <w:r>
        <w:rPr>
          <w:rFonts w:asciiTheme="majorHAnsi" w:hAnsiTheme="majorHAnsi" w:cstheme="majorHAnsi"/>
          <w:color w:val="000000"/>
          <w:lang w:val="en-US"/>
        </w:rPr>
        <w:t xml:space="preserve"> Also, an offense for third parties to import, export, sell, or hire a woman for sex work.</w:t>
      </w:r>
      <w:r w:rsidR="00D361DB">
        <w:rPr>
          <w:rStyle w:val="FootnoteReference"/>
          <w:rFonts w:asciiTheme="majorHAnsi" w:hAnsiTheme="majorHAnsi" w:cstheme="majorHAnsi"/>
          <w:color w:val="000000"/>
          <w:lang w:val="en-US"/>
        </w:rPr>
        <w:footnoteReference w:id="3"/>
      </w:r>
      <w:r>
        <w:rPr>
          <w:rFonts w:asciiTheme="majorHAnsi" w:hAnsiTheme="majorHAnsi" w:cstheme="majorHAnsi"/>
          <w:color w:val="000000"/>
          <w:lang w:val="en-US"/>
        </w:rPr>
        <w:t xml:space="preserve"> However, there is a system of quasi-legal brothels operating in Bangladesh. Represents a small portion of the sex industry. It estimates only 4000 brothel-based workers out of 100,000 total. This means the majority of the sex workers not under any documentation and deprived of social safety nets. Sex workers are certified by the local authority, swears an affidavit, pays a fee to police, and magistrate issues a certificate.</w:t>
      </w:r>
    </w:p>
    <w:p w14:paraId="29BD3066" w14:textId="77777777" w:rsidR="00D410EF" w:rsidRDefault="00D410EF" w:rsidP="00D410EF">
      <w:pPr>
        <w:autoSpaceDE w:val="0"/>
        <w:autoSpaceDN w:val="0"/>
        <w:adjustRightInd w:val="0"/>
        <w:spacing w:line="276" w:lineRule="auto"/>
        <w:jc w:val="both"/>
        <w:rPr>
          <w:rFonts w:asciiTheme="majorHAnsi" w:hAnsiTheme="majorHAnsi" w:cstheme="majorHAnsi"/>
          <w:color w:val="000000"/>
          <w:lang w:val="en-US"/>
        </w:rPr>
      </w:pPr>
    </w:p>
    <w:p w14:paraId="59F68CF9" w14:textId="732D5146" w:rsidR="00D410EF" w:rsidRDefault="00D410EF" w:rsidP="00D410EF">
      <w:pPr>
        <w:autoSpaceDE w:val="0"/>
        <w:autoSpaceDN w:val="0"/>
        <w:adjustRightInd w:val="0"/>
        <w:spacing w:line="276" w:lineRule="auto"/>
        <w:jc w:val="both"/>
        <w:rPr>
          <w:rFonts w:asciiTheme="majorHAnsi" w:hAnsiTheme="majorHAnsi" w:cstheme="majorHAnsi"/>
          <w:color w:val="000000"/>
          <w:lang w:val="en-US"/>
        </w:rPr>
      </w:pPr>
      <w:r>
        <w:rPr>
          <w:rFonts w:asciiTheme="majorHAnsi" w:hAnsiTheme="majorHAnsi" w:cstheme="majorHAnsi"/>
          <w:color w:val="000000"/>
          <w:lang w:val="en-US"/>
        </w:rPr>
        <w:t xml:space="preserve">Violence and harassment </w:t>
      </w:r>
      <w:r w:rsidR="00C55C67">
        <w:rPr>
          <w:rFonts w:asciiTheme="majorHAnsi" w:hAnsiTheme="majorHAnsi" w:cstheme="majorHAnsi"/>
          <w:color w:val="000000"/>
          <w:lang w:val="en-US"/>
        </w:rPr>
        <w:t>are daily</w:t>
      </w:r>
      <w:r>
        <w:rPr>
          <w:rFonts w:asciiTheme="majorHAnsi" w:hAnsiTheme="majorHAnsi" w:cstheme="majorHAnsi"/>
          <w:color w:val="000000"/>
          <w:lang w:val="en-US"/>
        </w:rPr>
        <w:t xml:space="preserve"> event</w:t>
      </w:r>
      <w:r w:rsidR="00A12BE4">
        <w:rPr>
          <w:rFonts w:asciiTheme="majorHAnsi" w:hAnsiTheme="majorHAnsi" w:cstheme="majorHAnsi"/>
          <w:color w:val="000000"/>
          <w:lang w:val="en-US"/>
        </w:rPr>
        <w:t>s</w:t>
      </w:r>
      <w:r>
        <w:rPr>
          <w:rFonts w:asciiTheme="majorHAnsi" w:hAnsiTheme="majorHAnsi" w:cstheme="majorHAnsi"/>
          <w:color w:val="000000"/>
          <w:lang w:val="en-US"/>
        </w:rPr>
        <w:t xml:space="preserve"> for sex workers in Bangladesh. Perpetrators are mostly customers, Police, and local goons. Sex workers were also arrested for soliciting in public under public nuisance offenses.</w:t>
      </w:r>
      <w:r w:rsidR="00A9557D">
        <w:rPr>
          <w:rStyle w:val="FootnoteReference"/>
          <w:rFonts w:asciiTheme="majorHAnsi" w:hAnsiTheme="majorHAnsi" w:cstheme="majorHAnsi"/>
          <w:color w:val="000000"/>
          <w:lang w:val="en-US"/>
        </w:rPr>
        <w:footnoteReference w:id="4"/>
      </w:r>
      <w:r>
        <w:rPr>
          <w:rFonts w:asciiTheme="majorHAnsi" w:hAnsiTheme="majorHAnsi" w:cstheme="majorHAnsi"/>
          <w:color w:val="000000"/>
          <w:lang w:val="en-US"/>
        </w:rPr>
        <w:t xml:space="preserve"> Police are also prone to arresting sex workers without a warrant under 'suspicious' conditions</w:t>
      </w:r>
      <w:r w:rsidR="00851954">
        <w:rPr>
          <w:rFonts w:asciiTheme="majorHAnsi" w:hAnsiTheme="majorHAnsi" w:cstheme="majorHAnsi"/>
          <w:color w:val="000000"/>
          <w:lang w:val="en-US"/>
        </w:rPr>
        <w:t>.</w:t>
      </w:r>
      <w:r w:rsidR="00A50960">
        <w:rPr>
          <w:rStyle w:val="FootnoteReference"/>
          <w:rFonts w:asciiTheme="majorHAnsi" w:hAnsiTheme="majorHAnsi" w:cstheme="majorHAnsi"/>
          <w:color w:val="000000"/>
          <w:lang w:val="en-US"/>
        </w:rPr>
        <w:footnoteReference w:id="5"/>
      </w:r>
      <w:r>
        <w:rPr>
          <w:rFonts w:asciiTheme="majorHAnsi" w:hAnsiTheme="majorHAnsi" w:cstheme="majorHAnsi"/>
          <w:color w:val="000000"/>
          <w:lang w:val="en-US"/>
        </w:rPr>
        <w:t xml:space="preserve"> Apart from women sex workers, male sex workers can be charged under sodomy laws.</w:t>
      </w:r>
    </w:p>
    <w:p w14:paraId="628B1714" w14:textId="77777777" w:rsidR="00D410EF" w:rsidRDefault="00D410EF" w:rsidP="00D410EF">
      <w:pPr>
        <w:autoSpaceDE w:val="0"/>
        <w:autoSpaceDN w:val="0"/>
        <w:adjustRightInd w:val="0"/>
        <w:spacing w:line="276" w:lineRule="auto"/>
        <w:jc w:val="both"/>
        <w:rPr>
          <w:rFonts w:asciiTheme="majorHAnsi" w:hAnsiTheme="majorHAnsi" w:cstheme="majorHAnsi"/>
          <w:color w:val="000000"/>
          <w:lang w:val="en-US"/>
        </w:rPr>
      </w:pPr>
    </w:p>
    <w:p w14:paraId="0482C749" w14:textId="1CD7F0D1" w:rsidR="00FB5754" w:rsidRDefault="00D410EF" w:rsidP="00851AAD">
      <w:pPr>
        <w:autoSpaceDE w:val="0"/>
        <w:autoSpaceDN w:val="0"/>
        <w:adjustRightInd w:val="0"/>
        <w:spacing w:line="276" w:lineRule="auto"/>
        <w:jc w:val="both"/>
        <w:rPr>
          <w:rFonts w:asciiTheme="majorHAnsi" w:hAnsiTheme="majorHAnsi" w:cstheme="majorHAnsi"/>
          <w:color w:val="000000"/>
          <w:lang w:val="en-US"/>
        </w:rPr>
      </w:pPr>
      <w:r>
        <w:rPr>
          <w:rFonts w:asciiTheme="majorHAnsi" w:hAnsiTheme="majorHAnsi" w:cstheme="majorHAnsi"/>
          <w:color w:val="000000"/>
          <w:lang w:val="en-US"/>
        </w:rPr>
        <w:t xml:space="preserve">Sex workers are vulnerable to being discriminated and stigmatized due to their occupation, which is socially disapproved. Stigma, oppression, </w:t>
      </w:r>
      <w:r w:rsidR="00C55C67">
        <w:rPr>
          <w:rFonts w:asciiTheme="majorHAnsi" w:hAnsiTheme="majorHAnsi" w:cstheme="majorHAnsi"/>
          <w:color w:val="000000"/>
          <w:lang w:val="en-US"/>
        </w:rPr>
        <w:t>discrimination,</w:t>
      </w:r>
      <w:r>
        <w:rPr>
          <w:rFonts w:asciiTheme="majorHAnsi" w:hAnsiTheme="majorHAnsi" w:cstheme="majorHAnsi"/>
          <w:color w:val="000000"/>
          <w:lang w:val="en-US"/>
        </w:rPr>
        <w:t xml:space="preserve"> and violation of human rights create barriers for them to access basic services like health and education</w:t>
      </w:r>
      <w:r w:rsidR="009F2332">
        <w:rPr>
          <w:rFonts w:asciiTheme="majorHAnsi" w:hAnsiTheme="majorHAnsi" w:cstheme="majorHAnsi"/>
          <w:color w:val="000000"/>
          <w:lang w:val="en-US"/>
        </w:rPr>
        <w:t xml:space="preserve">. This isolation from the mainstream put them into a condition where they face enormous scarcity of housing and forced to live in a congested cell of a brothel. Those housings do not have access to enough drinking water, decent sanitation, and cleanliness. That leads them to prone to diseases and </w:t>
      </w:r>
      <w:r w:rsidR="00851AAD">
        <w:rPr>
          <w:rFonts w:asciiTheme="majorHAnsi" w:hAnsiTheme="majorHAnsi" w:cstheme="majorHAnsi"/>
          <w:color w:val="000000"/>
          <w:lang w:val="en-US"/>
        </w:rPr>
        <w:t xml:space="preserve">Sexually Transmitted Infections (STIs). Even when they contact HIV/AIDS, most of them are reluctant to medication. </w:t>
      </w:r>
      <w:r w:rsidR="00FB5754">
        <w:rPr>
          <w:rFonts w:asciiTheme="majorHAnsi" w:hAnsiTheme="majorHAnsi" w:cstheme="majorHAnsi"/>
          <w:color w:val="000000"/>
          <w:lang w:val="en-US"/>
        </w:rPr>
        <w:t xml:space="preserve">Most of the sex workers face </w:t>
      </w:r>
      <w:r w:rsidR="00C55C67">
        <w:rPr>
          <w:rFonts w:asciiTheme="majorHAnsi" w:hAnsiTheme="majorHAnsi" w:cstheme="majorHAnsi"/>
          <w:color w:val="000000"/>
          <w:lang w:val="en-US"/>
        </w:rPr>
        <w:t>violence by customers, local goons, Police due to the nature of their profession. The victims can not receive services from health care due to the regulation of hospitals to report to the Police in case of any violence. Fear of harassment afterward opted out the sex workers from receiving health services.</w:t>
      </w:r>
    </w:p>
    <w:p w14:paraId="233E521A" w14:textId="77777777" w:rsidR="00520AA5" w:rsidRDefault="00520AA5" w:rsidP="00851AAD">
      <w:pPr>
        <w:autoSpaceDE w:val="0"/>
        <w:autoSpaceDN w:val="0"/>
        <w:adjustRightInd w:val="0"/>
        <w:spacing w:line="276" w:lineRule="auto"/>
        <w:jc w:val="both"/>
        <w:rPr>
          <w:rFonts w:asciiTheme="majorHAnsi" w:hAnsiTheme="majorHAnsi" w:cstheme="majorHAnsi"/>
          <w:color w:val="000000"/>
          <w:lang w:val="en-US"/>
        </w:rPr>
      </w:pPr>
    </w:p>
    <w:p w14:paraId="5F997966" w14:textId="77777777" w:rsidR="00D410EF" w:rsidRDefault="00D410EF" w:rsidP="00D410EF">
      <w:pPr>
        <w:autoSpaceDE w:val="0"/>
        <w:autoSpaceDN w:val="0"/>
        <w:adjustRightInd w:val="0"/>
        <w:spacing w:line="276" w:lineRule="auto"/>
        <w:jc w:val="both"/>
        <w:rPr>
          <w:rFonts w:asciiTheme="majorHAnsi" w:hAnsiTheme="majorHAnsi" w:cstheme="majorHAnsi"/>
          <w:color w:val="000000"/>
          <w:lang w:val="en-US"/>
        </w:rPr>
      </w:pPr>
    </w:p>
    <w:p w14:paraId="4C4B0BA1" w14:textId="77777777" w:rsidR="00D410EF" w:rsidRPr="0096645F" w:rsidRDefault="00D410EF" w:rsidP="00D410EF">
      <w:pPr>
        <w:pStyle w:val="ListParagraph"/>
        <w:shd w:val="clear" w:color="auto" w:fill="FFFFFF"/>
        <w:spacing w:line="259" w:lineRule="auto"/>
        <w:ind w:left="360"/>
        <w:jc w:val="both"/>
        <w:outlineLvl w:val="2"/>
        <w:rPr>
          <w:color w:val="000000"/>
          <w:sz w:val="24"/>
          <w:szCs w:val="24"/>
          <w:lang w:eastAsia="en-GB"/>
        </w:rPr>
      </w:pPr>
    </w:p>
    <w:p w14:paraId="15E2575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r w:rsidRPr="0096645F">
        <w:rPr>
          <w:color w:val="000000"/>
          <w:sz w:val="24"/>
          <w:szCs w:val="24"/>
          <w:lang w:eastAsia="en-GB"/>
        </w:rPr>
        <w:t xml:space="preserve"> </w:t>
      </w:r>
    </w:p>
    <w:p w14:paraId="273DEDF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0DDDECA7"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5CC7BB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w:t>
      </w:r>
      <w:r>
        <w:rPr>
          <w:color w:val="000000"/>
          <w:sz w:val="24"/>
          <w:szCs w:val="24"/>
          <w:lang w:eastAsia="en-GB"/>
        </w:rPr>
        <w:t xml:space="preserve">lain the impact of Covid 19 to </w:t>
      </w:r>
      <w:r w:rsidRPr="0096645F">
        <w:rPr>
          <w:color w:val="000000"/>
          <w:sz w:val="24"/>
          <w:szCs w:val="24"/>
          <w:lang w:eastAsia="en-GB"/>
        </w:rPr>
        <w:t xml:space="preserve">the funding of responses to all/some forms of violence in your State/institution.  </w:t>
      </w:r>
    </w:p>
    <w:p w14:paraId="60B1F18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258C3CD6"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1006A155" w14:textId="77777777" w:rsidR="009F00AF" w:rsidRPr="0096645F" w:rsidRDefault="009F00AF" w:rsidP="009F00AF">
      <w:pPr>
        <w:pStyle w:val="ListParagraph"/>
        <w:spacing w:line="259" w:lineRule="auto"/>
        <w:jc w:val="both"/>
        <w:rPr>
          <w:color w:val="000000"/>
          <w:sz w:val="24"/>
          <w:szCs w:val="24"/>
          <w:lang w:eastAsia="en-GB"/>
        </w:rPr>
      </w:pPr>
    </w:p>
    <w:p w14:paraId="6967E735"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share examples of good practices and examples of comprehensive health responses to survivors of violence and indicate efficient multi-sectorial efforts at the </w:t>
      </w:r>
      <w:r w:rsidRPr="0096645F">
        <w:rPr>
          <w:color w:val="000000" w:themeColor="text1"/>
          <w:sz w:val="24"/>
          <w:szCs w:val="24"/>
          <w:lang w:eastAsia="en-GB"/>
        </w:rPr>
        <w:t xml:space="preserve">community, national, regional and international levels </w:t>
      </w:r>
      <w:r w:rsidRPr="0096645F">
        <w:rPr>
          <w:color w:val="000000"/>
          <w:sz w:val="24"/>
          <w:szCs w:val="24"/>
          <w:lang w:eastAsia="en-GB"/>
        </w:rPr>
        <w:t>by State or non-State actors.</w:t>
      </w:r>
    </w:p>
    <w:p w14:paraId="521DD856" w14:textId="77777777" w:rsidR="009F00AF" w:rsidRPr="0096645F" w:rsidRDefault="009F00AF" w:rsidP="009F00AF">
      <w:pPr>
        <w:pStyle w:val="ListParagraph"/>
        <w:spacing w:line="259" w:lineRule="auto"/>
        <w:jc w:val="both"/>
        <w:rPr>
          <w:color w:val="000000"/>
          <w:sz w:val="24"/>
          <w:szCs w:val="24"/>
          <w:lang w:eastAsia="en-GB"/>
        </w:rPr>
      </w:pPr>
    </w:p>
    <w:p w14:paraId="5E012D4A" w14:textId="77777777" w:rsidR="009F00AF" w:rsidRPr="007C47FA" w:rsidRDefault="009F00AF" w:rsidP="009F00AF">
      <w:pPr>
        <w:pStyle w:val="ListParagraph"/>
        <w:numPr>
          <w:ilvl w:val="0"/>
          <w:numId w:val="1"/>
        </w:numPr>
        <w:shd w:val="clear" w:color="auto" w:fill="FFFFFF"/>
        <w:spacing w:line="259" w:lineRule="auto"/>
        <w:jc w:val="both"/>
        <w:outlineLvl w:val="2"/>
        <w:rPr>
          <w:sz w:val="24"/>
          <w:szCs w:val="24"/>
          <w:shd w:val="clear" w:color="auto" w:fill="FFFFFF"/>
        </w:rPr>
      </w:pPr>
      <w:r w:rsidRPr="0096645F">
        <w:rPr>
          <w:color w:val="000000"/>
          <w:sz w:val="24"/>
          <w:szCs w:val="24"/>
          <w:lang w:eastAsia="en-GB"/>
        </w:rPr>
        <w:t>Please describe State and other actors initiatives and measures to prevent these forms of violence, specific budget allocated to prevention, and good practices in this regard.</w:t>
      </w:r>
    </w:p>
    <w:p w14:paraId="6E3345C0" w14:textId="7777777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4007B6BC" w14:textId="77777777" w:rsidR="009F00AF" w:rsidRDefault="009F00AF" w:rsidP="009F00AF">
      <w:pPr>
        <w:rPr>
          <w:sz w:val="24"/>
          <w:szCs w:val="24"/>
          <w:shd w:val="clear" w:color="auto" w:fill="FFFFFF"/>
        </w:rPr>
      </w:pPr>
      <w:r>
        <w:rPr>
          <w:sz w:val="24"/>
          <w:szCs w:val="24"/>
          <w:shd w:val="clear" w:color="auto" w:fill="FFFFFF"/>
        </w:rPr>
        <w:br w:type="page"/>
      </w:r>
    </w:p>
    <w:p w14:paraId="02FA1800" w14:textId="77777777"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14"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15"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16"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17"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18"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19"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20"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sz w:val="24"/>
          <w:szCs w:val="24"/>
          <w:lang w:val="en"/>
        </w:rPr>
      </w:pPr>
    </w:p>
    <w:p w14:paraId="29D8CEEE" w14:textId="77777777" w:rsidR="003474A5" w:rsidRPr="009F00AF" w:rsidRDefault="00B85066">
      <w:pPr>
        <w:rPr>
          <w:lang w:val="en"/>
        </w:rPr>
      </w:pPr>
    </w:p>
    <w:sectPr w:rsidR="003474A5" w:rsidRPr="009F00AF" w:rsidSect="00ED053D">
      <w:footerReference w:type="default" r:id="rId21"/>
      <w:headerReference w:type="first" r:id="rId22"/>
      <w:footerReference w:type="first" r:id="rId2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DD839" w14:textId="77777777" w:rsidR="00781203" w:rsidRDefault="00781203" w:rsidP="009F00AF">
      <w:r>
        <w:separator/>
      </w:r>
    </w:p>
  </w:endnote>
  <w:endnote w:type="continuationSeparator" w:id="0">
    <w:p w14:paraId="315A094A" w14:textId="77777777" w:rsidR="00781203" w:rsidRDefault="00781203"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11072CF7" w:rsidR="00373EF9" w:rsidRDefault="009F00AF">
        <w:pPr>
          <w:pStyle w:val="Footer"/>
          <w:jc w:val="center"/>
        </w:pPr>
        <w:r>
          <w:fldChar w:fldCharType="begin"/>
        </w:r>
        <w:r>
          <w:instrText xml:space="preserve"> PAGE   \* MERGEFORMAT </w:instrText>
        </w:r>
        <w:r>
          <w:fldChar w:fldCharType="separate"/>
        </w:r>
        <w:r w:rsidR="00B85066">
          <w:rPr>
            <w:noProof/>
          </w:rPr>
          <w:t>6</w:t>
        </w:r>
        <w:r>
          <w:rPr>
            <w:noProof/>
          </w:rPr>
          <w:fldChar w:fldCharType="end"/>
        </w:r>
      </w:p>
    </w:sdtContent>
  </w:sdt>
  <w:p w14:paraId="5A6E9ADE" w14:textId="77777777" w:rsidR="00A93F3F" w:rsidRDefault="00B85066"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77A33" w14:textId="77777777" w:rsidR="00781203" w:rsidRDefault="00781203" w:rsidP="009F00AF">
      <w:r>
        <w:separator/>
      </w:r>
    </w:p>
  </w:footnote>
  <w:footnote w:type="continuationSeparator" w:id="0">
    <w:p w14:paraId="49BFFC88" w14:textId="77777777" w:rsidR="00781203" w:rsidRDefault="00781203" w:rsidP="009F00AF">
      <w:r>
        <w:continuationSeparator/>
      </w:r>
    </w:p>
  </w:footnote>
  <w:footnote w:id="1">
    <w:p w14:paraId="6DF3BCBD" w14:textId="5E1E5603" w:rsidR="00D410EF" w:rsidRPr="00D410EF" w:rsidRDefault="00D410EF">
      <w:pPr>
        <w:pStyle w:val="FootnoteText"/>
        <w:rPr>
          <w:lang w:val="en-US"/>
        </w:rPr>
      </w:pPr>
      <w:r>
        <w:rPr>
          <w:rStyle w:val="FootnoteReference"/>
        </w:rPr>
        <w:footnoteRef/>
      </w:r>
      <w:r>
        <w:t xml:space="preserve"> </w:t>
      </w:r>
      <w:r w:rsidRPr="00520AA5">
        <w:rPr>
          <w:rFonts w:asciiTheme="majorHAnsi" w:hAnsiTheme="majorHAnsi" w:cstheme="majorHAnsi"/>
          <w:color w:val="000000"/>
          <w:lang w:val="en-US"/>
        </w:rPr>
        <w:t>Article 18 (2), the Constitution of Bangladesh</w:t>
      </w:r>
    </w:p>
  </w:footnote>
  <w:footnote w:id="2">
    <w:p w14:paraId="6946CC94" w14:textId="51E601B1" w:rsidR="000035E5" w:rsidRPr="000035E5" w:rsidRDefault="000035E5">
      <w:pPr>
        <w:pStyle w:val="FootnoteText"/>
        <w:rPr>
          <w:lang w:val="en-US"/>
        </w:rPr>
      </w:pPr>
      <w:r>
        <w:rPr>
          <w:rStyle w:val="FootnoteReference"/>
        </w:rPr>
        <w:footnoteRef/>
      </w:r>
      <w:r>
        <w:t xml:space="preserve"> </w:t>
      </w:r>
      <w:r>
        <w:rPr>
          <w:rFonts w:asciiTheme="majorHAnsi" w:hAnsiTheme="majorHAnsi" w:cstheme="majorHAnsi"/>
          <w:color w:val="000000"/>
          <w:lang w:val="en-US"/>
        </w:rPr>
        <w:t>Suppression of Immoral Traffic Act 1993</w:t>
      </w:r>
    </w:p>
  </w:footnote>
  <w:footnote w:id="3">
    <w:p w14:paraId="20B8C363" w14:textId="05136E2A" w:rsidR="00D361DB" w:rsidRPr="00D361DB" w:rsidRDefault="00D361DB">
      <w:pPr>
        <w:pStyle w:val="FootnoteText"/>
        <w:rPr>
          <w:lang w:val="en-US"/>
        </w:rPr>
      </w:pPr>
      <w:r>
        <w:rPr>
          <w:rStyle w:val="FootnoteReference"/>
        </w:rPr>
        <w:footnoteRef/>
      </w:r>
      <w:r>
        <w:t xml:space="preserve"> </w:t>
      </w:r>
      <w:r>
        <w:rPr>
          <w:rFonts w:asciiTheme="majorHAnsi" w:hAnsiTheme="majorHAnsi" w:cstheme="majorHAnsi"/>
          <w:color w:val="000000"/>
          <w:lang w:val="en-US"/>
        </w:rPr>
        <w:t>Oppression of Women and Children (Special Enactment) Act 1995</w:t>
      </w:r>
    </w:p>
  </w:footnote>
  <w:footnote w:id="4">
    <w:p w14:paraId="5C512379" w14:textId="5E3F2C1D" w:rsidR="00A9557D" w:rsidRPr="00A9557D" w:rsidRDefault="00A9557D">
      <w:pPr>
        <w:pStyle w:val="FootnoteText"/>
        <w:rPr>
          <w:lang w:val="en-US"/>
        </w:rPr>
      </w:pPr>
      <w:r>
        <w:rPr>
          <w:rStyle w:val="FootnoteReference"/>
        </w:rPr>
        <w:footnoteRef/>
      </w:r>
      <w:r>
        <w:t xml:space="preserve"> </w:t>
      </w:r>
      <w:r>
        <w:rPr>
          <w:rFonts w:asciiTheme="majorHAnsi" w:hAnsiTheme="majorHAnsi" w:cstheme="majorHAnsi"/>
          <w:color w:val="000000"/>
          <w:lang w:val="en-US"/>
        </w:rPr>
        <w:t xml:space="preserve"> s.290 of Penal Code</w:t>
      </w:r>
    </w:p>
  </w:footnote>
  <w:footnote w:id="5">
    <w:p w14:paraId="0F6AD4D3" w14:textId="380E3FB5" w:rsidR="00A50960" w:rsidRPr="00A50960" w:rsidRDefault="00A50960">
      <w:pPr>
        <w:pStyle w:val="FootnoteText"/>
        <w:rPr>
          <w:lang w:val="en-US"/>
        </w:rPr>
      </w:pPr>
      <w:r>
        <w:rPr>
          <w:rStyle w:val="FootnoteReference"/>
        </w:rPr>
        <w:footnoteRef/>
      </w:r>
      <w:r>
        <w:t xml:space="preserve"> </w:t>
      </w:r>
      <w:r>
        <w:rPr>
          <w:rFonts w:asciiTheme="majorHAnsi" w:hAnsiTheme="majorHAnsi" w:cstheme="majorHAnsi"/>
          <w:color w:val="000000"/>
          <w:lang w:val="en-US"/>
        </w:rPr>
        <w:t>s.54 of Code of Criminal Procedure 1898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B85066"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035E5"/>
    <w:rsid w:val="003830AB"/>
    <w:rsid w:val="00520AA5"/>
    <w:rsid w:val="005F7412"/>
    <w:rsid w:val="00781203"/>
    <w:rsid w:val="00851954"/>
    <w:rsid w:val="00851AAD"/>
    <w:rsid w:val="009F00AF"/>
    <w:rsid w:val="009F2332"/>
    <w:rsid w:val="00A12BE4"/>
    <w:rsid w:val="00A50960"/>
    <w:rsid w:val="00A9557D"/>
    <w:rsid w:val="00AB5B6F"/>
    <w:rsid w:val="00B85066"/>
    <w:rsid w:val="00C55C67"/>
    <w:rsid w:val="00C86EEC"/>
    <w:rsid w:val="00D108AE"/>
    <w:rsid w:val="00D361DB"/>
    <w:rsid w:val="00D410EF"/>
    <w:rsid w:val="00D7193C"/>
    <w:rsid w:val="00DA3A23"/>
    <w:rsid w:val="00F052C3"/>
    <w:rsid w:val="00FB5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D410EF"/>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D410EF"/>
  </w:style>
  <w:style w:type="character" w:customStyle="1" w:styleId="FootnoteTextChar">
    <w:name w:val="Footnote Text Char"/>
    <w:basedOn w:val="DefaultParagraphFont"/>
    <w:link w:val="FootnoteText"/>
    <w:uiPriority w:val="99"/>
    <w:semiHidden/>
    <w:rsid w:val="00D410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1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47/28" TargetMode="External"/><Relationship Id="rId18" Type="http://schemas.openxmlformats.org/officeDocument/2006/relationships/hyperlink" Target="https://www.ohchr.org/Documents/Publications/Born_Free_and_Equal_WEB.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rhealth@un.org" TargetMode="External"/><Relationship Id="rId17" Type="http://schemas.openxmlformats.org/officeDocument/2006/relationships/hyperlink" Target="https://ap.ohchr.org/documents/dpage_e.aspx?si=A/HRC/38/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binternet.ohchr.org/_layouts/15/treatybodyexternal/Download.aspx?symbolno=CRC%2fC%2fGC%2f13&amp;Lang=en" TargetMode="External"/><Relationship Id="rId20" Type="http://schemas.openxmlformats.org/officeDocument/2006/relationships/hyperlink" Target="https://undocs.org/en/S/2019/2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health/pages/srrighthealthindex.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hchr.org/Documents/Issues/Discrimination/LGBT/BackgroundNoteHumanRightsViolationsagainstIntersexPeop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Download.aspx?symbolno=INT/CEDAW/GEC/3731&amp;Lang=e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2.xml><?xml version="1.0" encoding="utf-8"?>
<ds:datastoreItem xmlns:ds="http://schemas.openxmlformats.org/officeDocument/2006/customXml" ds:itemID="{C139C27F-0E84-4A2B-8C25-335E2BF043DE}"/>
</file>

<file path=customXml/itemProps3.xml><?xml version="1.0" encoding="utf-8"?>
<ds:datastoreItem xmlns:ds="http://schemas.openxmlformats.org/officeDocument/2006/customXml" ds:itemID="{379E449B-CB6F-400B-BA6E-CF449830B8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730593A-B9AF-49F7-A884-C8344F0E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2295</Words>
  <Characters>13084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2</cp:revision>
  <dcterms:created xsi:type="dcterms:W3CDTF">2022-01-26T12:15:00Z</dcterms:created>
  <dcterms:modified xsi:type="dcterms:W3CDTF">2022-01-26T12:15:00Z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