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bookmarkStart w:id="0" w:name="_GoBack"/>
      <w:bookmarkEnd w:id="0"/>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0"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hyperlink r:id="rId11"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1" w:name="allegation"/>
      <w:bookmarkEnd w:id="1"/>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3E734BAB" w:rsidR="009F00AF" w:rsidRPr="006512F6" w:rsidRDefault="00AE6422" w:rsidP="00820E9E">
            <w:pPr>
              <w:rPr>
                <w:sz w:val="24"/>
                <w:szCs w:val="24"/>
              </w:rPr>
            </w:pPr>
            <w:r>
              <w:rPr>
                <w:sz w:val="24"/>
                <w:szCs w:val="24"/>
              </w:rPr>
              <w:t>X</w:t>
            </w:r>
            <w:r w:rsidR="009F00AF" w:rsidRPr="006512F6">
              <w:rPr>
                <w:sz w:val="24"/>
                <w:szCs w:val="24"/>
              </w:rPr>
              <w:t xml:space="preserve">  Member State     </w:t>
            </w:r>
          </w:p>
          <w:p w14:paraId="064105A3"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814888">
              <w:rPr>
                <w:sz w:val="24"/>
                <w:szCs w:val="24"/>
              </w:rPr>
            </w:r>
            <w:r w:rsidR="00814888">
              <w:rPr>
                <w:sz w:val="24"/>
                <w:szCs w:val="24"/>
              </w:rPr>
              <w:fldChar w:fldCharType="separate"/>
            </w:r>
            <w:r w:rsidRPr="006512F6">
              <w:rPr>
                <w:sz w:val="24"/>
                <w:szCs w:val="24"/>
              </w:rPr>
              <w:fldChar w:fldCharType="end"/>
            </w:r>
            <w:r w:rsidRPr="006512F6">
              <w:rPr>
                <w:sz w:val="24"/>
                <w:szCs w:val="24"/>
              </w:rPr>
              <w:t xml:space="preserve">  Observer State</w:t>
            </w:r>
          </w:p>
          <w:p w14:paraId="0781E329"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814888">
              <w:rPr>
                <w:sz w:val="24"/>
                <w:szCs w:val="24"/>
              </w:rPr>
            </w:r>
            <w:r w:rsidR="00814888">
              <w:rPr>
                <w:sz w:val="24"/>
                <w:szCs w:val="24"/>
              </w:rPr>
              <w:fldChar w:fldCharType="separate"/>
            </w:r>
            <w:r w:rsidRPr="006512F6">
              <w:rPr>
                <w:sz w:val="24"/>
                <w:szCs w:val="24"/>
              </w:rPr>
              <w:fldChar w:fldCharType="end"/>
            </w:r>
            <w:r w:rsidRPr="006512F6">
              <w:rPr>
                <w:sz w:val="24"/>
                <w:szCs w:val="24"/>
              </w:rPr>
              <w:t xml:space="preserve">  Other (please specify)</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F4579" w14:textId="77777777" w:rsidR="009F00AF" w:rsidRDefault="00AE6422" w:rsidP="00820E9E">
            <w:pPr>
              <w:rPr>
                <w:sz w:val="24"/>
                <w:szCs w:val="24"/>
              </w:rPr>
            </w:pPr>
            <w:r>
              <w:rPr>
                <w:sz w:val="24"/>
                <w:szCs w:val="24"/>
              </w:rPr>
              <w:t>South Africa</w:t>
            </w:r>
          </w:p>
          <w:p w14:paraId="2A65A19E" w14:textId="75F494F4" w:rsidR="00AE6422" w:rsidRPr="006512F6" w:rsidRDefault="00AE6422" w:rsidP="00820E9E">
            <w:pPr>
              <w:rPr>
                <w:sz w:val="24"/>
                <w:szCs w:val="24"/>
              </w:rPr>
            </w:pPr>
            <w:r>
              <w:rPr>
                <w:sz w:val="24"/>
                <w:szCs w:val="24"/>
              </w:rPr>
              <w:t>Sonke Gender Justice</w:t>
            </w:r>
            <w:r w:rsidR="00C24EB6">
              <w:rPr>
                <w:sz w:val="24"/>
                <w:szCs w:val="24"/>
              </w:rPr>
              <w:t xml:space="preserve"> c/o Namuma Mulindi</w:t>
            </w:r>
          </w:p>
        </w:tc>
      </w:tr>
      <w:tr w:rsidR="009F00AF" w:rsidRPr="006512F6" w14:paraId="690C7624" w14:textId="77777777" w:rsidTr="00820E9E">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EE011" w14:textId="77777777" w:rsidR="009F00AF" w:rsidRPr="006512F6" w:rsidRDefault="009F00AF" w:rsidP="00820E9E">
            <w:pPr>
              <w:pStyle w:val="BodyA"/>
              <w:rPr>
                <w:rStyle w:val="None"/>
                <w:rFonts w:ascii="Times New Roman" w:hAnsi="Times New Roman" w:cs="Times New Roman"/>
              </w:rPr>
            </w:pPr>
            <w:r w:rsidRPr="006512F6">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6D0FD" w14:textId="58FA7685" w:rsidR="009F00AF" w:rsidRPr="006512F6" w:rsidRDefault="00AE6422" w:rsidP="00820E9E">
            <w:pPr>
              <w:rPr>
                <w:sz w:val="24"/>
                <w:szCs w:val="24"/>
              </w:rPr>
            </w:pPr>
            <w:r>
              <w:rPr>
                <w:sz w:val="24"/>
                <w:szCs w:val="24"/>
              </w:rPr>
              <w:t>namuma@genderjustice.org.za</w:t>
            </w:r>
          </w:p>
        </w:tc>
      </w:tr>
      <w:tr w:rsidR="009F00AF" w:rsidRPr="006512F6" w14:paraId="57732BA4" w14:textId="77777777" w:rsidTr="00820E9E">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2310"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 xml:space="preserve">Can we attribute responses to this questionnaire to </w:t>
            </w:r>
            <w:r>
              <w:rPr>
                <w:rStyle w:val="None"/>
                <w:rFonts w:ascii="Times New Roman" w:hAnsi="Times New Roman" w:cs="Times New Roman"/>
              </w:rPr>
              <w:t xml:space="preserve">your State </w:t>
            </w:r>
            <w:r w:rsidRPr="006512F6">
              <w:rPr>
                <w:rStyle w:val="None"/>
                <w:rFonts w:ascii="Times New Roman" w:hAnsi="Times New Roman" w:cs="Times New Roman"/>
              </w:rPr>
              <w:t>publicly</w:t>
            </w:r>
            <w:r w:rsidRPr="006512F6">
              <w:rPr>
                <w:rFonts w:ascii="Times New Roman" w:hAnsi="Times New Roman" w:cs="Times New Roman"/>
              </w:rPr>
              <w:t>*</w:t>
            </w:r>
            <w:r w:rsidRPr="006512F6">
              <w:rPr>
                <w:rStyle w:val="None"/>
                <w:rFonts w:ascii="Times New Roman" w:hAnsi="Times New Roman" w:cs="Times New Roman"/>
              </w:rPr>
              <w:t>?</w:t>
            </w:r>
            <w:r w:rsidRPr="006512F6">
              <w:rPr>
                <w:rFonts w:ascii="Times New Roman" w:hAnsi="Times New Roman" w:cs="Times New Roman"/>
              </w:rPr>
              <w:t xml:space="preserve"> </w:t>
            </w:r>
          </w:p>
          <w:p w14:paraId="5ED6EA70" w14:textId="77777777" w:rsidR="009F00AF" w:rsidRPr="006512F6" w:rsidRDefault="009F00AF" w:rsidP="00820E9E">
            <w:pPr>
              <w:pStyle w:val="BodyA"/>
              <w:rPr>
                <w:rFonts w:ascii="Times New Roman" w:hAnsi="Times New Roman" w:cs="Times New Roman"/>
              </w:rPr>
            </w:pPr>
          </w:p>
          <w:p w14:paraId="75ECAB6B" w14:textId="77777777" w:rsidR="009F00AF" w:rsidRPr="006512F6" w:rsidRDefault="009F00AF" w:rsidP="00820E9E">
            <w:pPr>
              <w:pStyle w:val="BodyA"/>
              <w:rPr>
                <w:rFonts w:ascii="Times New Roman" w:hAnsi="Times New Roman" w:cs="Times New Roman"/>
              </w:rPr>
            </w:pPr>
            <w:r w:rsidRPr="006512F6">
              <w:rPr>
                <w:rFonts w:ascii="Times New Roman" w:hAnsi="Times New Roman" w:cs="Times New Roman"/>
              </w:rPr>
              <w:t xml:space="preserve">*On OHCHR website, under the section of SR </w:t>
            </w:r>
            <w:r>
              <w:rPr>
                <w:rFonts w:ascii="Times New Roman" w:hAnsi="Times New Roman" w:cs="Times New Roman"/>
              </w:rPr>
              <w:t>h</w:t>
            </w:r>
            <w:r w:rsidRPr="006512F6">
              <w:rPr>
                <w:rFonts w:ascii="Times New Roman" w:hAnsi="Times New Roman" w:cs="Times New Roman"/>
              </w:rPr>
              <w:t>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914D2" w14:textId="703DD128" w:rsidR="009F00AF" w:rsidRPr="006512F6" w:rsidRDefault="009F00AF" w:rsidP="00820E9E">
            <w:pPr>
              <w:pStyle w:val="BodyA"/>
              <w:rPr>
                <w:rStyle w:val="None"/>
                <w:rFonts w:ascii="Times New Roman" w:eastAsia="Times New Roman" w:hAnsi="Times New Roman" w:cs="Times New Roman"/>
              </w:rPr>
            </w:pPr>
            <w:r w:rsidRPr="006512F6">
              <w:rPr>
                <w:rStyle w:val="None"/>
                <w:rFonts w:ascii="Times New Roman" w:hAnsi="Times New Roman" w:cs="Times New Roman"/>
              </w:rPr>
              <w:t xml:space="preserve"> Yes</w:t>
            </w:r>
            <w:r w:rsidR="00C24EB6">
              <w:rPr>
                <w:rStyle w:val="None"/>
                <w:rFonts w:ascii="Times New Roman" w:hAnsi="Times New Roman" w:cs="Times New Roman"/>
              </w:rPr>
              <w:t xml:space="preserve"> </w:t>
            </w:r>
            <w:r w:rsidR="00AE6422">
              <w:rPr>
                <w:rStyle w:val="None"/>
                <w:rFonts w:ascii="Times New Roman" w:hAnsi="Times New Roman" w:cs="Times New Roman"/>
              </w:rPr>
              <w:t>X</w:t>
            </w:r>
            <w:r w:rsidRPr="006512F6">
              <w:rPr>
                <w:rStyle w:val="None"/>
                <w:rFonts w:ascii="Times New Roman" w:hAnsi="Times New Roman" w:cs="Times New Roman"/>
              </w:rPr>
              <w:t xml:space="preserve">           No</w:t>
            </w:r>
          </w:p>
          <w:p w14:paraId="272073F6" w14:textId="77777777" w:rsidR="009F00AF" w:rsidRPr="006512F6" w:rsidRDefault="009F00AF" w:rsidP="00820E9E">
            <w:pPr>
              <w:pStyle w:val="BodyA"/>
              <w:rPr>
                <w:rStyle w:val="None"/>
                <w:rFonts w:ascii="Times New Roman" w:eastAsia="Times New Roman" w:hAnsi="Times New Roman" w:cs="Times New Roman"/>
              </w:rPr>
            </w:pPr>
          </w:p>
          <w:p w14:paraId="230D7CA3"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Comments (if any):</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p>
    <w:p w14:paraId="4C768660" w14:textId="77777777" w:rsidR="009F00AF" w:rsidRDefault="009F00AF" w:rsidP="009F00AF">
      <w:pPr>
        <w:pStyle w:val="Heading1"/>
        <w:ind w:left="0"/>
        <w:jc w:val="left"/>
        <w:rPr>
          <w:rStyle w:val="Instructions"/>
          <w:sz w:val="24"/>
          <w:szCs w:val="24"/>
        </w:rPr>
      </w:pPr>
      <w:bookmarkStart w:id="2" w:name="_Toc48734679"/>
      <w:r w:rsidRPr="006512F6">
        <w:rPr>
          <w:sz w:val="24"/>
          <w:szCs w:val="24"/>
        </w:rPr>
        <w:lastRenderedPageBreak/>
        <w:t>Background</w:t>
      </w:r>
      <w:r w:rsidRPr="006512F6">
        <w:rPr>
          <w:rStyle w:val="Instructions"/>
          <w:sz w:val="24"/>
          <w:szCs w:val="24"/>
        </w:rPr>
        <w:t xml:space="preserve"> </w:t>
      </w:r>
      <w:bookmarkStart w:id="3" w:name="_Toc48734680"/>
      <w:bookmarkEnd w:id="2"/>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femicide as one of her priorities during her tenure (See </w:t>
      </w:r>
      <w:hyperlink r:id="rId12"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3"/>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4"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4"/>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77777777" w:rsidR="009F00AF" w:rsidRPr="004E52AB" w:rsidRDefault="009F00AF" w:rsidP="009F00AF">
      <w:pPr>
        <w:pStyle w:val="ListParagraph"/>
        <w:numPr>
          <w:ilvl w:val="0"/>
          <w:numId w:val="1"/>
        </w:numPr>
        <w:shd w:val="clear" w:color="auto" w:fill="FFFFFF"/>
        <w:spacing w:line="259" w:lineRule="auto"/>
        <w:outlineLvl w:val="2"/>
        <w:rPr>
          <w:i/>
          <w:iCs/>
          <w:color w:val="000000"/>
          <w:sz w:val="24"/>
          <w:szCs w:val="24"/>
          <w:lang w:eastAsia="en-GB"/>
        </w:rPr>
      </w:pPr>
      <w:bookmarkStart w:id="5" w:name="_Hlk93322233"/>
      <w:r w:rsidRPr="004E52AB">
        <w:rPr>
          <w:i/>
          <w:iCs/>
          <w:color w:val="000000"/>
          <w:sz w:val="24"/>
          <w:szCs w:val="24"/>
          <w:lang w:eastAsia="en-GB"/>
        </w:rPr>
        <w:t>Please describe, share data and information on the characteristics, number of cases, and the profile of victims and perpetrators in your country/ies or region(s) regarding:</w:t>
      </w:r>
    </w:p>
    <w:p w14:paraId="6BBA6985" w14:textId="77777777" w:rsidR="009F00AF" w:rsidRPr="004E52AB" w:rsidRDefault="009F00AF" w:rsidP="009F00AF">
      <w:pPr>
        <w:pStyle w:val="ListParagraph"/>
        <w:shd w:val="clear" w:color="auto" w:fill="FFFFFF"/>
        <w:spacing w:line="259" w:lineRule="auto"/>
        <w:ind w:left="360"/>
        <w:outlineLvl w:val="2"/>
        <w:rPr>
          <w:i/>
          <w:iCs/>
          <w:color w:val="000000"/>
          <w:sz w:val="24"/>
          <w:szCs w:val="24"/>
          <w:lang w:eastAsia="en-GB"/>
        </w:rPr>
      </w:pPr>
    </w:p>
    <w:p w14:paraId="5B0F6966" w14:textId="5F08F7B0" w:rsidR="00BB351D" w:rsidRPr="004E52AB" w:rsidRDefault="009F00AF" w:rsidP="009F00AF">
      <w:pPr>
        <w:pStyle w:val="ListParagraph"/>
        <w:numPr>
          <w:ilvl w:val="1"/>
          <w:numId w:val="2"/>
        </w:numPr>
        <w:shd w:val="clear" w:color="auto" w:fill="FFFFFF"/>
        <w:spacing w:line="259" w:lineRule="auto"/>
        <w:outlineLvl w:val="2"/>
        <w:rPr>
          <w:i/>
          <w:iCs/>
          <w:color w:val="000000"/>
          <w:sz w:val="24"/>
          <w:szCs w:val="24"/>
          <w:lang w:eastAsia="en-GB"/>
        </w:rPr>
      </w:pPr>
      <w:r w:rsidRPr="004E52AB">
        <w:rPr>
          <w:i/>
          <w:iCs/>
          <w:color w:val="000000"/>
          <w:sz w:val="24"/>
          <w:szCs w:val="24"/>
          <w:lang w:eastAsia="en-GB"/>
        </w:rPr>
        <w:t>gender based violence against women</w:t>
      </w:r>
    </w:p>
    <w:p w14:paraId="213EB7E3" w14:textId="77777777" w:rsidR="00C24EB6" w:rsidRPr="00B357FF" w:rsidRDefault="00C24EB6" w:rsidP="00C24EB6">
      <w:pPr>
        <w:pStyle w:val="ListParagraph"/>
        <w:shd w:val="clear" w:color="auto" w:fill="FFFFFF"/>
        <w:spacing w:line="259" w:lineRule="auto"/>
        <w:ind w:left="792"/>
        <w:outlineLvl w:val="2"/>
        <w:rPr>
          <w:rFonts w:asciiTheme="minorHAnsi" w:hAnsiTheme="minorHAnsi" w:cstheme="minorHAnsi"/>
          <w:b/>
          <w:bCs/>
          <w:color w:val="000000"/>
          <w:sz w:val="24"/>
          <w:szCs w:val="24"/>
          <w:u w:val="single"/>
          <w:lang w:eastAsia="en-GB"/>
        </w:rPr>
      </w:pPr>
      <w:r w:rsidRPr="00B357FF">
        <w:rPr>
          <w:rFonts w:asciiTheme="minorHAnsi" w:hAnsiTheme="minorHAnsi" w:cstheme="minorHAnsi"/>
          <w:b/>
          <w:bCs/>
          <w:color w:val="000000"/>
          <w:sz w:val="24"/>
          <w:szCs w:val="24"/>
          <w:u w:val="single"/>
          <w:lang w:eastAsia="en-GB"/>
        </w:rPr>
        <w:t>Profile of victims:</w:t>
      </w:r>
    </w:p>
    <w:p w14:paraId="7E213E1A" w14:textId="77777777" w:rsidR="00C24EB6" w:rsidRDefault="00C24EB6" w:rsidP="00C24EB6">
      <w:pPr>
        <w:pStyle w:val="ListParagraph"/>
        <w:numPr>
          <w:ilvl w:val="0"/>
          <w:numId w:val="4"/>
        </w:numPr>
        <w:shd w:val="clear" w:color="auto" w:fill="FFFFFF"/>
        <w:spacing w:line="259" w:lineRule="auto"/>
        <w:jc w:val="both"/>
        <w:outlineLvl w:val="2"/>
        <w:rPr>
          <w:rFonts w:asciiTheme="minorHAnsi" w:hAnsiTheme="minorHAnsi" w:cstheme="minorHAnsi"/>
          <w:color w:val="000000"/>
          <w:sz w:val="24"/>
          <w:szCs w:val="24"/>
          <w:lang w:eastAsia="en-GB"/>
        </w:rPr>
      </w:pPr>
      <w:r w:rsidRPr="00F45DA9">
        <w:rPr>
          <w:rFonts w:asciiTheme="minorHAnsi" w:hAnsiTheme="minorHAnsi" w:cstheme="minorHAnsi"/>
          <w:color w:val="000000"/>
          <w:sz w:val="24"/>
          <w:szCs w:val="24"/>
          <w:lang w:eastAsia="en-GB"/>
        </w:rPr>
        <w:t>In as much as victims of gender-based violence include men</w:t>
      </w:r>
      <w:r>
        <w:rPr>
          <w:rFonts w:asciiTheme="minorHAnsi" w:hAnsiTheme="minorHAnsi" w:cstheme="minorHAnsi"/>
          <w:color w:val="000000"/>
          <w:sz w:val="24"/>
          <w:szCs w:val="24"/>
          <w:lang w:eastAsia="en-GB"/>
        </w:rPr>
        <w:t>,</w:t>
      </w:r>
      <w:r w:rsidRPr="00F45DA9">
        <w:rPr>
          <w:rFonts w:asciiTheme="minorHAnsi" w:hAnsiTheme="minorHAnsi" w:cstheme="minorHAnsi"/>
          <w:color w:val="000000"/>
          <w:sz w:val="24"/>
          <w:szCs w:val="24"/>
          <w:lang w:eastAsia="en-GB"/>
        </w:rPr>
        <w:t xml:space="preserve"> women and children, the</w:t>
      </w:r>
      <w:r>
        <w:rPr>
          <w:rFonts w:asciiTheme="minorHAnsi" w:hAnsiTheme="minorHAnsi" w:cstheme="minorHAnsi"/>
          <w:color w:val="000000"/>
          <w:sz w:val="24"/>
          <w:szCs w:val="24"/>
          <w:lang w:eastAsia="en-GB"/>
        </w:rPr>
        <w:t>r</w:t>
      </w:r>
      <w:r w:rsidRPr="00F45DA9">
        <w:rPr>
          <w:rFonts w:asciiTheme="minorHAnsi" w:hAnsiTheme="minorHAnsi" w:cstheme="minorHAnsi"/>
          <w:color w:val="000000"/>
          <w:sz w:val="24"/>
          <w:szCs w:val="24"/>
          <w:lang w:eastAsia="en-GB"/>
        </w:rPr>
        <w:t>e is overwhelming evidence that women and children are disproportionately affected</w:t>
      </w:r>
      <w:r>
        <w:rPr>
          <w:rFonts w:asciiTheme="minorHAnsi" w:hAnsiTheme="minorHAnsi" w:cstheme="minorHAnsi"/>
          <w:color w:val="000000"/>
          <w:sz w:val="24"/>
          <w:szCs w:val="24"/>
          <w:lang w:eastAsia="en-GB"/>
        </w:rPr>
        <w:t>.</w:t>
      </w:r>
      <w:r>
        <w:rPr>
          <w:rStyle w:val="FootnoteReference"/>
          <w:rFonts w:asciiTheme="minorHAnsi" w:hAnsiTheme="minorHAnsi" w:cstheme="minorHAnsi"/>
          <w:color w:val="000000"/>
          <w:sz w:val="24"/>
          <w:szCs w:val="24"/>
          <w:lang w:eastAsia="en-GB"/>
        </w:rPr>
        <w:footnoteReference w:id="1"/>
      </w:r>
      <w:r>
        <w:rPr>
          <w:rFonts w:asciiTheme="minorHAnsi" w:hAnsiTheme="minorHAnsi" w:cstheme="minorHAnsi"/>
          <w:color w:val="000000"/>
          <w:sz w:val="24"/>
          <w:szCs w:val="24"/>
          <w:lang w:eastAsia="en-GB"/>
        </w:rPr>
        <w:t xml:space="preserve">It is estimated, that up to half of the women in South Africa are likely to be raped in their lifetime. 25% of girls are </w:t>
      </w:r>
      <w:r>
        <w:rPr>
          <w:rFonts w:asciiTheme="minorHAnsi" w:hAnsiTheme="minorHAnsi" w:cstheme="minorHAnsi"/>
          <w:color w:val="000000"/>
          <w:sz w:val="24"/>
          <w:szCs w:val="24"/>
          <w:lang w:eastAsia="en-GB"/>
        </w:rPr>
        <w:lastRenderedPageBreak/>
        <w:t>likely to be raped before the age of 16.</w:t>
      </w:r>
      <w:r>
        <w:rPr>
          <w:rStyle w:val="FootnoteReference"/>
          <w:rFonts w:asciiTheme="minorHAnsi" w:hAnsiTheme="minorHAnsi" w:cstheme="minorHAnsi"/>
          <w:color w:val="000000"/>
          <w:sz w:val="24"/>
          <w:szCs w:val="24"/>
          <w:lang w:eastAsia="en-GB"/>
        </w:rPr>
        <w:footnoteReference w:id="2"/>
      </w:r>
      <w:r>
        <w:rPr>
          <w:rFonts w:asciiTheme="minorHAnsi" w:hAnsiTheme="minorHAnsi" w:cstheme="minorHAnsi"/>
          <w:color w:val="000000"/>
          <w:sz w:val="24"/>
          <w:szCs w:val="24"/>
          <w:lang w:eastAsia="en-GB"/>
        </w:rPr>
        <w:t xml:space="preserve"> Rape victims in the country are likely to be young women between the ages of 16 and 25 years.</w:t>
      </w:r>
      <w:r>
        <w:rPr>
          <w:rStyle w:val="FootnoteReference"/>
          <w:rFonts w:asciiTheme="minorHAnsi" w:hAnsiTheme="minorHAnsi" w:cstheme="minorHAnsi"/>
          <w:color w:val="000000"/>
          <w:sz w:val="24"/>
          <w:szCs w:val="24"/>
          <w:lang w:eastAsia="en-GB"/>
        </w:rPr>
        <w:footnoteReference w:id="3"/>
      </w:r>
      <w:r>
        <w:rPr>
          <w:rFonts w:asciiTheme="minorHAnsi" w:hAnsiTheme="minorHAnsi" w:cstheme="minorHAnsi"/>
          <w:color w:val="000000"/>
          <w:sz w:val="24"/>
          <w:szCs w:val="24"/>
          <w:lang w:eastAsia="en-GB"/>
        </w:rPr>
        <w:t xml:space="preserve"> </w:t>
      </w:r>
    </w:p>
    <w:p w14:paraId="5C5865F4" w14:textId="77777777" w:rsidR="00C24EB6" w:rsidRDefault="00C24EB6" w:rsidP="00C24EB6">
      <w:pPr>
        <w:pStyle w:val="ListParagraph"/>
        <w:numPr>
          <w:ilvl w:val="0"/>
          <w:numId w:val="4"/>
        </w:numPr>
        <w:jc w:val="both"/>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Violence against women is more effectively understood from a lifecycle approach. In this way it is clear to see that throughout a women’s lifespan from birth right to her old age she is likely to be a victim of violence of some form. The age group of 16-24 years this being adolescence to adulthood is the most vulnerable group experiencing intimate partner violence, rape and sexual assault by relatives or known and unknown men, dating and courtship violence, economically coerced sex, psychological abuse and the ever increasing “blesser” (sugar daddy) culture. Into adulthood, there is exposure to sexual abuse in the workplace and sexual harassment, marital rape, dowry abuse, and forced pregnancy</w:t>
      </w:r>
      <w:r>
        <w:rPr>
          <w:rStyle w:val="FootnoteReference"/>
          <w:rFonts w:asciiTheme="minorHAnsi" w:hAnsiTheme="minorHAnsi" w:cstheme="minorHAnsi"/>
          <w:color w:val="000000"/>
          <w:sz w:val="24"/>
          <w:szCs w:val="24"/>
          <w:lang w:eastAsia="en-GB"/>
        </w:rPr>
        <w:footnoteReference w:id="4"/>
      </w:r>
      <w:r>
        <w:rPr>
          <w:rFonts w:asciiTheme="minorHAnsi" w:hAnsiTheme="minorHAnsi" w:cstheme="minorHAnsi"/>
          <w:color w:val="000000"/>
          <w:sz w:val="24"/>
          <w:szCs w:val="24"/>
          <w:lang w:eastAsia="en-GB"/>
        </w:rPr>
        <w:t>.</w:t>
      </w:r>
      <w:r w:rsidRPr="00B213B7">
        <w:rPr>
          <w:rFonts w:asciiTheme="minorHAnsi" w:hAnsiTheme="minorHAnsi" w:cstheme="minorHAnsi"/>
          <w:color w:val="000000"/>
          <w:sz w:val="24"/>
          <w:szCs w:val="24"/>
          <w:lang w:eastAsia="en-GB"/>
        </w:rPr>
        <w:t xml:space="preserve"> </w:t>
      </w:r>
    </w:p>
    <w:p w14:paraId="464C1AE1" w14:textId="77777777" w:rsidR="00C24EB6" w:rsidRPr="00F45DA9" w:rsidRDefault="00C24EB6" w:rsidP="00C24EB6">
      <w:pPr>
        <w:pStyle w:val="ListParagraph"/>
        <w:numPr>
          <w:ilvl w:val="0"/>
          <w:numId w:val="4"/>
        </w:numPr>
        <w:jc w:val="both"/>
        <w:rPr>
          <w:rFonts w:asciiTheme="minorHAnsi" w:hAnsiTheme="minorHAnsi" w:cstheme="minorHAnsi"/>
          <w:color w:val="000000"/>
          <w:sz w:val="24"/>
          <w:szCs w:val="24"/>
          <w:lang w:eastAsia="en-GB"/>
        </w:rPr>
      </w:pPr>
      <w:r w:rsidRPr="00F45DA9">
        <w:rPr>
          <w:rFonts w:asciiTheme="minorHAnsi" w:hAnsiTheme="minorHAnsi" w:cstheme="minorHAnsi"/>
          <w:color w:val="000000"/>
          <w:sz w:val="24"/>
          <w:szCs w:val="24"/>
          <w:lang w:eastAsia="en-GB"/>
        </w:rPr>
        <w:t>The Medical Research Council of South Africa conducted a study in three provinces in South Africa on GBV. The outcome of their study found 1in 4 women have experienced violence at some point in time in their life</w:t>
      </w:r>
    </w:p>
    <w:p w14:paraId="70B01063" w14:textId="77777777" w:rsidR="00C24EB6" w:rsidRPr="00B213B7" w:rsidRDefault="00C24EB6" w:rsidP="00C24EB6">
      <w:pPr>
        <w:pStyle w:val="ListParagraph"/>
        <w:numPr>
          <w:ilvl w:val="0"/>
          <w:numId w:val="4"/>
        </w:numPr>
        <w:jc w:val="both"/>
        <w:rPr>
          <w:rFonts w:asciiTheme="minorHAnsi" w:hAnsiTheme="minorHAnsi" w:cstheme="minorHAnsi"/>
          <w:color w:val="000000"/>
          <w:sz w:val="24"/>
          <w:szCs w:val="24"/>
          <w:lang w:eastAsia="en-GB"/>
        </w:rPr>
      </w:pPr>
      <w:r w:rsidRPr="00F45DA9">
        <w:rPr>
          <w:rFonts w:asciiTheme="minorHAnsi" w:hAnsiTheme="minorHAnsi" w:cstheme="minorHAnsi"/>
          <w:color w:val="000000"/>
          <w:sz w:val="24"/>
          <w:szCs w:val="24"/>
          <w:lang w:eastAsia="en-GB"/>
        </w:rPr>
        <w:t>A Separate study by Gender Links covering confirms all participants in the study had experienced some form of violence be it economic, emotional, physical, or sexual at least once in their lifetime both within and outside their intimate relationship.</w:t>
      </w:r>
    </w:p>
    <w:p w14:paraId="2D71A053" w14:textId="77777777" w:rsidR="00C24EB6" w:rsidRPr="00F45DA9" w:rsidRDefault="00C24EB6" w:rsidP="00C24EB6">
      <w:pPr>
        <w:pStyle w:val="ListParagraph"/>
        <w:numPr>
          <w:ilvl w:val="0"/>
          <w:numId w:val="4"/>
        </w:numPr>
        <w:jc w:val="both"/>
        <w:rPr>
          <w:rFonts w:asciiTheme="minorHAnsi" w:hAnsiTheme="minorHAnsi" w:cstheme="minorHAnsi"/>
          <w:color w:val="000000"/>
          <w:sz w:val="24"/>
          <w:szCs w:val="24"/>
          <w:lang w:eastAsia="en-GB"/>
        </w:rPr>
      </w:pPr>
      <w:r w:rsidRPr="00F45DA9">
        <w:rPr>
          <w:rFonts w:asciiTheme="minorHAnsi" w:hAnsiTheme="minorHAnsi" w:cstheme="minorHAnsi"/>
          <w:color w:val="000000"/>
          <w:sz w:val="24"/>
          <w:szCs w:val="24"/>
          <w:lang w:eastAsia="en-GB"/>
        </w:rPr>
        <w:t>According to a WHO 2016 report, Femicide in South Africa is five times the world’s global average. Female interpersonal violence is 4</w:t>
      </w:r>
      <w:r w:rsidRPr="00F45DA9">
        <w:rPr>
          <w:rFonts w:asciiTheme="minorHAnsi" w:hAnsiTheme="minorHAnsi" w:cstheme="minorHAnsi"/>
          <w:color w:val="000000"/>
          <w:sz w:val="24"/>
          <w:szCs w:val="24"/>
          <w:vertAlign w:val="superscript"/>
          <w:lang w:eastAsia="en-GB"/>
        </w:rPr>
        <w:t>th</w:t>
      </w:r>
      <w:r w:rsidRPr="00F45DA9">
        <w:rPr>
          <w:rFonts w:asciiTheme="minorHAnsi" w:hAnsiTheme="minorHAnsi" w:cstheme="minorHAnsi"/>
          <w:color w:val="000000"/>
          <w:sz w:val="24"/>
          <w:szCs w:val="24"/>
          <w:lang w:eastAsia="en-GB"/>
        </w:rPr>
        <w:t xml:space="preserve"> highest out of 183 countries listed in the research report.</w:t>
      </w:r>
    </w:p>
    <w:p w14:paraId="7B205B74" w14:textId="77777777" w:rsidR="00C24EB6" w:rsidRDefault="00C24EB6" w:rsidP="00C24EB6">
      <w:pPr>
        <w:pStyle w:val="ListParagraph"/>
        <w:shd w:val="clear" w:color="auto" w:fill="FFFFFF"/>
        <w:spacing w:line="259" w:lineRule="auto"/>
        <w:ind w:left="792"/>
        <w:jc w:val="both"/>
        <w:outlineLvl w:val="2"/>
        <w:rPr>
          <w:rFonts w:asciiTheme="minorHAnsi" w:hAnsiTheme="minorHAnsi" w:cstheme="minorHAnsi"/>
          <w:color w:val="000000"/>
          <w:sz w:val="24"/>
          <w:szCs w:val="24"/>
          <w:lang w:eastAsia="en-GB"/>
        </w:rPr>
      </w:pPr>
    </w:p>
    <w:p w14:paraId="23616009" w14:textId="77777777" w:rsidR="00C24EB6" w:rsidRPr="00B357FF" w:rsidRDefault="00C24EB6" w:rsidP="00C24EB6">
      <w:pPr>
        <w:pStyle w:val="ListParagraph"/>
        <w:shd w:val="clear" w:color="auto" w:fill="FFFFFF"/>
        <w:spacing w:line="259" w:lineRule="auto"/>
        <w:ind w:left="792"/>
        <w:jc w:val="both"/>
        <w:outlineLvl w:val="2"/>
        <w:rPr>
          <w:rFonts w:asciiTheme="minorHAnsi" w:hAnsiTheme="minorHAnsi" w:cstheme="minorHAnsi"/>
          <w:b/>
          <w:bCs/>
          <w:color w:val="000000"/>
          <w:sz w:val="24"/>
          <w:szCs w:val="24"/>
          <w:u w:val="single"/>
          <w:lang w:eastAsia="en-GB"/>
        </w:rPr>
      </w:pPr>
      <w:r w:rsidRPr="00B357FF">
        <w:rPr>
          <w:rFonts w:asciiTheme="minorHAnsi" w:hAnsiTheme="minorHAnsi" w:cstheme="minorHAnsi"/>
          <w:b/>
          <w:bCs/>
          <w:color w:val="000000"/>
          <w:sz w:val="24"/>
          <w:szCs w:val="24"/>
          <w:u w:val="single"/>
          <w:lang w:eastAsia="en-GB"/>
        </w:rPr>
        <w:t>Profile of perpetrators:</w:t>
      </w:r>
    </w:p>
    <w:p w14:paraId="69AE0C83" w14:textId="77777777" w:rsidR="00C24EB6" w:rsidRPr="00B213B7" w:rsidRDefault="00C24EB6" w:rsidP="00C24EB6">
      <w:pPr>
        <w:pStyle w:val="ListParagraph"/>
        <w:numPr>
          <w:ilvl w:val="0"/>
          <w:numId w:val="5"/>
        </w:numPr>
        <w:jc w:val="both"/>
        <w:rPr>
          <w:rFonts w:asciiTheme="minorHAnsi" w:hAnsiTheme="minorHAnsi" w:cstheme="minorHAnsi"/>
          <w:color w:val="000000"/>
          <w:sz w:val="24"/>
          <w:szCs w:val="24"/>
          <w:lang w:eastAsia="en-GB"/>
        </w:rPr>
      </w:pPr>
      <w:r w:rsidRPr="00B213B7">
        <w:rPr>
          <w:rFonts w:asciiTheme="minorHAnsi" w:hAnsiTheme="minorHAnsi" w:cstheme="minorHAnsi"/>
          <w:color w:val="000000"/>
          <w:sz w:val="24"/>
          <w:szCs w:val="24"/>
          <w:lang w:eastAsia="en-GB"/>
        </w:rPr>
        <w:t>A 2013 Research Study of Four provinces in South Africa, conducted by Gender Links found a large portion of men admitted to having committed some form of violence against women in their lifetime. Gauteng 78% Limpopo 48% Western Cape 35% and Kwa-Zulu natal 41%.</w:t>
      </w:r>
    </w:p>
    <w:p w14:paraId="5522F639" w14:textId="77777777" w:rsidR="00C24EB6" w:rsidRPr="00B213B7" w:rsidRDefault="00C24EB6" w:rsidP="00C24EB6">
      <w:pPr>
        <w:pStyle w:val="ListParagraph"/>
        <w:numPr>
          <w:ilvl w:val="0"/>
          <w:numId w:val="5"/>
        </w:numPr>
        <w:jc w:val="both"/>
        <w:rPr>
          <w:rFonts w:asciiTheme="minorHAnsi" w:hAnsiTheme="minorHAnsi" w:cstheme="minorHAnsi"/>
          <w:color w:val="000000"/>
          <w:sz w:val="24"/>
          <w:szCs w:val="24"/>
          <w:lang w:eastAsia="en-GB"/>
        </w:rPr>
      </w:pPr>
      <w:r w:rsidRPr="00B213B7">
        <w:rPr>
          <w:rFonts w:asciiTheme="minorHAnsi" w:hAnsiTheme="minorHAnsi" w:cstheme="minorHAnsi"/>
          <w:color w:val="000000"/>
          <w:sz w:val="24"/>
          <w:szCs w:val="24"/>
          <w:lang w:eastAsia="en-GB"/>
        </w:rPr>
        <w:t>Studies of the male adult population also published in 2013 estimate rape perpetration rates by males to be at a rate of 28-37% while 7-9% engaged in multiple perpetrator rape.</w:t>
      </w:r>
      <w:r>
        <w:rPr>
          <w:rStyle w:val="FootnoteReference"/>
          <w:rFonts w:asciiTheme="minorHAnsi" w:hAnsiTheme="minorHAnsi" w:cstheme="minorHAnsi"/>
          <w:color w:val="000000"/>
          <w:sz w:val="24"/>
          <w:szCs w:val="24"/>
          <w:lang w:eastAsia="en-GB"/>
        </w:rPr>
        <w:footnoteReference w:id="5"/>
      </w:r>
    </w:p>
    <w:p w14:paraId="394CD37B" w14:textId="77777777" w:rsidR="00C24EB6" w:rsidRPr="00B213B7" w:rsidRDefault="00C24EB6" w:rsidP="00C24EB6">
      <w:pPr>
        <w:pStyle w:val="ListParagraph"/>
        <w:numPr>
          <w:ilvl w:val="0"/>
          <w:numId w:val="5"/>
        </w:numPr>
        <w:jc w:val="both"/>
        <w:rPr>
          <w:rFonts w:asciiTheme="minorHAnsi" w:hAnsiTheme="minorHAnsi" w:cstheme="minorHAnsi"/>
          <w:color w:val="000000"/>
          <w:sz w:val="24"/>
          <w:szCs w:val="24"/>
          <w:lang w:eastAsia="en-GB"/>
        </w:rPr>
      </w:pPr>
      <w:r w:rsidRPr="00B213B7">
        <w:rPr>
          <w:rFonts w:asciiTheme="minorHAnsi" w:hAnsiTheme="minorHAnsi" w:cstheme="minorHAnsi"/>
          <w:color w:val="000000"/>
          <w:sz w:val="24"/>
          <w:szCs w:val="24"/>
          <w:lang w:eastAsia="en-GB"/>
        </w:rPr>
        <w:t>In the 2013/2014 Financial year, 62649 sexual offences cases were reported to the SAPS. It was deduced relatives of the victims or intimate partners committed 34.6% of all rapes, casual acquaintances 26.1% while 24.4% of all victims did not know their attackers. 64% of these rapes occurred near the victim’s home or at their home., meaning the victim is known to the area</w:t>
      </w:r>
      <w:r>
        <w:rPr>
          <w:rStyle w:val="FootnoteReference"/>
          <w:rFonts w:asciiTheme="minorHAnsi" w:hAnsiTheme="minorHAnsi" w:cstheme="minorHAnsi"/>
          <w:color w:val="000000"/>
          <w:sz w:val="24"/>
          <w:szCs w:val="24"/>
          <w:lang w:eastAsia="en-GB"/>
        </w:rPr>
        <w:footnoteReference w:id="6"/>
      </w:r>
      <w:r w:rsidRPr="00B213B7">
        <w:rPr>
          <w:rFonts w:asciiTheme="minorHAnsi" w:hAnsiTheme="minorHAnsi" w:cstheme="minorHAnsi"/>
          <w:color w:val="000000"/>
          <w:sz w:val="24"/>
          <w:szCs w:val="24"/>
          <w:lang w:eastAsia="en-GB"/>
        </w:rPr>
        <w:t>.</w:t>
      </w:r>
    </w:p>
    <w:p w14:paraId="5359E94D" w14:textId="77777777" w:rsidR="00C24EB6" w:rsidRPr="00B67797" w:rsidRDefault="00C24EB6" w:rsidP="00C24EB6">
      <w:pPr>
        <w:ind w:left="770"/>
        <w:jc w:val="both"/>
        <w:rPr>
          <w:rFonts w:asciiTheme="minorHAnsi" w:hAnsiTheme="minorHAnsi" w:cstheme="minorHAnsi"/>
          <w:color w:val="000000"/>
          <w:sz w:val="24"/>
          <w:szCs w:val="24"/>
          <w:lang w:eastAsia="en-GB"/>
        </w:rPr>
      </w:pPr>
    </w:p>
    <w:p w14:paraId="3B582416" w14:textId="77777777" w:rsidR="00C24EB6" w:rsidRPr="00B357FF" w:rsidRDefault="00C24EB6" w:rsidP="00C24EB6">
      <w:pPr>
        <w:pStyle w:val="ListParagraph"/>
        <w:shd w:val="clear" w:color="auto" w:fill="FFFFFF"/>
        <w:spacing w:line="259" w:lineRule="auto"/>
        <w:ind w:left="792"/>
        <w:jc w:val="both"/>
        <w:outlineLvl w:val="2"/>
        <w:rPr>
          <w:rFonts w:asciiTheme="minorHAnsi" w:hAnsiTheme="minorHAnsi" w:cstheme="minorHAnsi"/>
          <w:b/>
          <w:bCs/>
          <w:color w:val="000000"/>
          <w:sz w:val="24"/>
          <w:szCs w:val="24"/>
          <w:u w:val="single"/>
          <w:lang w:eastAsia="en-GB"/>
        </w:rPr>
      </w:pPr>
      <w:r w:rsidRPr="00B357FF">
        <w:rPr>
          <w:rFonts w:asciiTheme="minorHAnsi" w:hAnsiTheme="minorHAnsi" w:cstheme="minorHAnsi"/>
          <w:b/>
          <w:bCs/>
          <w:color w:val="000000"/>
          <w:sz w:val="24"/>
          <w:szCs w:val="24"/>
          <w:u w:val="single"/>
          <w:lang w:eastAsia="en-GB"/>
        </w:rPr>
        <w:t>Recent Statistics/Number of cases:</w:t>
      </w:r>
    </w:p>
    <w:p w14:paraId="3F6D3629" w14:textId="77777777" w:rsidR="00C24EB6" w:rsidRPr="00F45DA9" w:rsidRDefault="00C24EB6" w:rsidP="00C24EB6">
      <w:pPr>
        <w:pStyle w:val="ListParagraph"/>
        <w:numPr>
          <w:ilvl w:val="0"/>
          <w:numId w:val="4"/>
        </w:numPr>
        <w:jc w:val="both"/>
        <w:rPr>
          <w:rFonts w:asciiTheme="minorHAnsi" w:hAnsiTheme="minorHAnsi" w:cstheme="minorHAnsi"/>
          <w:color w:val="000000"/>
          <w:sz w:val="24"/>
          <w:szCs w:val="24"/>
          <w:lang w:eastAsia="en-GB"/>
        </w:rPr>
      </w:pPr>
      <w:r w:rsidRPr="00F45DA9">
        <w:rPr>
          <w:rFonts w:asciiTheme="minorHAnsi" w:hAnsiTheme="minorHAnsi" w:cstheme="minorHAnsi"/>
          <w:color w:val="000000"/>
          <w:sz w:val="24"/>
          <w:szCs w:val="24"/>
          <w:lang w:eastAsia="en-GB"/>
        </w:rPr>
        <w:t>South Africa’s Crime Statistics for the period 2019-2020 showed an increase of 146 sexual offence cases reported and 116 of these reported cases were rape cases as compared to the same period of reporting in 2018-2019</w:t>
      </w:r>
    </w:p>
    <w:p w14:paraId="5BC39863" w14:textId="77777777" w:rsidR="00C24EB6" w:rsidRPr="00F0682C" w:rsidRDefault="00C24EB6" w:rsidP="00C24EB6">
      <w:pPr>
        <w:pStyle w:val="ListParagraph"/>
        <w:numPr>
          <w:ilvl w:val="0"/>
          <w:numId w:val="4"/>
        </w:numPr>
        <w:jc w:val="both"/>
        <w:rPr>
          <w:rFonts w:asciiTheme="minorHAnsi" w:hAnsiTheme="minorHAnsi" w:cstheme="minorHAnsi"/>
          <w:color w:val="000000"/>
          <w:sz w:val="24"/>
          <w:szCs w:val="24"/>
          <w:lang w:eastAsia="en-GB"/>
        </w:rPr>
      </w:pPr>
      <w:r w:rsidRPr="00F45DA9">
        <w:rPr>
          <w:rFonts w:asciiTheme="minorHAnsi" w:hAnsiTheme="minorHAnsi" w:cstheme="minorHAnsi"/>
          <w:color w:val="000000"/>
          <w:sz w:val="24"/>
          <w:szCs w:val="24"/>
          <w:lang w:eastAsia="en-GB"/>
        </w:rPr>
        <w:t>The Police Minister of South Africa indicated in the quarterly crime statistics over 9500 cases of GBV were reported between July and September 2021.</w:t>
      </w:r>
    </w:p>
    <w:p w14:paraId="79B9F177" w14:textId="77777777" w:rsidR="00C24EB6" w:rsidRDefault="00C24EB6" w:rsidP="00C24EB6">
      <w:pPr>
        <w:pStyle w:val="ListParagraph"/>
        <w:numPr>
          <w:ilvl w:val="0"/>
          <w:numId w:val="4"/>
        </w:numPr>
        <w:jc w:val="both"/>
        <w:rPr>
          <w:rFonts w:asciiTheme="minorHAnsi" w:hAnsiTheme="minorHAnsi" w:cstheme="minorHAnsi"/>
          <w:color w:val="000000"/>
          <w:sz w:val="24"/>
          <w:szCs w:val="24"/>
          <w:lang w:eastAsia="en-GB"/>
        </w:rPr>
      </w:pPr>
      <w:r w:rsidRPr="00F45DA9">
        <w:rPr>
          <w:rFonts w:asciiTheme="minorHAnsi" w:hAnsiTheme="minorHAnsi" w:cstheme="minorHAnsi"/>
          <w:color w:val="000000"/>
          <w:sz w:val="24"/>
          <w:szCs w:val="24"/>
          <w:lang w:eastAsia="en-GB"/>
        </w:rPr>
        <w:t>A national study on female homicide in South Africa conducted by the Medical Research Council of South Africa in 2004 revealed a woman is killed every 6 hours. The position has since changed.</w:t>
      </w:r>
      <w:r>
        <w:rPr>
          <w:rFonts w:asciiTheme="minorHAnsi" w:hAnsiTheme="minorHAnsi" w:cstheme="minorHAnsi"/>
          <w:color w:val="000000"/>
          <w:sz w:val="24"/>
          <w:szCs w:val="24"/>
          <w:lang w:eastAsia="en-GB"/>
        </w:rPr>
        <w:t xml:space="preserve"> </w:t>
      </w:r>
      <w:r w:rsidRPr="00F45DA9">
        <w:rPr>
          <w:rFonts w:asciiTheme="minorHAnsi" w:hAnsiTheme="minorHAnsi" w:cstheme="minorHAnsi"/>
          <w:color w:val="000000"/>
          <w:sz w:val="24"/>
          <w:szCs w:val="24"/>
          <w:lang w:eastAsia="en-GB"/>
        </w:rPr>
        <w:t>2695 women are murdered every year in South Africa, this results in 1 woman every 3 hours.</w:t>
      </w:r>
    </w:p>
    <w:p w14:paraId="6D716AD3" w14:textId="77777777" w:rsidR="00C24EB6" w:rsidRDefault="00C24EB6" w:rsidP="00C24EB6">
      <w:pPr>
        <w:pStyle w:val="ListParagraph"/>
        <w:ind w:left="1440"/>
        <w:jc w:val="both"/>
        <w:rPr>
          <w:rFonts w:asciiTheme="minorHAnsi" w:hAnsiTheme="minorHAnsi" w:cstheme="minorHAnsi"/>
          <w:color w:val="000000"/>
          <w:sz w:val="24"/>
          <w:szCs w:val="24"/>
          <w:lang w:eastAsia="en-GB"/>
        </w:rPr>
      </w:pPr>
    </w:p>
    <w:p w14:paraId="331BFF96" w14:textId="77777777" w:rsidR="00C24EB6" w:rsidRPr="00B357FF" w:rsidRDefault="00C24EB6" w:rsidP="00C24EB6">
      <w:pPr>
        <w:ind w:firstLine="720"/>
        <w:jc w:val="both"/>
        <w:rPr>
          <w:rFonts w:asciiTheme="minorHAnsi" w:hAnsiTheme="minorHAnsi" w:cstheme="minorHAnsi"/>
          <w:b/>
          <w:bCs/>
          <w:color w:val="000000"/>
          <w:sz w:val="24"/>
          <w:szCs w:val="24"/>
          <w:u w:val="single"/>
          <w:lang w:eastAsia="en-GB"/>
        </w:rPr>
      </w:pPr>
      <w:r w:rsidRPr="00B357FF">
        <w:rPr>
          <w:rFonts w:asciiTheme="minorHAnsi" w:hAnsiTheme="minorHAnsi" w:cstheme="minorHAnsi"/>
          <w:b/>
          <w:bCs/>
          <w:color w:val="000000"/>
          <w:sz w:val="24"/>
          <w:szCs w:val="24"/>
          <w:u w:val="single"/>
          <w:lang w:eastAsia="en-GB"/>
        </w:rPr>
        <w:t>Conclusion</w:t>
      </w:r>
    </w:p>
    <w:p w14:paraId="5428FCBA" w14:textId="6EA15FEC" w:rsidR="00C24EB6" w:rsidRPr="00F0682C" w:rsidRDefault="00C24EB6" w:rsidP="00C24EB6">
      <w:pPr>
        <w:pStyle w:val="ListParagraph"/>
        <w:numPr>
          <w:ilvl w:val="0"/>
          <w:numId w:val="6"/>
        </w:numPr>
        <w:jc w:val="both"/>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Violence against women is a major contributing factor to ill-health of women as it affects not only their physical wellbeing but also their emotional wellbeing and a particular consequence for their sexual and reproductive health. Women in violent relationships are at risk for early, unwanted pregnancy and they are at a greater risk for contracting sexually transmitted infections including HIV. This is because they are more vulnerable to being constrained in making sexual reproductive health choices.</w:t>
      </w:r>
      <w:r>
        <w:rPr>
          <w:rStyle w:val="FootnoteReference"/>
          <w:rFonts w:asciiTheme="minorHAnsi" w:hAnsiTheme="minorHAnsi" w:cstheme="minorHAnsi"/>
          <w:color w:val="000000"/>
          <w:sz w:val="24"/>
          <w:szCs w:val="24"/>
          <w:lang w:eastAsia="en-GB"/>
        </w:rPr>
        <w:footnoteReference w:id="7"/>
      </w:r>
    </w:p>
    <w:p w14:paraId="761313F2" w14:textId="77777777" w:rsidR="00C24EB6" w:rsidRPr="004E52AB" w:rsidRDefault="00C24EB6" w:rsidP="004E52AB">
      <w:pPr>
        <w:shd w:val="clear" w:color="auto" w:fill="FFFFFF"/>
        <w:spacing w:line="259" w:lineRule="auto"/>
        <w:ind w:left="792"/>
        <w:outlineLvl w:val="2"/>
        <w:rPr>
          <w:color w:val="000000"/>
          <w:sz w:val="24"/>
          <w:szCs w:val="24"/>
          <w:lang w:eastAsia="en-GB"/>
        </w:rPr>
      </w:pPr>
    </w:p>
    <w:p w14:paraId="62026D07" w14:textId="7B827765" w:rsidR="009F00AF" w:rsidRPr="0096645F" w:rsidRDefault="00037566" w:rsidP="004E52AB">
      <w:pPr>
        <w:pStyle w:val="ListParagraph"/>
        <w:numPr>
          <w:ilvl w:val="1"/>
          <w:numId w:val="2"/>
        </w:numPr>
        <w:shd w:val="clear" w:color="auto" w:fill="FFFFFF"/>
        <w:spacing w:line="259" w:lineRule="auto"/>
        <w:outlineLvl w:val="2"/>
        <w:rPr>
          <w:color w:val="000000"/>
          <w:sz w:val="24"/>
          <w:szCs w:val="24"/>
          <w:lang w:eastAsia="en-GB"/>
        </w:rPr>
      </w:pPr>
      <w:r>
        <w:rPr>
          <w:color w:val="000000"/>
          <w:sz w:val="24"/>
          <w:szCs w:val="24"/>
          <w:lang w:eastAsia="en-GB"/>
        </w:rPr>
        <w:t xml:space="preserve"> </w:t>
      </w:r>
      <w:bookmarkEnd w:id="5"/>
      <w:r w:rsidR="009F00AF" w:rsidRPr="0096645F">
        <w:rPr>
          <w:color w:val="000000"/>
          <w:sz w:val="24"/>
          <w:szCs w:val="24"/>
          <w:lang w:eastAsia="en-GB"/>
        </w:rPr>
        <w:t>gender based violence and other forms of violence against children:</w:t>
      </w:r>
    </w:p>
    <w:p w14:paraId="121D9F14" w14:textId="77777777" w:rsidR="009F00AF" w:rsidRPr="0096645F" w:rsidRDefault="009F00AF" w:rsidP="009F00AF">
      <w:pPr>
        <w:pStyle w:val="ListParagraph"/>
        <w:numPr>
          <w:ilvl w:val="1"/>
          <w:numId w:val="2"/>
        </w:numPr>
        <w:shd w:val="clear" w:color="auto" w:fill="FFFFFF"/>
        <w:spacing w:line="259" w:lineRule="auto"/>
        <w:outlineLvl w:val="2"/>
        <w:rPr>
          <w:sz w:val="24"/>
          <w:szCs w:val="24"/>
          <w:lang w:eastAsia="en-GB"/>
        </w:rPr>
      </w:pPr>
      <w:r w:rsidRPr="0096645F">
        <w:rPr>
          <w:color w:val="000000"/>
          <w:sz w:val="24"/>
          <w:szCs w:val="24"/>
          <w:lang w:eastAsia="en-GB"/>
        </w:rPr>
        <w:t xml:space="preserve">gender based violence against </w:t>
      </w:r>
      <w:r w:rsidRPr="0096645F">
        <w:rPr>
          <w:sz w:val="24"/>
          <w:szCs w:val="24"/>
          <w:lang w:eastAsia="en-GB"/>
        </w:rPr>
        <w:t xml:space="preserve">LGBTI or other persons based on </w:t>
      </w:r>
      <w:r w:rsidRPr="0096645F">
        <w:rPr>
          <w:color w:val="000000"/>
          <w:sz w:val="24"/>
          <w:szCs w:val="24"/>
          <w:lang w:eastAsia="en-GB"/>
        </w:rPr>
        <w:t>real or imputed sexual orientation</w:t>
      </w:r>
      <w:r w:rsidRPr="0096645F">
        <w:rPr>
          <w:sz w:val="24"/>
          <w:szCs w:val="24"/>
          <w:lang w:eastAsia="en-GB"/>
        </w:rPr>
        <w:t xml:space="preserve">, sex characteristics, and gender identity: </w:t>
      </w:r>
    </w:p>
    <w:p w14:paraId="156C8D92"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sz w:val="24"/>
          <w:szCs w:val="24"/>
          <w:lang w:eastAsia="en-GB"/>
        </w:rPr>
        <w:t>violence against persons with disabilities</w:t>
      </w:r>
      <w:r w:rsidRPr="0096645F">
        <w:rPr>
          <w:color w:val="000000"/>
          <w:sz w:val="24"/>
          <w:szCs w:val="24"/>
          <w:lang w:eastAsia="en-GB"/>
        </w:rPr>
        <w:t>, including GBV.</w:t>
      </w:r>
    </w:p>
    <w:p w14:paraId="007FE293"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against men</w:t>
      </w:r>
    </w:p>
    <w:p w14:paraId="4523CE49"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conflict gender based violence, including sexual violence</w:t>
      </w:r>
    </w:p>
    <w:p w14:paraId="09AD98CC" w14:textId="21DED466" w:rsidR="009F00AF" w:rsidRDefault="009F00AF" w:rsidP="009F00AF">
      <w:pPr>
        <w:pStyle w:val="ListParagraph"/>
        <w:numPr>
          <w:ilvl w:val="1"/>
          <w:numId w:val="2"/>
        </w:numPr>
        <w:shd w:val="clear" w:color="auto" w:fill="FFFFFF"/>
        <w:spacing w:line="259" w:lineRule="auto"/>
        <w:outlineLvl w:val="2"/>
        <w:rPr>
          <w:color w:val="000000"/>
          <w:sz w:val="24"/>
          <w:szCs w:val="24"/>
          <w:lang w:eastAsia="en-GB"/>
        </w:rPr>
      </w:pPr>
      <w:bookmarkStart w:id="6" w:name="_Hlk93325572"/>
      <w:r w:rsidRPr="0096645F">
        <w:rPr>
          <w:color w:val="000000"/>
          <w:sz w:val="24"/>
          <w:szCs w:val="24"/>
          <w:lang w:eastAsia="en-GB"/>
        </w:rPr>
        <w:t>Please share analysis and available evidence on the impact of COVID on the above</w:t>
      </w:r>
    </w:p>
    <w:p w14:paraId="55BFFA70" w14:textId="77777777" w:rsidR="00C24EB6" w:rsidRDefault="00C24EB6" w:rsidP="00C24EB6">
      <w:pPr>
        <w:pStyle w:val="ListParagraph"/>
        <w:numPr>
          <w:ilvl w:val="2"/>
          <w:numId w:val="2"/>
        </w:numPr>
        <w:shd w:val="clear" w:color="auto" w:fill="FFFFFF"/>
        <w:spacing w:line="259" w:lineRule="auto"/>
        <w:jc w:val="both"/>
        <w:outlineLvl w:val="2"/>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Within the first week of level 5 lockdown in South Africa, the South African Police Services received 2320 complaints of gender-based violence with only 148 related charges made. This is a 37% increase from the weekly average of gender-based violence cases reported in 2019.</w:t>
      </w:r>
      <w:r>
        <w:rPr>
          <w:rStyle w:val="FootnoteReference"/>
          <w:rFonts w:asciiTheme="minorHAnsi" w:hAnsiTheme="minorHAnsi" w:cstheme="minorHAnsi"/>
          <w:color w:val="000000"/>
          <w:sz w:val="24"/>
          <w:szCs w:val="24"/>
          <w:lang w:eastAsia="en-GB"/>
        </w:rPr>
        <w:footnoteReference w:id="8"/>
      </w:r>
    </w:p>
    <w:p w14:paraId="0F534B51" w14:textId="77777777" w:rsidR="00C24EB6" w:rsidRDefault="00C24EB6" w:rsidP="00C24EB6">
      <w:pPr>
        <w:pStyle w:val="ListParagraph"/>
        <w:numPr>
          <w:ilvl w:val="2"/>
          <w:numId w:val="2"/>
        </w:numPr>
        <w:shd w:val="clear" w:color="auto" w:fill="FFFFFF"/>
        <w:spacing w:line="259" w:lineRule="auto"/>
        <w:jc w:val="both"/>
        <w:outlineLvl w:val="2"/>
        <w:rPr>
          <w:rFonts w:asciiTheme="minorHAnsi" w:hAnsiTheme="minorHAnsi" w:cstheme="minorHAnsi"/>
          <w:color w:val="000000"/>
          <w:sz w:val="24"/>
          <w:szCs w:val="24"/>
          <w:lang w:eastAsia="en-GB"/>
        </w:rPr>
      </w:pPr>
      <w:r w:rsidRPr="004E52AB">
        <w:rPr>
          <w:rFonts w:asciiTheme="minorHAnsi" w:hAnsiTheme="minorHAnsi" w:cstheme="minorHAnsi"/>
          <w:color w:val="000000"/>
          <w:sz w:val="24"/>
          <w:szCs w:val="24"/>
          <w:lang w:eastAsia="en-GB"/>
        </w:rPr>
        <w:t>The South African GBV and Femicide Command centre recorded an increase in gender-based violence cases reported during the lockdown from 27</w:t>
      </w:r>
      <w:r w:rsidRPr="004E52AB">
        <w:rPr>
          <w:rFonts w:asciiTheme="minorHAnsi" w:hAnsiTheme="minorHAnsi" w:cstheme="minorHAnsi"/>
          <w:color w:val="000000"/>
          <w:sz w:val="24"/>
          <w:szCs w:val="24"/>
          <w:vertAlign w:val="superscript"/>
          <w:lang w:eastAsia="en-GB"/>
        </w:rPr>
        <w:t>th</w:t>
      </w:r>
      <w:r w:rsidRPr="004E52AB">
        <w:rPr>
          <w:rFonts w:asciiTheme="minorHAnsi" w:hAnsiTheme="minorHAnsi" w:cstheme="minorHAnsi"/>
          <w:color w:val="000000"/>
          <w:sz w:val="24"/>
          <w:szCs w:val="24"/>
          <w:lang w:eastAsia="en-GB"/>
        </w:rPr>
        <w:t xml:space="preserve"> March to 16</w:t>
      </w:r>
      <w:r w:rsidRPr="004E52AB">
        <w:rPr>
          <w:rFonts w:asciiTheme="minorHAnsi" w:hAnsiTheme="minorHAnsi" w:cstheme="minorHAnsi"/>
          <w:color w:val="000000"/>
          <w:sz w:val="24"/>
          <w:szCs w:val="24"/>
          <w:vertAlign w:val="superscript"/>
          <w:lang w:eastAsia="en-GB"/>
        </w:rPr>
        <w:t>th</w:t>
      </w:r>
      <w:r w:rsidRPr="004E52AB">
        <w:rPr>
          <w:rFonts w:asciiTheme="minorHAnsi" w:hAnsiTheme="minorHAnsi" w:cstheme="minorHAnsi"/>
          <w:color w:val="000000"/>
          <w:sz w:val="24"/>
          <w:szCs w:val="24"/>
          <w:lang w:eastAsia="en-GB"/>
        </w:rPr>
        <w:t xml:space="preserve"> April with a total of 10,660 cases reported through phone calls, 1503 through unstructured supplementary services data (USSD) and 616 SMS. On 16</w:t>
      </w:r>
      <w:r w:rsidRPr="004E52AB">
        <w:rPr>
          <w:rFonts w:asciiTheme="minorHAnsi" w:hAnsiTheme="minorHAnsi" w:cstheme="minorHAnsi"/>
          <w:color w:val="000000"/>
          <w:sz w:val="24"/>
          <w:szCs w:val="24"/>
          <w:vertAlign w:val="superscript"/>
          <w:lang w:eastAsia="en-GB"/>
        </w:rPr>
        <w:t>th</w:t>
      </w:r>
      <w:r w:rsidRPr="004E52AB">
        <w:rPr>
          <w:rFonts w:asciiTheme="minorHAnsi" w:hAnsiTheme="minorHAnsi" w:cstheme="minorHAnsi"/>
          <w:color w:val="000000"/>
          <w:sz w:val="24"/>
          <w:szCs w:val="24"/>
          <w:lang w:eastAsia="en-GB"/>
        </w:rPr>
        <w:t xml:space="preserve"> April alone the centre received 674 cases</w:t>
      </w:r>
      <w:r>
        <w:rPr>
          <w:rStyle w:val="FootnoteReference"/>
          <w:rFonts w:asciiTheme="minorHAnsi" w:hAnsiTheme="minorHAnsi" w:cstheme="minorHAnsi"/>
          <w:color w:val="000000"/>
          <w:sz w:val="24"/>
          <w:szCs w:val="24"/>
          <w:lang w:eastAsia="en-GB"/>
        </w:rPr>
        <w:footnoteReference w:id="9"/>
      </w:r>
      <w:r w:rsidRPr="004E52AB">
        <w:rPr>
          <w:rFonts w:asciiTheme="minorHAnsi" w:hAnsiTheme="minorHAnsi" w:cstheme="minorHAnsi"/>
          <w:color w:val="000000"/>
          <w:sz w:val="24"/>
          <w:szCs w:val="24"/>
          <w:lang w:eastAsia="en-GB"/>
        </w:rPr>
        <w:t xml:space="preserve">. </w:t>
      </w:r>
    </w:p>
    <w:p w14:paraId="3C549312" w14:textId="77777777" w:rsidR="00C24EB6" w:rsidRDefault="00C24EB6" w:rsidP="00C24EB6">
      <w:pPr>
        <w:pStyle w:val="ListParagraph"/>
        <w:numPr>
          <w:ilvl w:val="2"/>
          <w:numId w:val="2"/>
        </w:numPr>
        <w:shd w:val="clear" w:color="auto" w:fill="FFFFFF"/>
        <w:spacing w:line="259" w:lineRule="auto"/>
        <w:jc w:val="both"/>
        <w:outlineLvl w:val="2"/>
        <w:rPr>
          <w:rFonts w:asciiTheme="minorHAnsi" w:hAnsiTheme="minorHAnsi" w:cstheme="minorHAnsi"/>
          <w:color w:val="000000"/>
          <w:sz w:val="24"/>
          <w:szCs w:val="24"/>
          <w:lang w:eastAsia="en-GB"/>
        </w:rPr>
      </w:pPr>
      <w:r w:rsidRPr="004E52AB">
        <w:rPr>
          <w:rFonts w:asciiTheme="minorHAnsi" w:hAnsiTheme="minorHAnsi" w:cstheme="minorHAnsi"/>
          <w:color w:val="000000"/>
          <w:sz w:val="24"/>
          <w:szCs w:val="24"/>
          <w:lang w:eastAsia="en-GB"/>
        </w:rPr>
        <w:t>Vodacom support call centred recorded a 65% increase in calls from women and children confined in their homes needing urgent assistance.</w:t>
      </w:r>
    </w:p>
    <w:p w14:paraId="489F84D3" w14:textId="77777777" w:rsidR="00C24EB6" w:rsidRDefault="00C24EB6" w:rsidP="00C24EB6">
      <w:pPr>
        <w:pStyle w:val="ListParagraph"/>
        <w:numPr>
          <w:ilvl w:val="2"/>
          <w:numId w:val="2"/>
        </w:numPr>
        <w:shd w:val="clear" w:color="auto" w:fill="FFFFFF"/>
        <w:spacing w:line="259" w:lineRule="auto"/>
        <w:jc w:val="both"/>
        <w:outlineLvl w:val="2"/>
        <w:rPr>
          <w:rFonts w:asciiTheme="minorHAnsi" w:hAnsiTheme="minorHAnsi" w:cstheme="minorHAnsi"/>
          <w:color w:val="000000"/>
          <w:sz w:val="24"/>
          <w:szCs w:val="24"/>
          <w:lang w:eastAsia="en-GB"/>
        </w:rPr>
      </w:pPr>
      <w:r w:rsidRPr="004E52AB">
        <w:rPr>
          <w:rFonts w:asciiTheme="minorHAnsi" w:hAnsiTheme="minorHAnsi" w:cstheme="minorHAnsi"/>
          <w:color w:val="000000"/>
          <w:sz w:val="24"/>
          <w:szCs w:val="24"/>
          <w:lang w:eastAsia="en-GB"/>
        </w:rPr>
        <w:t>Some Women’s shelters were filled to capacity as a result during the pandemic forcing them to turn away victims in need of assistance. In more unfortunate circumstances, some shelters were forced to close their doors due to lack of funding because of the pandemic.</w:t>
      </w:r>
    </w:p>
    <w:p w14:paraId="0D52C050" w14:textId="799E4A91" w:rsidR="00C24EB6" w:rsidRPr="004E52AB" w:rsidRDefault="00C24EB6" w:rsidP="004E52AB">
      <w:pPr>
        <w:pStyle w:val="ListParagraph"/>
        <w:numPr>
          <w:ilvl w:val="2"/>
          <w:numId w:val="2"/>
        </w:numPr>
        <w:shd w:val="clear" w:color="auto" w:fill="FFFFFF"/>
        <w:spacing w:line="259" w:lineRule="auto"/>
        <w:jc w:val="both"/>
        <w:outlineLvl w:val="2"/>
        <w:rPr>
          <w:rFonts w:asciiTheme="minorHAnsi" w:hAnsiTheme="minorHAnsi" w:cstheme="minorHAnsi"/>
          <w:color w:val="000000"/>
          <w:sz w:val="24"/>
          <w:szCs w:val="24"/>
          <w:lang w:eastAsia="en-GB"/>
        </w:rPr>
      </w:pPr>
      <w:r w:rsidRPr="004E52AB">
        <w:rPr>
          <w:rFonts w:asciiTheme="minorHAnsi" w:hAnsiTheme="minorHAnsi" w:cstheme="minorHAnsi"/>
          <w:color w:val="000000"/>
          <w:sz w:val="24"/>
          <w:szCs w:val="24"/>
          <w:lang w:eastAsia="en-GB"/>
        </w:rPr>
        <w:t>The closure of the courts and legal aid services also had a negative impact as victims were unable to access justice in this period leaving them more vulnerable to continued attack from their perpetrators.</w:t>
      </w:r>
    </w:p>
    <w:p w14:paraId="7C8707B8" w14:textId="77777777" w:rsidR="00C24EB6" w:rsidRPr="0096645F" w:rsidRDefault="00C24EB6" w:rsidP="004E52AB">
      <w:pPr>
        <w:pStyle w:val="ListParagraph"/>
        <w:shd w:val="clear" w:color="auto" w:fill="FFFFFF"/>
        <w:spacing w:line="259" w:lineRule="auto"/>
        <w:ind w:left="792"/>
        <w:outlineLvl w:val="2"/>
        <w:rPr>
          <w:color w:val="000000"/>
          <w:sz w:val="24"/>
          <w:szCs w:val="24"/>
          <w:lang w:eastAsia="en-GB"/>
        </w:rPr>
      </w:pPr>
    </w:p>
    <w:bookmarkEnd w:id="6"/>
    <w:p w14:paraId="63CB739E" w14:textId="77777777" w:rsidR="009F00AF" w:rsidRPr="0096645F" w:rsidRDefault="009F00AF" w:rsidP="009F00AF">
      <w:pPr>
        <w:pStyle w:val="ListParagraph"/>
        <w:shd w:val="clear" w:color="auto" w:fill="FFFFFF"/>
        <w:spacing w:line="259" w:lineRule="auto"/>
        <w:ind w:left="792"/>
        <w:outlineLvl w:val="2"/>
        <w:rPr>
          <w:color w:val="000000"/>
          <w:sz w:val="24"/>
          <w:szCs w:val="24"/>
          <w:lang w:eastAsia="en-GB"/>
        </w:rPr>
      </w:pPr>
    </w:p>
    <w:p w14:paraId="0F1F665E" w14:textId="0F59D3A5" w:rsidR="009F00AF" w:rsidRDefault="009F00AF" w:rsidP="009F00AF">
      <w:pPr>
        <w:pStyle w:val="ListParagraph"/>
        <w:numPr>
          <w:ilvl w:val="0"/>
          <w:numId w:val="1"/>
        </w:numPr>
        <w:shd w:val="clear" w:color="auto" w:fill="FFFFFF"/>
        <w:spacing w:line="259" w:lineRule="auto"/>
        <w:jc w:val="both"/>
        <w:outlineLvl w:val="2"/>
        <w:rPr>
          <w:sz w:val="24"/>
          <w:szCs w:val="24"/>
          <w:lang w:eastAsia="en-GB"/>
        </w:rPr>
      </w:pPr>
      <w:bookmarkStart w:id="7" w:name="_Hlk93400432"/>
      <w:r w:rsidRPr="0096645F">
        <w:rPr>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w:t>
      </w:r>
      <w:r>
        <w:rPr>
          <w:sz w:val="24"/>
          <w:szCs w:val="24"/>
          <w:lang w:eastAsia="en-GB"/>
        </w:rPr>
        <w:t>mplaint), levels of impunity</w:t>
      </w:r>
      <w:r w:rsidRPr="0096645F">
        <w:rPr>
          <w:sz w:val="24"/>
          <w:szCs w:val="24"/>
          <w:lang w:eastAsia="en-GB"/>
        </w:rPr>
        <w:t xml:space="preserve"> and if access to comprehensive physical and mental care for GBV-survivors is recognized as a form of reparation.</w:t>
      </w:r>
    </w:p>
    <w:p w14:paraId="04191C24" w14:textId="77777777" w:rsidR="004E52AB" w:rsidRPr="0096645F" w:rsidRDefault="004E52AB" w:rsidP="004E52AB">
      <w:pPr>
        <w:pStyle w:val="ListParagraph"/>
        <w:shd w:val="clear" w:color="auto" w:fill="FFFFFF"/>
        <w:spacing w:line="259" w:lineRule="auto"/>
        <w:ind w:left="360"/>
        <w:jc w:val="both"/>
        <w:outlineLvl w:val="2"/>
        <w:rPr>
          <w:sz w:val="24"/>
          <w:szCs w:val="24"/>
          <w:lang w:eastAsia="en-GB"/>
        </w:rPr>
      </w:pPr>
    </w:p>
    <w:p w14:paraId="4714DD1F" w14:textId="77777777" w:rsidR="004E52AB" w:rsidRDefault="004E52AB" w:rsidP="004E52AB">
      <w:pPr>
        <w:ind w:left="360"/>
        <w:jc w:val="both"/>
        <w:rPr>
          <w:rFonts w:asciiTheme="minorHAnsi" w:hAnsiTheme="minorHAnsi" w:cstheme="minorHAnsi"/>
          <w:sz w:val="24"/>
          <w:szCs w:val="24"/>
        </w:rPr>
      </w:pPr>
      <w:r w:rsidRPr="00815E03">
        <w:rPr>
          <w:rFonts w:asciiTheme="minorHAnsi" w:hAnsiTheme="minorHAnsi" w:cstheme="minorHAnsi"/>
          <w:sz w:val="24"/>
          <w:szCs w:val="24"/>
        </w:rPr>
        <w:t xml:space="preserve">The two prominent pieces of </w:t>
      </w:r>
      <w:r>
        <w:rPr>
          <w:rFonts w:asciiTheme="minorHAnsi" w:hAnsiTheme="minorHAnsi" w:cstheme="minorHAnsi"/>
          <w:sz w:val="24"/>
          <w:szCs w:val="24"/>
        </w:rPr>
        <w:t>legislation related to gender-based violence and thereto violence against women are the Domestic Violence Act no 116 of 1998 and the Criminal Law Sexual offences and Related Matters Act No32 of 2007.</w:t>
      </w:r>
    </w:p>
    <w:p w14:paraId="0673C1E3" w14:textId="77777777" w:rsidR="004E52AB" w:rsidRDefault="004E52AB" w:rsidP="004E52AB">
      <w:pPr>
        <w:ind w:left="360"/>
        <w:jc w:val="both"/>
        <w:rPr>
          <w:rFonts w:asciiTheme="minorHAnsi" w:hAnsiTheme="minorHAnsi" w:cstheme="minorHAnsi"/>
          <w:sz w:val="24"/>
          <w:szCs w:val="24"/>
        </w:rPr>
      </w:pPr>
    </w:p>
    <w:p w14:paraId="21E1C9DA" w14:textId="77777777" w:rsidR="004E52AB" w:rsidRPr="00807AF7" w:rsidRDefault="004E52AB" w:rsidP="004E52AB">
      <w:pPr>
        <w:ind w:left="360"/>
        <w:jc w:val="both"/>
        <w:rPr>
          <w:rFonts w:asciiTheme="minorHAnsi" w:hAnsiTheme="minorHAnsi" w:cstheme="minorHAnsi"/>
          <w:b/>
          <w:bCs/>
          <w:sz w:val="24"/>
          <w:szCs w:val="24"/>
          <w:u w:val="single"/>
        </w:rPr>
      </w:pPr>
      <w:r w:rsidRPr="00807AF7">
        <w:rPr>
          <w:rFonts w:asciiTheme="minorHAnsi" w:hAnsiTheme="minorHAnsi" w:cstheme="minorHAnsi"/>
          <w:b/>
          <w:bCs/>
          <w:sz w:val="24"/>
          <w:szCs w:val="24"/>
          <w:u w:val="single"/>
        </w:rPr>
        <w:t>Domestic Violence Act (DVA)</w:t>
      </w:r>
    </w:p>
    <w:p w14:paraId="6E09865C" w14:textId="77777777" w:rsidR="004E52AB" w:rsidRDefault="004E52AB" w:rsidP="004E52AB">
      <w:pPr>
        <w:ind w:left="360"/>
        <w:jc w:val="both"/>
        <w:rPr>
          <w:rFonts w:asciiTheme="minorHAnsi" w:hAnsiTheme="minorHAnsi" w:cstheme="minorHAnsi"/>
          <w:sz w:val="24"/>
          <w:szCs w:val="24"/>
        </w:rPr>
      </w:pPr>
    </w:p>
    <w:p w14:paraId="7E747346" w14:textId="77777777" w:rsidR="004E52AB" w:rsidRPr="00977EAF" w:rsidRDefault="004E52AB" w:rsidP="004E52AB">
      <w:pPr>
        <w:pStyle w:val="ListParagraph"/>
        <w:numPr>
          <w:ilvl w:val="0"/>
          <w:numId w:val="11"/>
        </w:numPr>
        <w:jc w:val="both"/>
        <w:rPr>
          <w:rFonts w:asciiTheme="minorHAnsi" w:hAnsiTheme="minorHAnsi" w:cstheme="minorHAnsi"/>
          <w:sz w:val="24"/>
          <w:szCs w:val="24"/>
        </w:rPr>
      </w:pPr>
      <w:r w:rsidRPr="00977EAF">
        <w:rPr>
          <w:rFonts w:asciiTheme="minorHAnsi" w:hAnsiTheme="minorHAnsi" w:cstheme="minorHAnsi"/>
          <w:sz w:val="24"/>
          <w:szCs w:val="24"/>
        </w:rPr>
        <w:t xml:space="preserve">The DVA has an expansive definition of domestic violence </w:t>
      </w:r>
      <w:r>
        <w:rPr>
          <w:rFonts w:asciiTheme="minorHAnsi" w:hAnsiTheme="minorHAnsi" w:cstheme="minorHAnsi"/>
          <w:sz w:val="24"/>
          <w:szCs w:val="24"/>
        </w:rPr>
        <w:t>which</w:t>
      </w:r>
      <w:r w:rsidRPr="00977EAF">
        <w:rPr>
          <w:rFonts w:asciiTheme="minorHAnsi" w:hAnsiTheme="minorHAnsi" w:cstheme="minorHAnsi"/>
          <w:sz w:val="24"/>
          <w:szCs w:val="24"/>
        </w:rPr>
        <w:t xml:space="preserve"> include</w:t>
      </w:r>
      <w:r>
        <w:rPr>
          <w:rFonts w:asciiTheme="minorHAnsi" w:hAnsiTheme="minorHAnsi" w:cstheme="minorHAnsi"/>
          <w:sz w:val="24"/>
          <w:szCs w:val="24"/>
        </w:rPr>
        <w:t>s</w:t>
      </w:r>
      <w:r w:rsidRPr="00977EAF">
        <w:rPr>
          <w:rFonts w:asciiTheme="minorHAnsi" w:hAnsiTheme="minorHAnsi" w:cstheme="minorHAnsi"/>
          <w:sz w:val="24"/>
          <w:szCs w:val="24"/>
        </w:rPr>
        <w:t xml:space="preserve"> physical, economic, psychological, emotional, verbal, economic abuse as well as intimidation, harassment, stalking and controlling behaviour</w:t>
      </w:r>
      <w:r>
        <w:rPr>
          <w:rStyle w:val="FootnoteReference"/>
          <w:rFonts w:asciiTheme="minorHAnsi" w:hAnsiTheme="minorHAnsi" w:cstheme="minorHAnsi"/>
          <w:sz w:val="24"/>
          <w:szCs w:val="24"/>
        </w:rPr>
        <w:footnoteReference w:id="10"/>
      </w:r>
      <w:r w:rsidRPr="00977EAF">
        <w:rPr>
          <w:rFonts w:asciiTheme="minorHAnsi" w:hAnsiTheme="minorHAnsi" w:cstheme="minorHAnsi"/>
          <w:sz w:val="24"/>
          <w:szCs w:val="24"/>
        </w:rPr>
        <w:t xml:space="preserve">.  </w:t>
      </w:r>
    </w:p>
    <w:p w14:paraId="54774E5F" w14:textId="77777777" w:rsidR="004E52AB" w:rsidRDefault="004E52AB" w:rsidP="004E52AB">
      <w:pPr>
        <w:pStyle w:val="ListParagraph"/>
        <w:numPr>
          <w:ilvl w:val="0"/>
          <w:numId w:val="11"/>
        </w:numPr>
        <w:jc w:val="both"/>
        <w:rPr>
          <w:rFonts w:asciiTheme="minorHAnsi" w:hAnsiTheme="minorHAnsi" w:cstheme="minorHAnsi"/>
          <w:sz w:val="24"/>
          <w:szCs w:val="24"/>
        </w:rPr>
      </w:pPr>
      <w:r w:rsidRPr="00A230C6">
        <w:rPr>
          <w:rFonts w:asciiTheme="minorHAnsi" w:hAnsiTheme="minorHAnsi" w:cstheme="minorHAnsi"/>
          <w:sz w:val="24"/>
          <w:szCs w:val="24"/>
        </w:rPr>
        <w:t>Domestic relationship is not limited to Intimate partner relationship between a heterosexual, same sex couples are included in this definition. In addition, a domestic relationship includes all living in one domicile or having a familiar relationship which includes persons who had been in an intimate relationship but are no longer together leading up to a domestic violence incident. The couple need not be living together when the case is opened</w:t>
      </w:r>
      <w:r>
        <w:rPr>
          <w:rStyle w:val="FootnoteReference"/>
          <w:rFonts w:asciiTheme="minorHAnsi" w:hAnsiTheme="minorHAnsi" w:cstheme="minorHAnsi"/>
          <w:sz w:val="24"/>
          <w:szCs w:val="24"/>
        </w:rPr>
        <w:footnoteReference w:id="11"/>
      </w:r>
      <w:r w:rsidRPr="00A230C6">
        <w:rPr>
          <w:rFonts w:asciiTheme="minorHAnsi" w:hAnsiTheme="minorHAnsi" w:cstheme="minorHAnsi"/>
          <w:sz w:val="24"/>
          <w:szCs w:val="24"/>
        </w:rPr>
        <w:t xml:space="preserve">. </w:t>
      </w:r>
    </w:p>
    <w:p w14:paraId="00067BCA" w14:textId="77777777" w:rsidR="004E52AB" w:rsidRDefault="004E52AB" w:rsidP="004E52AB">
      <w:pPr>
        <w:pStyle w:val="ListParagraph"/>
        <w:numPr>
          <w:ilvl w:val="0"/>
          <w:numId w:val="11"/>
        </w:numPr>
        <w:jc w:val="both"/>
        <w:rPr>
          <w:rFonts w:asciiTheme="minorHAnsi" w:hAnsiTheme="minorHAnsi" w:cstheme="minorHAnsi"/>
          <w:sz w:val="24"/>
          <w:szCs w:val="24"/>
        </w:rPr>
      </w:pPr>
      <w:r>
        <w:rPr>
          <w:rFonts w:asciiTheme="minorHAnsi" w:hAnsiTheme="minorHAnsi" w:cstheme="minorHAnsi"/>
          <w:sz w:val="24"/>
          <w:szCs w:val="24"/>
        </w:rPr>
        <w:t>This legislation places a responsibility on state organs particularly the police to ensure survivors of domestic violence are able to apply for protection orders (restraining orders) to prevent abusers from entering a mutual residence, the survivor’s residence or place of work or from stalking them or using other means such as using friends/relatives or mutual contacts to contact the survivor</w:t>
      </w:r>
      <w:r>
        <w:rPr>
          <w:rStyle w:val="FootnoteReference"/>
          <w:rFonts w:asciiTheme="minorHAnsi" w:hAnsiTheme="minorHAnsi" w:cstheme="minorHAnsi"/>
          <w:sz w:val="24"/>
          <w:szCs w:val="24"/>
        </w:rPr>
        <w:footnoteReference w:id="12"/>
      </w:r>
      <w:r>
        <w:rPr>
          <w:rFonts w:asciiTheme="minorHAnsi" w:hAnsiTheme="minorHAnsi" w:cstheme="minorHAnsi"/>
          <w:sz w:val="24"/>
          <w:szCs w:val="24"/>
        </w:rPr>
        <w:t>.</w:t>
      </w:r>
    </w:p>
    <w:p w14:paraId="13C7AFBB" w14:textId="77777777" w:rsidR="004E52AB" w:rsidRDefault="004E52AB" w:rsidP="004E52AB">
      <w:pPr>
        <w:pStyle w:val="ListParagraph"/>
        <w:numPr>
          <w:ilvl w:val="0"/>
          <w:numId w:val="11"/>
        </w:numPr>
        <w:jc w:val="both"/>
        <w:rPr>
          <w:rFonts w:asciiTheme="minorHAnsi" w:hAnsiTheme="minorHAnsi" w:cstheme="minorHAnsi"/>
          <w:sz w:val="24"/>
          <w:szCs w:val="24"/>
        </w:rPr>
      </w:pPr>
      <w:r>
        <w:rPr>
          <w:rFonts w:asciiTheme="minorHAnsi" w:hAnsiTheme="minorHAnsi" w:cstheme="minorHAnsi"/>
          <w:sz w:val="24"/>
          <w:szCs w:val="24"/>
        </w:rPr>
        <w:t>Challenges: This Act places no obligations on the Department of Social Development for the provision of care and support services. A Substantial number of police officers have limited knowledge of the provisions of The Act and their responsibilities thereto, this coupled with the fact, most officers do not view domestic violence as a crime but more of a private family matter. There is a lack of human and financial resources for the implementation of the Act thus making this piece of legislation overall ineffective</w:t>
      </w:r>
      <w:r>
        <w:rPr>
          <w:rStyle w:val="FootnoteReference"/>
          <w:rFonts w:asciiTheme="minorHAnsi" w:hAnsiTheme="minorHAnsi" w:cstheme="minorHAnsi"/>
          <w:sz w:val="24"/>
          <w:szCs w:val="24"/>
        </w:rPr>
        <w:footnoteReference w:id="13"/>
      </w:r>
      <w:r>
        <w:rPr>
          <w:rFonts w:asciiTheme="minorHAnsi" w:hAnsiTheme="minorHAnsi" w:cstheme="minorHAnsi"/>
          <w:sz w:val="24"/>
          <w:szCs w:val="24"/>
        </w:rPr>
        <w:t>.</w:t>
      </w:r>
    </w:p>
    <w:p w14:paraId="6EAD4703" w14:textId="77777777" w:rsidR="004E52AB" w:rsidRDefault="004E52AB" w:rsidP="004E52AB">
      <w:pPr>
        <w:pStyle w:val="ListParagraph"/>
        <w:ind w:left="1080"/>
        <w:jc w:val="both"/>
        <w:rPr>
          <w:rFonts w:asciiTheme="minorHAnsi" w:hAnsiTheme="minorHAnsi" w:cstheme="minorHAnsi"/>
          <w:sz w:val="24"/>
          <w:szCs w:val="24"/>
        </w:rPr>
      </w:pPr>
    </w:p>
    <w:p w14:paraId="088A40CA" w14:textId="77777777" w:rsidR="004E52AB" w:rsidRPr="00807AF7" w:rsidRDefault="004E52AB" w:rsidP="004E52AB">
      <w:pPr>
        <w:ind w:firstLine="720"/>
        <w:jc w:val="both"/>
        <w:rPr>
          <w:rFonts w:asciiTheme="minorHAnsi" w:hAnsiTheme="minorHAnsi" w:cstheme="minorHAnsi"/>
          <w:b/>
          <w:bCs/>
          <w:sz w:val="24"/>
          <w:szCs w:val="24"/>
          <w:u w:val="single"/>
        </w:rPr>
      </w:pPr>
      <w:r w:rsidRPr="00807AF7">
        <w:rPr>
          <w:rFonts w:asciiTheme="minorHAnsi" w:hAnsiTheme="minorHAnsi" w:cstheme="minorHAnsi"/>
          <w:b/>
          <w:bCs/>
          <w:sz w:val="24"/>
          <w:szCs w:val="24"/>
          <w:u w:val="single"/>
        </w:rPr>
        <w:t>Criminal Law Sexual offences and Related Matters Act (SORMA)</w:t>
      </w:r>
    </w:p>
    <w:p w14:paraId="3AE428AD" w14:textId="77777777" w:rsidR="004E52AB" w:rsidRDefault="004E52AB" w:rsidP="004E52AB">
      <w:pPr>
        <w:pStyle w:val="ListParagraph"/>
        <w:numPr>
          <w:ilvl w:val="0"/>
          <w:numId w:val="12"/>
        </w:numPr>
        <w:jc w:val="both"/>
        <w:rPr>
          <w:rFonts w:asciiTheme="minorHAnsi" w:hAnsiTheme="minorHAnsi" w:cstheme="minorHAnsi"/>
          <w:sz w:val="24"/>
          <w:szCs w:val="24"/>
        </w:rPr>
      </w:pPr>
      <w:r>
        <w:rPr>
          <w:rFonts w:asciiTheme="minorHAnsi" w:hAnsiTheme="minorHAnsi" w:cstheme="minorHAnsi"/>
          <w:sz w:val="24"/>
          <w:szCs w:val="24"/>
        </w:rPr>
        <w:t>The Act defines sexual assault to include a range of acts involving unlawful sexual penetration or attempts at penetration to any extent whatsoever by the genital organs of one person into the anus, mouth, or genital organs of another person or by any object, including any part of the body or animal or part of the body of a person, into the anus, mouth, or genital organs of another person</w:t>
      </w:r>
      <w:r>
        <w:rPr>
          <w:rStyle w:val="FootnoteReference"/>
          <w:rFonts w:asciiTheme="minorHAnsi" w:hAnsiTheme="minorHAnsi" w:cstheme="minorHAnsi"/>
          <w:sz w:val="24"/>
          <w:szCs w:val="24"/>
        </w:rPr>
        <w:footnoteReference w:id="14"/>
      </w:r>
      <w:r>
        <w:rPr>
          <w:rFonts w:asciiTheme="minorHAnsi" w:hAnsiTheme="minorHAnsi" w:cstheme="minorHAnsi"/>
          <w:sz w:val="24"/>
          <w:szCs w:val="24"/>
        </w:rPr>
        <w:t xml:space="preserve">. </w:t>
      </w:r>
    </w:p>
    <w:p w14:paraId="5DF93D87" w14:textId="77777777" w:rsidR="004E52AB" w:rsidRDefault="004E52AB" w:rsidP="004E52AB">
      <w:pPr>
        <w:pStyle w:val="ListParagraph"/>
        <w:numPr>
          <w:ilvl w:val="0"/>
          <w:numId w:val="12"/>
        </w:numPr>
        <w:jc w:val="both"/>
        <w:rPr>
          <w:rFonts w:asciiTheme="minorHAnsi" w:hAnsiTheme="minorHAnsi" w:cstheme="minorHAnsi"/>
          <w:sz w:val="24"/>
          <w:szCs w:val="24"/>
        </w:rPr>
      </w:pPr>
      <w:r>
        <w:rPr>
          <w:rFonts w:asciiTheme="minorHAnsi" w:hAnsiTheme="minorHAnsi" w:cstheme="minorHAnsi"/>
          <w:sz w:val="24"/>
          <w:szCs w:val="24"/>
        </w:rPr>
        <w:t>The SORMA places legal obligation on the South African police services, the national prosecuting Authority, Correctional Services, Justice and Constitutional Development, Department of Social Development, and the Department of Health in assisting survivors of sexual offences. The Act presupposed that the approach to addressing cases of sexual violence in multi sectoral in nature dealing with the perpetrator as well as the needs of the survivor</w:t>
      </w:r>
      <w:r>
        <w:rPr>
          <w:rStyle w:val="FootnoteReference"/>
          <w:rFonts w:asciiTheme="minorHAnsi" w:hAnsiTheme="minorHAnsi" w:cstheme="minorHAnsi"/>
          <w:sz w:val="24"/>
          <w:szCs w:val="24"/>
        </w:rPr>
        <w:footnoteReference w:id="15"/>
      </w:r>
      <w:r>
        <w:rPr>
          <w:rFonts w:asciiTheme="minorHAnsi" w:hAnsiTheme="minorHAnsi" w:cstheme="minorHAnsi"/>
          <w:sz w:val="24"/>
          <w:szCs w:val="24"/>
        </w:rPr>
        <w:t>.</w:t>
      </w:r>
    </w:p>
    <w:p w14:paraId="3DBA453A" w14:textId="77777777" w:rsidR="004E52AB" w:rsidRDefault="004E52AB" w:rsidP="004E52AB">
      <w:pPr>
        <w:pStyle w:val="ListParagraph"/>
        <w:numPr>
          <w:ilvl w:val="0"/>
          <w:numId w:val="12"/>
        </w:numPr>
        <w:jc w:val="both"/>
        <w:rPr>
          <w:rFonts w:asciiTheme="minorHAnsi" w:hAnsiTheme="minorHAnsi" w:cstheme="minorHAnsi"/>
          <w:sz w:val="24"/>
          <w:szCs w:val="24"/>
        </w:rPr>
      </w:pPr>
      <w:r>
        <w:rPr>
          <w:rFonts w:asciiTheme="minorHAnsi" w:hAnsiTheme="minorHAnsi" w:cstheme="minorHAnsi"/>
          <w:sz w:val="24"/>
          <w:szCs w:val="24"/>
        </w:rPr>
        <w:t>Challenges: A 2015 study conducted by Tshwaranang shows there is lack of coordination between duty bearers in the different roles they play in the chain of justice for victims. There is a shortage of personnel in the justice system for instance the lack of sexual offences courts with assigned prosecutors means many sexual offences cases are not sufficiently dealt with</w:t>
      </w:r>
      <w:r>
        <w:rPr>
          <w:rStyle w:val="FootnoteReference"/>
          <w:rFonts w:asciiTheme="minorHAnsi" w:hAnsiTheme="minorHAnsi" w:cstheme="minorHAnsi"/>
          <w:sz w:val="24"/>
          <w:szCs w:val="24"/>
        </w:rPr>
        <w:footnoteReference w:id="16"/>
      </w:r>
      <w:r>
        <w:rPr>
          <w:rFonts w:asciiTheme="minorHAnsi" w:hAnsiTheme="minorHAnsi" w:cstheme="minorHAnsi"/>
          <w:sz w:val="24"/>
          <w:szCs w:val="24"/>
        </w:rPr>
        <w:t>.</w:t>
      </w:r>
    </w:p>
    <w:p w14:paraId="42A6E230"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bookmarkEnd w:id="7"/>
    <w:p w14:paraId="1740349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examples of the types of structural and institutional violence with origins within the State, (</w:t>
      </w:r>
      <w:r w:rsidRPr="0096645F">
        <w:rPr>
          <w:color w:val="000000"/>
          <w:sz w:val="24"/>
          <w:szCs w:val="24"/>
          <w:shd w:val="clear" w:color="auto" w:fill="FFFFFF"/>
          <w:lang w:val="en-ZA" w:eastAsia="en-GB"/>
        </w:rPr>
        <w:t>perpetrated or condoned by the State)</w:t>
      </w:r>
      <w:r w:rsidRPr="0096645F">
        <w:rPr>
          <w:sz w:val="24"/>
          <w:szCs w:val="24"/>
          <w:lang w:val="en-ZA" w:eastAsia="en-GB"/>
        </w:rPr>
        <w:t xml:space="preserve"> or </w:t>
      </w:r>
      <w:r w:rsidRPr="0096645F">
        <w:rPr>
          <w:color w:val="000000"/>
          <w:sz w:val="24"/>
          <w:szCs w:val="24"/>
          <w:shd w:val="clear" w:color="auto" w:fill="FFFFFF"/>
          <w:lang w:val="en-ZA" w:eastAsia="en-GB"/>
        </w:rPr>
        <w:t xml:space="preserve">perpetrated by those not representing or affiliated to the state </w:t>
      </w:r>
      <w:r w:rsidRPr="0096645F">
        <w:rPr>
          <w:color w:val="000000"/>
          <w:sz w:val="24"/>
          <w:szCs w:val="24"/>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152D4C16" w14:textId="77777777" w:rsidR="009F00AF" w:rsidRPr="0096645F" w:rsidRDefault="009F00AF" w:rsidP="009F00AF">
      <w:pPr>
        <w:pStyle w:val="ListParagraph"/>
        <w:spacing w:line="259" w:lineRule="auto"/>
        <w:jc w:val="both"/>
        <w:rPr>
          <w:color w:val="000000"/>
          <w:sz w:val="24"/>
          <w:szCs w:val="24"/>
          <w:lang w:eastAsia="en-GB"/>
        </w:rPr>
      </w:pPr>
    </w:p>
    <w:p w14:paraId="05CC9E52"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also </w:t>
      </w:r>
      <w:r w:rsidRPr="0096645F">
        <w:rPr>
          <w:sz w:val="24"/>
          <w:szCs w:val="24"/>
          <w:lang w:eastAsia="en-GB"/>
        </w:rPr>
        <w:t xml:space="preserve">share information on the impact of criminalization of sex work, same sex relations, transgender persons, abortion, drug abuse, </w:t>
      </w:r>
      <w:r w:rsidRPr="0096645F">
        <w:rPr>
          <w:rFonts w:eastAsia="Verdana"/>
          <w:sz w:val="24"/>
          <w:szCs w:val="24"/>
        </w:rPr>
        <w:t>harmful practices in obstetric care, female genital mutilation</w:t>
      </w:r>
      <w:r w:rsidRPr="0096645F">
        <w:rPr>
          <w:sz w:val="24"/>
          <w:szCs w:val="24"/>
          <w:lang w:eastAsia="en-GB"/>
        </w:rPr>
        <w:t xml:space="preserve"> </w:t>
      </w:r>
      <w:r w:rsidRPr="0096645F">
        <w:rPr>
          <w:color w:val="000000"/>
          <w:sz w:val="24"/>
          <w:szCs w:val="24"/>
          <w:lang w:eastAsia="en-GB"/>
        </w:rPr>
        <w:t>on the violence experienced by the affected individuals and their enjoyment of the right to health.</w:t>
      </w:r>
      <w:r w:rsidRPr="0096645F">
        <w:rPr>
          <w:rFonts w:eastAsia="Verdana"/>
          <w:color w:val="000000"/>
          <w:sz w:val="24"/>
          <w:szCs w:val="24"/>
        </w:rPr>
        <w:t xml:space="preserve"> </w:t>
      </w:r>
    </w:p>
    <w:p w14:paraId="15E2575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r w:rsidRPr="0096645F">
        <w:rPr>
          <w:color w:val="000000"/>
          <w:sz w:val="24"/>
          <w:szCs w:val="24"/>
          <w:lang w:eastAsia="en-GB"/>
        </w:rPr>
        <w:t xml:space="preserve"> </w:t>
      </w:r>
    </w:p>
    <w:p w14:paraId="273DEDF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0DDDECA7"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5CC7BB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w:t>
      </w:r>
      <w:r>
        <w:rPr>
          <w:color w:val="000000"/>
          <w:sz w:val="24"/>
          <w:szCs w:val="24"/>
          <w:lang w:eastAsia="en-GB"/>
        </w:rPr>
        <w:t xml:space="preserve">lain the impact of Covid 19 to </w:t>
      </w:r>
      <w:r w:rsidRPr="0096645F">
        <w:rPr>
          <w:color w:val="000000"/>
          <w:sz w:val="24"/>
          <w:szCs w:val="24"/>
          <w:lang w:eastAsia="en-GB"/>
        </w:rPr>
        <w:t xml:space="preserve">the funding of responses to all/some forms of violence in your State/institution.  </w:t>
      </w:r>
    </w:p>
    <w:p w14:paraId="60B1F18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258C3CD6"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1006A155" w14:textId="77777777" w:rsidR="009F00AF" w:rsidRPr="0096645F" w:rsidRDefault="009F00AF" w:rsidP="009F00AF">
      <w:pPr>
        <w:pStyle w:val="ListParagraph"/>
        <w:spacing w:line="259" w:lineRule="auto"/>
        <w:jc w:val="both"/>
        <w:rPr>
          <w:color w:val="000000"/>
          <w:sz w:val="24"/>
          <w:szCs w:val="24"/>
          <w:lang w:eastAsia="en-GB"/>
        </w:rPr>
      </w:pPr>
    </w:p>
    <w:p w14:paraId="6967E735" w14:textId="3034D1BD"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bookmarkStart w:id="8" w:name="_Hlk93406887"/>
      <w:r w:rsidRPr="0096645F">
        <w:rPr>
          <w:color w:val="000000"/>
          <w:sz w:val="24"/>
          <w:szCs w:val="24"/>
          <w:lang w:eastAsia="en-GB"/>
        </w:rPr>
        <w:t xml:space="preserve">Please share examples of good practices and examples of comprehensive health responses to survivors of violence and indicate efficient multi-sectorial efforts at the </w:t>
      </w:r>
      <w:r w:rsidRPr="0096645F">
        <w:rPr>
          <w:color w:val="000000" w:themeColor="text1"/>
          <w:sz w:val="24"/>
          <w:szCs w:val="24"/>
          <w:lang w:eastAsia="en-GB"/>
        </w:rPr>
        <w:t xml:space="preserve">community, national, regional and international levels </w:t>
      </w:r>
      <w:r w:rsidRPr="0096645F">
        <w:rPr>
          <w:color w:val="000000"/>
          <w:sz w:val="24"/>
          <w:szCs w:val="24"/>
          <w:lang w:eastAsia="en-GB"/>
        </w:rPr>
        <w:t>by State or non-State actors.</w:t>
      </w:r>
    </w:p>
    <w:p w14:paraId="599405BA" w14:textId="77777777" w:rsidR="00C24EB6" w:rsidRPr="004E52AB" w:rsidRDefault="00C24EB6" w:rsidP="004E52AB">
      <w:pPr>
        <w:pStyle w:val="ListParagraph"/>
        <w:rPr>
          <w:color w:val="000000"/>
          <w:sz w:val="24"/>
          <w:szCs w:val="24"/>
          <w:lang w:eastAsia="en-GB"/>
        </w:rPr>
      </w:pPr>
    </w:p>
    <w:p w14:paraId="504CBCEC" w14:textId="77777777" w:rsidR="004E52AB" w:rsidRPr="00A35EAF" w:rsidRDefault="004E52AB" w:rsidP="004E52AB">
      <w:pPr>
        <w:pStyle w:val="ListParagraph"/>
        <w:numPr>
          <w:ilvl w:val="0"/>
          <w:numId w:val="13"/>
        </w:numPr>
        <w:shd w:val="clear" w:color="auto" w:fill="F8F8F8"/>
        <w:spacing w:after="300"/>
        <w:jc w:val="both"/>
        <w:textAlignment w:val="baseline"/>
        <w:rPr>
          <w:rFonts w:asciiTheme="minorHAnsi" w:hAnsiTheme="minorHAnsi" w:cstheme="minorHAnsi"/>
          <w:color w:val="252525"/>
          <w:sz w:val="24"/>
          <w:szCs w:val="24"/>
          <w:lang w:val="en-ZA" w:eastAsia="en-ZA"/>
        </w:rPr>
      </w:pPr>
      <w:r>
        <w:rPr>
          <w:rFonts w:asciiTheme="minorHAnsi" w:hAnsiTheme="minorHAnsi" w:cstheme="minorHAnsi"/>
          <w:color w:val="252525"/>
          <w:sz w:val="24"/>
          <w:szCs w:val="24"/>
          <w:lang w:val="en-ZA" w:eastAsia="en-ZA"/>
        </w:rPr>
        <w:t xml:space="preserve">The National Prosecuting Authority has a Sexual offences and Community Affairs Unit. This Unit, since its establishment, </w:t>
      </w:r>
      <w:r w:rsidRPr="00425F31">
        <w:rPr>
          <w:rFonts w:asciiTheme="minorHAnsi" w:hAnsiTheme="minorHAnsi" w:cstheme="minorHAnsi"/>
          <w:sz w:val="24"/>
          <w:szCs w:val="24"/>
        </w:rPr>
        <w:t>has been working to develop best practices and policies that seek to improv</w:t>
      </w:r>
      <w:r>
        <w:rPr>
          <w:rFonts w:asciiTheme="minorHAnsi" w:hAnsiTheme="minorHAnsi" w:cstheme="minorHAnsi"/>
          <w:sz w:val="24"/>
          <w:szCs w:val="24"/>
        </w:rPr>
        <w:t>e</w:t>
      </w:r>
      <w:r w:rsidRPr="00425F31">
        <w:rPr>
          <w:rFonts w:asciiTheme="minorHAnsi" w:hAnsiTheme="minorHAnsi" w:cstheme="minorHAnsi"/>
          <w:sz w:val="24"/>
          <w:szCs w:val="24"/>
        </w:rPr>
        <w:t xml:space="preserve"> prosecution, particularly in the areas of sexual offences, maintenance, child justice and domestic violence</w:t>
      </w:r>
      <w:r>
        <w:rPr>
          <w:rFonts w:asciiTheme="minorHAnsi" w:hAnsiTheme="minorHAnsi" w:cstheme="minorHAnsi"/>
          <w:sz w:val="24"/>
          <w:szCs w:val="24"/>
        </w:rPr>
        <w:t>. The Unit has thus established Thuthuzela Care Centres that seek to provide an integrated strategy for prevention, response and support most specifically for rape victims</w:t>
      </w:r>
      <w:r>
        <w:rPr>
          <w:rStyle w:val="FootnoteReference"/>
          <w:rFonts w:asciiTheme="minorHAnsi" w:hAnsiTheme="minorHAnsi" w:cstheme="minorHAnsi"/>
          <w:sz w:val="24"/>
          <w:szCs w:val="24"/>
        </w:rPr>
        <w:footnoteReference w:id="17"/>
      </w:r>
      <w:r>
        <w:rPr>
          <w:rFonts w:asciiTheme="minorHAnsi" w:hAnsiTheme="minorHAnsi" w:cstheme="minorHAnsi"/>
          <w:sz w:val="24"/>
          <w:szCs w:val="24"/>
        </w:rPr>
        <w:t xml:space="preserve">. </w:t>
      </w:r>
    </w:p>
    <w:p w14:paraId="2AF88034" w14:textId="77777777" w:rsidR="004E52AB" w:rsidRPr="00A35EAF" w:rsidRDefault="004E52AB" w:rsidP="004E52AB">
      <w:pPr>
        <w:pStyle w:val="ListParagraph"/>
        <w:numPr>
          <w:ilvl w:val="0"/>
          <w:numId w:val="13"/>
        </w:numPr>
        <w:shd w:val="clear" w:color="auto" w:fill="F8F8F8"/>
        <w:spacing w:after="300"/>
        <w:jc w:val="both"/>
        <w:textAlignment w:val="baseline"/>
        <w:rPr>
          <w:rFonts w:asciiTheme="minorHAnsi" w:hAnsiTheme="minorHAnsi" w:cstheme="minorHAnsi"/>
          <w:color w:val="252525"/>
          <w:sz w:val="24"/>
          <w:szCs w:val="24"/>
          <w:lang w:val="en-ZA" w:eastAsia="en-ZA"/>
        </w:rPr>
      </w:pPr>
      <w:r w:rsidRPr="00AC0543">
        <w:rPr>
          <w:rFonts w:asciiTheme="minorHAnsi" w:hAnsiTheme="minorHAnsi" w:cstheme="minorHAnsi"/>
          <w:color w:val="252525"/>
          <w:sz w:val="24"/>
          <w:szCs w:val="24"/>
          <w:lang w:val="en-ZA" w:eastAsia="en-ZA"/>
        </w:rPr>
        <w:t>Thuthuzela Care Centres (TCCs) are</w:t>
      </w:r>
      <w:r>
        <w:rPr>
          <w:rFonts w:asciiTheme="minorHAnsi" w:hAnsiTheme="minorHAnsi" w:cstheme="minorHAnsi"/>
          <w:color w:val="252525"/>
          <w:sz w:val="24"/>
          <w:szCs w:val="24"/>
          <w:lang w:val="en-ZA" w:eastAsia="en-ZA"/>
        </w:rPr>
        <w:t xml:space="preserve"> designed to be </w:t>
      </w:r>
      <w:r w:rsidRPr="00AC0543">
        <w:rPr>
          <w:rFonts w:asciiTheme="minorHAnsi" w:hAnsiTheme="minorHAnsi" w:cstheme="minorHAnsi"/>
          <w:color w:val="252525"/>
          <w:sz w:val="24"/>
          <w:szCs w:val="24"/>
          <w:lang w:val="en-ZA" w:eastAsia="en-ZA"/>
        </w:rPr>
        <w:t>one-stop facilities that have been introduced as a critical part of South Africa’s anti-rape strategy, aiming to reduce secondary victimisation and to build a case ready for successful prosecution. Fifty-one centres have been established since 2006</w:t>
      </w:r>
      <w:r>
        <w:rPr>
          <w:rStyle w:val="FootnoteReference"/>
          <w:rFonts w:asciiTheme="minorHAnsi" w:hAnsiTheme="minorHAnsi" w:cstheme="minorHAnsi"/>
          <w:color w:val="252525"/>
          <w:sz w:val="24"/>
          <w:szCs w:val="24"/>
          <w:lang w:val="en-ZA" w:eastAsia="en-ZA"/>
        </w:rPr>
        <w:footnoteReference w:id="18"/>
      </w:r>
      <w:r w:rsidRPr="00AC0543">
        <w:rPr>
          <w:rFonts w:asciiTheme="minorHAnsi" w:hAnsiTheme="minorHAnsi" w:cstheme="minorHAnsi"/>
          <w:color w:val="252525"/>
          <w:sz w:val="24"/>
          <w:szCs w:val="24"/>
          <w:lang w:val="en-ZA" w:eastAsia="en-ZA"/>
        </w:rPr>
        <w:t>.</w:t>
      </w:r>
      <w:r>
        <w:rPr>
          <w:rFonts w:asciiTheme="minorHAnsi" w:hAnsiTheme="minorHAnsi" w:cstheme="minorHAnsi"/>
          <w:color w:val="252525"/>
          <w:sz w:val="24"/>
          <w:szCs w:val="24"/>
          <w:lang w:val="en-ZA" w:eastAsia="en-ZA"/>
        </w:rPr>
        <w:t xml:space="preserve"> The umber currently stands at 67. </w:t>
      </w:r>
    </w:p>
    <w:p w14:paraId="1A5B15E5" w14:textId="77777777" w:rsidR="004E52AB" w:rsidRPr="00A35EAF" w:rsidRDefault="004E52AB" w:rsidP="004E52AB">
      <w:pPr>
        <w:pStyle w:val="ListParagraph"/>
        <w:numPr>
          <w:ilvl w:val="0"/>
          <w:numId w:val="13"/>
        </w:numPr>
        <w:shd w:val="clear" w:color="auto" w:fill="F8F8F8"/>
        <w:spacing w:after="300"/>
        <w:jc w:val="both"/>
        <w:textAlignment w:val="baseline"/>
        <w:rPr>
          <w:rFonts w:asciiTheme="minorHAnsi" w:hAnsiTheme="minorHAnsi" w:cstheme="minorHAnsi"/>
          <w:color w:val="252525"/>
          <w:sz w:val="24"/>
          <w:szCs w:val="24"/>
          <w:lang w:val="en-ZA" w:eastAsia="en-ZA"/>
        </w:rPr>
      </w:pPr>
      <w:r w:rsidRPr="001D7CD0">
        <w:rPr>
          <w:rFonts w:asciiTheme="minorHAnsi" w:hAnsiTheme="minorHAnsi" w:cstheme="minorHAnsi"/>
          <w:color w:val="252525"/>
          <w:sz w:val="24"/>
          <w:szCs w:val="24"/>
          <w:bdr w:val="none" w:sz="0" w:space="0" w:color="auto" w:frame="1"/>
          <w:lang w:val="en-ZA" w:eastAsia="en-ZA"/>
        </w:rPr>
        <w:t>The TCCS</w:t>
      </w:r>
      <w:r>
        <w:rPr>
          <w:rFonts w:asciiTheme="minorHAnsi" w:hAnsiTheme="minorHAnsi" w:cstheme="minorHAnsi"/>
          <w:color w:val="252525"/>
          <w:sz w:val="24"/>
          <w:szCs w:val="24"/>
          <w:bdr w:val="none" w:sz="0" w:space="0" w:color="auto" w:frame="1"/>
          <w:lang w:val="en-ZA" w:eastAsia="en-ZA"/>
        </w:rPr>
        <w:t xml:space="preserve"> are based at community clinics or major hospital. A survivor is allowed to report a case of rape directly at a TCC. Staff then assist with immediate medical attention at the centre and arrange for counselling services at the centre. Staff will then assist a survivor to open a case at the relevant police station. The Centre has the capacity to arrange for ongoing counselling and assist the survivor with court preparation if case goes on to trial</w:t>
      </w:r>
      <w:r>
        <w:rPr>
          <w:rStyle w:val="FootnoteReference"/>
          <w:rFonts w:asciiTheme="minorHAnsi" w:hAnsiTheme="minorHAnsi" w:cstheme="minorHAnsi"/>
          <w:color w:val="252525"/>
          <w:sz w:val="24"/>
          <w:szCs w:val="24"/>
          <w:bdr w:val="none" w:sz="0" w:space="0" w:color="auto" w:frame="1"/>
          <w:lang w:val="en-ZA" w:eastAsia="en-ZA"/>
        </w:rPr>
        <w:footnoteReference w:id="19"/>
      </w:r>
      <w:r>
        <w:rPr>
          <w:rFonts w:asciiTheme="minorHAnsi" w:hAnsiTheme="minorHAnsi" w:cstheme="minorHAnsi"/>
          <w:color w:val="252525"/>
          <w:sz w:val="24"/>
          <w:szCs w:val="24"/>
          <w:bdr w:val="none" w:sz="0" w:space="0" w:color="auto" w:frame="1"/>
          <w:lang w:val="en-ZA" w:eastAsia="en-ZA"/>
        </w:rPr>
        <w:t>.</w:t>
      </w:r>
    </w:p>
    <w:p w14:paraId="3363C537" w14:textId="77777777" w:rsidR="004E52AB" w:rsidRPr="00A35EAF" w:rsidRDefault="004E52AB" w:rsidP="004E52AB">
      <w:pPr>
        <w:pStyle w:val="ListParagraph"/>
        <w:numPr>
          <w:ilvl w:val="0"/>
          <w:numId w:val="13"/>
        </w:numPr>
        <w:shd w:val="clear" w:color="auto" w:fill="F8F8F8"/>
        <w:spacing w:after="300"/>
        <w:jc w:val="both"/>
        <w:textAlignment w:val="baseline"/>
        <w:rPr>
          <w:rFonts w:asciiTheme="minorHAnsi" w:hAnsiTheme="minorHAnsi" w:cstheme="minorHAnsi"/>
          <w:color w:val="252525"/>
          <w:sz w:val="24"/>
          <w:szCs w:val="24"/>
          <w:lang w:val="en-ZA" w:eastAsia="en-ZA"/>
        </w:rPr>
      </w:pPr>
      <w:r w:rsidRPr="00A35EAF">
        <w:rPr>
          <w:rFonts w:asciiTheme="minorHAnsi" w:hAnsiTheme="minorHAnsi" w:cstheme="minorHAnsi"/>
          <w:color w:val="252525"/>
          <w:sz w:val="24"/>
          <w:szCs w:val="24"/>
          <w:lang w:val="en-ZA" w:eastAsia="en-ZA"/>
        </w:rPr>
        <w:t xml:space="preserve">Challenges: In as much as the centres do a lot in terms of a multi-disciplinary approach. the TCCS are resource heavy. This being financial resources and human capital. The TCCS require donor funding and rely on the civil society sector for their coordination. As the civil society sector is generally strapped in terms of financial resources and therefore human capital this has an impact on the effectiveness of the centres. Also due to the centres being resource heavy it has been difficult to spearhead the establishment of the centres throughout the country. Currently the TCCS are situated mostly in urban areas. </w:t>
      </w:r>
    </w:p>
    <w:p w14:paraId="755EF9E0" w14:textId="77777777" w:rsidR="00C24EB6" w:rsidRPr="004E52AB" w:rsidRDefault="00C24EB6" w:rsidP="004E52AB">
      <w:pPr>
        <w:shd w:val="clear" w:color="auto" w:fill="FFFFFF"/>
        <w:spacing w:line="259" w:lineRule="auto"/>
        <w:ind w:left="360"/>
        <w:jc w:val="both"/>
        <w:outlineLvl w:val="2"/>
        <w:rPr>
          <w:color w:val="000000"/>
          <w:sz w:val="24"/>
          <w:szCs w:val="24"/>
          <w:lang w:eastAsia="en-GB"/>
        </w:rPr>
      </w:pPr>
    </w:p>
    <w:bookmarkEnd w:id="8"/>
    <w:p w14:paraId="521DD856" w14:textId="77777777" w:rsidR="009F00AF" w:rsidRPr="0096645F" w:rsidRDefault="009F00AF" w:rsidP="009F00AF">
      <w:pPr>
        <w:pStyle w:val="ListParagraph"/>
        <w:spacing w:line="259" w:lineRule="auto"/>
        <w:jc w:val="both"/>
        <w:rPr>
          <w:color w:val="000000"/>
          <w:sz w:val="24"/>
          <w:szCs w:val="24"/>
          <w:lang w:eastAsia="en-GB"/>
        </w:rPr>
      </w:pPr>
    </w:p>
    <w:p w14:paraId="5E012D4A" w14:textId="77777777" w:rsidR="009F00AF" w:rsidRPr="007C47FA" w:rsidRDefault="009F00AF" w:rsidP="009F00AF">
      <w:pPr>
        <w:pStyle w:val="ListParagraph"/>
        <w:numPr>
          <w:ilvl w:val="0"/>
          <w:numId w:val="1"/>
        </w:numPr>
        <w:shd w:val="clear" w:color="auto" w:fill="FFFFFF"/>
        <w:spacing w:line="259" w:lineRule="auto"/>
        <w:jc w:val="both"/>
        <w:outlineLvl w:val="2"/>
        <w:rPr>
          <w:sz w:val="24"/>
          <w:szCs w:val="24"/>
          <w:shd w:val="clear" w:color="auto" w:fill="FFFFFF"/>
        </w:rPr>
      </w:pPr>
      <w:r w:rsidRPr="0096645F">
        <w:rPr>
          <w:color w:val="000000"/>
          <w:sz w:val="24"/>
          <w:szCs w:val="24"/>
          <w:lang w:eastAsia="en-GB"/>
        </w:rPr>
        <w:t>Please describe State and other actors initiatives and measures to prevent these forms of violence, specific budget allocated to prevention, and good practices in this regard.</w:t>
      </w:r>
    </w:p>
    <w:p w14:paraId="6E3345C0" w14:textId="7777777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4007B6BC" w14:textId="77777777" w:rsidR="009F00AF" w:rsidRDefault="009F00AF" w:rsidP="009F00AF">
      <w:pPr>
        <w:rPr>
          <w:sz w:val="24"/>
          <w:szCs w:val="24"/>
          <w:shd w:val="clear" w:color="auto" w:fill="FFFFFF"/>
        </w:rPr>
      </w:pPr>
      <w:r>
        <w:rPr>
          <w:sz w:val="24"/>
          <w:szCs w:val="24"/>
          <w:shd w:val="clear" w:color="auto" w:fill="FFFFFF"/>
        </w:rPr>
        <w:br w:type="page"/>
      </w:r>
    </w:p>
    <w:p w14:paraId="02FA1800" w14:textId="77777777"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13"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14"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15"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16"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17"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18"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19"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sz w:val="24"/>
          <w:szCs w:val="24"/>
          <w:lang w:val="en"/>
        </w:rPr>
      </w:pPr>
    </w:p>
    <w:p w14:paraId="29D8CEEE" w14:textId="77777777" w:rsidR="003474A5" w:rsidRPr="009F00AF" w:rsidRDefault="00814888">
      <w:pPr>
        <w:rPr>
          <w:lang w:val="en"/>
        </w:rPr>
      </w:pPr>
    </w:p>
    <w:sectPr w:rsidR="003474A5" w:rsidRPr="009F00AF" w:rsidSect="00ED053D">
      <w:footerReference w:type="default" r:id="rId20"/>
      <w:headerReference w:type="first" r:id="rId21"/>
      <w:footerReference w:type="first" r:id="rId2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976C3" w14:textId="77777777" w:rsidR="004A6639" w:rsidRDefault="004A6639" w:rsidP="009F00AF">
      <w:r>
        <w:separator/>
      </w:r>
    </w:p>
  </w:endnote>
  <w:endnote w:type="continuationSeparator" w:id="0">
    <w:p w14:paraId="6F6D4699" w14:textId="77777777" w:rsidR="004A6639" w:rsidRDefault="004A6639"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301BB653" w:rsidR="00373EF9" w:rsidRDefault="009F00AF">
        <w:pPr>
          <w:pStyle w:val="Footer"/>
          <w:jc w:val="center"/>
        </w:pPr>
        <w:r>
          <w:fldChar w:fldCharType="begin"/>
        </w:r>
        <w:r>
          <w:instrText xml:space="preserve"> PAGE   \* MERGEFORMAT </w:instrText>
        </w:r>
        <w:r>
          <w:fldChar w:fldCharType="separate"/>
        </w:r>
        <w:r w:rsidR="00814888">
          <w:rPr>
            <w:noProof/>
          </w:rPr>
          <w:t>9</w:t>
        </w:r>
        <w:r>
          <w:rPr>
            <w:noProof/>
          </w:rPr>
          <w:fldChar w:fldCharType="end"/>
        </w:r>
      </w:p>
    </w:sdtContent>
  </w:sdt>
  <w:p w14:paraId="5A6E9ADE" w14:textId="77777777" w:rsidR="00A93F3F" w:rsidRDefault="00814888"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1E709" w14:textId="77777777" w:rsidR="004A6639" w:rsidRDefault="004A6639" w:rsidP="009F00AF">
      <w:r>
        <w:separator/>
      </w:r>
    </w:p>
  </w:footnote>
  <w:footnote w:type="continuationSeparator" w:id="0">
    <w:p w14:paraId="7BA9E0BC" w14:textId="77777777" w:rsidR="004A6639" w:rsidRDefault="004A6639" w:rsidP="009F00AF">
      <w:r>
        <w:continuationSeparator/>
      </w:r>
    </w:p>
  </w:footnote>
  <w:footnote w:id="1">
    <w:p w14:paraId="4374403D" w14:textId="77777777" w:rsidR="00C24EB6" w:rsidRPr="00F45DA9" w:rsidRDefault="00C24EB6" w:rsidP="00C24EB6">
      <w:pPr>
        <w:pStyle w:val="FootnoteText"/>
        <w:rPr>
          <w:lang w:val="en-ZA"/>
        </w:rPr>
      </w:pPr>
      <w:r>
        <w:rPr>
          <w:rStyle w:val="FootnoteReference"/>
        </w:rPr>
        <w:footnoteRef/>
      </w:r>
      <w:r>
        <w:t xml:space="preserve"> </w:t>
      </w:r>
      <w:r>
        <w:rPr>
          <w:lang w:val="en-ZA"/>
        </w:rPr>
        <w:t>WHO 2014</w:t>
      </w:r>
    </w:p>
  </w:footnote>
  <w:footnote w:id="2">
    <w:p w14:paraId="5DD147BD" w14:textId="77777777" w:rsidR="00C24EB6" w:rsidRPr="00D0605F" w:rsidRDefault="00C24EB6" w:rsidP="00C24EB6">
      <w:pPr>
        <w:pStyle w:val="FootnoteText"/>
        <w:rPr>
          <w:lang w:val="en-ZA"/>
        </w:rPr>
      </w:pPr>
      <w:r>
        <w:rPr>
          <w:rStyle w:val="FootnoteReference"/>
        </w:rPr>
        <w:footnoteRef/>
      </w:r>
      <w:r>
        <w:t xml:space="preserve"> </w:t>
      </w:r>
      <w:r>
        <w:rPr>
          <w:lang w:val="en-ZA"/>
        </w:rPr>
        <w:t xml:space="preserve">Mpani and Nsibande 2015 </w:t>
      </w:r>
      <w:r w:rsidRPr="00D0605F">
        <w:rPr>
          <w:i/>
          <w:iCs/>
          <w:lang w:val="en-ZA"/>
        </w:rPr>
        <w:t>Understanding Gender Policy and Gender-Based Violence in South Africa: A literature Review</w:t>
      </w:r>
      <w:r>
        <w:rPr>
          <w:lang w:val="en-ZA"/>
        </w:rPr>
        <w:t xml:space="preserve"> for Soul City</w:t>
      </w:r>
    </w:p>
  </w:footnote>
  <w:footnote w:id="3">
    <w:p w14:paraId="40BA06DC" w14:textId="77777777" w:rsidR="00C24EB6" w:rsidRPr="0051292D" w:rsidRDefault="00C24EB6" w:rsidP="00C24EB6">
      <w:pPr>
        <w:pStyle w:val="FootnoteText"/>
        <w:rPr>
          <w:lang w:val="en-ZA"/>
        </w:rPr>
      </w:pPr>
      <w:r>
        <w:rPr>
          <w:rStyle w:val="FootnoteReference"/>
        </w:rPr>
        <w:footnoteRef/>
      </w:r>
      <w:r>
        <w:t xml:space="preserve"> </w:t>
      </w:r>
      <w:r>
        <w:rPr>
          <w:lang w:val="en-ZA"/>
        </w:rPr>
        <w:t>Supra p7</w:t>
      </w:r>
    </w:p>
  </w:footnote>
  <w:footnote w:id="4">
    <w:p w14:paraId="3BA600A9" w14:textId="77777777" w:rsidR="00C24EB6" w:rsidRPr="001B73A1" w:rsidRDefault="00C24EB6" w:rsidP="00C24EB6">
      <w:pPr>
        <w:pStyle w:val="FootnoteText"/>
        <w:rPr>
          <w:lang w:val="en-ZA"/>
        </w:rPr>
      </w:pPr>
      <w:r>
        <w:rPr>
          <w:rStyle w:val="FootnoteReference"/>
        </w:rPr>
        <w:footnoteRef/>
      </w:r>
      <w:r>
        <w:t xml:space="preserve"> </w:t>
      </w:r>
      <w:r>
        <w:rPr>
          <w:lang w:val="en-ZA"/>
        </w:rPr>
        <w:t xml:space="preserve">Watts et al (2002) </w:t>
      </w:r>
      <w:r w:rsidRPr="001B73A1">
        <w:rPr>
          <w:i/>
          <w:iCs/>
          <w:lang w:val="en-ZA"/>
        </w:rPr>
        <w:t>Violence Against Women; Global and Magnitude</w:t>
      </w:r>
    </w:p>
  </w:footnote>
  <w:footnote w:id="5">
    <w:p w14:paraId="6A742BF5" w14:textId="77777777" w:rsidR="00C24EB6" w:rsidRPr="00455317" w:rsidRDefault="00C24EB6" w:rsidP="00C24EB6">
      <w:pPr>
        <w:pStyle w:val="FootnoteText"/>
        <w:rPr>
          <w:lang w:val="en-ZA"/>
        </w:rPr>
      </w:pPr>
      <w:r>
        <w:rPr>
          <w:rStyle w:val="FootnoteReference"/>
        </w:rPr>
        <w:footnoteRef/>
      </w:r>
      <w:r>
        <w:t xml:space="preserve"> </w:t>
      </w:r>
      <w:r>
        <w:rPr>
          <w:lang w:val="en-ZA"/>
        </w:rPr>
        <w:t xml:space="preserve">Mpani and Nsibande(2015) </w:t>
      </w:r>
      <w:r w:rsidRPr="00D0605F">
        <w:rPr>
          <w:i/>
          <w:iCs/>
          <w:lang w:val="en-ZA"/>
        </w:rPr>
        <w:t>Understanding Gender Policy and Gender-Based Violence in South Africa: A literature Review</w:t>
      </w:r>
      <w:r>
        <w:rPr>
          <w:lang w:val="en-ZA"/>
        </w:rPr>
        <w:t xml:space="preserve"> for Soul City p7</w:t>
      </w:r>
    </w:p>
  </w:footnote>
  <w:footnote w:id="6">
    <w:p w14:paraId="05C74AAC" w14:textId="77777777" w:rsidR="00C24EB6" w:rsidRPr="00F95F27" w:rsidRDefault="00C24EB6" w:rsidP="00C24EB6">
      <w:pPr>
        <w:pStyle w:val="FootnoteText"/>
        <w:rPr>
          <w:lang w:val="en-ZA"/>
        </w:rPr>
      </w:pPr>
      <w:r>
        <w:rPr>
          <w:rStyle w:val="FootnoteReference"/>
        </w:rPr>
        <w:footnoteRef/>
      </w:r>
      <w:r>
        <w:t xml:space="preserve"> SAPS Report 2014</w:t>
      </w:r>
    </w:p>
  </w:footnote>
  <w:footnote w:id="7">
    <w:p w14:paraId="498854D7" w14:textId="77777777" w:rsidR="00C24EB6" w:rsidRPr="00B357FF" w:rsidRDefault="00C24EB6" w:rsidP="00C24EB6">
      <w:pPr>
        <w:pStyle w:val="FootnoteText"/>
        <w:rPr>
          <w:lang w:val="en-ZA"/>
        </w:rPr>
      </w:pPr>
      <w:r>
        <w:rPr>
          <w:rStyle w:val="FootnoteReference"/>
        </w:rPr>
        <w:footnoteRef/>
      </w:r>
      <w:r>
        <w:t xml:space="preserve"> </w:t>
      </w:r>
      <w:r>
        <w:rPr>
          <w:lang w:val="en-ZA"/>
        </w:rPr>
        <w:t>Glasier A et al (2006) Sexual Reproductive Health: a Matter of Life and Death</w:t>
      </w:r>
    </w:p>
  </w:footnote>
  <w:footnote w:id="8">
    <w:p w14:paraId="3AA87901" w14:textId="77777777" w:rsidR="00C24EB6" w:rsidRPr="001A44A8" w:rsidRDefault="00C24EB6" w:rsidP="00C24EB6">
      <w:pPr>
        <w:pStyle w:val="FootnoteText"/>
        <w:rPr>
          <w:lang w:val="en-ZA"/>
        </w:rPr>
      </w:pPr>
      <w:r>
        <w:rPr>
          <w:rStyle w:val="FootnoteReference"/>
        </w:rPr>
        <w:footnoteRef/>
      </w:r>
      <w:r>
        <w:rPr>
          <w:rStyle w:val="FootnoteReference"/>
        </w:rPr>
        <w:footnoteRef/>
      </w:r>
      <w:r>
        <w:t xml:space="preserve"> </w:t>
      </w:r>
      <w:r>
        <w:rPr>
          <w:lang w:val="en-ZA"/>
        </w:rPr>
        <w:t>AUC-WGDD et al 2020 Gender Based Violence in Africa During the Covid-19 Pandemic</w:t>
      </w:r>
    </w:p>
  </w:footnote>
  <w:footnote w:id="9">
    <w:p w14:paraId="6C370130" w14:textId="77777777" w:rsidR="00C24EB6" w:rsidRPr="00D44383" w:rsidRDefault="00C24EB6" w:rsidP="00C24EB6">
      <w:pPr>
        <w:pStyle w:val="FootnoteText"/>
        <w:rPr>
          <w:lang w:val="en-ZA"/>
        </w:rPr>
      </w:pPr>
      <w:r>
        <w:rPr>
          <w:rStyle w:val="FootnoteReference"/>
        </w:rPr>
        <w:footnoteRef/>
      </w:r>
      <w:r>
        <w:t xml:space="preserve"> </w:t>
      </w:r>
      <w:r>
        <w:rPr>
          <w:lang w:val="en-ZA"/>
        </w:rPr>
        <w:t>Ibid</w:t>
      </w:r>
    </w:p>
  </w:footnote>
  <w:footnote w:id="10">
    <w:p w14:paraId="2DFE8C1A" w14:textId="77777777" w:rsidR="004E52AB" w:rsidRPr="00DD6B24" w:rsidRDefault="004E52AB" w:rsidP="004E52AB">
      <w:pPr>
        <w:pStyle w:val="FootnoteText"/>
        <w:rPr>
          <w:lang w:val="en-ZA"/>
        </w:rPr>
      </w:pPr>
      <w:r>
        <w:rPr>
          <w:rStyle w:val="FootnoteReference"/>
        </w:rPr>
        <w:footnoteRef/>
      </w:r>
      <w:r>
        <w:t xml:space="preserve"> </w:t>
      </w:r>
      <w:r>
        <w:rPr>
          <w:lang w:val="en-ZA"/>
        </w:rPr>
        <w:t>Domestic Violence Act 116 of 1998</w:t>
      </w:r>
    </w:p>
  </w:footnote>
  <w:footnote w:id="11">
    <w:p w14:paraId="1951869B" w14:textId="77777777" w:rsidR="004E52AB" w:rsidRPr="00DD6B24" w:rsidRDefault="004E52AB" w:rsidP="004E52AB">
      <w:pPr>
        <w:pStyle w:val="FootnoteText"/>
        <w:rPr>
          <w:lang w:val="en-ZA"/>
        </w:rPr>
      </w:pPr>
      <w:r>
        <w:rPr>
          <w:rStyle w:val="FootnoteReference"/>
        </w:rPr>
        <w:footnoteRef/>
      </w:r>
      <w:r>
        <w:t xml:space="preserve"> </w:t>
      </w:r>
      <w:r>
        <w:rPr>
          <w:lang w:val="en-ZA"/>
        </w:rPr>
        <w:t>ibid</w:t>
      </w:r>
    </w:p>
  </w:footnote>
  <w:footnote w:id="12">
    <w:p w14:paraId="67A5B4E2" w14:textId="77777777" w:rsidR="004E52AB" w:rsidRPr="00DD6B24" w:rsidRDefault="004E52AB" w:rsidP="004E52AB">
      <w:pPr>
        <w:pStyle w:val="FootnoteText"/>
        <w:rPr>
          <w:lang w:val="en-ZA"/>
        </w:rPr>
      </w:pPr>
      <w:r>
        <w:rPr>
          <w:rStyle w:val="FootnoteReference"/>
        </w:rPr>
        <w:footnoteRef/>
      </w:r>
      <w:r>
        <w:t xml:space="preserve"> </w:t>
      </w:r>
      <w:r>
        <w:rPr>
          <w:lang w:val="en-ZA"/>
        </w:rPr>
        <w:t>ibid</w:t>
      </w:r>
    </w:p>
  </w:footnote>
  <w:footnote w:id="13">
    <w:p w14:paraId="5B19345E" w14:textId="77777777" w:rsidR="004E52AB" w:rsidRPr="00DD6B24" w:rsidRDefault="004E52AB" w:rsidP="004E52AB">
      <w:pPr>
        <w:pStyle w:val="FootnoteText"/>
        <w:rPr>
          <w:lang w:val="en-ZA"/>
        </w:rPr>
      </w:pPr>
      <w:r>
        <w:rPr>
          <w:rStyle w:val="FootnoteReference"/>
        </w:rPr>
        <w:footnoteRef/>
      </w:r>
      <w:r>
        <w:t xml:space="preserve"> </w:t>
      </w:r>
      <w:r>
        <w:rPr>
          <w:lang w:val="en-ZA"/>
        </w:rPr>
        <w:t xml:space="preserve">Mpani and Nsibande(2015) </w:t>
      </w:r>
      <w:r w:rsidRPr="00D0605F">
        <w:rPr>
          <w:i/>
          <w:iCs/>
          <w:lang w:val="en-ZA"/>
        </w:rPr>
        <w:t>Understanding Gender Policy and Gender-Based Violence in South Africa: A literature Review</w:t>
      </w:r>
      <w:r>
        <w:rPr>
          <w:lang w:val="en-ZA"/>
        </w:rPr>
        <w:t xml:space="preserve"> for Soul City </w:t>
      </w:r>
    </w:p>
  </w:footnote>
  <w:footnote w:id="14">
    <w:p w14:paraId="70FAD40F" w14:textId="77777777" w:rsidR="004E52AB" w:rsidRPr="00166158" w:rsidRDefault="004E52AB" w:rsidP="004E52AB">
      <w:pPr>
        <w:pStyle w:val="FootnoteText"/>
        <w:rPr>
          <w:lang w:val="en-ZA"/>
        </w:rPr>
      </w:pPr>
      <w:r>
        <w:rPr>
          <w:rStyle w:val="FootnoteReference"/>
        </w:rPr>
        <w:footnoteRef/>
      </w:r>
      <w:r>
        <w:t xml:space="preserve"> </w:t>
      </w:r>
      <w:r>
        <w:rPr>
          <w:lang w:val="en-ZA"/>
        </w:rPr>
        <w:t>Criminal Law Sexual Offences and Related Matters Act No 32 of 2007</w:t>
      </w:r>
    </w:p>
  </w:footnote>
  <w:footnote w:id="15">
    <w:p w14:paraId="61A64273" w14:textId="77777777" w:rsidR="004E52AB" w:rsidRPr="00C0023C" w:rsidRDefault="004E52AB" w:rsidP="004E52AB">
      <w:pPr>
        <w:pStyle w:val="FootnoteText"/>
        <w:rPr>
          <w:lang w:val="en-ZA"/>
        </w:rPr>
      </w:pPr>
      <w:r>
        <w:rPr>
          <w:rStyle w:val="FootnoteReference"/>
        </w:rPr>
        <w:footnoteRef/>
      </w:r>
      <w:r>
        <w:t xml:space="preserve"> </w:t>
      </w:r>
      <w:r>
        <w:rPr>
          <w:lang w:val="en-ZA"/>
        </w:rPr>
        <w:t>Supra</w:t>
      </w:r>
    </w:p>
  </w:footnote>
  <w:footnote w:id="16">
    <w:p w14:paraId="4250317C" w14:textId="77777777" w:rsidR="004E52AB" w:rsidRPr="006F4DB3" w:rsidRDefault="004E52AB" w:rsidP="004E52AB">
      <w:pPr>
        <w:pStyle w:val="FootnoteText"/>
        <w:rPr>
          <w:lang w:val="en-ZA"/>
        </w:rPr>
      </w:pPr>
      <w:r>
        <w:rPr>
          <w:rStyle w:val="FootnoteReference"/>
        </w:rPr>
        <w:footnoteRef/>
      </w:r>
      <w:r>
        <w:t xml:space="preserve"> </w:t>
      </w:r>
      <w:r>
        <w:rPr>
          <w:lang w:val="en-ZA"/>
        </w:rPr>
        <w:t xml:space="preserve">Mpani and Nsibande(2015) </w:t>
      </w:r>
      <w:r w:rsidRPr="00D0605F">
        <w:rPr>
          <w:i/>
          <w:iCs/>
          <w:lang w:val="en-ZA"/>
        </w:rPr>
        <w:t>Understanding Gender Policy and Gender-Based Violence in South Africa: A literature Review</w:t>
      </w:r>
      <w:r>
        <w:rPr>
          <w:lang w:val="en-ZA"/>
        </w:rPr>
        <w:t xml:space="preserve"> for Soul City </w:t>
      </w:r>
    </w:p>
  </w:footnote>
  <w:footnote w:id="17">
    <w:p w14:paraId="15918C5A" w14:textId="77777777" w:rsidR="004E52AB" w:rsidRDefault="004E52AB" w:rsidP="004E52AB">
      <w:pPr>
        <w:pStyle w:val="FootnoteText"/>
      </w:pPr>
      <w:r>
        <w:rPr>
          <w:rStyle w:val="FootnoteReference"/>
        </w:rPr>
        <w:footnoteRef/>
      </w:r>
      <w:r>
        <w:t xml:space="preserve"> npa.gov.za/resources/public_awareness/TCC_brochure_August_2009</w:t>
      </w:r>
      <w:r w:rsidRPr="00A35EAF">
        <w:t xml:space="preserve"> </w:t>
      </w:r>
      <w:hyperlink r:id="rId1" w:history="1">
        <w:r>
          <w:rPr>
            <w:rStyle w:val="Hyperlink"/>
          </w:rPr>
          <w:t>THUTHUZELA CARE CENTRES (npa.gov.za)</w:t>
        </w:r>
      </w:hyperlink>
    </w:p>
    <w:p w14:paraId="0BC2031C" w14:textId="77777777" w:rsidR="004E52AB" w:rsidRPr="00C0023C" w:rsidRDefault="004E52AB" w:rsidP="004E52AB">
      <w:pPr>
        <w:pStyle w:val="FootnoteText"/>
        <w:rPr>
          <w:lang w:val="en-ZA"/>
        </w:rPr>
      </w:pPr>
    </w:p>
  </w:footnote>
  <w:footnote w:id="18">
    <w:p w14:paraId="2CFDF54E" w14:textId="77777777" w:rsidR="004E52AB" w:rsidRPr="00A35EAF" w:rsidRDefault="004E52AB" w:rsidP="004E52AB">
      <w:pPr>
        <w:pStyle w:val="FootnoteText"/>
        <w:rPr>
          <w:lang w:val="en-ZA"/>
        </w:rPr>
      </w:pPr>
      <w:r>
        <w:rPr>
          <w:rStyle w:val="FootnoteReference"/>
        </w:rPr>
        <w:footnoteRef/>
      </w:r>
      <w:r>
        <w:t xml:space="preserve"> </w:t>
      </w:r>
      <w:r>
        <w:rPr>
          <w:lang w:val="en-ZA"/>
        </w:rPr>
        <w:t>Supra</w:t>
      </w:r>
    </w:p>
  </w:footnote>
  <w:footnote w:id="19">
    <w:p w14:paraId="25B88AA7" w14:textId="77777777" w:rsidR="004E52AB" w:rsidRPr="00A35EAF" w:rsidRDefault="004E52AB" w:rsidP="004E52AB">
      <w:pPr>
        <w:pStyle w:val="FootnoteText"/>
        <w:rPr>
          <w:lang w:val="en-ZA"/>
        </w:rPr>
      </w:pPr>
      <w:r>
        <w:rPr>
          <w:rStyle w:val="FootnoteReference"/>
        </w:rPr>
        <w:footnoteRef/>
      </w:r>
      <w:r>
        <w:t xml:space="preserve"> </w:t>
      </w:r>
      <w:r>
        <w:rPr>
          <w:lang w:val="en-ZA"/>
        </w:rPr>
        <w:t>Supra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814888"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98C"/>
    <w:multiLevelType w:val="hybridMultilevel"/>
    <w:tmpl w:val="814A640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41F5359"/>
    <w:multiLevelType w:val="hybridMultilevel"/>
    <w:tmpl w:val="93466FF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7443773"/>
    <w:multiLevelType w:val="hybridMultilevel"/>
    <w:tmpl w:val="EF30919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1A6F4950"/>
    <w:multiLevelType w:val="multilevel"/>
    <w:tmpl w:val="7AACB5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E676C"/>
    <w:multiLevelType w:val="multilevel"/>
    <w:tmpl w:val="7AACB5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3D3731"/>
    <w:multiLevelType w:val="hybridMultilevel"/>
    <w:tmpl w:val="2B825D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9042E9D"/>
    <w:multiLevelType w:val="hybridMultilevel"/>
    <w:tmpl w:val="A4329C2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33835BE3"/>
    <w:multiLevelType w:val="hybridMultilevel"/>
    <w:tmpl w:val="D92CF4F4"/>
    <w:lvl w:ilvl="0" w:tplc="1C090001">
      <w:start w:val="1"/>
      <w:numFmt w:val="bullet"/>
      <w:lvlText w:val=""/>
      <w:lvlJc w:val="left"/>
      <w:pPr>
        <w:ind w:left="2159" w:hanging="360"/>
      </w:pPr>
      <w:rPr>
        <w:rFonts w:ascii="Symbol" w:hAnsi="Symbol" w:hint="default"/>
      </w:rPr>
    </w:lvl>
    <w:lvl w:ilvl="1" w:tplc="1C090003" w:tentative="1">
      <w:start w:val="1"/>
      <w:numFmt w:val="bullet"/>
      <w:lvlText w:val="o"/>
      <w:lvlJc w:val="left"/>
      <w:pPr>
        <w:ind w:left="2879" w:hanging="360"/>
      </w:pPr>
      <w:rPr>
        <w:rFonts w:ascii="Courier New" w:hAnsi="Courier New" w:cs="Courier New" w:hint="default"/>
      </w:rPr>
    </w:lvl>
    <w:lvl w:ilvl="2" w:tplc="1C090005" w:tentative="1">
      <w:start w:val="1"/>
      <w:numFmt w:val="bullet"/>
      <w:lvlText w:val=""/>
      <w:lvlJc w:val="left"/>
      <w:pPr>
        <w:ind w:left="3599" w:hanging="360"/>
      </w:pPr>
      <w:rPr>
        <w:rFonts w:ascii="Wingdings" w:hAnsi="Wingdings" w:hint="default"/>
      </w:rPr>
    </w:lvl>
    <w:lvl w:ilvl="3" w:tplc="1C090001" w:tentative="1">
      <w:start w:val="1"/>
      <w:numFmt w:val="bullet"/>
      <w:lvlText w:val=""/>
      <w:lvlJc w:val="left"/>
      <w:pPr>
        <w:ind w:left="4319" w:hanging="360"/>
      </w:pPr>
      <w:rPr>
        <w:rFonts w:ascii="Symbol" w:hAnsi="Symbol" w:hint="default"/>
      </w:rPr>
    </w:lvl>
    <w:lvl w:ilvl="4" w:tplc="1C090003" w:tentative="1">
      <w:start w:val="1"/>
      <w:numFmt w:val="bullet"/>
      <w:lvlText w:val="o"/>
      <w:lvlJc w:val="left"/>
      <w:pPr>
        <w:ind w:left="5039" w:hanging="360"/>
      </w:pPr>
      <w:rPr>
        <w:rFonts w:ascii="Courier New" w:hAnsi="Courier New" w:cs="Courier New" w:hint="default"/>
      </w:rPr>
    </w:lvl>
    <w:lvl w:ilvl="5" w:tplc="1C090005" w:tentative="1">
      <w:start w:val="1"/>
      <w:numFmt w:val="bullet"/>
      <w:lvlText w:val=""/>
      <w:lvlJc w:val="left"/>
      <w:pPr>
        <w:ind w:left="5759" w:hanging="360"/>
      </w:pPr>
      <w:rPr>
        <w:rFonts w:ascii="Wingdings" w:hAnsi="Wingdings" w:hint="default"/>
      </w:rPr>
    </w:lvl>
    <w:lvl w:ilvl="6" w:tplc="1C090001" w:tentative="1">
      <w:start w:val="1"/>
      <w:numFmt w:val="bullet"/>
      <w:lvlText w:val=""/>
      <w:lvlJc w:val="left"/>
      <w:pPr>
        <w:ind w:left="6479" w:hanging="360"/>
      </w:pPr>
      <w:rPr>
        <w:rFonts w:ascii="Symbol" w:hAnsi="Symbol" w:hint="default"/>
      </w:rPr>
    </w:lvl>
    <w:lvl w:ilvl="7" w:tplc="1C090003" w:tentative="1">
      <w:start w:val="1"/>
      <w:numFmt w:val="bullet"/>
      <w:lvlText w:val="o"/>
      <w:lvlJc w:val="left"/>
      <w:pPr>
        <w:ind w:left="7199" w:hanging="360"/>
      </w:pPr>
      <w:rPr>
        <w:rFonts w:ascii="Courier New" w:hAnsi="Courier New" w:cs="Courier New" w:hint="default"/>
      </w:rPr>
    </w:lvl>
    <w:lvl w:ilvl="8" w:tplc="1C090005" w:tentative="1">
      <w:start w:val="1"/>
      <w:numFmt w:val="bullet"/>
      <w:lvlText w:val=""/>
      <w:lvlJc w:val="left"/>
      <w:pPr>
        <w:ind w:left="7919" w:hanging="360"/>
      </w:pPr>
      <w:rPr>
        <w:rFonts w:ascii="Wingdings" w:hAnsi="Wingdings" w:hint="default"/>
      </w:rPr>
    </w:lvl>
  </w:abstractNum>
  <w:abstractNum w:abstractNumId="8" w15:restartNumberingAfterBreak="0">
    <w:nsid w:val="587375AA"/>
    <w:multiLevelType w:val="hybridMultilevel"/>
    <w:tmpl w:val="A88EBEBE"/>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59B53544"/>
    <w:multiLevelType w:val="multilevel"/>
    <w:tmpl w:val="7AACB5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76561CA1"/>
    <w:multiLevelType w:val="hybridMultilevel"/>
    <w:tmpl w:val="9AC86682"/>
    <w:lvl w:ilvl="0" w:tplc="1C090001">
      <w:start w:val="1"/>
      <w:numFmt w:val="bullet"/>
      <w:lvlText w:val=""/>
      <w:lvlJc w:val="left"/>
      <w:pPr>
        <w:ind w:left="1490" w:hanging="360"/>
      </w:pPr>
      <w:rPr>
        <w:rFonts w:ascii="Symbol" w:hAnsi="Symbol" w:hint="default"/>
      </w:rPr>
    </w:lvl>
    <w:lvl w:ilvl="1" w:tplc="1C090003" w:tentative="1">
      <w:start w:val="1"/>
      <w:numFmt w:val="bullet"/>
      <w:lvlText w:val="o"/>
      <w:lvlJc w:val="left"/>
      <w:pPr>
        <w:ind w:left="2210" w:hanging="360"/>
      </w:pPr>
      <w:rPr>
        <w:rFonts w:ascii="Courier New" w:hAnsi="Courier New" w:cs="Courier New" w:hint="default"/>
      </w:rPr>
    </w:lvl>
    <w:lvl w:ilvl="2" w:tplc="1C090005" w:tentative="1">
      <w:start w:val="1"/>
      <w:numFmt w:val="bullet"/>
      <w:lvlText w:val=""/>
      <w:lvlJc w:val="left"/>
      <w:pPr>
        <w:ind w:left="2930" w:hanging="360"/>
      </w:pPr>
      <w:rPr>
        <w:rFonts w:ascii="Wingdings" w:hAnsi="Wingdings" w:hint="default"/>
      </w:rPr>
    </w:lvl>
    <w:lvl w:ilvl="3" w:tplc="1C090001" w:tentative="1">
      <w:start w:val="1"/>
      <w:numFmt w:val="bullet"/>
      <w:lvlText w:val=""/>
      <w:lvlJc w:val="left"/>
      <w:pPr>
        <w:ind w:left="3650" w:hanging="360"/>
      </w:pPr>
      <w:rPr>
        <w:rFonts w:ascii="Symbol" w:hAnsi="Symbol" w:hint="default"/>
      </w:rPr>
    </w:lvl>
    <w:lvl w:ilvl="4" w:tplc="1C090003" w:tentative="1">
      <w:start w:val="1"/>
      <w:numFmt w:val="bullet"/>
      <w:lvlText w:val="o"/>
      <w:lvlJc w:val="left"/>
      <w:pPr>
        <w:ind w:left="4370" w:hanging="360"/>
      </w:pPr>
      <w:rPr>
        <w:rFonts w:ascii="Courier New" w:hAnsi="Courier New" w:cs="Courier New" w:hint="default"/>
      </w:rPr>
    </w:lvl>
    <w:lvl w:ilvl="5" w:tplc="1C090005" w:tentative="1">
      <w:start w:val="1"/>
      <w:numFmt w:val="bullet"/>
      <w:lvlText w:val=""/>
      <w:lvlJc w:val="left"/>
      <w:pPr>
        <w:ind w:left="5090" w:hanging="360"/>
      </w:pPr>
      <w:rPr>
        <w:rFonts w:ascii="Wingdings" w:hAnsi="Wingdings" w:hint="default"/>
      </w:rPr>
    </w:lvl>
    <w:lvl w:ilvl="6" w:tplc="1C090001" w:tentative="1">
      <w:start w:val="1"/>
      <w:numFmt w:val="bullet"/>
      <w:lvlText w:val=""/>
      <w:lvlJc w:val="left"/>
      <w:pPr>
        <w:ind w:left="5810" w:hanging="360"/>
      </w:pPr>
      <w:rPr>
        <w:rFonts w:ascii="Symbol" w:hAnsi="Symbol" w:hint="default"/>
      </w:rPr>
    </w:lvl>
    <w:lvl w:ilvl="7" w:tplc="1C090003" w:tentative="1">
      <w:start w:val="1"/>
      <w:numFmt w:val="bullet"/>
      <w:lvlText w:val="o"/>
      <w:lvlJc w:val="left"/>
      <w:pPr>
        <w:ind w:left="6530" w:hanging="360"/>
      </w:pPr>
      <w:rPr>
        <w:rFonts w:ascii="Courier New" w:hAnsi="Courier New" w:cs="Courier New" w:hint="default"/>
      </w:rPr>
    </w:lvl>
    <w:lvl w:ilvl="8" w:tplc="1C090005" w:tentative="1">
      <w:start w:val="1"/>
      <w:numFmt w:val="bullet"/>
      <w:lvlText w:val=""/>
      <w:lvlJc w:val="left"/>
      <w:pPr>
        <w:ind w:left="7250" w:hanging="360"/>
      </w:pPr>
      <w:rPr>
        <w:rFonts w:ascii="Wingdings" w:hAnsi="Wingdings" w:hint="default"/>
      </w:rPr>
    </w:lvl>
  </w:abstractNum>
  <w:num w:numId="1">
    <w:abstractNumId w:val="10"/>
  </w:num>
  <w:num w:numId="2">
    <w:abstractNumId w:val="3"/>
  </w:num>
  <w:num w:numId="3">
    <w:abstractNumId w:val="11"/>
  </w:num>
  <w:num w:numId="4">
    <w:abstractNumId w:val="8"/>
  </w:num>
  <w:num w:numId="5">
    <w:abstractNumId w:val="12"/>
  </w:num>
  <w:num w:numId="6">
    <w:abstractNumId w:val="5"/>
  </w:num>
  <w:num w:numId="7">
    <w:abstractNumId w:val="7"/>
  </w:num>
  <w:num w:numId="8">
    <w:abstractNumId w:val="4"/>
  </w:num>
  <w:num w:numId="9">
    <w:abstractNumId w:val="9"/>
  </w:num>
  <w:num w:numId="10">
    <w:abstractNumId w:val="2"/>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37566"/>
    <w:rsid w:val="00342733"/>
    <w:rsid w:val="003830AB"/>
    <w:rsid w:val="004A6639"/>
    <w:rsid w:val="004E52AB"/>
    <w:rsid w:val="005F7412"/>
    <w:rsid w:val="00814888"/>
    <w:rsid w:val="00826310"/>
    <w:rsid w:val="009F00AF"/>
    <w:rsid w:val="00AB5B6F"/>
    <w:rsid w:val="00AE6422"/>
    <w:rsid w:val="00AF2EF6"/>
    <w:rsid w:val="00BB351D"/>
    <w:rsid w:val="00C24EB6"/>
    <w:rsid w:val="00C86EEC"/>
    <w:rsid w:val="00D108AE"/>
    <w:rsid w:val="00D7193C"/>
    <w:rsid w:val="00DA3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AF2EF6"/>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24EB6"/>
  </w:style>
  <w:style w:type="character" w:customStyle="1" w:styleId="FootnoteTextChar">
    <w:name w:val="Footnote Text Char"/>
    <w:basedOn w:val="DefaultParagraphFont"/>
    <w:link w:val="FootnoteText"/>
    <w:uiPriority w:val="99"/>
    <w:semiHidden/>
    <w:rsid w:val="00C24E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4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binternet.ohchr.org/_layouts/15/treatybodyexternal/Download.aspx?symbolno=INT/CEDAW/GEC/3731&amp;Lang=en" TargetMode="External"/><Relationship Id="rId18" Type="http://schemas.openxmlformats.org/officeDocument/2006/relationships/hyperlink" Target="https://www.ohchr.org/Documents/Issues/Discrimination/LGBT/BackgroundNoteHumanRightsViolationsagainstIntersexPeopl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ndocs.org/A/HRC/47/28" TargetMode="External"/><Relationship Id="rId17" Type="http://schemas.openxmlformats.org/officeDocument/2006/relationships/hyperlink" Target="https://www.ohchr.org/Documents/Publications/Born_Free_and_Equal_WEB.pdf" TargetMode="External"/><Relationship Id="rId2" Type="http://schemas.openxmlformats.org/officeDocument/2006/relationships/customXml" Target="../customXml/item2.xml"/><Relationship Id="rId16" Type="http://schemas.openxmlformats.org/officeDocument/2006/relationships/hyperlink" Target="https://ap.ohchr.org/documents/dpage_e.aspx?si=A/HRC/38/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health@un.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binternet.ohchr.org/_layouts/15/treatybodyexternal/Download.aspx?symbolno=CRC%2fC%2fGC%2f13&amp;Lang=en" TargetMode="External"/><Relationship Id="rId23" Type="http://schemas.openxmlformats.org/officeDocument/2006/relationships/fontTable" Target="fontTable.xml"/><Relationship Id="rId10" Type="http://schemas.openxmlformats.org/officeDocument/2006/relationships/hyperlink" Target="https://www.ohchr.org/EN/Issues/health/pages/srrighthealthindex.aspx" TargetMode="External"/><Relationship Id="rId19" Type="http://schemas.openxmlformats.org/officeDocument/2006/relationships/hyperlink" Target="https://undocs.org/en/S/2019/28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pa.gov.za/sites/default/files/resources/public_awareness/TCC_brochure_august_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2B5AEFC-1182-4685-B642-278021EC18EA}"/>
</file>

<file path=customXml/itemProps2.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3.xml><?xml version="1.0" encoding="utf-8"?>
<ds:datastoreItem xmlns:ds="http://schemas.openxmlformats.org/officeDocument/2006/customXml" ds:itemID="{379E449B-CB6F-400B-BA6E-CF449830B8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3452</Words>
  <Characters>19679</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2</cp:revision>
  <cp:lastPrinted>2022-01-17T11:06:00Z</cp:lastPrinted>
  <dcterms:created xsi:type="dcterms:W3CDTF">2022-02-01T12:10:00Z</dcterms:created>
  <dcterms:modified xsi:type="dcterms:W3CDTF">2022-02-01T12:10:00Z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