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F214" w14:textId="1FC3C683" w:rsidR="00F83898" w:rsidRPr="00541229" w:rsidRDefault="00B41AA7" w:rsidP="00603803">
      <w:pPr>
        <w:tabs>
          <w:tab w:val="right" w:pos="1843"/>
        </w:tabs>
        <w:bidi w:val="0"/>
        <w:spacing w:after="0" w:line="360" w:lineRule="auto"/>
        <w:jc w:val="right"/>
        <w:rPr>
          <w:rFonts w:asciiTheme="majorBidi" w:eastAsia="Times New Roman" w:hAnsiTheme="majorBidi" w:cstheme="majorBidi"/>
          <w:color w:val="000000"/>
          <w:sz w:val="24"/>
          <w:szCs w:val="24"/>
        </w:rPr>
      </w:pPr>
      <w:bookmarkStart w:id="0" w:name="_GoBack"/>
      <w:bookmarkEnd w:id="0"/>
      <w:r w:rsidRPr="00541229">
        <w:rPr>
          <w:rFonts w:asciiTheme="majorBidi" w:eastAsia="Times New Roman" w:hAnsiTheme="majorBidi" w:cstheme="majorBidi"/>
          <w:color w:val="000000"/>
          <w:sz w:val="24"/>
          <w:szCs w:val="24"/>
        </w:rPr>
        <w:t xml:space="preserve">Date:  </w:t>
      </w:r>
      <w:r w:rsidR="00EB51E3" w:rsidRPr="00541229">
        <w:rPr>
          <w:rFonts w:asciiTheme="majorBidi" w:eastAsia="Times New Roman" w:hAnsiTheme="majorBidi" w:cstheme="majorBidi"/>
          <w:color w:val="000000"/>
          <w:sz w:val="24"/>
          <w:szCs w:val="24"/>
        </w:rPr>
        <w:t xml:space="preserve">January </w:t>
      </w:r>
      <w:r w:rsidR="00E44734">
        <w:rPr>
          <w:rFonts w:asciiTheme="majorBidi" w:eastAsia="Times New Roman" w:hAnsiTheme="majorBidi" w:cstheme="majorBidi"/>
          <w:color w:val="000000"/>
          <w:sz w:val="24"/>
          <w:szCs w:val="24"/>
        </w:rPr>
        <w:t>1</w:t>
      </w:r>
      <w:r w:rsidR="00603803">
        <w:rPr>
          <w:rFonts w:asciiTheme="majorBidi" w:eastAsia="Times New Roman" w:hAnsiTheme="majorBidi" w:cstheme="majorBidi"/>
          <w:color w:val="000000"/>
          <w:sz w:val="24"/>
          <w:szCs w:val="24"/>
        </w:rPr>
        <w:t>8</w:t>
      </w:r>
      <w:r w:rsidR="00EB51E3" w:rsidRPr="00541229">
        <w:rPr>
          <w:rFonts w:asciiTheme="majorBidi" w:eastAsia="Times New Roman" w:hAnsiTheme="majorBidi" w:cstheme="majorBidi"/>
          <w:color w:val="000000"/>
          <w:sz w:val="24"/>
          <w:szCs w:val="24"/>
        </w:rPr>
        <w:t>, 2022</w:t>
      </w:r>
    </w:p>
    <w:p w14:paraId="70C1CA4C" w14:textId="30C1DA18" w:rsidR="00F83898" w:rsidRPr="00541229" w:rsidRDefault="00B41AA7" w:rsidP="00E81861">
      <w:pPr>
        <w:tabs>
          <w:tab w:val="right" w:pos="1843"/>
        </w:tabs>
        <w:bidi w:val="0"/>
        <w:spacing w:after="0" w:line="360" w:lineRule="auto"/>
        <w:jc w:val="right"/>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 xml:space="preserve">Shevat </w:t>
      </w:r>
      <w:r w:rsidR="00E44734">
        <w:rPr>
          <w:rFonts w:asciiTheme="majorBidi" w:eastAsia="Times New Roman" w:hAnsiTheme="majorBidi" w:cstheme="majorBidi"/>
          <w:color w:val="000000"/>
          <w:sz w:val="24"/>
          <w:szCs w:val="24"/>
        </w:rPr>
        <w:t>1</w:t>
      </w:r>
      <w:r w:rsidR="00E81861">
        <w:rPr>
          <w:rFonts w:asciiTheme="majorBidi" w:eastAsia="Times New Roman" w:hAnsiTheme="majorBidi" w:cstheme="majorBidi" w:hint="cs"/>
          <w:color w:val="000000"/>
          <w:sz w:val="24"/>
          <w:szCs w:val="24"/>
          <w:rtl/>
        </w:rPr>
        <w:t>6</w:t>
      </w:r>
      <w:r w:rsidRPr="00541229">
        <w:rPr>
          <w:rFonts w:asciiTheme="majorBidi" w:eastAsia="Times New Roman" w:hAnsiTheme="majorBidi" w:cstheme="majorBidi"/>
          <w:color w:val="000000"/>
          <w:sz w:val="24"/>
          <w:szCs w:val="24"/>
        </w:rPr>
        <w:t>, 5782</w:t>
      </w:r>
    </w:p>
    <w:p w14:paraId="557AA810" w14:textId="77777777" w:rsidR="00F83898" w:rsidRPr="00541229" w:rsidRDefault="00F83898" w:rsidP="00541229">
      <w:pPr>
        <w:bidi w:val="0"/>
        <w:spacing w:line="360" w:lineRule="auto"/>
        <w:jc w:val="both"/>
        <w:rPr>
          <w:rFonts w:asciiTheme="majorBidi" w:eastAsia="Times New Roman" w:hAnsiTheme="majorBidi" w:cstheme="majorBidi"/>
          <w:color w:val="000000"/>
          <w:sz w:val="24"/>
          <w:szCs w:val="24"/>
          <w:rtl/>
        </w:rPr>
      </w:pPr>
    </w:p>
    <w:p w14:paraId="5D8E61BA" w14:textId="77777777" w:rsidR="00271F4D" w:rsidRPr="00541229" w:rsidRDefault="00B41AA7" w:rsidP="00541229">
      <w:pPr>
        <w:bidi w:val="0"/>
        <w:spacing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 xml:space="preserve">To: Ms. </w:t>
      </w:r>
      <w:r w:rsidR="008A3E69" w:rsidRPr="00541229">
        <w:rPr>
          <w:rFonts w:asciiTheme="majorBidi" w:eastAsia="Times New Roman" w:hAnsiTheme="majorBidi" w:cstheme="majorBidi"/>
          <w:color w:val="000000"/>
          <w:sz w:val="24"/>
          <w:szCs w:val="24"/>
        </w:rPr>
        <w:t>Tlaleng Mofokeng</w:t>
      </w:r>
      <w:r w:rsidRPr="00541229">
        <w:rPr>
          <w:rFonts w:asciiTheme="majorBidi" w:eastAsia="Times New Roman" w:hAnsiTheme="majorBidi" w:cstheme="majorBidi"/>
          <w:color w:val="000000"/>
          <w:sz w:val="24"/>
          <w:szCs w:val="24"/>
        </w:rPr>
        <w:t xml:space="preserve">, Special Rapporteur on </w:t>
      </w:r>
      <w:r w:rsidR="008A3E69" w:rsidRPr="00541229">
        <w:rPr>
          <w:rFonts w:asciiTheme="majorBidi" w:eastAsia="Times New Roman" w:hAnsiTheme="majorBidi" w:cstheme="majorBidi"/>
          <w:color w:val="000000"/>
          <w:sz w:val="24"/>
          <w:szCs w:val="24"/>
        </w:rPr>
        <w:t>the right of everyone to the enjoyment of the highest attainable standard of physical and mental health</w:t>
      </w:r>
      <w:r w:rsidRPr="00541229">
        <w:rPr>
          <w:rFonts w:asciiTheme="majorBidi" w:eastAsia="Times New Roman" w:hAnsiTheme="majorBidi" w:cstheme="majorBidi"/>
          <w:color w:val="000000"/>
          <w:sz w:val="24"/>
          <w:szCs w:val="24"/>
        </w:rPr>
        <w:t xml:space="preserve"> </w:t>
      </w:r>
    </w:p>
    <w:p w14:paraId="3A47F656" w14:textId="77777777" w:rsidR="00F83898" w:rsidRPr="00541229" w:rsidRDefault="00B41AA7" w:rsidP="00541229">
      <w:pPr>
        <w:bidi w:val="0"/>
        <w:spacing w:line="360" w:lineRule="auto"/>
        <w:jc w:val="center"/>
        <w:rPr>
          <w:rFonts w:asciiTheme="majorBidi" w:eastAsia="Times New Roman" w:hAnsiTheme="majorBidi" w:cstheme="majorBidi"/>
          <w:b/>
          <w:bCs/>
          <w:color w:val="000000"/>
          <w:sz w:val="24"/>
          <w:szCs w:val="24"/>
          <w:u w:val="single"/>
        </w:rPr>
      </w:pPr>
      <w:r w:rsidRPr="00541229">
        <w:rPr>
          <w:rFonts w:asciiTheme="majorBidi" w:eastAsia="Times New Roman" w:hAnsiTheme="majorBidi" w:cstheme="majorBidi"/>
          <w:color w:val="000000"/>
          <w:sz w:val="24"/>
          <w:szCs w:val="24"/>
        </w:rPr>
        <w:t xml:space="preserve">Subject: </w:t>
      </w:r>
      <w:r w:rsidRPr="00541229">
        <w:rPr>
          <w:rFonts w:asciiTheme="majorBidi" w:eastAsia="Times New Roman" w:hAnsiTheme="majorBidi" w:cstheme="majorBidi"/>
          <w:b/>
          <w:bCs/>
          <w:color w:val="000000"/>
          <w:sz w:val="24"/>
          <w:szCs w:val="24"/>
          <w:u w:val="single"/>
        </w:rPr>
        <w:t xml:space="preserve">The State of Israel's Submission to </w:t>
      </w:r>
      <w:r w:rsidR="008A3E69" w:rsidRPr="00541229">
        <w:rPr>
          <w:rFonts w:asciiTheme="majorBidi" w:eastAsia="Times New Roman" w:hAnsiTheme="majorBidi" w:cstheme="majorBidi"/>
          <w:b/>
          <w:bCs/>
          <w:color w:val="000000"/>
          <w:sz w:val="24"/>
          <w:szCs w:val="24"/>
          <w:u w:val="single"/>
        </w:rPr>
        <w:t>Special Rapporteur on the right of everyone to the enjoyment of the highest attainable standard of physical and mental health</w:t>
      </w:r>
      <w:r w:rsidRPr="00541229">
        <w:rPr>
          <w:rFonts w:asciiTheme="majorBidi" w:eastAsia="Times New Roman" w:hAnsiTheme="majorBidi" w:cstheme="majorBidi"/>
          <w:b/>
          <w:bCs/>
          <w:color w:val="000000"/>
          <w:sz w:val="24"/>
          <w:szCs w:val="24"/>
          <w:u w:val="single"/>
        </w:rPr>
        <w:t xml:space="preserve">'s Report on </w:t>
      </w:r>
      <w:r w:rsidR="008A3E69" w:rsidRPr="00541229">
        <w:rPr>
          <w:rFonts w:asciiTheme="majorBidi" w:eastAsia="Times New Roman" w:hAnsiTheme="majorBidi" w:cstheme="majorBidi"/>
          <w:b/>
          <w:bCs/>
          <w:color w:val="000000"/>
          <w:sz w:val="24"/>
          <w:szCs w:val="24"/>
          <w:u w:val="single"/>
        </w:rPr>
        <w:t>Violence and its impact on the right to health</w:t>
      </w:r>
    </w:p>
    <w:p w14:paraId="652FEE11" w14:textId="77777777" w:rsidR="00526A58" w:rsidRDefault="00B41AA7" w:rsidP="00526A58">
      <w:pPr>
        <w:pStyle w:val="Default"/>
        <w:adjustRightInd w:val="0"/>
        <w:spacing w:line="360" w:lineRule="auto"/>
        <w:rPr>
          <w:rFonts w:asciiTheme="majorBidi" w:eastAsia="Times New Roman" w:hAnsiTheme="majorBidi" w:cstheme="majorBidi"/>
        </w:rPr>
      </w:pPr>
      <w:r w:rsidRPr="00F5570F">
        <w:t>The State of Israel respectfully submits its contribution in relation to the above-mentioned questionnaire.</w:t>
      </w:r>
      <w:r w:rsidRPr="003B12D3">
        <w:rPr>
          <w:rFonts w:asciiTheme="majorBidi" w:eastAsia="Times New Roman" w:hAnsiTheme="majorBidi" w:cstheme="majorBidi"/>
        </w:rPr>
        <w:t xml:space="preserve"> </w:t>
      </w:r>
    </w:p>
    <w:p w14:paraId="3051206D" w14:textId="77777777" w:rsidR="008A3E69" w:rsidRPr="00541229" w:rsidRDefault="00B41AA7" w:rsidP="00541229">
      <w:pPr>
        <w:bidi w:val="0"/>
        <w:spacing w:line="360" w:lineRule="auto"/>
        <w:jc w:val="both"/>
        <w:rPr>
          <w:rFonts w:asciiTheme="majorBidi" w:eastAsia="Times New Roman" w:hAnsiTheme="majorBidi" w:cstheme="majorBidi"/>
          <w:b/>
          <w:bCs/>
          <w:color w:val="000000"/>
          <w:sz w:val="24"/>
          <w:szCs w:val="24"/>
          <w:u w:val="single"/>
        </w:rPr>
      </w:pPr>
      <w:r w:rsidRPr="00541229">
        <w:rPr>
          <w:rFonts w:asciiTheme="majorBidi" w:eastAsia="Times New Roman" w:hAnsiTheme="majorBidi" w:cstheme="majorBidi"/>
          <w:b/>
          <w:bCs/>
          <w:color w:val="000000"/>
          <w:sz w:val="24"/>
          <w:szCs w:val="24"/>
          <w:u w:val="single"/>
        </w:rPr>
        <w:t xml:space="preserve">Data on </w:t>
      </w:r>
      <w:r w:rsidR="00832CCD" w:rsidRPr="00541229">
        <w:rPr>
          <w:rFonts w:asciiTheme="majorBidi" w:eastAsia="Times New Roman" w:hAnsiTheme="majorBidi" w:cstheme="majorBidi"/>
          <w:b/>
          <w:bCs/>
          <w:color w:val="000000"/>
          <w:sz w:val="24"/>
          <w:szCs w:val="24"/>
          <w:u w:val="single"/>
        </w:rPr>
        <w:t xml:space="preserve">Violence </w:t>
      </w:r>
    </w:p>
    <w:p w14:paraId="3355C373" w14:textId="2FA10ADB" w:rsidR="00464622" w:rsidRPr="00541229" w:rsidRDefault="00B41AA7" w:rsidP="006B67EC">
      <w:pPr>
        <w:bidi w:val="0"/>
        <w:spacing w:before="240" w:line="360" w:lineRule="auto"/>
        <w:jc w:val="both"/>
        <w:rPr>
          <w:rFonts w:asciiTheme="majorBidi" w:hAnsiTheme="majorBidi" w:cstheme="majorBidi"/>
          <w:sz w:val="24"/>
          <w:szCs w:val="24"/>
        </w:rPr>
      </w:pPr>
      <w:r w:rsidRPr="00541229">
        <w:rPr>
          <w:rFonts w:asciiTheme="majorBidi" w:hAnsiTheme="majorBidi" w:cstheme="majorBidi"/>
          <w:sz w:val="24"/>
          <w:szCs w:val="24"/>
        </w:rPr>
        <w:t>The State of Israel promotes legislative and policy measures to combat all forms of violence in its jurisdiction, as well as to</w:t>
      </w:r>
      <w:r w:rsidR="00526A58">
        <w:rPr>
          <w:rFonts w:asciiTheme="majorBidi" w:hAnsiTheme="majorBidi" w:cstheme="majorBidi"/>
          <w:sz w:val="24"/>
          <w:szCs w:val="24"/>
        </w:rPr>
        <w:t xml:space="preserve"> collect</w:t>
      </w:r>
      <w:r w:rsidRPr="00541229">
        <w:rPr>
          <w:rFonts w:asciiTheme="majorBidi" w:hAnsiTheme="majorBidi" w:cstheme="majorBidi"/>
          <w:sz w:val="24"/>
          <w:szCs w:val="24"/>
        </w:rPr>
        <w:t xml:space="preserve"> </w:t>
      </w:r>
      <w:r w:rsidR="00C8466D">
        <w:rPr>
          <w:rFonts w:asciiTheme="majorBidi" w:hAnsiTheme="majorBidi" w:cstheme="majorBidi"/>
          <w:sz w:val="24"/>
          <w:szCs w:val="24"/>
        </w:rPr>
        <w:t>dis</w:t>
      </w:r>
      <w:r w:rsidRPr="00541229">
        <w:rPr>
          <w:rFonts w:asciiTheme="majorBidi" w:hAnsiTheme="majorBidi" w:cstheme="majorBidi"/>
          <w:sz w:val="24"/>
          <w:szCs w:val="24"/>
        </w:rPr>
        <w:t>aggregate</w:t>
      </w:r>
      <w:r w:rsidR="00E41FF9">
        <w:rPr>
          <w:rFonts w:asciiTheme="majorBidi" w:hAnsiTheme="majorBidi" w:cstheme="majorBidi"/>
          <w:sz w:val="24"/>
          <w:szCs w:val="24"/>
        </w:rPr>
        <w:t>d</w:t>
      </w:r>
      <w:r w:rsidRPr="00541229">
        <w:rPr>
          <w:rFonts w:asciiTheme="majorBidi" w:hAnsiTheme="majorBidi" w:cstheme="majorBidi"/>
          <w:sz w:val="24"/>
          <w:szCs w:val="24"/>
        </w:rPr>
        <w:t xml:space="preserve"> data on </w:t>
      </w:r>
      <w:r w:rsidR="00EB51E3" w:rsidRPr="00541229">
        <w:rPr>
          <w:rFonts w:asciiTheme="majorBidi" w:hAnsiTheme="majorBidi" w:cstheme="majorBidi"/>
          <w:sz w:val="24"/>
          <w:szCs w:val="24"/>
        </w:rPr>
        <w:t xml:space="preserve">various </w:t>
      </w:r>
      <w:r w:rsidRPr="00541229">
        <w:rPr>
          <w:rFonts w:asciiTheme="majorBidi" w:hAnsiTheme="majorBidi" w:cstheme="majorBidi"/>
          <w:sz w:val="24"/>
          <w:szCs w:val="24"/>
        </w:rPr>
        <w:t xml:space="preserve">forms of violence in order to analyze the phenomena and tailor its preventative measures accordingly. Below is a sample of </w:t>
      </w:r>
      <w:r w:rsidR="00EB51E3" w:rsidRPr="00541229">
        <w:rPr>
          <w:rFonts w:asciiTheme="majorBidi" w:hAnsiTheme="majorBidi" w:cstheme="majorBidi"/>
          <w:sz w:val="24"/>
          <w:szCs w:val="24"/>
        </w:rPr>
        <w:t xml:space="preserve">certain </w:t>
      </w:r>
      <w:r w:rsidRPr="00541229">
        <w:rPr>
          <w:rFonts w:asciiTheme="majorBidi" w:hAnsiTheme="majorBidi" w:cstheme="majorBidi"/>
          <w:sz w:val="24"/>
          <w:szCs w:val="24"/>
        </w:rPr>
        <w:t xml:space="preserve">data collected regarding </w:t>
      </w:r>
      <w:r w:rsidR="00EB51E3" w:rsidRPr="00541229">
        <w:rPr>
          <w:rFonts w:asciiTheme="majorBidi" w:hAnsiTheme="majorBidi" w:cstheme="majorBidi"/>
          <w:sz w:val="24"/>
          <w:szCs w:val="24"/>
        </w:rPr>
        <w:t>incidents</w:t>
      </w:r>
      <w:r w:rsidRPr="00541229">
        <w:rPr>
          <w:rFonts w:asciiTheme="majorBidi" w:hAnsiTheme="majorBidi" w:cstheme="majorBidi"/>
          <w:sz w:val="24"/>
          <w:szCs w:val="24"/>
        </w:rPr>
        <w:t xml:space="preserve"> of violence</w:t>
      </w:r>
      <w:r w:rsidR="00EB51E3" w:rsidRPr="00541229">
        <w:rPr>
          <w:rFonts w:asciiTheme="majorBidi" w:hAnsiTheme="majorBidi" w:cstheme="majorBidi"/>
          <w:sz w:val="24"/>
          <w:szCs w:val="24"/>
        </w:rPr>
        <w:t xml:space="preserve"> recorded in Israel</w:t>
      </w:r>
      <w:r w:rsidRPr="00541229">
        <w:rPr>
          <w:rFonts w:asciiTheme="majorBidi" w:hAnsiTheme="majorBidi" w:cstheme="majorBidi"/>
          <w:sz w:val="24"/>
          <w:szCs w:val="24"/>
        </w:rPr>
        <w:t>.</w:t>
      </w:r>
    </w:p>
    <w:p w14:paraId="7C37E20C" w14:textId="77777777" w:rsidR="00832CCD" w:rsidRPr="00541229" w:rsidRDefault="00B41AA7" w:rsidP="00541229">
      <w:pPr>
        <w:bidi w:val="0"/>
        <w:spacing w:before="240" w:line="360" w:lineRule="auto"/>
        <w:jc w:val="both"/>
        <w:rPr>
          <w:rFonts w:asciiTheme="majorBidi" w:hAnsiTheme="majorBidi" w:cstheme="majorBidi"/>
          <w:sz w:val="24"/>
          <w:szCs w:val="24"/>
          <w:u w:val="single"/>
        </w:rPr>
      </w:pPr>
      <w:r w:rsidRPr="00541229">
        <w:rPr>
          <w:rFonts w:asciiTheme="majorBidi" w:hAnsiTheme="majorBidi" w:cstheme="majorBidi"/>
          <w:sz w:val="24"/>
          <w:szCs w:val="24"/>
          <w:u w:val="single"/>
        </w:rPr>
        <w:t>Gender-Based Violence</w:t>
      </w:r>
    </w:p>
    <w:p w14:paraId="06E7ED4F" w14:textId="77777777" w:rsidR="008A3E69" w:rsidRPr="00541229" w:rsidRDefault="00B41AA7" w:rsidP="00450BFA">
      <w:pPr>
        <w:bidi w:val="0"/>
        <w:spacing w:before="240" w:line="360" w:lineRule="auto"/>
        <w:jc w:val="both"/>
        <w:rPr>
          <w:rFonts w:asciiTheme="majorBidi" w:hAnsiTheme="majorBidi" w:cstheme="majorBidi"/>
          <w:sz w:val="24"/>
          <w:szCs w:val="24"/>
        </w:rPr>
      </w:pPr>
      <w:r w:rsidRPr="00541229">
        <w:rPr>
          <w:rFonts w:asciiTheme="majorBidi" w:hAnsiTheme="majorBidi" w:cstheme="majorBidi"/>
          <w:sz w:val="24"/>
          <w:szCs w:val="24"/>
        </w:rPr>
        <w:t xml:space="preserve">According to the Knesset Research and Information Center, </w:t>
      </w:r>
      <w:r>
        <w:rPr>
          <w:rFonts w:asciiTheme="majorBidi" w:hAnsiTheme="majorBidi" w:cstheme="majorBidi"/>
          <w:sz w:val="24"/>
          <w:szCs w:val="24"/>
        </w:rPr>
        <w:t>in 2020, as compared to the preceding year</w:t>
      </w:r>
      <w:r w:rsidRPr="00541229">
        <w:rPr>
          <w:rFonts w:asciiTheme="majorBidi" w:hAnsiTheme="majorBidi" w:cstheme="majorBidi"/>
          <w:sz w:val="24"/>
          <w:szCs w:val="24"/>
        </w:rPr>
        <w:t xml:space="preserve">, there was an increase of 265% in calls to the Ministry of Welfare and Social Affairs hotline regarding intimate partner violence. In 2020, </w:t>
      </w:r>
      <w:r w:rsidR="00C5483E">
        <w:rPr>
          <w:rFonts w:asciiTheme="majorBidi" w:hAnsiTheme="majorBidi" w:cstheme="majorBidi"/>
          <w:sz w:val="24"/>
          <w:szCs w:val="24"/>
        </w:rPr>
        <w:t xml:space="preserve">the hotline received </w:t>
      </w:r>
      <w:r w:rsidRPr="00541229">
        <w:rPr>
          <w:rFonts w:asciiTheme="majorBidi" w:hAnsiTheme="majorBidi" w:cstheme="majorBidi"/>
          <w:sz w:val="24"/>
          <w:szCs w:val="24"/>
        </w:rPr>
        <w:t xml:space="preserve">5,229 complaints, of which 4,337 were from women and 892 were from men. As of 2021, there are 169 centers for domestic violence care. </w:t>
      </w:r>
      <w:r>
        <w:rPr>
          <w:rFonts w:asciiTheme="majorBidi" w:hAnsiTheme="majorBidi" w:cstheme="majorBidi"/>
          <w:sz w:val="24"/>
          <w:szCs w:val="24"/>
        </w:rPr>
        <w:t>In 2020, as compared to the preceding year</w:t>
      </w:r>
      <w:r w:rsidRPr="00541229">
        <w:rPr>
          <w:rFonts w:asciiTheme="majorBidi" w:hAnsiTheme="majorBidi" w:cstheme="majorBidi"/>
          <w:sz w:val="24"/>
          <w:szCs w:val="24"/>
        </w:rPr>
        <w:t>, there was an increase of 12% in requests made to these centers. Additionally,</w:t>
      </w:r>
      <w:r>
        <w:rPr>
          <w:rFonts w:asciiTheme="majorBidi" w:hAnsiTheme="majorBidi" w:cstheme="majorBidi"/>
          <w:sz w:val="24"/>
          <w:szCs w:val="24"/>
        </w:rPr>
        <w:t xml:space="preserve"> in 2020,</w:t>
      </w:r>
      <w:r w:rsidRPr="00541229">
        <w:rPr>
          <w:rFonts w:asciiTheme="majorBidi" w:hAnsiTheme="majorBidi" w:cstheme="majorBidi"/>
          <w:sz w:val="24"/>
          <w:szCs w:val="24"/>
        </w:rPr>
        <w:t xml:space="preserve"> there was an increase of 19% in requests to enter shelters for victims of domestic violence. </w:t>
      </w:r>
    </w:p>
    <w:p w14:paraId="0A87A86C" w14:textId="6138F644" w:rsidR="008A3E69" w:rsidRDefault="00B41AA7" w:rsidP="00214D90">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lastRenderedPageBreak/>
        <w:t>F</w:t>
      </w:r>
      <w:r w:rsidRPr="00541229">
        <w:rPr>
          <w:rFonts w:asciiTheme="majorBidi" w:hAnsiTheme="majorBidi" w:cstheme="majorBidi"/>
          <w:sz w:val="24"/>
          <w:szCs w:val="24"/>
        </w:rPr>
        <w:t xml:space="preserve">rom the year 2018 until November 2020, seventy-two (72) women were killed; twenty-six (26) </w:t>
      </w:r>
      <w:r w:rsidR="00214D90">
        <w:rPr>
          <w:rFonts w:asciiTheme="majorBidi" w:hAnsiTheme="majorBidi" w:cstheme="majorBidi"/>
          <w:sz w:val="24"/>
          <w:szCs w:val="24"/>
        </w:rPr>
        <w:t xml:space="preserve">out </w:t>
      </w:r>
      <w:r w:rsidRPr="00541229">
        <w:rPr>
          <w:rFonts w:asciiTheme="majorBidi" w:hAnsiTheme="majorBidi" w:cstheme="majorBidi"/>
          <w:sz w:val="24"/>
          <w:szCs w:val="24"/>
        </w:rPr>
        <w:t xml:space="preserve">of </w:t>
      </w:r>
      <w:r w:rsidR="00214D90">
        <w:rPr>
          <w:rFonts w:asciiTheme="majorBidi" w:hAnsiTheme="majorBidi" w:cstheme="majorBidi"/>
          <w:sz w:val="24"/>
          <w:szCs w:val="24"/>
        </w:rPr>
        <w:t>them</w:t>
      </w:r>
      <w:r w:rsidR="00214D90"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were killed by their intimate partner. In 2021 (until November) twenty-three (23) women were killed, five (5) of whom by their intimate partner. </w:t>
      </w:r>
    </w:p>
    <w:p w14:paraId="1154FDF8" w14:textId="77777777" w:rsidR="00464622" w:rsidRPr="00541229" w:rsidRDefault="00B41AA7" w:rsidP="007D3F61">
      <w:pPr>
        <w:bidi w:val="0"/>
        <w:spacing w:before="240" w:line="360" w:lineRule="auto"/>
        <w:jc w:val="both"/>
        <w:rPr>
          <w:rFonts w:asciiTheme="majorBidi" w:hAnsiTheme="majorBidi" w:cstheme="majorBidi"/>
          <w:sz w:val="24"/>
          <w:szCs w:val="24"/>
          <w:u w:val="single"/>
        </w:rPr>
      </w:pPr>
      <w:r w:rsidRPr="00541229">
        <w:rPr>
          <w:rFonts w:asciiTheme="majorBidi" w:hAnsiTheme="majorBidi" w:cstheme="majorBidi"/>
          <w:sz w:val="24"/>
          <w:szCs w:val="24"/>
          <w:u w:val="single"/>
        </w:rPr>
        <w:t xml:space="preserve">Violence against Children </w:t>
      </w:r>
    </w:p>
    <w:p w14:paraId="049FD88E" w14:textId="4123079D" w:rsidR="00B177E3" w:rsidRDefault="00B41AA7" w:rsidP="008C6973">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I</w:t>
      </w:r>
      <w:r w:rsidRPr="00541229">
        <w:rPr>
          <w:rFonts w:asciiTheme="majorBidi" w:hAnsiTheme="majorBidi" w:cstheme="majorBidi"/>
          <w:sz w:val="24"/>
          <w:szCs w:val="24"/>
        </w:rPr>
        <w:t xml:space="preserve">n 2021 (until September), the Child Online Protection Bureau </w:t>
      </w:r>
      <w:r w:rsidRPr="0035424D">
        <w:rPr>
          <w:rFonts w:asciiTheme="majorBidi" w:hAnsiTheme="majorBidi" w:cstheme="majorBidi"/>
          <w:sz w:val="24"/>
          <w:szCs w:val="24"/>
        </w:rPr>
        <w:t>(105)</w:t>
      </w:r>
      <w:r w:rsidRPr="00541229">
        <w:rPr>
          <w:rFonts w:asciiTheme="majorBidi" w:hAnsiTheme="majorBidi" w:cstheme="majorBidi"/>
          <w:sz w:val="24"/>
          <w:szCs w:val="24"/>
        </w:rPr>
        <w:t xml:space="preserve"> handled 8,929 cases. In 2020, the Bureau handled 11,855 cases. In 2020, 3% of the victims of online violence were between the ages 7-8, 20% were between the ages 9-11, 45% were between the ages 12-14, 30% were between the ages 15-17, and 2% were age 18. </w:t>
      </w:r>
    </w:p>
    <w:p w14:paraId="2E31F4E0" w14:textId="5899BC4B" w:rsidR="008C6973" w:rsidRDefault="00B41AA7">
      <w:pPr>
        <w:bidi w:val="0"/>
        <w:spacing w:before="240" w:line="360" w:lineRule="auto"/>
        <w:jc w:val="both"/>
        <w:rPr>
          <w:rFonts w:asciiTheme="majorBidi" w:hAnsiTheme="majorBidi" w:cstheme="majorBidi"/>
          <w:sz w:val="24"/>
          <w:szCs w:val="24"/>
        </w:rPr>
      </w:pPr>
      <w:r w:rsidRPr="008C6973">
        <w:rPr>
          <w:rFonts w:asciiTheme="majorBidi" w:hAnsiTheme="majorBidi" w:cstheme="majorBidi"/>
          <w:sz w:val="24"/>
          <w:szCs w:val="24"/>
        </w:rPr>
        <w:t>Additionally, in 2020, 6,329 cases in which an adult alleged</w:t>
      </w:r>
      <w:r w:rsidR="00C8466D">
        <w:rPr>
          <w:rFonts w:asciiTheme="majorBidi" w:hAnsiTheme="majorBidi" w:cstheme="majorBidi"/>
          <w:sz w:val="24"/>
          <w:szCs w:val="24"/>
        </w:rPr>
        <w:t>ly</w:t>
      </w:r>
      <w:r w:rsidRPr="008C6973">
        <w:rPr>
          <w:rFonts w:asciiTheme="majorBidi" w:hAnsiTheme="majorBidi" w:cstheme="majorBidi"/>
          <w:sz w:val="24"/>
          <w:szCs w:val="24"/>
        </w:rPr>
        <w:t xml:space="preserve"> committed violence against a </w:t>
      </w:r>
      <w:r w:rsidR="007F0527">
        <w:rPr>
          <w:rFonts w:asciiTheme="majorBidi" w:hAnsiTheme="majorBidi" w:cstheme="majorBidi"/>
          <w:sz w:val="24"/>
          <w:szCs w:val="24"/>
        </w:rPr>
        <w:t>child</w:t>
      </w:r>
      <w:r w:rsidR="007F0527" w:rsidRPr="008C6973">
        <w:rPr>
          <w:rFonts w:asciiTheme="majorBidi" w:hAnsiTheme="majorBidi" w:cstheme="majorBidi"/>
          <w:sz w:val="24"/>
          <w:szCs w:val="24"/>
        </w:rPr>
        <w:t xml:space="preserve"> </w:t>
      </w:r>
      <w:r w:rsidRPr="008C6973">
        <w:rPr>
          <w:rFonts w:asciiTheme="majorBidi" w:hAnsiTheme="majorBidi" w:cstheme="majorBidi"/>
          <w:sz w:val="24"/>
          <w:szCs w:val="24"/>
        </w:rPr>
        <w:t>were opened, covering 7,675 crimes, and referring to 7,656 victims. Of these victims, 1,399 were under the age of six (6)</w:t>
      </w:r>
      <w:r>
        <w:rPr>
          <w:rFonts w:asciiTheme="majorBidi" w:hAnsiTheme="majorBidi" w:cstheme="majorBidi"/>
          <w:sz w:val="24"/>
          <w:szCs w:val="24"/>
        </w:rPr>
        <w:t>.</w:t>
      </w:r>
      <w:r>
        <w:rPr>
          <w:rStyle w:val="FootnoteReference"/>
          <w:rFonts w:asciiTheme="majorBidi" w:hAnsiTheme="majorBidi" w:cstheme="majorBidi"/>
          <w:sz w:val="24"/>
          <w:szCs w:val="24"/>
        </w:rPr>
        <w:footnoteReference w:id="1"/>
      </w:r>
    </w:p>
    <w:p w14:paraId="4FD28544" w14:textId="7DD1A3B4" w:rsidR="00450BFA" w:rsidRPr="00541229" w:rsidRDefault="00B41AA7">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Between the years 2019-2020 a 7% decline in the number of cases opened by the Police regarding </w:t>
      </w:r>
      <w:r w:rsidR="002748F8">
        <w:rPr>
          <w:rFonts w:asciiTheme="majorBidi" w:hAnsiTheme="majorBidi" w:cstheme="majorBidi"/>
          <w:sz w:val="24"/>
          <w:szCs w:val="24"/>
        </w:rPr>
        <w:t xml:space="preserve">violent </w:t>
      </w:r>
      <w:r>
        <w:rPr>
          <w:rFonts w:asciiTheme="majorBidi" w:hAnsiTheme="majorBidi" w:cstheme="majorBidi"/>
          <w:sz w:val="24"/>
          <w:szCs w:val="24"/>
        </w:rPr>
        <w:t xml:space="preserve">crimes against </w:t>
      </w:r>
      <w:r w:rsidR="007F0527">
        <w:rPr>
          <w:rFonts w:asciiTheme="majorBidi" w:hAnsiTheme="majorBidi" w:cstheme="majorBidi"/>
          <w:sz w:val="24"/>
          <w:szCs w:val="24"/>
        </w:rPr>
        <w:t xml:space="preserve">children </w:t>
      </w:r>
      <w:r>
        <w:rPr>
          <w:rFonts w:asciiTheme="majorBidi" w:hAnsiTheme="majorBidi" w:cstheme="majorBidi"/>
          <w:sz w:val="24"/>
          <w:szCs w:val="24"/>
        </w:rPr>
        <w:t xml:space="preserve">was noted. It is unclear whether or not this decrease indicates a decrease in violence against </w:t>
      </w:r>
      <w:r w:rsidR="007F0527">
        <w:rPr>
          <w:rFonts w:asciiTheme="majorBidi" w:hAnsiTheme="majorBidi" w:cstheme="majorBidi"/>
          <w:sz w:val="24"/>
          <w:szCs w:val="24"/>
        </w:rPr>
        <w:t>children</w:t>
      </w:r>
      <w:r>
        <w:rPr>
          <w:rFonts w:asciiTheme="majorBidi" w:hAnsiTheme="majorBidi" w:cstheme="majorBidi"/>
          <w:sz w:val="24"/>
          <w:szCs w:val="24"/>
        </w:rPr>
        <w:t xml:space="preserve">; a limited ability – specifically due to the Covid-19 pandemic, for the relevant officials to identify violent incidents; a decrease in reporting on behalf of victims of violence; or a change in the manner in which the Police documents data. The Police is currently examining this trend in order to identify the </w:t>
      </w:r>
      <w:r w:rsidR="00B308E4">
        <w:rPr>
          <w:rFonts w:asciiTheme="majorBidi" w:hAnsiTheme="majorBidi" w:cstheme="majorBidi"/>
          <w:sz w:val="24"/>
          <w:szCs w:val="24"/>
        </w:rPr>
        <w:t>root cause</w:t>
      </w:r>
      <w:r w:rsidR="007F0527">
        <w:rPr>
          <w:rFonts w:asciiTheme="majorBidi" w:hAnsiTheme="majorBidi" w:cstheme="majorBidi"/>
          <w:sz w:val="24"/>
          <w:szCs w:val="24"/>
        </w:rPr>
        <w:t>s</w:t>
      </w:r>
      <w:r>
        <w:rPr>
          <w:rFonts w:asciiTheme="majorBidi" w:hAnsiTheme="majorBidi" w:cstheme="majorBidi"/>
          <w:sz w:val="24"/>
          <w:szCs w:val="24"/>
        </w:rPr>
        <w:t>.</w:t>
      </w:r>
    </w:p>
    <w:p w14:paraId="5A4F5D1E" w14:textId="77777777" w:rsidR="008A3E69" w:rsidRPr="00541229" w:rsidRDefault="00B41AA7" w:rsidP="00541229">
      <w:pPr>
        <w:bidi w:val="0"/>
        <w:spacing w:line="360" w:lineRule="auto"/>
        <w:jc w:val="both"/>
        <w:rPr>
          <w:rFonts w:asciiTheme="majorBidi" w:eastAsia="Times New Roman" w:hAnsiTheme="majorBidi" w:cstheme="majorBidi"/>
          <w:b/>
          <w:bCs/>
          <w:color w:val="000000"/>
          <w:sz w:val="24"/>
          <w:szCs w:val="24"/>
          <w:u w:val="single"/>
        </w:rPr>
      </w:pPr>
      <w:r w:rsidRPr="00541229">
        <w:rPr>
          <w:rFonts w:asciiTheme="majorBidi" w:eastAsia="Times New Roman" w:hAnsiTheme="majorBidi" w:cstheme="majorBidi"/>
          <w:b/>
          <w:bCs/>
          <w:color w:val="000000"/>
          <w:sz w:val="24"/>
          <w:szCs w:val="24"/>
          <w:u w:val="single"/>
        </w:rPr>
        <w:t xml:space="preserve">Legal prohibitions on forms of </w:t>
      </w:r>
      <w:r w:rsidR="008E39C7" w:rsidRPr="00541229">
        <w:rPr>
          <w:rFonts w:asciiTheme="majorBidi" w:eastAsia="Times New Roman" w:hAnsiTheme="majorBidi" w:cstheme="majorBidi"/>
          <w:b/>
          <w:bCs/>
          <w:color w:val="000000"/>
          <w:sz w:val="24"/>
          <w:szCs w:val="24"/>
          <w:u w:val="single"/>
        </w:rPr>
        <w:t>violence</w:t>
      </w:r>
      <w:r w:rsidRPr="00541229">
        <w:rPr>
          <w:rFonts w:asciiTheme="majorBidi" w:eastAsia="Times New Roman" w:hAnsiTheme="majorBidi" w:cstheme="majorBidi"/>
          <w:b/>
          <w:bCs/>
          <w:color w:val="000000"/>
          <w:sz w:val="24"/>
          <w:szCs w:val="24"/>
          <w:u w:val="single"/>
        </w:rPr>
        <w:t xml:space="preserve"> </w:t>
      </w:r>
    </w:p>
    <w:p w14:paraId="31B42975" w14:textId="4FDCD0EE" w:rsidR="008E39C7" w:rsidRPr="00541229" w:rsidRDefault="00B41AA7" w:rsidP="00214D90">
      <w:pPr>
        <w:bidi w:val="0"/>
        <w:spacing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 xml:space="preserve">The State of Israel has extensive legislation against violence, including through the </w:t>
      </w:r>
      <w:r w:rsidRPr="00541229">
        <w:rPr>
          <w:rFonts w:asciiTheme="majorBidi" w:eastAsia="Times New Roman" w:hAnsiTheme="majorBidi" w:cstheme="majorBidi"/>
          <w:i/>
          <w:iCs/>
          <w:color w:val="000000"/>
          <w:sz w:val="24"/>
          <w:szCs w:val="24"/>
        </w:rPr>
        <w:t>Penal Law</w:t>
      </w:r>
      <w:r w:rsidRPr="00541229">
        <w:rPr>
          <w:rFonts w:asciiTheme="majorBidi" w:eastAsia="Times New Roman" w:hAnsiTheme="majorBidi" w:cstheme="majorBidi"/>
          <w:color w:val="000000"/>
          <w:sz w:val="24"/>
          <w:szCs w:val="24"/>
        </w:rPr>
        <w:t xml:space="preserve"> 5737-1977. Victims of crimes are offered legal aid in a variety of circumstances, and their rights are pr</w:t>
      </w:r>
      <w:r w:rsidR="00C46EF5" w:rsidRPr="00541229">
        <w:rPr>
          <w:rFonts w:asciiTheme="majorBidi" w:eastAsia="Times New Roman" w:hAnsiTheme="majorBidi" w:cstheme="majorBidi"/>
          <w:color w:val="000000"/>
          <w:sz w:val="24"/>
          <w:szCs w:val="24"/>
        </w:rPr>
        <w:t xml:space="preserve">otected throughout any criminal proceedings through the </w:t>
      </w:r>
      <w:r w:rsidR="00C46EF5" w:rsidRPr="00541229">
        <w:rPr>
          <w:rFonts w:asciiTheme="majorBidi" w:eastAsia="Times New Roman" w:hAnsiTheme="majorBidi" w:cstheme="majorBidi"/>
          <w:i/>
          <w:iCs/>
          <w:color w:val="000000"/>
          <w:sz w:val="24"/>
          <w:szCs w:val="24"/>
        </w:rPr>
        <w:t>Rights of Crime Victims' Law</w:t>
      </w:r>
      <w:r w:rsidR="00C46EF5" w:rsidRPr="00541229">
        <w:rPr>
          <w:rFonts w:asciiTheme="majorBidi" w:eastAsia="Times New Roman" w:hAnsiTheme="majorBidi" w:cstheme="majorBidi"/>
          <w:color w:val="000000"/>
          <w:sz w:val="24"/>
          <w:szCs w:val="24"/>
        </w:rPr>
        <w:t xml:space="preserve"> 5761-2001.</w:t>
      </w:r>
      <w:r w:rsidR="00B308E4">
        <w:rPr>
          <w:rFonts w:asciiTheme="majorBidi" w:eastAsia="Times New Roman" w:hAnsiTheme="majorBidi" w:cstheme="majorBidi"/>
          <w:color w:val="000000"/>
          <w:sz w:val="24"/>
          <w:szCs w:val="24"/>
        </w:rPr>
        <w:t xml:space="preserve"> In addition to the general prohibitions against violence, abuse and sexual crimes, </w:t>
      </w:r>
      <w:r w:rsidR="001F4BB3">
        <w:rPr>
          <w:rFonts w:asciiTheme="majorBidi" w:eastAsia="Times New Roman" w:hAnsiTheme="majorBidi" w:cstheme="majorBidi"/>
          <w:color w:val="000000"/>
          <w:sz w:val="24"/>
          <w:szCs w:val="24"/>
        </w:rPr>
        <w:t xml:space="preserve">the </w:t>
      </w:r>
      <w:r w:rsidR="001F4BB3" w:rsidRPr="003B2291">
        <w:rPr>
          <w:rFonts w:asciiTheme="majorBidi" w:eastAsia="Times New Roman" w:hAnsiTheme="majorBidi" w:cstheme="majorBidi"/>
          <w:i/>
          <w:iCs/>
          <w:color w:val="000000"/>
          <w:sz w:val="24"/>
          <w:szCs w:val="24"/>
        </w:rPr>
        <w:t>Prevention of Domestic Violence Law</w:t>
      </w:r>
      <w:r w:rsidR="001F4BB3" w:rsidRPr="001F4BB3">
        <w:rPr>
          <w:rFonts w:asciiTheme="majorBidi" w:eastAsia="Times New Roman" w:hAnsiTheme="majorBidi" w:cstheme="majorBidi"/>
          <w:color w:val="000000"/>
          <w:sz w:val="24"/>
          <w:szCs w:val="24"/>
        </w:rPr>
        <w:t xml:space="preserve"> 5751-1991</w:t>
      </w:r>
      <w:r w:rsidR="00B308E4">
        <w:rPr>
          <w:rFonts w:asciiTheme="majorBidi" w:eastAsia="Times New Roman" w:hAnsiTheme="majorBidi" w:cstheme="majorBidi"/>
          <w:color w:val="000000"/>
          <w:sz w:val="24"/>
          <w:szCs w:val="24"/>
        </w:rPr>
        <w:t xml:space="preserve"> is designated specifically for </w:t>
      </w:r>
      <w:r w:rsidR="000E1CF0">
        <w:rPr>
          <w:rFonts w:asciiTheme="majorBidi" w:eastAsia="Times New Roman" w:hAnsiTheme="majorBidi" w:cstheme="majorBidi"/>
          <w:color w:val="000000"/>
          <w:sz w:val="24"/>
          <w:szCs w:val="24"/>
        </w:rPr>
        <w:t xml:space="preserve">combatting domestic violence, enacted pursuant to recommendations of a special inter-ministerial committee. The Law </w:t>
      </w:r>
      <w:r w:rsidR="00214D90">
        <w:rPr>
          <w:rFonts w:asciiTheme="majorBidi" w:eastAsia="Times New Roman" w:hAnsiTheme="majorBidi" w:cstheme="majorBidi"/>
          <w:color w:val="000000"/>
          <w:sz w:val="24"/>
          <w:szCs w:val="24"/>
        </w:rPr>
        <w:t xml:space="preserve">confers to </w:t>
      </w:r>
      <w:r w:rsidR="000E1CF0">
        <w:rPr>
          <w:rFonts w:asciiTheme="majorBidi" w:eastAsia="Times New Roman" w:hAnsiTheme="majorBidi" w:cstheme="majorBidi"/>
          <w:color w:val="000000"/>
          <w:sz w:val="24"/>
          <w:szCs w:val="24"/>
        </w:rPr>
        <w:t xml:space="preserve">law enforcement agencies special powers to address the specific vulnerability of women and children victims of domestic violence. The Law also authorized the Court to </w:t>
      </w:r>
      <w:r w:rsidR="00214D90">
        <w:rPr>
          <w:rFonts w:asciiTheme="majorBidi" w:eastAsia="Times New Roman" w:hAnsiTheme="majorBidi" w:cstheme="majorBidi"/>
          <w:color w:val="000000"/>
          <w:sz w:val="24"/>
          <w:szCs w:val="24"/>
        </w:rPr>
        <w:t xml:space="preserve">issue </w:t>
      </w:r>
      <w:r w:rsidR="000E1CF0">
        <w:rPr>
          <w:rFonts w:asciiTheme="majorBidi" w:eastAsia="Times New Roman" w:hAnsiTheme="majorBidi" w:cstheme="majorBidi"/>
          <w:color w:val="000000"/>
          <w:sz w:val="24"/>
          <w:szCs w:val="24"/>
        </w:rPr>
        <w:t xml:space="preserve">restraining orders in relevant situations. </w:t>
      </w:r>
    </w:p>
    <w:p w14:paraId="67A73402" w14:textId="53F9F09E" w:rsidR="00431C95" w:rsidRPr="00CA793E" w:rsidRDefault="00B41AA7" w:rsidP="00214D90">
      <w:pPr>
        <w:tabs>
          <w:tab w:val="right" w:pos="2127"/>
        </w:tabs>
        <w:bidi w:val="0"/>
        <w:spacing w:line="360" w:lineRule="auto"/>
        <w:jc w:val="both"/>
        <w:rPr>
          <w:rFonts w:asciiTheme="majorBidi" w:eastAsia="Times New Roman" w:hAnsiTheme="majorBidi" w:cstheme="majorBidi"/>
          <w:color w:val="000000"/>
          <w:sz w:val="24"/>
          <w:szCs w:val="24"/>
        </w:rPr>
      </w:pPr>
      <w:r w:rsidRPr="00CA793E">
        <w:rPr>
          <w:rFonts w:asciiTheme="majorBidi" w:eastAsia="Times New Roman" w:hAnsiTheme="majorBidi" w:cstheme="majorBidi"/>
          <w:color w:val="000000"/>
          <w:sz w:val="24"/>
          <w:szCs w:val="24"/>
        </w:rPr>
        <w:t>O</w:t>
      </w:r>
      <w:r w:rsidR="001F4BB3" w:rsidRPr="00CA793E">
        <w:rPr>
          <w:rFonts w:asciiTheme="majorBidi" w:eastAsia="Times New Roman" w:hAnsiTheme="majorBidi" w:cstheme="majorBidi"/>
          <w:color w:val="000000"/>
          <w:sz w:val="24"/>
          <w:szCs w:val="24"/>
        </w:rPr>
        <w:t>n December 15, 2021, an Amendment to the Law was enacted</w:t>
      </w:r>
      <w:r w:rsidR="002748F8">
        <w:rPr>
          <w:rFonts w:asciiTheme="majorBidi" w:eastAsia="Times New Roman" w:hAnsiTheme="majorBidi" w:cstheme="majorBidi"/>
          <w:color w:val="000000"/>
          <w:sz w:val="24"/>
          <w:szCs w:val="24"/>
        </w:rPr>
        <w:t xml:space="preserve"> - </w:t>
      </w:r>
      <w:r w:rsidR="001F4BB3" w:rsidRPr="00A73D6C">
        <w:rPr>
          <w:rFonts w:asciiTheme="majorBidi" w:eastAsia="Times New Roman" w:hAnsiTheme="majorBidi" w:cstheme="majorBidi"/>
          <w:i/>
          <w:iCs/>
          <w:color w:val="000000"/>
          <w:sz w:val="24"/>
          <w:szCs w:val="24"/>
        </w:rPr>
        <w:t>Prevention of Domestic Violence Law (Amendment No. 18 – Temporary Provision)</w:t>
      </w:r>
      <w:r w:rsidR="001F4BB3" w:rsidRPr="00CA793E">
        <w:rPr>
          <w:rFonts w:asciiTheme="majorBidi" w:eastAsia="Times New Roman" w:hAnsiTheme="majorBidi" w:cstheme="majorBidi"/>
          <w:color w:val="000000"/>
          <w:sz w:val="24"/>
          <w:szCs w:val="24"/>
        </w:rPr>
        <w:t xml:space="preserve"> 5782-2021, set to enter into force </w:t>
      </w:r>
      <w:r w:rsidR="002748F8">
        <w:rPr>
          <w:rFonts w:asciiTheme="majorBidi" w:eastAsia="Times New Roman" w:hAnsiTheme="majorBidi" w:cstheme="majorBidi"/>
          <w:color w:val="000000"/>
          <w:sz w:val="24"/>
          <w:szCs w:val="24"/>
        </w:rPr>
        <w:t xml:space="preserve">within </w:t>
      </w:r>
      <w:r w:rsidR="001F4BB3" w:rsidRPr="00CA793E">
        <w:rPr>
          <w:rFonts w:asciiTheme="majorBidi" w:eastAsia="Times New Roman" w:hAnsiTheme="majorBidi" w:cstheme="majorBidi"/>
          <w:color w:val="000000"/>
          <w:sz w:val="24"/>
          <w:szCs w:val="24"/>
        </w:rPr>
        <w:t>six (6) months</w:t>
      </w:r>
      <w:r w:rsidR="0077237E" w:rsidRPr="00CA793E">
        <w:rPr>
          <w:rFonts w:asciiTheme="majorBidi" w:eastAsia="Times New Roman" w:hAnsiTheme="majorBidi" w:cstheme="majorBidi"/>
          <w:color w:val="000000"/>
          <w:sz w:val="24"/>
          <w:szCs w:val="24"/>
        </w:rPr>
        <w:t>. The Amendment stipulates that</w:t>
      </w:r>
      <w:r w:rsidR="00214D90">
        <w:rPr>
          <w:rFonts w:asciiTheme="majorBidi" w:eastAsia="Times New Roman" w:hAnsiTheme="majorBidi" w:cstheme="majorBidi"/>
          <w:color w:val="000000"/>
          <w:sz w:val="24"/>
          <w:szCs w:val="24"/>
        </w:rPr>
        <w:t>,</w:t>
      </w:r>
      <w:r w:rsidR="0077237E" w:rsidRPr="00CA793E">
        <w:rPr>
          <w:rFonts w:asciiTheme="majorBidi" w:eastAsia="Times New Roman" w:hAnsiTheme="majorBidi" w:cstheme="majorBidi"/>
          <w:color w:val="000000"/>
          <w:sz w:val="24"/>
          <w:szCs w:val="24"/>
        </w:rPr>
        <w:t xml:space="preserve"> </w:t>
      </w:r>
      <w:r w:rsidR="00214D90">
        <w:rPr>
          <w:rFonts w:asciiTheme="majorBidi" w:eastAsia="Times New Roman" w:hAnsiTheme="majorBidi" w:cstheme="majorBidi"/>
          <w:color w:val="000000"/>
          <w:sz w:val="24"/>
          <w:szCs w:val="24"/>
        </w:rPr>
        <w:t>once</w:t>
      </w:r>
      <w:r w:rsidR="00214D90" w:rsidRPr="00CA793E">
        <w:rPr>
          <w:rFonts w:asciiTheme="majorBidi" w:eastAsia="Times New Roman" w:hAnsiTheme="majorBidi" w:cstheme="majorBidi"/>
          <w:color w:val="000000"/>
          <w:sz w:val="24"/>
          <w:szCs w:val="24"/>
        </w:rPr>
        <w:t xml:space="preserve"> </w:t>
      </w:r>
      <w:r w:rsidR="0077237E" w:rsidRPr="00CA793E">
        <w:rPr>
          <w:rFonts w:asciiTheme="majorBidi" w:eastAsia="Times New Roman" w:hAnsiTheme="majorBidi" w:cstheme="majorBidi"/>
          <w:color w:val="000000"/>
          <w:sz w:val="24"/>
          <w:szCs w:val="24"/>
        </w:rPr>
        <w:t xml:space="preserve">a protection order </w:t>
      </w:r>
      <w:r w:rsidR="00214D90">
        <w:rPr>
          <w:rFonts w:asciiTheme="majorBidi" w:eastAsia="Times New Roman" w:hAnsiTheme="majorBidi" w:cstheme="majorBidi"/>
          <w:color w:val="000000"/>
          <w:sz w:val="24"/>
          <w:szCs w:val="24"/>
        </w:rPr>
        <w:t>is issued</w:t>
      </w:r>
      <w:r w:rsidR="0077237E" w:rsidRPr="00CA793E">
        <w:rPr>
          <w:rFonts w:asciiTheme="majorBidi" w:eastAsia="Times New Roman" w:hAnsiTheme="majorBidi" w:cstheme="majorBidi"/>
          <w:color w:val="000000"/>
          <w:sz w:val="24"/>
          <w:szCs w:val="24"/>
        </w:rPr>
        <w:t xml:space="preserve">, the Court must request </w:t>
      </w:r>
      <w:r w:rsidR="00214D90">
        <w:rPr>
          <w:rFonts w:asciiTheme="majorBidi" w:eastAsia="Times New Roman" w:hAnsiTheme="majorBidi" w:cstheme="majorBidi"/>
          <w:color w:val="000000"/>
          <w:sz w:val="24"/>
          <w:szCs w:val="24"/>
        </w:rPr>
        <w:t>an expert</w:t>
      </w:r>
      <w:r w:rsidR="0077237E" w:rsidRPr="00CA793E">
        <w:rPr>
          <w:rFonts w:asciiTheme="majorBidi" w:eastAsia="Times New Roman" w:hAnsiTheme="majorBidi" w:cstheme="majorBidi"/>
          <w:color w:val="000000"/>
          <w:sz w:val="24"/>
          <w:szCs w:val="24"/>
        </w:rPr>
        <w:t xml:space="preserve"> opinion by a social worker</w:t>
      </w:r>
      <w:r w:rsidR="00214D90">
        <w:rPr>
          <w:rFonts w:asciiTheme="majorBidi" w:eastAsia="Times New Roman" w:hAnsiTheme="majorBidi" w:cstheme="majorBidi"/>
          <w:color w:val="000000"/>
          <w:sz w:val="24"/>
          <w:szCs w:val="24"/>
        </w:rPr>
        <w:t>,</w:t>
      </w:r>
      <w:r w:rsidR="0077237E" w:rsidRPr="00CA793E">
        <w:rPr>
          <w:rFonts w:asciiTheme="majorBidi" w:eastAsia="Times New Roman" w:hAnsiTheme="majorBidi" w:cstheme="majorBidi"/>
          <w:color w:val="000000"/>
          <w:sz w:val="24"/>
          <w:szCs w:val="24"/>
        </w:rPr>
        <w:t xml:space="preserve"> </w:t>
      </w:r>
      <w:r w:rsidR="00214D90">
        <w:rPr>
          <w:rFonts w:asciiTheme="majorBidi" w:eastAsia="Times New Roman" w:hAnsiTheme="majorBidi" w:cstheme="majorBidi"/>
          <w:color w:val="000000"/>
          <w:sz w:val="24"/>
          <w:szCs w:val="24"/>
        </w:rPr>
        <w:t>on whether the subject of</w:t>
      </w:r>
      <w:r w:rsidR="003C3E99" w:rsidRPr="00CA793E">
        <w:rPr>
          <w:rFonts w:asciiTheme="majorBidi" w:eastAsia="Times New Roman" w:hAnsiTheme="majorBidi" w:cstheme="majorBidi"/>
          <w:color w:val="000000"/>
          <w:sz w:val="24"/>
          <w:szCs w:val="24"/>
        </w:rPr>
        <w:t xml:space="preserve"> the order </w:t>
      </w:r>
      <w:r w:rsidR="00214D90">
        <w:rPr>
          <w:rFonts w:asciiTheme="majorBidi" w:eastAsia="Times New Roman" w:hAnsiTheme="majorBidi" w:cstheme="majorBidi"/>
          <w:color w:val="000000"/>
          <w:sz w:val="24"/>
          <w:szCs w:val="24"/>
        </w:rPr>
        <w:t>should be referred</w:t>
      </w:r>
      <w:r w:rsidR="003C3E99" w:rsidRPr="00CA793E">
        <w:rPr>
          <w:rFonts w:asciiTheme="majorBidi" w:eastAsia="Times New Roman" w:hAnsiTheme="majorBidi" w:cstheme="majorBidi"/>
          <w:color w:val="000000"/>
          <w:sz w:val="24"/>
          <w:szCs w:val="24"/>
        </w:rPr>
        <w:t xml:space="preserve"> to </w:t>
      </w:r>
      <w:r w:rsidR="00214D90">
        <w:rPr>
          <w:rFonts w:asciiTheme="majorBidi" w:eastAsia="Times New Roman" w:hAnsiTheme="majorBidi" w:cstheme="majorBidi"/>
          <w:color w:val="000000"/>
          <w:sz w:val="24"/>
          <w:szCs w:val="24"/>
        </w:rPr>
        <w:t xml:space="preserve">Court mandated </w:t>
      </w:r>
      <w:r w:rsidR="003C3E99" w:rsidRPr="00CA793E">
        <w:rPr>
          <w:rFonts w:asciiTheme="majorBidi" w:eastAsia="Times New Roman" w:hAnsiTheme="majorBidi" w:cstheme="majorBidi"/>
          <w:color w:val="000000"/>
          <w:sz w:val="24"/>
          <w:szCs w:val="24"/>
        </w:rPr>
        <w:t xml:space="preserve">treatment. After receiving the position of the social worker, the Court may order the person to attend treatment, even without their consent, after an </w:t>
      </w:r>
      <w:r w:rsidR="003C3E99" w:rsidRPr="00A73D6C">
        <w:rPr>
          <w:rFonts w:asciiTheme="majorBidi" w:eastAsia="Times New Roman" w:hAnsiTheme="majorBidi" w:cstheme="majorBidi"/>
          <w:i/>
          <w:iCs/>
          <w:color w:val="000000"/>
          <w:sz w:val="24"/>
          <w:szCs w:val="24"/>
        </w:rPr>
        <w:t>ex parte</w:t>
      </w:r>
      <w:r w:rsidR="003C3E99" w:rsidRPr="00CA793E">
        <w:rPr>
          <w:rFonts w:asciiTheme="majorBidi" w:eastAsia="Times New Roman" w:hAnsiTheme="majorBidi" w:cstheme="majorBidi"/>
          <w:color w:val="000000"/>
          <w:sz w:val="24"/>
          <w:szCs w:val="24"/>
        </w:rPr>
        <w:t xml:space="preserve"> hearing with them. The Ministry of Finance </w:t>
      </w:r>
      <w:r w:rsidR="002748F8">
        <w:rPr>
          <w:rFonts w:asciiTheme="majorBidi" w:eastAsia="Times New Roman" w:hAnsiTheme="majorBidi" w:cstheme="majorBidi"/>
          <w:color w:val="000000"/>
          <w:sz w:val="24"/>
          <w:szCs w:val="24"/>
        </w:rPr>
        <w:t>concluded</w:t>
      </w:r>
      <w:r w:rsidR="002748F8" w:rsidRPr="00CA793E">
        <w:rPr>
          <w:rFonts w:asciiTheme="majorBidi" w:eastAsia="Times New Roman" w:hAnsiTheme="majorBidi" w:cstheme="majorBidi"/>
          <w:color w:val="000000"/>
          <w:sz w:val="24"/>
          <w:szCs w:val="24"/>
        </w:rPr>
        <w:t xml:space="preserve"> </w:t>
      </w:r>
      <w:r w:rsidR="003C3E99" w:rsidRPr="00CA793E">
        <w:rPr>
          <w:rFonts w:asciiTheme="majorBidi" w:eastAsia="Times New Roman" w:hAnsiTheme="majorBidi" w:cstheme="majorBidi"/>
          <w:color w:val="000000"/>
          <w:sz w:val="24"/>
          <w:szCs w:val="24"/>
        </w:rPr>
        <w:t xml:space="preserve">that this Amendment would cost approximately six (6) </w:t>
      </w:r>
      <w:r w:rsidR="002748F8">
        <w:rPr>
          <w:rFonts w:asciiTheme="majorBidi" w:eastAsia="Times New Roman" w:hAnsiTheme="majorBidi" w:cstheme="majorBidi"/>
          <w:color w:val="000000"/>
          <w:sz w:val="24"/>
          <w:szCs w:val="24"/>
        </w:rPr>
        <w:t>M</w:t>
      </w:r>
      <w:r w:rsidR="002748F8" w:rsidRPr="00CA793E">
        <w:rPr>
          <w:rFonts w:asciiTheme="majorBidi" w:eastAsia="Times New Roman" w:hAnsiTheme="majorBidi" w:cstheme="majorBidi"/>
          <w:color w:val="000000"/>
          <w:sz w:val="24"/>
          <w:szCs w:val="24"/>
        </w:rPr>
        <w:t xml:space="preserve">illion </w:t>
      </w:r>
      <w:r w:rsidR="003C3E99" w:rsidRPr="00CA793E">
        <w:rPr>
          <w:rFonts w:asciiTheme="majorBidi" w:eastAsia="Times New Roman" w:hAnsiTheme="majorBidi" w:cstheme="majorBidi"/>
          <w:color w:val="000000"/>
          <w:sz w:val="24"/>
          <w:szCs w:val="24"/>
        </w:rPr>
        <w:t>NIS (1,930,911 USD) per year.</w:t>
      </w:r>
    </w:p>
    <w:p w14:paraId="14832E02" w14:textId="03157921" w:rsidR="00B163D3" w:rsidRDefault="00B41AA7" w:rsidP="0053219D">
      <w:pPr>
        <w:bidi w:val="0"/>
        <w:spacing w:before="120" w:after="240" w:line="360" w:lineRule="auto"/>
        <w:jc w:val="both"/>
        <w:rPr>
          <w:rFonts w:asciiTheme="majorBidi" w:eastAsia="Times New Roman" w:hAnsiTheme="majorBidi" w:cstheme="majorBidi"/>
          <w:color w:val="000000"/>
          <w:sz w:val="24"/>
          <w:szCs w:val="24"/>
        </w:rPr>
      </w:pPr>
      <w:r w:rsidRPr="00541229">
        <w:rPr>
          <w:rFonts w:asciiTheme="majorBidi" w:hAnsiTheme="majorBidi" w:cstheme="majorBidi"/>
          <w:sz w:val="24"/>
          <w:szCs w:val="24"/>
        </w:rPr>
        <w:t>Additionally</w:t>
      </w:r>
      <w:r>
        <w:rPr>
          <w:rFonts w:asciiTheme="majorBidi" w:eastAsia="Times New Roman" w:hAnsiTheme="majorBidi" w:cstheme="majorBidi"/>
          <w:color w:val="000000"/>
          <w:sz w:val="24"/>
          <w:szCs w:val="24"/>
        </w:rPr>
        <w:t>,</w:t>
      </w:r>
      <w:r w:rsidRPr="00541229">
        <w:rPr>
          <w:rFonts w:asciiTheme="majorBidi" w:eastAsia="Times New Roman" w:hAnsiTheme="majorBidi" w:cstheme="majorBidi"/>
          <w:color w:val="000000"/>
          <w:sz w:val="24"/>
          <w:szCs w:val="24"/>
        </w:rPr>
        <w:t xml:space="preserve"> </w:t>
      </w:r>
      <w:r w:rsidR="008E39C7" w:rsidRPr="00541229">
        <w:rPr>
          <w:rFonts w:asciiTheme="majorBidi" w:eastAsia="Times New Roman" w:hAnsiTheme="majorBidi" w:cstheme="majorBidi"/>
          <w:color w:val="000000"/>
          <w:sz w:val="24"/>
          <w:szCs w:val="24"/>
        </w:rPr>
        <w:t>The State of Israel is in advance</w:t>
      </w:r>
      <w:r w:rsidR="007F0527">
        <w:rPr>
          <w:rFonts w:asciiTheme="majorBidi" w:eastAsia="Times New Roman" w:hAnsiTheme="majorBidi" w:cstheme="majorBidi"/>
          <w:color w:val="000000"/>
          <w:sz w:val="24"/>
          <w:szCs w:val="24"/>
        </w:rPr>
        <w:t>d</w:t>
      </w:r>
      <w:r w:rsidR="008E39C7" w:rsidRPr="00541229">
        <w:rPr>
          <w:rFonts w:asciiTheme="majorBidi" w:eastAsia="Times New Roman" w:hAnsiTheme="majorBidi" w:cstheme="majorBidi"/>
          <w:color w:val="000000"/>
          <w:sz w:val="24"/>
          <w:szCs w:val="24"/>
        </w:rPr>
        <w:t xml:space="preserve"> stages</w:t>
      </w:r>
      <w:r w:rsidR="00214D90">
        <w:rPr>
          <w:rFonts w:asciiTheme="majorBidi" w:eastAsia="Times New Roman" w:hAnsiTheme="majorBidi" w:cstheme="majorBidi"/>
          <w:color w:val="000000"/>
          <w:sz w:val="24"/>
          <w:szCs w:val="24"/>
        </w:rPr>
        <w:t xml:space="preserve"> of internal consultations and procedures</w:t>
      </w:r>
      <w:r w:rsidR="008E39C7" w:rsidRPr="00541229">
        <w:rPr>
          <w:rFonts w:asciiTheme="majorBidi" w:eastAsia="Times New Roman" w:hAnsiTheme="majorBidi" w:cstheme="majorBidi"/>
          <w:color w:val="000000"/>
          <w:sz w:val="24"/>
          <w:szCs w:val="24"/>
        </w:rPr>
        <w:t xml:space="preserve"> towards ratifying the Council of Europe Convention on Preventing and Combatting Violence Against Women and Domestic Violence (the Istanbul Convention)</w:t>
      </w:r>
      <w:r w:rsidR="00F078A0">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F078A0">
        <w:rPr>
          <w:rFonts w:asciiTheme="majorBidi" w:eastAsia="Times New Roman" w:hAnsiTheme="majorBidi" w:cstheme="majorBidi"/>
          <w:color w:val="000000"/>
          <w:sz w:val="24"/>
          <w:szCs w:val="24"/>
        </w:rPr>
        <w:t>O</w:t>
      </w:r>
      <w:r w:rsidRPr="00541229">
        <w:rPr>
          <w:rFonts w:asciiTheme="majorBidi" w:eastAsia="Times New Roman" w:hAnsiTheme="majorBidi" w:cstheme="majorBidi"/>
          <w:color w:val="000000"/>
          <w:sz w:val="24"/>
          <w:szCs w:val="24"/>
        </w:rPr>
        <w:t xml:space="preserve">n December 8, 2021, the Minister of Foreign Affairs </w:t>
      </w:r>
      <w:r w:rsidR="002D629A" w:rsidRPr="00541229">
        <w:rPr>
          <w:rFonts w:asciiTheme="majorBidi" w:eastAsia="Times New Roman" w:hAnsiTheme="majorBidi" w:cstheme="majorBidi"/>
          <w:color w:val="000000"/>
          <w:sz w:val="24"/>
          <w:szCs w:val="24"/>
        </w:rPr>
        <w:t>submit</w:t>
      </w:r>
      <w:r w:rsidR="002D629A">
        <w:rPr>
          <w:rFonts w:asciiTheme="majorBidi" w:eastAsia="Times New Roman" w:hAnsiTheme="majorBidi" w:cstheme="majorBidi"/>
          <w:color w:val="000000"/>
          <w:sz w:val="24"/>
          <w:szCs w:val="24"/>
        </w:rPr>
        <w:t xml:space="preserve">ted </w:t>
      </w:r>
      <w:r w:rsidRPr="00541229">
        <w:rPr>
          <w:rFonts w:asciiTheme="majorBidi" w:eastAsia="Times New Roman" w:hAnsiTheme="majorBidi" w:cstheme="majorBidi"/>
          <w:color w:val="000000"/>
          <w:sz w:val="24"/>
          <w:szCs w:val="24"/>
        </w:rPr>
        <w:t>an official request to the Council of Europe to invite Israel to join the Convention</w:t>
      </w:r>
      <w:r>
        <w:rPr>
          <w:rFonts w:asciiTheme="majorBidi" w:eastAsia="Times New Roman" w:hAnsiTheme="majorBidi" w:cstheme="majorBidi"/>
          <w:color w:val="000000"/>
          <w:sz w:val="24"/>
          <w:szCs w:val="24"/>
        </w:rPr>
        <w:t xml:space="preserve">. </w:t>
      </w:r>
    </w:p>
    <w:p w14:paraId="0788D12E" w14:textId="509869B4" w:rsidR="00BB6EF0" w:rsidRPr="00541229" w:rsidRDefault="00B41AA7" w:rsidP="002D629A">
      <w:pPr>
        <w:bidi w:val="0"/>
        <w:spacing w:before="120" w:after="120"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The following refers to measures taken to promote the rights, including the right to health</w:t>
      </w:r>
      <w:r w:rsidR="002D629A" w:rsidRPr="002D629A">
        <w:rPr>
          <w:rFonts w:asciiTheme="majorBidi" w:eastAsia="Times New Roman" w:hAnsiTheme="majorBidi" w:cstheme="majorBidi"/>
          <w:color w:val="000000"/>
          <w:sz w:val="24"/>
          <w:szCs w:val="24"/>
        </w:rPr>
        <w:t xml:space="preserve"> </w:t>
      </w:r>
      <w:r w:rsidR="002D629A">
        <w:rPr>
          <w:rFonts w:asciiTheme="majorBidi" w:eastAsia="Times New Roman" w:hAnsiTheme="majorBidi" w:cstheme="majorBidi"/>
          <w:color w:val="000000"/>
          <w:sz w:val="24"/>
          <w:szCs w:val="24"/>
        </w:rPr>
        <w:t>of</w:t>
      </w:r>
      <w:r w:rsidR="002D629A" w:rsidRPr="00541229">
        <w:rPr>
          <w:rFonts w:asciiTheme="majorBidi" w:eastAsia="Times New Roman" w:hAnsiTheme="majorBidi" w:cstheme="majorBidi"/>
          <w:color w:val="000000"/>
          <w:sz w:val="24"/>
          <w:szCs w:val="24"/>
        </w:rPr>
        <w:t xml:space="preserve"> women</w:t>
      </w:r>
      <w:r w:rsidRPr="00541229">
        <w:rPr>
          <w:rFonts w:asciiTheme="majorBidi" w:eastAsia="Times New Roman" w:hAnsiTheme="majorBidi" w:cstheme="majorBidi"/>
          <w:color w:val="000000"/>
          <w:sz w:val="24"/>
          <w:szCs w:val="24"/>
        </w:rPr>
        <w:t>, persons in the cycle of prostitution, persons belonging to the LGBT</w:t>
      </w:r>
      <w:r w:rsidR="002D629A">
        <w:rPr>
          <w:rFonts w:asciiTheme="majorBidi" w:eastAsia="Times New Roman" w:hAnsiTheme="majorBidi" w:cstheme="majorBidi"/>
          <w:color w:val="000000"/>
          <w:sz w:val="24"/>
          <w:szCs w:val="24"/>
        </w:rPr>
        <w:t>QI</w:t>
      </w:r>
      <w:r w:rsidRPr="00541229">
        <w:rPr>
          <w:rFonts w:asciiTheme="majorBidi" w:eastAsia="Times New Roman" w:hAnsiTheme="majorBidi" w:cstheme="majorBidi"/>
          <w:color w:val="000000"/>
          <w:sz w:val="24"/>
          <w:szCs w:val="24"/>
        </w:rPr>
        <w:t xml:space="preserve"> community</w:t>
      </w:r>
      <w:r w:rsidR="00214D90">
        <w:rPr>
          <w:rFonts w:asciiTheme="majorBidi" w:eastAsia="Times New Roman" w:hAnsiTheme="majorBidi" w:cstheme="majorBidi"/>
          <w:color w:val="000000"/>
          <w:sz w:val="24"/>
          <w:szCs w:val="24"/>
        </w:rPr>
        <w:t>,</w:t>
      </w:r>
      <w:r w:rsidR="002D629A">
        <w:rPr>
          <w:rFonts w:asciiTheme="majorBidi" w:eastAsia="Times New Roman" w:hAnsiTheme="majorBidi" w:cstheme="majorBidi"/>
          <w:color w:val="000000"/>
          <w:sz w:val="24"/>
          <w:szCs w:val="24"/>
        </w:rPr>
        <w:t xml:space="preserve"> and</w:t>
      </w:r>
      <w:r w:rsidR="002D629A" w:rsidRPr="00541229">
        <w:rPr>
          <w:rFonts w:asciiTheme="majorBidi" w:eastAsia="Times New Roman" w:hAnsiTheme="majorBidi" w:cstheme="majorBidi"/>
          <w:color w:val="000000"/>
          <w:sz w:val="24"/>
          <w:szCs w:val="24"/>
        </w:rPr>
        <w:t xml:space="preserve"> </w:t>
      </w:r>
      <w:r w:rsidRPr="00541229">
        <w:rPr>
          <w:rFonts w:asciiTheme="majorBidi" w:eastAsia="Times New Roman" w:hAnsiTheme="majorBidi" w:cstheme="majorBidi"/>
          <w:color w:val="000000"/>
          <w:sz w:val="24"/>
          <w:szCs w:val="24"/>
        </w:rPr>
        <w:t>persons affected by drug addiction or abuse. Note that the legislative framework does not criminalize persons who are victims of violence, and promotes equality on the basis of gender and sexual orientation.</w:t>
      </w:r>
    </w:p>
    <w:p w14:paraId="26CD8C02" w14:textId="77777777" w:rsidR="00C46EF5" w:rsidRPr="00541229" w:rsidRDefault="00B41AA7" w:rsidP="00033A8B">
      <w:pPr>
        <w:bidi w:val="0"/>
        <w:spacing w:before="240" w:after="240" w:line="360" w:lineRule="auto"/>
        <w:jc w:val="both"/>
        <w:rPr>
          <w:rFonts w:asciiTheme="majorBidi" w:eastAsia="Times New Roman" w:hAnsiTheme="majorBidi" w:cstheme="majorBidi"/>
          <w:color w:val="000000"/>
          <w:sz w:val="24"/>
          <w:szCs w:val="24"/>
          <w:u w:val="single"/>
        </w:rPr>
      </w:pPr>
      <w:r w:rsidRPr="00033A8B">
        <w:rPr>
          <w:rFonts w:asciiTheme="majorBidi" w:eastAsia="Times New Roman" w:hAnsiTheme="majorBidi" w:cstheme="majorBidi"/>
          <w:color w:val="000000"/>
          <w:sz w:val="24"/>
          <w:szCs w:val="24"/>
          <w:u w:val="single"/>
        </w:rPr>
        <w:t>Legal prohibitions on Co</w:t>
      </w:r>
      <w:r w:rsidRPr="00541229">
        <w:rPr>
          <w:rFonts w:asciiTheme="majorBidi" w:eastAsia="Times New Roman" w:hAnsiTheme="majorBidi" w:cstheme="majorBidi"/>
          <w:color w:val="000000"/>
          <w:sz w:val="24"/>
          <w:szCs w:val="24"/>
          <w:u w:val="single"/>
        </w:rPr>
        <w:t>nsumption of Prostitution</w:t>
      </w:r>
    </w:p>
    <w:p w14:paraId="3680E857" w14:textId="35C86718" w:rsidR="00C46EF5" w:rsidRPr="00541229" w:rsidRDefault="00B41AA7" w:rsidP="00214D90">
      <w:pPr>
        <w:bidi w:val="0"/>
        <w:spacing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 xml:space="preserve">On December 31, 2018, the Knesset legislated the </w:t>
      </w:r>
      <w:r w:rsidRPr="00541229">
        <w:rPr>
          <w:rFonts w:asciiTheme="majorBidi" w:eastAsia="Times New Roman" w:hAnsiTheme="majorBidi" w:cstheme="majorBidi"/>
          <w:i/>
          <w:iCs/>
          <w:color w:val="000000"/>
          <w:sz w:val="24"/>
          <w:szCs w:val="24"/>
        </w:rPr>
        <w:t>Prohibition of Consumption of Prostitution Services Law (Temporary Provision)</w:t>
      </w:r>
      <w:r w:rsidRPr="00541229">
        <w:rPr>
          <w:rFonts w:asciiTheme="majorBidi" w:eastAsia="Times New Roman" w:hAnsiTheme="majorBidi" w:cstheme="majorBidi"/>
          <w:color w:val="000000"/>
          <w:sz w:val="24"/>
          <w:szCs w:val="24"/>
        </w:rPr>
        <w:t xml:space="preserve"> 5779-2018, which prohibits the consumption of sexual services. The Law was </w:t>
      </w:r>
      <w:r w:rsidR="00214D90">
        <w:rPr>
          <w:rFonts w:asciiTheme="majorBidi" w:eastAsia="Times New Roman" w:hAnsiTheme="majorBidi" w:cstheme="majorBidi"/>
          <w:color w:val="000000"/>
          <w:sz w:val="24"/>
          <w:szCs w:val="24"/>
        </w:rPr>
        <w:t>passed</w:t>
      </w:r>
      <w:r w:rsidR="00214D90" w:rsidRPr="00541229">
        <w:rPr>
          <w:rFonts w:asciiTheme="majorBidi" w:eastAsia="Times New Roman" w:hAnsiTheme="majorBidi" w:cstheme="majorBidi"/>
          <w:color w:val="000000"/>
          <w:sz w:val="24"/>
          <w:szCs w:val="24"/>
        </w:rPr>
        <w:t xml:space="preserve"> </w:t>
      </w:r>
      <w:r w:rsidRPr="00541229">
        <w:rPr>
          <w:rFonts w:asciiTheme="majorBidi" w:eastAsia="Times New Roman" w:hAnsiTheme="majorBidi" w:cstheme="majorBidi"/>
          <w:color w:val="000000"/>
          <w:sz w:val="24"/>
          <w:szCs w:val="24"/>
        </w:rPr>
        <w:t>as part of the ongoing efforts of the State to reduce prostitution and provide assistance and rehabilitation to persons in</w:t>
      </w:r>
      <w:r w:rsidR="00214D90">
        <w:rPr>
          <w:rFonts w:asciiTheme="majorBidi" w:eastAsia="Times New Roman" w:hAnsiTheme="majorBidi" w:cstheme="majorBidi"/>
          <w:color w:val="000000"/>
          <w:sz w:val="24"/>
          <w:szCs w:val="24"/>
        </w:rPr>
        <w:t xml:space="preserve"> situation of</w:t>
      </w:r>
      <w:r w:rsidRPr="00541229">
        <w:rPr>
          <w:rFonts w:asciiTheme="majorBidi" w:eastAsia="Times New Roman" w:hAnsiTheme="majorBidi" w:cstheme="majorBidi"/>
          <w:color w:val="000000"/>
          <w:sz w:val="24"/>
          <w:szCs w:val="24"/>
        </w:rPr>
        <w:t xml:space="preserve"> prostitution. According to the Law, the offense of consumption of prostitution services, which includes the presence in a location used for prostitution, is an administrative offense that can be fined for 2,000 NIS (540 USD) for first time offenders</w:t>
      </w:r>
      <w:r w:rsidR="00214D90">
        <w:rPr>
          <w:rFonts w:asciiTheme="majorBidi" w:eastAsia="Times New Roman" w:hAnsiTheme="majorBidi" w:cstheme="majorBidi"/>
          <w:color w:val="000000"/>
          <w:sz w:val="24"/>
          <w:szCs w:val="24"/>
        </w:rPr>
        <w:t>,</w:t>
      </w:r>
      <w:r w:rsidRPr="00541229">
        <w:rPr>
          <w:rFonts w:asciiTheme="majorBidi" w:eastAsia="Times New Roman" w:hAnsiTheme="majorBidi" w:cstheme="majorBidi"/>
          <w:color w:val="000000"/>
          <w:sz w:val="24"/>
          <w:szCs w:val="24"/>
        </w:rPr>
        <w:t xml:space="preserve"> and double </w:t>
      </w:r>
      <w:r w:rsidR="00214D90">
        <w:rPr>
          <w:rFonts w:asciiTheme="majorBidi" w:eastAsia="Times New Roman" w:hAnsiTheme="majorBidi" w:cstheme="majorBidi"/>
          <w:color w:val="000000"/>
          <w:sz w:val="24"/>
          <w:szCs w:val="24"/>
        </w:rPr>
        <w:t>that</w:t>
      </w:r>
      <w:r w:rsidR="00214D90" w:rsidRPr="00541229">
        <w:rPr>
          <w:rFonts w:asciiTheme="majorBidi" w:eastAsia="Times New Roman" w:hAnsiTheme="majorBidi" w:cstheme="majorBidi"/>
          <w:color w:val="000000"/>
          <w:sz w:val="24"/>
          <w:szCs w:val="24"/>
        </w:rPr>
        <w:t xml:space="preserve"> </w:t>
      </w:r>
      <w:r w:rsidRPr="00541229">
        <w:rPr>
          <w:rFonts w:asciiTheme="majorBidi" w:eastAsia="Times New Roman" w:hAnsiTheme="majorBidi" w:cstheme="majorBidi"/>
          <w:color w:val="000000"/>
          <w:sz w:val="24"/>
          <w:szCs w:val="24"/>
        </w:rPr>
        <w:t xml:space="preserve">sum for repeat offenders. According to the Law, he/she who is present in a location </w:t>
      </w:r>
      <w:r w:rsidR="00214D90">
        <w:rPr>
          <w:rFonts w:asciiTheme="majorBidi" w:eastAsia="Times New Roman" w:hAnsiTheme="majorBidi" w:cstheme="majorBidi"/>
          <w:color w:val="000000"/>
          <w:sz w:val="24"/>
          <w:szCs w:val="24"/>
        </w:rPr>
        <w:t>that</w:t>
      </w:r>
      <w:r w:rsidR="00214D90" w:rsidRPr="00541229">
        <w:rPr>
          <w:rFonts w:asciiTheme="majorBidi" w:eastAsia="Times New Roman" w:hAnsiTheme="majorBidi" w:cstheme="majorBidi"/>
          <w:color w:val="000000"/>
          <w:sz w:val="24"/>
          <w:szCs w:val="24"/>
        </w:rPr>
        <w:t xml:space="preserve"> </w:t>
      </w:r>
      <w:r w:rsidRPr="00541229">
        <w:rPr>
          <w:rFonts w:asciiTheme="majorBidi" w:eastAsia="Times New Roman" w:hAnsiTheme="majorBidi" w:cstheme="majorBidi"/>
          <w:color w:val="000000"/>
          <w:sz w:val="24"/>
          <w:szCs w:val="24"/>
        </w:rPr>
        <w:t>is principally used for prostitution will be seen as being there for the purpose of consumption of such services, unless proven otherwise. Nevertheless, the Law authorizes the State Attorney's Office to indict an offender, in which case the court could impose a fine of up to 75,300 NIS (20,350 USD). The Law further enables the Minister of Justice to set alternative penalties to fines within the Law's Regulations, by means of indictment.</w:t>
      </w:r>
      <w:r w:rsidRPr="00541229">
        <w:rPr>
          <w:rFonts w:asciiTheme="majorBidi" w:hAnsiTheme="majorBidi" w:cstheme="majorBidi"/>
          <w:sz w:val="24"/>
          <w:szCs w:val="24"/>
        </w:rPr>
        <w:t xml:space="preserve"> Note that </w:t>
      </w:r>
      <w:r w:rsidR="00214D90">
        <w:rPr>
          <w:rFonts w:asciiTheme="majorBidi" w:hAnsiTheme="majorBidi" w:cstheme="majorBidi"/>
          <w:sz w:val="24"/>
          <w:szCs w:val="24"/>
        </w:rPr>
        <w:t>consuming</w:t>
      </w:r>
      <w:r w:rsidR="00214D90"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an act of prostitution from a </w:t>
      </w:r>
      <w:r w:rsidR="007F0527">
        <w:rPr>
          <w:rFonts w:asciiTheme="majorBidi" w:hAnsiTheme="majorBidi" w:cstheme="majorBidi"/>
          <w:sz w:val="24"/>
          <w:szCs w:val="24"/>
        </w:rPr>
        <w:t>child</w:t>
      </w:r>
      <w:r w:rsidR="007F0527"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was criminalized in Israel, prior to the enactment of the </w:t>
      </w:r>
      <w:r w:rsidRPr="00541229">
        <w:rPr>
          <w:rFonts w:asciiTheme="majorBidi" w:hAnsiTheme="majorBidi" w:cstheme="majorBidi"/>
          <w:i/>
          <w:iCs/>
          <w:sz w:val="24"/>
          <w:szCs w:val="24"/>
        </w:rPr>
        <w:t>Prohibition on Consuming Prostitution Law (Temporary Order)</w:t>
      </w:r>
      <w:r w:rsidRPr="00541229">
        <w:rPr>
          <w:rFonts w:asciiTheme="majorBidi" w:hAnsiTheme="majorBidi" w:cstheme="majorBidi"/>
          <w:sz w:val="24"/>
          <w:szCs w:val="24"/>
        </w:rPr>
        <w:t>, 5779 – 2018, and currently carries a penalty of five (5) years imprisonment.</w:t>
      </w:r>
      <w:r w:rsidR="0044698F" w:rsidRPr="00541229">
        <w:rPr>
          <w:rFonts w:asciiTheme="majorBidi" w:eastAsia="Times New Roman" w:hAnsiTheme="majorBidi" w:cstheme="majorBidi"/>
          <w:color w:val="000000"/>
          <w:sz w:val="24"/>
          <w:szCs w:val="24"/>
        </w:rPr>
        <w:t xml:space="preserve"> </w:t>
      </w:r>
    </w:p>
    <w:p w14:paraId="0A5E339E" w14:textId="77777777" w:rsidR="00C46EF5" w:rsidRPr="00541229" w:rsidRDefault="00B41AA7" w:rsidP="00541229">
      <w:pPr>
        <w:bidi w:val="0"/>
        <w:spacing w:line="360" w:lineRule="auto"/>
        <w:jc w:val="both"/>
        <w:rPr>
          <w:rFonts w:asciiTheme="majorBidi" w:eastAsia="Times New Roman" w:hAnsiTheme="majorBidi" w:cstheme="majorBidi"/>
          <w:color w:val="000000"/>
          <w:sz w:val="24"/>
          <w:szCs w:val="24"/>
          <w:u w:val="single"/>
          <w:rtl/>
        </w:rPr>
      </w:pPr>
      <w:r w:rsidRPr="00541229">
        <w:rPr>
          <w:rFonts w:asciiTheme="majorBidi" w:eastAsia="Times New Roman" w:hAnsiTheme="majorBidi" w:cstheme="majorBidi"/>
          <w:color w:val="000000"/>
          <w:sz w:val="24"/>
          <w:szCs w:val="24"/>
          <w:u w:val="single"/>
        </w:rPr>
        <w:t>LGBT</w:t>
      </w:r>
      <w:r w:rsidR="002D629A">
        <w:rPr>
          <w:rFonts w:asciiTheme="majorBidi" w:eastAsia="Times New Roman" w:hAnsiTheme="majorBidi" w:cstheme="majorBidi"/>
          <w:color w:val="000000"/>
          <w:sz w:val="24"/>
          <w:szCs w:val="24"/>
          <w:u w:val="single"/>
        </w:rPr>
        <w:t>QI</w:t>
      </w:r>
    </w:p>
    <w:p w14:paraId="5AEED7FD" w14:textId="77777777" w:rsidR="00291794" w:rsidRPr="00541229" w:rsidRDefault="00B41AA7" w:rsidP="00541229">
      <w:pPr>
        <w:bidi w:val="0"/>
        <w:spacing w:before="120" w:after="0" w:line="360" w:lineRule="auto"/>
        <w:ind w:right="34"/>
        <w:jc w:val="both"/>
        <w:rPr>
          <w:rFonts w:asciiTheme="majorBidi" w:hAnsiTheme="majorBidi" w:cstheme="majorBidi"/>
          <w:sz w:val="24"/>
          <w:szCs w:val="24"/>
        </w:rPr>
      </w:pPr>
      <w:r w:rsidRPr="00541229">
        <w:rPr>
          <w:rFonts w:asciiTheme="majorBidi" w:hAnsiTheme="majorBidi" w:cstheme="majorBidi"/>
          <w:sz w:val="24"/>
          <w:szCs w:val="24"/>
        </w:rPr>
        <w:t>The prohibition of discrimination on the basis of sexual orientation is an important part of Israeli legislation and may be found in several laws, such as the</w:t>
      </w:r>
      <w:r w:rsidRPr="00541229">
        <w:rPr>
          <w:rFonts w:asciiTheme="majorBidi" w:hAnsiTheme="majorBidi" w:cstheme="majorBidi"/>
          <w:i/>
          <w:iCs/>
          <w:sz w:val="24"/>
          <w:szCs w:val="24"/>
        </w:rPr>
        <w:t xml:space="preserve"> Equal Employment Opportunities Law</w:t>
      </w:r>
      <w:r w:rsidRPr="00541229">
        <w:rPr>
          <w:rFonts w:asciiTheme="majorBidi" w:hAnsiTheme="majorBidi" w:cstheme="majorBidi"/>
          <w:sz w:val="24"/>
          <w:szCs w:val="24"/>
        </w:rPr>
        <w:t xml:space="preserve"> 5748-1988, the </w:t>
      </w:r>
      <w:r w:rsidRPr="00541229">
        <w:rPr>
          <w:rFonts w:asciiTheme="majorBidi" w:hAnsiTheme="majorBidi" w:cstheme="majorBidi"/>
          <w:i/>
          <w:iCs/>
          <w:sz w:val="24"/>
          <w:szCs w:val="24"/>
        </w:rPr>
        <w:t>Prohibition of Discrimination in Products, Services and in Entry to Public Places Law</w:t>
      </w:r>
      <w:r w:rsidRPr="00541229">
        <w:rPr>
          <w:rFonts w:asciiTheme="majorBidi" w:hAnsiTheme="majorBidi" w:cstheme="majorBidi"/>
          <w:sz w:val="24"/>
          <w:szCs w:val="24"/>
        </w:rPr>
        <w:t>, 5761-2000</w:t>
      </w:r>
      <w:r w:rsidRPr="00541229">
        <w:rPr>
          <w:rFonts w:asciiTheme="majorBidi" w:hAnsiTheme="majorBidi" w:cstheme="majorBidi"/>
          <w:i/>
          <w:iCs/>
          <w:sz w:val="24"/>
          <w:szCs w:val="24"/>
        </w:rPr>
        <w:t xml:space="preserve"> </w:t>
      </w:r>
      <w:r w:rsidRPr="00541229">
        <w:rPr>
          <w:rFonts w:asciiTheme="majorBidi" w:hAnsiTheme="majorBidi" w:cstheme="majorBidi"/>
          <w:sz w:val="24"/>
          <w:szCs w:val="24"/>
        </w:rPr>
        <w:t xml:space="preserve">and the </w:t>
      </w:r>
      <w:r w:rsidRPr="00541229">
        <w:rPr>
          <w:rFonts w:asciiTheme="majorBidi" w:hAnsiTheme="majorBidi" w:cstheme="majorBidi"/>
          <w:i/>
          <w:iCs/>
          <w:sz w:val="24"/>
          <w:szCs w:val="24"/>
        </w:rPr>
        <w:t xml:space="preserve">Patient's Rights Law </w:t>
      </w:r>
      <w:r w:rsidRPr="00541229">
        <w:rPr>
          <w:rFonts w:asciiTheme="majorBidi" w:hAnsiTheme="majorBidi" w:cstheme="majorBidi"/>
          <w:sz w:val="24"/>
          <w:szCs w:val="24"/>
        </w:rPr>
        <w:t xml:space="preserve">5756-1996. </w:t>
      </w:r>
    </w:p>
    <w:p w14:paraId="17E0E977" w14:textId="5D9B6857" w:rsidR="00C46EF5" w:rsidRPr="00541229" w:rsidRDefault="00B41AA7" w:rsidP="00B163D3">
      <w:pPr>
        <w:bidi w:val="0"/>
        <w:spacing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Therein, persons belonging to the LGBT</w:t>
      </w:r>
      <w:r w:rsidR="00831543" w:rsidRPr="00831543">
        <w:rPr>
          <w:rFonts w:asciiTheme="majorBidi" w:eastAsia="Times New Roman" w:hAnsiTheme="majorBidi" w:cstheme="majorBidi"/>
          <w:color w:val="000000"/>
          <w:sz w:val="24"/>
          <w:szCs w:val="24"/>
        </w:rPr>
        <w:t>QI</w:t>
      </w:r>
      <w:r w:rsidRPr="00541229">
        <w:rPr>
          <w:rFonts w:asciiTheme="majorBidi" w:eastAsia="Times New Roman" w:hAnsiTheme="majorBidi" w:cstheme="majorBidi"/>
          <w:color w:val="000000"/>
          <w:sz w:val="24"/>
          <w:szCs w:val="24"/>
        </w:rPr>
        <w:t xml:space="preserve"> </w:t>
      </w:r>
      <w:r w:rsidR="00B163D3" w:rsidRPr="00541229">
        <w:rPr>
          <w:rFonts w:asciiTheme="majorBidi" w:eastAsia="Times New Roman" w:hAnsiTheme="majorBidi" w:cstheme="majorBidi"/>
          <w:color w:val="000000"/>
          <w:sz w:val="24"/>
          <w:szCs w:val="24"/>
        </w:rPr>
        <w:t>community</w:t>
      </w:r>
      <w:r w:rsidRPr="00541229">
        <w:rPr>
          <w:rFonts w:asciiTheme="majorBidi" w:eastAsia="Times New Roman" w:hAnsiTheme="majorBidi" w:cstheme="majorBidi"/>
          <w:color w:val="000000"/>
          <w:sz w:val="24"/>
          <w:szCs w:val="24"/>
        </w:rPr>
        <w:t xml:space="preserve">, including transgender persons, are protected and in no manner criminalized. </w:t>
      </w:r>
    </w:p>
    <w:p w14:paraId="2A694AEE" w14:textId="68EC3A5B" w:rsidR="00291794" w:rsidRPr="00541229" w:rsidRDefault="00B41AA7" w:rsidP="00214D90">
      <w:pPr>
        <w:bidi w:val="0"/>
        <w:spacing w:before="120" w:after="0" w:line="360" w:lineRule="auto"/>
        <w:ind w:right="34"/>
        <w:jc w:val="both"/>
        <w:rPr>
          <w:rFonts w:asciiTheme="majorBidi" w:hAnsiTheme="majorBidi" w:cstheme="majorBidi"/>
          <w:sz w:val="24"/>
          <w:szCs w:val="24"/>
        </w:rPr>
      </w:pPr>
      <w:r w:rsidRPr="00541229">
        <w:rPr>
          <w:rFonts w:asciiTheme="majorBidi" w:hAnsiTheme="majorBidi" w:cstheme="majorBidi"/>
          <w:sz w:val="24"/>
          <w:szCs w:val="24"/>
        </w:rPr>
        <w:t xml:space="preserve">On October 12, 2020, the former Minister of Justice and Minister of Welfare and Social Affairs announced the commissioning of an inter-ministerial team for the promotion of the transgender community in Israel. The team was appointed in order to examine the interfaces between the transgender community and governmental public services and to offer solutions to the </w:t>
      </w:r>
      <w:r w:rsidR="00214D90">
        <w:rPr>
          <w:rFonts w:asciiTheme="majorBidi" w:hAnsiTheme="majorBidi" w:cstheme="majorBidi"/>
          <w:sz w:val="24"/>
          <w:szCs w:val="24"/>
        </w:rPr>
        <w:t>various</w:t>
      </w:r>
      <w:r w:rsidR="00214D90"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challenges faced by transgender persons in Israel. The team was headed by the former Deputy to the </w:t>
      </w:r>
      <w:r w:rsidR="00214D90" w:rsidRPr="00541229">
        <w:rPr>
          <w:rFonts w:asciiTheme="majorBidi" w:hAnsiTheme="majorBidi" w:cstheme="majorBidi"/>
          <w:sz w:val="24"/>
          <w:szCs w:val="24"/>
        </w:rPr>
        <w:t>Attorney</w:t>
      </w:r>
      <w:r w:rsidR="00214D90">
        <w:rPr>
          <w:rFonts w:asciiTheme="majorBidi" w:hAnsiTheme="majorBidi" w:cstheme="majorBidi"/>
          <w:sz w:val="24"/>
          <w:szCs w:val="24"/>
        </w:rPr>
        <w:t>-</w:t>
      </w:r>
      <w:r w:rsidRPr="00541229">
        <w:rPr>
          <w:rFonts w:asciiTheme="majorBidi" w:hAnsiTheme="majorBidi" w:cstheme="majorBidi"/>
          <w:sz w:val="24"/>
          <w:szCs w:val="24"/>
        </w:rPr>
        <w:t xml:space="preserve">General (Administrative Law) and the Deputy to the </w:t>
      </w:r>
      <w:r w:rsidR="00214D90" w:rsidRPr="00541229">
        <w:rPr>
          <w:rFonts w:asciiTheme="majorBidi" w:hAnsiTheme="majorBidi" w:cstheme="majorBidi"/>
          <w:sz w:val="24"/>
          <w:szCs w:val="24"/>
        </w:rPr>
        <w:t>Director</w:t>
      </w:r>
      <w:r w:rsidR="00214D90">
        <w:rPr>
          <w:rFonts w:asciiTheme="majorBidi" w:hAnsiTheme="majorBidi" w:cstheme="majorBidi"/>
          <w:sz w:val="24"/>
          <w:szCs w:val="24"/>
        </w:rPr>
        <w:t>-</w:t>
      </w:r>
      <w:r w:rsidRPr="00541229">
        <w:rPr>
          <w:rFonts w:asciiTheme="majorBidi" w:hAnsiTheme="majorBidi" w:cstheme="majorBidi"/>
          <w:sz w:val="24"/>
          <w:szCs w:val="24"/>
        </w:rPr>
        <w:t xml:space="preserve">General of the Ministry of Welfare and Social Affairs. The team included representatives from the Ministry of Welfare and Social Affairs, the Ministry of Justice and the Ministry of Health. The team </w:t>
      </w:r>
      <w:r w:rsidR="002D629A">
        <w:rPr>
          <w:rFonts w:asciiTheme="majorBidi" w:hAnsiTheme="majorBidi" w:cstheme="majorBidi"/>
          <w:sz w:val="24"/>
          <w:szCs w:val="24"/>
        </w:rPr>
        <w:t>received</w:t>
      </w:r>
      <w:r w:rsidR="002D629A"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submissions </w:t>
      </w:r>
      <w:r w:rsidR="002D629A">
        <w:rPr>
          <w:rFonts w:asciiTheme="majorBidi" w:hAnsiTheme="majorBidi" w:cstheme="majorBidi"/>
          <w:sz w:val="24"/>
          <w:szCs w:val="24"/>
        </w:rPr>
        <w:t>from</w:t>
      </w:r>
      <w:r w:rsidR="002D629A"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members of the </w:t>
      </w:r>
      <w:r w:rsidR="002D629A">
        <w:rPr>
          <w:rFonts w:asciiTheme="majorBidi" w:hAnsiTheme="majorBidi" w:cstheme="majorBidi"/>
          <w:sz w:val="24"/>
          <w:szCs w:val="24"/>
        </w:rPr>
        <w:t>A</w:t>
      </w:r>
      <w:r w:rsidR="002D629A" w:rsidRPr="00541229">
        <w:rPr>
          <w:rFonts w:asciiTheme="majorBidi" w:hAnsiTheme="majorBidi" w:cstheme="majorBidi"/>
          <w:sz w:val="24"/>
          <w:szCs w:val="24"/>
        </w:rPr>
        <w:t>cademia</w:t>
      </w:r>
      <w:r w:rsidRPr="00541229">
        <w:rPr>
          <w:rFonts w:asciiTheme="majorBidi" w:hAnsiTheme="majorBidi" w:cstheme="majorBidi"/>
          <w:sz w:val="24"/>
          <w:szCs w:val="24"/>
        </w:rPr>
        <w:t>, representatives of transgender community organizations and other official representatives.</w:t>
      </w:r>
    </w:p>
    <w:p w14:paraId="246C57FE" w14:textId="74294B91" w:rsidR="00291794" w:rsidRPr="00541229" w:rsidRDefault="00B41AA7" w:rsidP="0064448C">
      <w:pPr>
        <w:bidi w:val="0"/>
        <w:spacing w:before="120" w:after="120" w:line="360" w:lineRule="auto"/>
        <w:ind w:right="34"/>
        <w:jc w:val="both"/>
        <w:rPr>
          <w:rFonts w:asciiTheme="majorBidi" w:hAnsiTheme="majorBidi" w:cstheme="majorBidi"/>
          <w:sz w:val="24"/>
          <w:szCs w:val="24"/>
        </w:rPr>
      </w:pPr>
      <w:r w:rsidRPr="00541229">
        <w:rPr>
          <w:rFonts w:asciiTheme="majorBidi" w:hAnsiTheme="majorBidi" w:cstheme="majorBidi"/>
          <w:sz w:val="24"/>
          <w:szCs w:val="24"/>
        </w:rPr>
        <w:t xml:space="preserve">On December 20, 2020, the </w:t>
      </w:r>
      <w:r w:rsidR="00214D90">
        <w:rPr>
          <w:rFonts w:asciiTheme="majorBidi" w:hAnsiTheme="majorBidi" w:cstheme="majorBidi"/>
          <w:sz w:val="24"/>
          <w:szCs w:val="24"/>
        </w:rPr>
        <w:t xml:space="preserve">team’s </w:t>
      </w:r>
      <w:r w:rsidRPr="00541229">
        <w:rPr>
          <w:rFonts w:asciiTheme="majorBidi" w:hAnsiTheme="majorBidi" w:cstheme="majorBidi"/>
          <w:sz w:val="24"/>
          <w:szCs w:val="24"/>
        </w:rPr>
        <w:t xml:space="preserve">interim conclusions and recommendations were submitted to the said Ministers. </w:t>
      </w:r>
      <w:r w:rsidR="00214D90">
        <w:rPr>
          <w:rFonts w:asciiTheme="majorBidi" w:hAnsiTheme="majorBidi" w:cstheme="majorBidi"/>
          <w:sz w:val="24"/>
          <w:szCs w:val="24"/>
        </w:rPr>
        <w:t>They</w:t>
      </w:r>
      <w:r w:rsidRPr="00541229">
        <w:rPr>
          <w:rFonts w:asciiTheme="majorBidi" w:hAnsiTheme="majorBidi" w:cstheme="majorBidi"/>
          <w:sz w:val="24"/>
          <w:szCs w:val="24"/>
        </w:rPr>
        <w:t xml:space="preserve"> were based on the view that gender identity is a profound, inner and individual experience, and that everyone should be allowed to live safely in their gender, as they personally perceive it. The premise upon which the recommendations were made was that recognition and respect for one's gender identity ought to be the default in the provision of governmental services, in light of the understanding that this requirement lies at the very core of human dignity. The following general interim recommendations were made: stepping up the efforts to enhance the representation of the transgender community in the </w:t>
      </w:r>
      <w:r w:rsidR="002D629A">
        <w:rPr>
          <w:rFonts w:asciiTheme="majorBidi" w:hAnsiTheme="majorBidi" w:cstheme="majorBidi"/>
          <w:sz w:val="24"/>
          <w:szCs w:val="24"/>
        </w:rPr>
        <w:t>C</w:t>
      </w:r>
      <w:r w:rsidR="002D629A" w:rsidRPr="00541229">
        <w:rPr>
          <w:rFonts w:asciiTheme="majorBidi" w:hAnsiTheme="majorBidi" w:cstheme="majorBidi"/>
          <w:sz w:val="24"/>
          <w:szCs w:val="24"/>
        </w:rPr>
        <w:t xml:space="preserve">ivil </w:t>
      </w:r>
      <w:r w:rsidR="002D629A">
        <w:rPr>
          <w:rFonts w:asciiTheme="majorBidi" w:hAnsiTheme="majorBidi" w:cstheme="majorBidi"/>
          <w:sz w:val="24"/>
          <w:szCs w:val="24"/>
        </w:rPr>
        <w:t>S</w:t>
      </w:r>
      <w:r w:rsidR="002D629A" w:rsidRPr="00541229">
        <w:rPr>
          <w:rFonts w:asciiTheme="majorBidi" w:hAnsiTheme="majorBidi" w:cstheme="majorBidi"/>
          <w:sz w:val="24"/>
          <w:szCs w:val="24"/>
        </w:rPr>
        <w:t>ervice</w:t>
      </w:r>
      <w:r w:rsidRPr="00541229">
        <w:rPr>
          <w:rFonts w:asciiTheme="majorBidi" w:hAnsiTheme="majorBidi" w:cstheme="majorBidi"/>
          <w:sz w:val="24"/>
          <w:szCs w:val="24"/>
        </w:rPr>
        <w:t xml:space="preserve">; improving the accessibility of governmental forms to the transgender community by employing a gender-neutral language and adding an "other" alternative to the options available under the gender identity section in the form; conducting professional training for civil servants in order to raise awareness to the transgender community and its hardships; and so forth. The team also made specific interim recommendations to each of the three </w:t>
      </w:r>
      <w:r w:rsidR="002D629A">
        <w:rPr>
          <w:rFonts w:asciiTheme="majorBidi" w:hAnsiTheme="majorBidi" w:cstheme="majorBidi"/>
          <w:sz w:val="24"/>
          <w:szCs w:val="24"/>
        </w:rPr>
        <w:t xml:space="preserve">(3) </w:t>
      </w:r>
      <w:r w:rsidRPr="00541229">
        <w:rPr>
          <w:rFonts w:asciiTheme="majorBidi" w:hAnsiTheme="majorBidi" w:cstheme="majorBidi"/>
          <w:sz w:val="24"/>
          <w:szCs w:val="24"/>
        </w:rPr>
        <w:t xml:space="preserve">Ministries involved. </w:t>
      </w:r>
    </w:p>
    <w:p w14:paraId="6B786258" w14:textId="77777777" w:rsidR="00291794" w:rsidRPr="00541229" w:rsidRDefault="00B41AA7" w:rsidP="002D629A">
      <w:pPr>
        <w:bidi w:val="0"/>
        <w:spacing w:before="120" w:after="120" w:line="360" w:lineRule="auto"/>
        <w:jc w:val="both"/>
        <w:rPr>
          <w:rFonts w:asciiTheme="majorBidi" w:hAnsiTheme="majorBidi" w:cstheme="majorBidi"/>
          <w:sz w:val="24"/>
          <w:szCs w:val="24"/>
          <w:rtl/>
        </w:rPr>
      </w:pPr>
      <w:r w:rsidRPr="00541229">
        <w:rPr>
          <w:rFonts w:asciiTheme="majorBidi" w:hAnsiTheme="majorBidi" w:cstheme="majorBidi"/>
          <w:sz w:val="24"/>
          <w:szCs w:val="24"/>
        </w:rPr>
        <w:t xml:space="preserve">In November 2021 the Minister of Justice decided to implement the recommendation in the Report </w:t>
      </w:r>
      <w:r w:rsidR="002D629A">
        <w:rPr>
          <w:rFonts w:asciiTheme="majorBidi" w:hAnsiTheme="majorBidi" w:cstheme="majorBidi"/>
          <w:sz w:val="24"/>
          <w:szCs w:val="24"/>
        </w:rPr>
        <w:t xml:space="preserve">regarding the </w:t>
      </w:r>
      <w:r w:rsidRPr="00541229">
        <w:rPr>
          <w:rFonts w:asciiTheme="majorBidi" w:hAnsiTheme="majorBidi" w:cstheme="majorBidi"/>
          <w:sz w:val="24"/>
          <w:szCs w:val="24"/>
        </w:rPr>
        <w:t>promot</w:t>
      </w:r>
      <w:r w:rsidR="002D629A">
        <w:rPr>
          <w:rFonts w:asciiTheme="majorBidi" w:hAnsiTheme="majorBidi" w:cstheme="majorBidi"/>
          <w:sz w:val="24"/>
          <w:szCs w:val="24"/>
        </w:rPr>
        <w:t>ion of</w:t>
      </w:r>
      <w:r w:rsidRPr="00541229">
        <w:rPr>
          <w:rFonts w:asciiTheme="majorBidi" w:hAnsiTheme="majorBidi" w:cstheme="majorBidi"/>
          <w:sz w:val="24"/>
          <w:szCs w:val="24"/>
        </w:rPr>
        <w:t xml:space="preserve"> accessibility of the transgender community to the public sector. Therefore, a call center on legal issues, regarding to discrimination, exclusion and other legal questions devoted to the transgender community was established in the Ministry of Justice. </w:t>
      </w:r>
    </w:p>
    <w:p w14:paraId="0461B738" w14:textId="77777777" w:rsidR="00C46EF5" w:rsidRPr="00541229" w:rsidRDefault="00B41AA7" w:rsidP="00541229">
      <w:pPr>
        <w:bidi w:val="0"/>
        <w:spacing w:line="360" w:lineRule="auto"/>
        <w:jc w:val="both"/>
        <w:rPr>
          <w:rFonts w:asciiTheme="majorBidi" w:eastAsia="Times New Roman" w:hAnsiTheme="majorBidi" w:cstheme="majorBidi"/>
          <w:color w:val="000000"/>
          <w:sz w:val="24"/>
          <w:szCs w:val="24"/>
          <w:u w:val="single"/>
        </w:rPr>
      </w:pPr>
      <w:r w:rsidRPr="00541229">
        <w:rPr>
          <w:rFonts w:asciiTheme="majorBidi" w:eastAsia="Times New Roman" w:hAnsiTheme="majorBidi" w:cstheme="majorBidi"/>
          <w:color w:val="000000"/>
          <w:sz w:val="24"/>
          <w:szCs w:val="24"/>
          <w:u w:val="single"/>
        </w:rPr>
        <w:t>Abortion</w:t>
      </w:r>
    </w:p>
    <w:p w14:paraId="33BE8C87" w14:textId="3397BFA1" w:rsidR="00291794" w:rsidRPr="00541229" w:rsidRDefault="00B41AA7" w:rsidP="00603803">
      <w:pPr>
        <w:pStyle w:val="ParaNo"/>
        <w:tabs>
          <w:tab w:val="clear" w:pos="737"/>
        </w:tabs>
        <w:spacing w:line="360" w:lineRule="auto"/>
        <w:jc w:val="both"/>
        <w:rPr>
          <w:rFonts w:asciiTheme="majorBidi" w:hAnsiTheme="majorBidi" w:cstheme="majorBidi"/>
          <w:szCs w:val="24"/>
        </w:rPr>
      </w:pPr>
      <w:r w:rsidRPr="00541229">
        <w:rPr>
          <w:rFonts w:asciiTheme="majorBidi" w:hAnsiTheme="majorBidi" w:cstheme="majorBidi"/>
          <w:szCs w:val="24"/>
        </w:rPr>
        <w:t xml:space="preserve">According to Sections 312-321 of the </w:t>
      </w:r>
      <w:r w:rsidRPr="00541229">
        <w:rPr>
          <w:rFonts w:asciiTheme="majorBidi" w:hAnsiTheme="majorBidi" w:cstheme="majorBidi"/>
          <w:i/>
          <w:iCs/>
          <w:szCs w:val="24"/>
        </w:rPr>
        <w:t>Penal Law</w:t>
      </w:r>
      <w:r w:rsidRPr="00541229">
        <w:rPr>
          <w:rFonts w:asciiTheme="majorBidi" w:hAnsiTheme="majorBidi" w:cstheme="majorBidi"/>
          <w:szCs w:val="24"/>
        </w:rPr>
        <w:t xml:space="preserve">, each termination of pregnancy requires the approval of a committee </w:t>
      </w:r>
      <w:r w:rsidR="0064448C">
        <w:rPr>
          <w:rFonts w:asciiTheme="majorBidi" w:hAnsiTheme="majorBidi" w:cstheme="majorBidi"/>
          <w:szCs w:val="24"/>
        </w:rPr>
        <w:t>consisting</w:t>
      </w:r>
      <w:r w:rsidRPr="00541229">
        <w:rPr>
          <w:rFonts w:asciiTheme="majorBidi" w:hAnsiTheme="majorBidi" w:cstheme="majorBidi"/>
          <w:szCs w:val="24"/>
        </w:rPr>
        <w:t xml:space="preserve"> of two </w:t>
      </w:r>
      <w:r w:rsidR="002566C2">
        <w:rPr>
          <w:rFonts w:asciiTheme="majorBidi" w:hAnsiTheme="majorBidi" w:cstheme="majorBidi"/>
          <w:szCs w:val="24"/>
        </w:rPr>
        <w:t>(2) physician</w:t>
      </w:r>
      <w:r w:rsidR="002566C2" w:rsidRPr="00541229">
        <w:rPr>
          <w:rFonts w:asciiTheme="majorBidi" w:hAnsiTheme="majorBidi" w:cstheme="majorBidi"/>
          <w:szCs w:val="24"/>
        </w:rPr>
        <w:t xml:space="preserve">s </w:t>
      </w:r>
      <w:r w:rsidRPr="00541229">
        <w:rPr>
          <w:rFonts w:asciiTheme="majorBidi" w:hAnsiTheme="majorBidi" w:cstheme="majorBidi"/>
          <w:szCs w:val="24"/>
        </w:rPr>
        <w:t xml:space="preserve">and a social worker (one of </w:t>
      </w:r>
      <w:r w:rsidR="0064448C">
        <w:rPr>
          <w:rFonts w:asciiTheme="majorBidi" w:hAnsiTheme="majorBidi" w:cstheme="majorBidi"/>
          <w:szCs w:val="24"/>
        </w:rPr>
        <w:t>whom</w:t>
      </w:r>
      <w:r w:rsidR="0064448C" w:rsidRPr="00541229">
        <w:rPr>
          <w:rFonts w:asciiTheme="majorBidi" w:hAnsiTheme="majorBidi" w:cstheme="majorBidi"/>
          <w:szCs w:val="24"/>
        </w:rPr>
        <w:t xml:space="preserve"> </w:t>
      </w:r>
      <w:r w:rsidRPr="00541229">
        <w:rPr>
          <w:rFonts w:asciiTheme="majorBidi" w:hAnsiTheme="majorBidi" w:cstheme="majorBidi"/>
          <w:szCs w:val="24"/>
        </w:rPr>
        <w:t xml:space="preserve">must be a woman). The Law specifies a few legal grounds for termination of pregnancy, including if the woman is </w:t>
      </w:r>
      <w:r w:rsidR="007F0527">
        <w:rPr>
          <w:rFonts w:asciiTheme="majorBidi" w:hAnsiTheme="majorBidi" w:cstheme="majorBidi"/>
          <w:szCs w:val="24"/>
        </w:rPr>
        <w:t>underage</w:t>
      </w:r>
      <w:r w:rsidRPr="00541229">
        <w:rPr>
          <w:rFonts w:asciiTheme="majorBidi" w:hAnsiTheme="majorBidi" w:cstheme="majorBidi"/>
          <w:szCs w:val="24"/>
        </w:rPr>
        <w:t xml:space="preserve">, or unmarried (at all ages), or if the pregnancy might cause her severe mental harm. </w:t>
      </w:r>
      <w:r w:rsidR="007F0527">
        <w:rPr>
          <w:rFonts w:asciiTheme="majorBidi" w:hAnsiTheme="majorBidi" w:cstheme="majorBidi"/>
          <w:szCs w:val="24"/>
        </w:rPr>
        <w:t>Girls</w:t>
      </w:r>
      <w:r w:rsidR="007F0527" w:rsidRPr="00541229">
        <w:rPr>
          <w:rFonts w:asciiTheme="majorBidi" w:hAnsiTheme="majorBidi" w:cstheme="majorBidi"/>
          <w:szCs w:val="24"/>
        </w:rPr>
        <w:t xml:space="preserve"> </w:t>
      </w:r>
      <w:r w:rsidRPr="00541229">
        <w:rPr>
          <w:rFonts w:asciiTheme="majorBidi" w:hAnsiTheme="majorBidi" w:cstheme="majorBidi"/>
          <w:szCs w:val="24"/>
        </w:rPr>
        <w:t xml:space="preserve">are authorized to decide on the termination of pregnancy by themselves and there is no requirement for informing or receiving the approval of their parents. There is no </w:t>
      </w:r>
      <w:r w:rsidR="0064448C">
        <w:rPr>
          <w:rFonts w:asciiTheme="majorBidi" w:hAnsiTheme="majorBidi" w:cstheme="majorBidi"/>
          <w:szCs w:val="24"/>
        </w:rPr>
        <w:t>necessary</w:t>
      </w:r>
      <w:r w:rsidR="0064448C" w:rsidRPr="00541229">
        <w:rPr>
          <w:rFonts w:asciiTheme="majorBidi" w:hAnsiTheme="majorBidi" w:cstheme="majorBidi"/>
          <w:szCs w:val="24"/>
        </w:rPr>
        <w:t xml:space="preserve"> </w:t>
      </w:r>
      <w:r w:rsidRPr="00541229">
        <w:rPr>
          <w:rFonts w:asciiTheme="majorBidi" w:hAnsiTheme="majorBidi" w:cstheme="majorBidi"/>
          <w:szCs w:val="24"/>
        </w:rPr>
        <w:t xml:space="preserve">presence of a parent or a partner at the committee as they have no legal status or any other status there. The committee is </w:t>
      </w:r>
      <w:r w:rsidR="0064448C">
        <w:rPr>
          <w:rFonts w:asciiTheme="majorBidi" w:hAnsiTheme="majorBidi" w:cstheme="majorBidi"/>
          <w:szCs w:val="24"/>
        </w:rPr>
        <w:t>shall</w:t>
      </w:r>
      <w:r w:rsidRPr="00541229">
        <w:rPr>
          <w:rFonts w:asciiTheme="majorBidi" w:hAnsiTheme="majorBidi" w:cstheme="majorBidi"/>
          <w:szCs w:val="24"/>
        </w:rPr>
        <w:t xml:space="preserve"> ensure that the woman or the </w:t>
      </w:r>
      <w:r w:rsidR="007F0527">
        <w:rPr>
          <w:rFonts w:asciiTheme="majorBidi" w:hAnsiTheme="majorBidi" w:cstheme="majorBidi"/>
          <w:szCs w:val="24"/>
        </w:rPr>
        <w:t>girl</w:t>
      </w:r>
      <w:r w:rsidR="007F0527" w:rsidRPr="00541229">
        <w:rPr>
          <w:rFonts w:asciiTheme="majorBidi" w:hAnsiTheme="majorBidi" w:cstheme="majorBidi"/>
          <w:szCs w:val="24"/>
        </w:rPr>
        <w:t xml:space="preserve"> </w:t>
      </w:r>
      <w:r w:rsidRPr="00541229">
        <w:rPr>
          <w:rFonts w:asciiTheme="majorBidi" w:hAnsiTheme="majorBidi" w:cstheme="majorBidi"/>
          <w:szCs w:val="24"/>
        </w:rPr>
        <w:t>requesting to carry out the termination of pregnancy</w:t>
      </w:r>
      <w:r w:rsidR="0064448C">
        <w:rPr>
          <w:rFonts w:asciiTheme="majorBidi" w:hAnsiTheme="majorBidi" w:cstheme="majorBidi"/>
          <w:szCs w:val="24"/>
        </w:rPr>
        <w:t xml:space="preserve"> has</w:t>
      </w:r>
      <w:r w:rsidRPr="00541229">
        <w:rPr>
          <w:rFonts w:asciiTheme="majorBidi" w:hAnsiTheme="majorBidi" w:cstheme="majorBidi"/>
          <w:szCs w:val="24"/>
        </w:rPr>
        <w:t xml:space="preserve"> received the relevant information and gives her informed consent to the procedure. Termination of Pregnancy until age 33, for all reasons in the Law, is covered by the National Health Insurance. The </w:t>
      </w:r>
      <w:r w:rsidR="001972DF">
        <w:rPr>
          <w:rFonts w:asciiTheme="majorBidi" w:hAnsiTheme="majorBidi" w:cstheme="majorBidi"/>
          <w:szCs w:val="24"/>
        </w:rPr>
        <w:t>M</w:t>
      </w:r>
      <w:r w:rsidR="001972DF" w:rsidRPr="001972DF">
        <w:rPr>
          <w:rFonts w:asciiTheme="majorBidi" w:hAnsiTheme="majorBidi" w:cstheme="majorBidi"/>
          <w:szCs w:val="24"/>
        </w:rPr>
        <w:t xml:space="preserve">inistry of </w:t>
      </w:r>
      <w:r w:rsidR="001972DF">
        <w:rPr>
          <w:rFonts w:asciiTheme="majorBidi" w:hAnsiTheme="majorBidi" w:cstheme="majorBidi"/>
          <w:szCs w:val="24"/>
        </w:rPr>
        <w:t>H</w:t>
      </w:r>
      <w:r w:rsidR="001972DF" w:rsidRPr="001972DF">
        <w:rPr>
          <w:rFonts w:asciiTheme="majorBidi" w:hAnsiTheme="majorBidi" w:cstheme="majorBidi"/>
          <w:szCs w:val="24"/>
        </w:rPr>
        <w:t>ealth</w:t>
      </w:r>
      <w:r w:rsidRPr="00541229">
        <w:rPr>
          <w:rFonts w:asciiTheme="majorBidi" w:hAnsiTheme="majorBidi" w:cstheme="majorBidi"/>
          <w:szCs w:val="24"/>
        </w:rPr>
        <w:t xml:space="preserve"> initiated a special social-work program designed to engage with </w:t>
      </w:r>
      <w:r w:rsidR="007F0527">
        <w:rPr>
          <w:rFonts w:asciiTheme="majorBidi" w:hAnsiTheme="majorBidi" w:cstheme="majorBidi"/>
          <w:szCs w:val="24"/>
        </w:rPr>
        <w:t>girls and adolescents</w:t>
      </w:r>
      <w:r w:rsidR="007F0527" w:rsidRPr="00541229">
        <w:rPr>
          <w:rFonts w:asciiTheme="majorBidi" w:hAnsiTheme="majorBidi" w:cstheme="majorBidi"/>
          <w:szCs w:val="24"/>
        </w:rPr>
        <w:t xml:space="preserve"> </w:t>
      </w:r>
      <w:r w:rsidRPr="00541229">
        <w:rPr>
          <w:rFonts w:asciiTheme="majorBidi" w:hAnsiTheme="majorBidi" w:cstheme="majorBidi"/>
          <w:szCs w:val="24"/>
        </w:rPr>
        <w:t xml:space="preserve">after abortion, to help prevent recurrence of teen-pregnancies.  </w:t>
      </w:r>
      <w:r w:rsidRPr="00541229">
        <w:rPr>
          <w:rFonts w:asciiTheme="majorBidi" w:hAnsiTheme="majorBidi" w:cstheme="majorBidi"/>
          <w:szCs w:val="24"/>
          <w:lang w:val="en-US"/>
        </w:rPr>
        <w:t xml:space="preserve"> </w:t>
      </w:r>
    </w:p>
    <w:p w14:paraId="3021DED3" w14:textId="1B371E3E" w:rsidR="00291794" w:rsidRPr="00541229" w:rsidRDefault="00B41AA7">
      <w:pPr>
        <w:pStyle w:val="ParaNo"/>
        <w:tabs>
          <w:tab w:val="clear" w:pos="737"/>
        </w:tabs>
        <w:spacing w:line="360" w:lineRule="auto"/>
        <w:jc w:val="both"/>
        <w:rPr>
          <w:rFonts w:asciiTheme="majorBidi" w:hAnsiTheme="majorBidi" w:cstheme="majorBidi"/>
          <w:szCs w:val="24"/>
          <w:rtl/>
        </w:rPr>
      </w:pPr>
      <w:r w:rsidRPr="00541229">
        <w:rPr>
          <w:rFonts w:asciiTheme="majorBidi" w:hAnsiTheme="majorBidi" w:cstheme="majorBidi"/>
          <w:szCs w:val="24"/>
        </w:rPr>
        <w:t xml:space="preserve">In the appropriate cases (such as statutory rape, an at-risk </w:t>
      </w:r>
      <w:r w:rsidR="007F0527">
        <w:rPr>
          <w:rFonts w:asciiTheme="majorBidi" w:hAnsiTheme="majorBidi" w:cstheme="majorBidi"/>
          <w:szCs w:val="24"/>
        </w:rPr>
        <w:t>girl</w:t>
      </w:r>
      <w:r w:rsidRPr="00541229">
        <w:rPr>
          <w:rFonts w:asciiTheme="majorBidi" w:hAnsiTheme="majorBidi" w:cstheme="majorBidi"/>
          <w:szCs w:val="24"/>
        </w:rPr>
        <w:t xml:space="preserve">, or domestic violence), the medical institutions involve certified representatives from the social welfare system. These rules apply for every woman or girl, regardless of whether she has a disability.  </w:t>
      </w:r>
    </w:p>
    <w:p w14:paraId="1E6E1EF1" w14:textId="77777777" w:rsidR="00C46EF5" w:rsidRPr="00541229" w:rsidRDefault="00B41AA7" w:rsidP="00541229">
      <w:pPr>
        <w:bidi w:val="0"/>
        <w:spacing w:line="360" w:lineRule="auto"/>
        <w:jc w:val="both"/>
        <w:rPr>
          <w:rFonts w:asciiTheme="majorBidi" w:eastAsia="Times New Roman" w:hAnsiTheme="majorBidi" w:cstheme="majorBidi"/>
          <w:color w:val="000000"/>
          <w:sz w:val="24"/>
          <w:szCs w:val="24"/>
          <w:u w:val="single"/>
        </w:rPr>
      </w:pPr>
      <w:r w:rsidRPr="00541229">
        <w:rPr>
          <w:rFonts w:asciiTheme="majorBidi" w:eastAsia="Times New Roman" w:hAnsiTheme="majorBidi" w:cstheme="majorBidi"/>
          <w:color w:val="000000"/>
          <w:sz w:val="24"/>
          <w:szCs w:val="24"/>
          <w:u w:val="single"/>
        </w:rPr>
        <w:t>Drugs</w:t>
      </w:r>
    </w:p>
    <w:p w14:paraId="01A5D8AC" w14:textId="77777777" w:rsidR="00291794" w:rsidRPr="00541229" w:rsidRDefault="00B41AA7" w:rsidP="00541229">
      <w:pPr>
        <w:bidi w:val="0"/>
        <w:spacing w:line="360" w:lineRule="auto"/>
        <w:jc w:val="both"/>
        <w:rPr>
          <w:rFonts w:asciiTheme="majorBidi" w:eastAsia="Times New Roman" w:hAnsiTheme="majorBidi" w:cstheme="majorBidi"/>
          <w:color w:val="000000"/>
          <w:sz w:val="24"/>
          <w:szCs w:val="24"/>
        </w:rPr>
      </w:pPr>
      <w:r w:rsidRPr="00541229">
        <w:rPr>
          <w:rFonts w:asciiTheme="majorBidi" w:hAnsiTheme="majorBidi" w:cstheme="majorBidi"/>
          <w:sz w:val="24"/>
          <w:szCs w:val="24"/>
        </w:rPr>
        <w:t xml:space="preserve">On February 7, 2018, the </w:t>
      </w:r>
      <w:r w:rsidRPr="00541229">
        <w:rPr>
          <w:rFonts w:asciiTheme="majorBidi" w:hAnsiTheme="majorBidi" w:cstheme="majorBidi"/>
          <w:i/>
          <w:iCs/>
          <w:sz w:val="24"/>
          <w:szCs w:val="24"/>
        </w:rPr>
        <w:t>Authority for the Prevention of Violence, Drugs and Alcohol Abuse Law</w:t>
      </w:r>
      <w:r w:rsidRPr="00541229">
        <w:rPr>
          <w:rFonts w:asciiTheme="majorBidi" w:hAnsiTheme="majorBidi" w:cstheme="majorBidi"/>
          <w:sz w:val="24"/>
          <w:szCs w:val="24"/>
        </w:rPr>
        <w:t xml:space="preserve"> 5777-2017 entered into force. The Law established the Israeli Authority for the Prevention of Violence, Drugs and Alcohol Abuse (hereinafter: the Authority). The Authority further acts, among others, to raise public awareness to violence, sexual and general child abuse, by increasing the ability of the local authorities and community to identify, prevent and respond to events of sexual abuse in children.</w:t>
      </w:r>
      <w:r w:rsidRPr="00541229">
        <w:rPr>
          <w:rFonts w:asciiTheme="majorBidi" w:hAnsiTheme="majorBidi" w:cstheme="majorBidi"/>
          <w:b/>
          <w:bCs/>
          <w:sz w:val="24"/>
          <w:szCs w:val="24"/>
        </w:rPr>
        <w:t xml:space="preserve"> </w:t>
      </w:r>
      <w:r w:rsidRPr="00541229">
        <w:rPr>
          <w:rFonts w:asciiTheme="majorBidi" w:hAnsiTheme="majorBidi" w:cstheme="majorBidi"/>
          <w:sz w:val="24"/>
          <w:szCs w:val="24"/>
        </w:rPr>
        <w:t>The Authority conducts several programs such as: "School Safety Counselors", training “Gatekeepers” in localities, recruiting, training and guiding parents etc.</w:t>
      </w:r>
    </w:p>
    <w:p w14:paraId="5275FF26" w14:textId="77777777" w:rsidR="00C46EF5" w:rsidRPr="00541229" w:rsidRDefault="00B41AA7" w:rsidP="00541229">
      <w:pPr>
        <w:bidi w:val="0"/>
        <w:spacing w:line="360" w:lineRule="auto"/>
        <w:jc w:val="both"/>
        <w:rPr>
          <w:rFonts w:asciiTheme="majorBidi" w:eastAsia="Times New Roman" w:hAnsiTheme="majorBidi" w:cstheme="majorBidi"/>
          <w:color w:val="000000"/>
          <w:sz w:val="24"/>
          <w:szCs w:val="24"/>
          <w:u w:val="single"/>
        </w:rPr>
      </w:pPr>
      <w:r w:rsidRPr="00541229">
        <w:rPr>
          <w:rFonts w:asciiTheme="majorBidi" w:eastAsia="Times New Roman" w:hAnsiTheme="majorBidi" w:cstheme="majorBidi"/>
          <w:color w:val="000000"/>
          <w:sz w:val="24"/>
          <w:szCs w:val="24"/>
          <w:u w:val="single"/>
        </w:rPr>
        <w:t>Female Genital Mutilation</w:t>
      </w:r>
    </w:p>
    <w:p w14:paraId="13CA2548" w14:textId="24EC4A2D" w:rsidR="00FD26D9" w:rsidRPr="00541229" w:rsidRDefault="00B41AA7">
      <w:pPr>
        <w:bidi w:val="0"/>
        <w:spacing w:line="360" w:lineRule="auto"/>
        <w:jc w:val="both"/>
        <w:rPr>
          <w:rFonts w:asciiTheme="majorBidi" w:eastAsia="Times New Roman" w:hAnsiTheme="majorBidi" w:cstheme="majorBidi"/>
          <w:color w:val="000000"/>
          <w:sz w:val="24"/>
          <w:szCs w:val="24"/>
        </w:rPr>
      </w:pPr>
      <w:r w:rsidRPr="00541229">
        <w:rPr>
          <w:rFonts w:asciiTheme="majorBidi" w:eastAsia="Times New Roman" w:hAnsiTheme="majorBidi" w:cstheme="majorBidi"/>
          <w:color w:val="000000"/>
          <w:sz w:val="24"/>
          <w:szCs w:val="24"/>
        </w:rPr>
        <w:t xml:space="preserve">While the </w:t>
      </w:r>
      <w:r w:rsidRPr="00541229">
        <w:rPr>
          <w:rFonts w:asciiTheme="majorBidi" w:eastAsia="Times New Roman" w:hAnsiTheme="majorBidi" w:cstheme="majorBidi"/>
          <w:i/>
          <w:iCs/>
          <w:color w:val="000000"/>
          <w:sz w:val="24"/>
          <w:szCs w:val="24"/>
        </w:rPr>
        <w:t>Penal Law</w:t>
      </w:r>
      <w:r w:rsidRPr="00541229">
        <w:rPr>
          <w:rFonts w:asciiTheme="majorBidi" w:eastAsia="Times New Roman" w:hAnsiTheme="majorBidi" w:cstheme="majorBidi"/>
          <w:color w:val="000000"/>
          <w:sz w:val="24"/>
          <w:szCs w:val="24"/>
        </w:rPr>
        <w:t xml:space="preserve"> 5737-1977 does not specifically prohibit female genital mutilation, cases may</w:t>
      </w:r>
      <w:r w:rsidR="00EE7D66">
        <w:rPr>
          <w:rFonts w:asciiTheme="majorBidi" w:eastAsia="Times New Roman" w:hAnsiTheme="majorBidi" w:cstheme="majorBidi"/>
          <w:color w:val="000000"/>
          <w:sz w:val="24"/>
          <w:szCs w:val="24"/>
        </w:rPr>
        <w:t xml:space="preserve"> </w:t>
      </w:r>
      <w:r w:rsidRPr="00541229">
        <w:rPr>
          <w:rFonts w:asciiTheme="majorBidi" w:eastAsia="Times New Roman" w:hAnsiTheme="majorBidi" w:cstheme="majorBidi"/>
          <w:color w:val="000000"/>
          <w:sz w:val="24"/>
          <w:szCs w:val="24"/>
        </w:rPr>
        <w:t xml:space="preserve">be prosecuted under sections regarding assault, aggravated assault or bodily harm. The High Court of Justice recently expounded on this, in a precedential ruling which declared that the petitioners, a family of asylum seekers, would be granted refugee status due to their well-found fear of FGM in their origin country (Rq.Ad.A. 5040/18 </w:t>
      </w:r>
      <w:r w:rsidRPr="00541229">
        <w:rPr>
          <w:rFonts w:asciiTheme="majorBidi" w:eastAsia="Times New Roman" w:hAnsiTheme="majorBidi" w:cstheme="majorBidi"/>
          <w:i/>
          <w:iCs/>
          <w:color w:val="000000"/>
          <w:sz w:val="24"/>
          <w:szCs w:val="24"/>
        </w:rPr>
        <w:t>Anonymous v. The Population and Immigration Authority</w:t>
      </w:r>
      <w:r w:rsidRPr="00541229">
        <w:rPr>
          <w:rFonts w:asciiTheme="majorBidi" w:eastAsia="Times New Roman" w:hAnsiTheme="majorBidi" w:cstheme="majorBidi"/>
          <w:color w:val="000000"/>
          <w:sz w:val="24"/>
          <w:szCs w:val="24"/>
        </w:rPr>
        <w:t xml:space="preserve"> (10.62019)).  </w:t>
      </w:r>
    </w:p>
    <w:p w14:paraId="4D04FD3E" w14:textId="77777777" w:rsidR="0044698F" w:rsidRPr="00541229" w:rsidRDefault="00B41AA7" w:rsidP="00541229">
      <w:pPr>
        <w:bidi w:val="0"/>
        <w:spacing w:line="360" w:lineRule="auto"/>
        <w:jc w:val="both"/>
        <w:rPr>
          <w:rFonts w:asciiTheme="majorBidi" w:eastAsia="Times New Roman" w:hAnsiTheme="majorBidi" w:cstheme="majorBidi"/>
          <w:b/>
          <w:bCs/>
          <w:color w:val="000000"/>
          <w:sz w:val="24"/>
          <w:szCs w:val="24"/>
          <w:u w:val="single"/>
        </w:rPr>
      </w:pPr>
      <w:r w:rsidRPr="00541229">
        <w:rPr>
          <w:rFonts w:asciiTheme="majorBidi" w:eastAsia="Times New Roman" w:hAnsiTheme="majorBidi" w:cstheme="majorBidi"/>
          <w:b/>
          <w:bCs/>
          <w:color w:val="000000"/>
          <w:sz w:val="24"/>
          <w:szCs w:val="24"/>
          <w:u w:val="single"/>
        </w:rPr>
        <w:t>Health and other responses for victims of violence</w:t>
      </w:r>
    </w:p>
    <w:p w14:paraId="5374154E" w14:textId="77777777" w:rsidR="00297F16" w:rsidRDefault="00B41AA7" w:rsidP="00297F16">
      <w:pPr>
        <w:bidi w:val="0"/>
        <w:spacing w:before="240"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Pursuant to </w:t>
      </w:r>
      <w:r w:rsidRPr="004E15C9">
        <w:rPr>
          <w:rFonts w:asciiTheme="majorBidi" w:eastAsia="Times New Roman" w:hAnsiTheme="majorBidi" w:cstheme="majorBidi"/>
          <w:i/>
          <w:iCs/>
          <w:color w:val="000000"/>
          <w:sz w:val="24"/>
          <w:szCs w:val="24"/>
        </w:rPr>
        <w:t>Patients' Rights Law</w:t>
      </w:r>
      <w:r>
        <w:rPr>
          <w:rFonts w:asciiTheme="majorBidi" w:eastAsia="Times New Roman" w:hAnsiTheme="majorBidi" w:cstheme="majorBidi"/>
          <w:color w:val="000000"/>
          <w:sz w:val="24"/>
          <w:szCs w:val="24"/>
        </w:rPr>
        <w:t xml:space="preserve"> </w:t>
      </w:r>
      <w:r w:rsidRPr="00F90B27">
        <w:rPr>
          <w:rFonts w:asciiTheme="majorBidi" w:eastAsia="Times New Roman" w:hAnsiTheme="majorBidi" w:cstheme="majorBidi"/>
          <w:sz w:val="24"/>
          <w:szCs w:val="24"/>
        </w:rPr>
        <w:t xml:space="preserve">1996-5756, </w:t>
      </w:r>
      <w:r>
        <w:rPr>
          <w:rFonts w:asciiTheme="majorBidi" w:eastAsia="Times New Roman" w:hAnsiTheme="majorBidi" w:cstheme="majorBidi"/>
          <w:sz w:val="24"/>
          <w:szCs w:val="24"/>
        </w:rPr>
        <w:t>all persons in Israel are</w:t>
      </w:r>
      <w:r>
        <w:rPr>
          <w:rFonts w:asciiTheme="majorBidi" w:eastAsia="Times New Roman" w:hAnsiTheme="majorBidi" w:cstheme="majorBidi"/>
          <w:color w:val="000000"/>
          <w:sz w:val="24"/>
          <w:szCs w:val="24"/>
        </w:rPr>
        <w:t xml:space="preserve"> entitled to urgent medical care in a situation of medical emergency. According to the </w:t>
      </w:r>
      <w:r w:rsidRPr="00E70A3A">
        <w:rPr>
          <w:rFonts w:asciiTheme="majorBidi" w:eastAsia="Times New Roman" w:hAnsiTheme="majorBidi" w:cstheme="majorBidi"/>
          <w:i/>
          <w:iCs/>
          <w:color w:val="000000"/>
          <w:sz w:val="24"/>
          <w:szCs w:val="24"/>
        </w:rPr>
        <w:t>National Health Insurance Law</w:t>
      </w:r>
      <w:r w:rsidRPr="007039F3">
        <w:rPr>
          <w:rFonts w:asciiTheme="majorBidi" w:eastAsia="Times New Roman" w:hAnsiTheme="majorBidi" w:cstheme="majorBidi"/>
          <w:color w:val="000000"/>
          <w:sz w:val="24"/>
          <w:szCs w:val="24"/>
        </w:rPr>
        <w:t xml:space="preserve"> 5754-1994</w:t>
      </w:r>
      <w:r>
        <w:rPr>
          <w:rFonts w:asciiTheme="majorBidi" w:eastAsia="Times New Roman" w:hAnsiTheme="majorBidi" w:cstheme="majorBidi"/>
          <w:color w:val="000000"/>
          <w:sz w:val="24"/>
          <w:szCs w:val="24"/>
        </w:rPr>
        <w:t xml:space="preserve">, all citizens and residents, including victims of violence, are eligible to a variety of health services offered through the Ministry of Health, HMOs and hospitals. Furthermore, victims of violence may be eligible for grants pursuant to the </w:t>
      </w:r>
      <w:r w:rsidRPr="005812CE">
        <w:rPr>
          <w:rFonts w:asciiTheme="majorBidi" w:eastAsia="Times New Roman" w:hAnsiTheme="majorBidi" w:cstheme="majorBidi"/>
          <w:i/>
          <w:iCs/>
          <w:color w:val="000000"/>
          <w:sz w:val="24"/>
          <w:szCs w:val="24"/>
        </w:rPr>
        <w:t>National Insurance [Consolidated Version] Law</w:t>
      </w:r>
      <w:r w:rsidRPr="00D610F4">
        <w:rPr>
          <w:rFonts w:asciiTheme="majorBidi" w:eastAsia="Times New Roman" w:hAnsiTheme="majorBidi" w:cstheme="majorBidi"/>
          <w:color w:val="000000"/>
          <w:sz w:val="24"/>
          <w:szCs w:val="24"/>
        </w:rPr>
        <w:t xml:space="preserve"> 5755–1995</w:t>
      </w:r>
      <w:r>
        <w:rPr>
          <w:rFonts w:asciiTheme="majorBidi" w:eastAsia="Times New Roman" w:hAnsiTheme="majorBidi" w:cstheme="majorBidi"/>
          <w:color w:val="000000"/>
          <w:sz w:val="24"/>
          <w:szCs w:val="24"/>
        </w:rPr>
        <w:t xml:space="preserve">, in relevant cases (unemployment, rehabilitation, disability, etc.). </w:t>
      </w:r>
    </w:p>
    <w:p w14:paraId="27622CC0" w14:textId="77777777" w:rsidR="00EB51E3" w:rsidRDefault="00B41AA7" w:rsidP="00297F16">
      <w:pPr>
        <w:bidi w:val="0"/>
        <w:spacing w:before="240" w:line="360" w:lineRule="auto"/>
        <w:jc w:val="both"/>
        <w:rPr>
          <w:rFonts w:asciiTheme="majorBidi" w:hAnsiTheme="majorBidi" w:cstheme="majorBidi"/>
          <w:sz w:val="24"/>
          <w:szCs w:val="24"/>
          <w:rtl/>
        </w:rPr>
      </w:pPr>
      <w:r w:rsidRPr="00541229">
        <w:rPr>
          <w:rFonts w:asciiTheme="majorBidi" w:hAnsiTheme="majorBidi" w:cstheme="majorBidi"/>
          <w:sz w:val="24"/>
          <w:szCs w:val="24"/>
        </w:rPr>
        <w:t>The</w:t>
      </w:r>
      <w:r w:rsidR="00A73D6C">
        <w:rPr>
          <w:rFonts w:asciiTheme="majorBidi" w:hAnsiTheme="majorBidi" w:cstheme="majorBidi"/>
          <w:sz w:val="24"/>
          <w:szCs w:val="24"/>
        </w:rPr>
        <w:t>rein, both the</w:t>
      </w:r>
      <w:r w:rsidRPr="00541229">
        <w:rPr>
          <w:rFonts w:asciiTheme="majorBidi" w:hAnsiTheme="majorBidi" w:cstheme="majorBidi"/>
          <w:sz w:val="24"/>
          <w:szCs w:val="24"/>
        </w:rPr>
        <w:t xml:space="preserve"> Ministry of Health and </w:t>
      </w:r>
      <w:r w:rsidR="00A73D6C">
        <w:rPr>
          <w:rFonts w:asciiTheme="majorBidi" w:hAnsiTheme="majorBidi" w:cstheme="majorBidi"/>
          <w:sz w:val="24"/>
          <w:szCs w:val="24"/>
        </w:rPr>
        <w:t xml:space="preserve">the </w:t>
      </w:r>
      <w:r w:rsidRPr="00541229">
        <w:rPr>
          <w:rFonts w:asciiTheme="majorBidi" w:hAnsiTheme="majorBidi" w:cstheme="majorBidi"/>
          <w:sz w:val="24"/>
          <w:szCs w:val="24"/>
        </w:rPr>
        <w:t xml:space="preserve">Ministry of Welfare and Social Affairs offer </w:t>
      </w:r>
      <w:r w:rsidR="00297F16">
        <w:rPr>
          <w:rFonts w:asciiTheme="majorBidi" w:hAnsiTheme="majorBidi" w:cstheme="majorBidi"/>
          <w:sz w:val="24"/>
          <w:szCs w:val="24"/>
        </w:rPr>
        <w:t>a wide variety</w:t>
      </w:r>
      <w:r w:rsidR="00297F16"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services for victims of all types of violence, including physical, medical, psychological and rehabilitative. </w:t>
      </w:r>
    </w:p>
    <w:p w14:paraId="7C5B8C4D" w14:textId="77777777" w:rsidR="00FD26D9" w:rsidRPr="00541229" w:rsidRDefault="00B41AA7" w:rsidP="005812CE">
      <w:pPr>
        <w:bidi w:val="0"/>
        <w:spacing w:before="240" w:line="360" w:lineRule="auto"/>
        <w:jc w:val="both"/>
        <w:rPr>
          <w:rFonts w:asciiTheme="majorBidi" w:hAnsiTheme="majorBidi" w:cstheme="majorBidi"/>
          <w:sz w:val="24"/>
          <w:szCs w:val="24"/>
        </w:rPr>
      </w:pPr>
      <w:r w:rsidRPr="00541229">
        <w:rPr>
          <w:rFonts w:asciiTheme="majorBidi" w:hAnsiTheme="majorBidi" w:cstheme="majorBidi"/>
          <w:sz w:val="24"/>
          <w:szCs w:val="24"/>
          <w:u w:val="single"/>
        </w:rPr>
        <w:t xml:space="preserve">Protection </w:t>
      </w:r>
      <w:r w:rsidR="00F07447" w:rsidRPr="00541229">
        <w:rPr>
          <w:rFonts w:asciiTheme="majorBidi" w:hAnsiTheme="majorBidi" w:cstheme="majorBidi"/>
          <w:sz w:val="24"/>
          <w:szCs w:val="24"/>
          <w:u w:val="single"/>
        </w:rPr>
        <w:t>for victims of domestic violence</w:t>
      </w:r>
    </w:p>
    <w:p w14:paraId="5F225BE9" w14:textId="447BAB8D" w:rsidR="003C3E99" w:rsidRDefault="00B41AA7" w:rsidP="000242CE">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C</w:t>
      </w:r>
      <w:r w:rsidRPr="00541229">
        <w:rPr>
          <w:rFonts w:asciiTheme="majorBidi" w:hAnsiTheme="majorBidi" w:cstheme="majorBidi"/>
          <w:sz w:val="24"/>
          <w:szCs w:val="24"/>
        </w:rPr>
        <w:t>enter</w:t>
      </w:r>
      <w:r>
        <w:rPr>
          <w:rFonts w:asciiTheme="majorBidi" w:hAnsiTheme="majorBidi" w:cstheme="majorBidi"/>
          <w:sz w:val="24"/>
          <w:szCs w:val="24"/>
        </w:rPr>
        <w:t>s</w:t>
      </w:r>
      <w:r w:rsidRPr="00541229">
        <w:rPr>
          <w:rFonts w:asciiTheme="majorBidi" w:hAnsiTheme="majorBidi" w:cstheme="majorBidi"/>
          <w:sz w:val="24"/>
          <w:szCs w:val="24"/>
        </w:rPr>
        <w:t xml:space="preserve"> </w:t>
      </w:r>
      <w:r w:rsidR="00F07447" w:rsidRPr="00541229">
        <w:rPr>
          <w:rFonts w:asciiTheme="majorBidi" w:hAnsiTheme="majorBidi" w:cstheme="majorBidi"/>
          <w:sz w:val="24"/>
          <w:szCs w:val="24"/>
        </w:rPr>
        <w:t xml:space="preserve">for domestic violence victims, which will offer protection and treatment, as well as legal </w:t>
      </w:r>
      <w:r w:rsidR="000242CE">
        <w:rPr>
          <w:rFonts w:asciiTheme="majorBidi" w:hAnsiTheme="majorBidi" w:cstheme="majorBidi"/>
          <w:sz w:val="24"/>
          <w:szCs w:val="24"/>
        </w:rPr>
        <w:t>assistance</w:t>
      </w:r>
      <w:r w:rsidR="00F07447" w:rsidRPr="00541229">
        <w:rPr>
          <w:rFonts w:asciiTheme="majorBidi" w:hAnsiTheme="majorBidi" w:cstheme="majorBidi"/>
          <w:sz w:val="24"/>
          <w:szCs w:val="24"/>
        </w:rPr>
        <w:t xml:space="preserve"> and relevant social services </w:t>
      </w:r>
      <w:r w:rsidRPr="00541229">
        <w:rPr>
          <w:rFonts w:asciiTheme="majorBidi" w:hAnsiTheme="majorBidi" w:cstheme="majorBidi"/>
          <w:sz w:val="24"/>
          <w:szCs w:val="24"/>
        </w:rPr>
        <w:t>w</w:t>
      </w:r>
      <w:r>
        <w:rPr>
          <w:rFonts w:asciiTheme="majorBidi" w:hAnsiTheme="majorBidi" w:cstheme="majorBidi"/>
          <w:sz w:val="24"/>
          <w:szCs w:val="24"/>
        </w:rPr>
        <w:t>ere</w:t>
      </w:r>
      <w:r w:rsidRPr="00541229">
        <w:rPr>
          <w:rFonts w:asciiTheme="majorBidi" w:hAnsiTheme="majorBidi" w:cstheme="majorBidi"/>
          <w:sz w:val="24"/>
          <w:szCs w:val="24"/>
        </w:rPr>
        <w:t xml:space="preserve"> </w:t>
      </w:r>
      <w:r w:rsidR="00F07447" w:rsidRPr="00541229">
        <w:rPr>
          <w:rFonts w:asciiTheme="majorBidi" w:hAnsiTheme="majorBidi" w:cstheme="majorBidi"/>
          <w:sz w:val="24"/>
          <w:szCs w:val="24"/>
        </w:rPr>
        <w:t xml:space="preserve">established in Acre, Haifa, Tel Aviv-Jaffa and Be'er-Sheva. Several initiatives for improving the protection of victims are in advanced planning stages. The Police is evaluating the use </w:t>
      </w:r>
      <w:r>
        <w:rPr>
          <w:rFonts w:asciiTheme="majorBidi" w:hAnsiTheme="majorBidi" w:cstheme="majorBidi"/>
          <w:sz w:val="24"/>
          <w:szCs w:val="24"/>
        </w:rPr>
        <w:t xml:space="preserve">of </w:t>
      </w:r>
      <w:r w:rsidR="00F07447" w:rsidRPr="00541229">
        <w:rPr>
          <w:rFonts w:asciiTheme="majorBidi" w:hAnsiTheme="majorBidi" w:cstheme="majorBidi"/>
          <w:sz w:val="24"/>
          <w:szCs w:val="24"/>
        </w:rPr>
        <w:t xml:space="preserve">electronic monitoring of persons with restraining orders against them in the context of domestic violence, as a means to protect potential victims. A pilot program was conducted in 2018, and the </w:t>
      </w:r>
      <w:r w:rsidR="00A8259B">
        <w:rPr>
          <w:rFonts w:asciiTheme="majorBidi" w:hAnsiTheme="majorBidi" w:cstheme="majorBidi"/>
          <w:sz w:val="24"/>
          <w:szCs w:val="24"/>
        </w:rPr>
        <w:t>l</w:t>
      </w:r>
      <w:r w:rsidR="00F07447" w:rsidRPr="00541229">
        <w:rPr>
          <w:rFonts w:asciiTheme="majorBidi" w:hAnsiTheme="majorBidi" w:cstheme="majorBidi"/>
          <w:sz w:val="24"/>
          <w:szCs w:val="24"/>
        </w:rPr>
        <w:t xml:space="preserve">egal questions are </w:t>
      </w:r>
      <w:r w:rsidR="00A8259B">
        <w:rPr>
          <w:rFonts w:asciiTheme="majorBidi" w:hAnsiTheme="majorBidi" w:cstheme="majorBidi"/>
          <w:sz w:val="24"/>
          <w:szCs w:val="24"/>
        </w:rPr>
        <w:t xml:space="preserve">currently under </w:t>
      </w:r>
      <w:r w:rsidR="00F07447" w:rsidRPr="00541229">
        <w:rPr>
          <w:rFonts w:asciiTheme="majorBidi" w:hAnsiTheme="majorBidi" w:cstheme="majorBidi"/>
          <w:sz w:val="24"/>
          <w:szCs w:val="24"/>
        </w:rPr>
        <w:t>examin</w:t>
      </w:r>
      <w:r w:rsidR="00A8259B">
        <w:rPr>
          <w:rFonts w:asciiTheme="majorBidi" w:hAnsiTheme="majorBidi" w:cstheme="majorBidi"/>
          <w:sz w:val="24"/>
          <w:szCs w:val="24"/>
        </w:rPr>
        <w:t>ation</w:t>
      </w:r>
      <w:r w:rsidR="00F07447" w:rsidRPr="00541229">
        <w:rPr>
          <w:rFonts w:asciiTheme="majorBidi" w:hAnsiTheme="majorBidi" w:cstheme="majorBidi"/>
          <w:sz w:val="24"/>
          <w:szCs w:val="24"/>
        </w:rPr>
        <w:t xml:space="preserve">. </w:t>
      </w:r>
    </w:p>
    <w:p w14:paraId="442CCFE3" w14:textId="48E59777" w:rsidR="00F07447" w:rsidRDefault="00B41AA7" w:rsidP="006B67EC">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Furthermore</w:t>
      </w:r>
      <w:r w:rsidR="003C3E99">
        <w:rPr>
          <w:rFonts w:asciiTheme="majorBidi" w:hAnsiTheme="majorBidi" w:cstheme="majorBidi"/>
          <w:sz w:val="24"/>
          <w:szCs w:val="24"/>
        </w:rPr>
        <w:t>,</w:t>
      </w:r>
      <w:r w:rsidR="00141F40">
        <w:rPr>
          <w:rFonts w:asciiTheme="majorBidi" w:hAnsiTheme="majorBidi" w:cstheme="majorBidi"/>
          <w:sz w:val="24"/>
          <w:szCs w:val="24"/>
        </w:rPr>
        <w:t xml:space="preserve"> pursuant to</w:t>
      </w:r>
      <w:r w:rsidR="003C3E99">
        <w:rPr>
          <w:rFonts w:asciiTheme="majorBidi" w:hAnsiTheme="majorBidi" w:cstheme="majorBidi"/>
          <w:sz w:val="24"/>
          <w:szCs w:val="24"/>
        </w:rPr>
        <w:t xml:space="preserve"> </w:t>
      </w:r>
      <w:r w:rsidR="003C3E99" w:rsidRPr="005812CE">
        <w:rPr>
          <w:rFonts w:asciiTheme="majorBidi" w:hAnsiTheme="majorBidi" w:cstheme="majorBidi"/>
          <w:i/>
          <w:iCs/>
          <w:sz w:val="24"/>
          <w:szCs w:val="24"/>
        </w:rPr>
        <w:t>Welfare Service (Rights of Women who stayed at a Shelter for Battered Women) Law</w:t>
      </w:r>
      <w:r w:rsidR="003C3E99" w:rsidRPr="003C3E99">
        <w:rPr>
          <w:rFonts w:asciiTheme="majorBidi" w:hAnsiTheme="majorBidi" w:cstheme="majorBidi"/>
          <w:sz w:val="24"/>
          <w:szCs w:val="24"/>
        </w:rPr>
        <w:t xml:space="preserve"> 5773-2012</w:t>
      </w:r>
      <w:r w:rsidR="00141F40">
        <w:rPr>
          <w:rFonts w:asciiTheme="majorBidi" w:hAnsiTheme="majorBidi" w:cstheme="majorBidi"/>
          <w:sz w:val="24"/>
          <w:szCs w:val="24"/>
        </w:rPr>
        <w:t xml:space="preserve">, a woman who leaves a shelter is eligible for an acclimation grant in accordance with the rehabilitative treatment program designed for her (Section 2); additionally, she is eligible to a series of services tailored to her needs by a social worker, which may include, </w:t>
      </w:r>
      <w:r w:rsidR="00141F40">
        <w:rPr>
          <w:rFonts w:asciiTheme="majorBidi" w:hAnsiTheme="majorBidi" w:cstheme="majorBidi"/>
          <w:i/>
          <w:iCs/>
          <w:sz w:val="24"/>
          <w:szCs w:val="24"/>
        </w:rPr>
        <w:t>inter alia</w:t>
      </w:r>
      <w:r w:rsidR="00141F40">
        <w:rPr>
          <w:rFonts w:asciiTheme="majorBidi" w:hAnsiTheme="majorBidi" w:cstheme="majorBidi"/>
          <w:sz w:val="24"/>
          <w:szCs w:val="24"/>
        </w:rPr>
        <w:t xml:space="preserve">, accompaniment, assistance with rights </w:t>
      </w:r>
      <w:r w:rsidR="00141F40" w:rsidRPr="005812CE">
        <w:rPr>
          <w:rFonts w:asciiTheme="majorBidi" w:hAnsiTheme="majorBidi" w:cstheme="majorBidi"/>
          <w:sz w:val="24"/>
          <w:szCs w:val="24"/>
        </w:rPr>
        <w:t>ex</w:t>
      </w:r>
      <w:r w:rsidR="005812CE" w:rsidRPr="005812CE">
        <w:rPr>
          <w:rFonts w:asciiTheme="majorBidi" w:hAnsiTheme="majorBidi" w:cstheme="majorBidi"/>
          <w:sz w:val="24"/>
          <w:szCs w:val="24"/>
        </w:rPr>
        <w:t>trac</w:t>
      </w:r>
      <w:r w:rsidR="00141F40" w:rsidRPr="005812CE">
        <w:rPr>
          <w:rFonts w:asciiTheme="majorBidi" w:hAnsiTheme="majorBidi" w:cstheme="majorBidi"/>
          <w:sz w:val="24"/>
          <w:szCs w:val="24"/>
        </w:rPr>
        <w:t>tion, employment assistance, subsidized vocational training, assistance with h</w:t>
      </w:r>
      <w:r w:rsidR="00141F40">
        <w:rPr>
          <w:rFonts w:asciiTheme="majorBidi" w:hAnsiTheme="majorBidi" w:cstheme="majorBidi"/>
          <w:sz w:val="24"/>
          <w:szCs w:val="24"/>
        </w:rPr>
        <w:t>ealth services and more (Section 4A).</w:t>
      </w:r>
    </w:p>
    <w:p w14:paraId="063013EE" w14:textId="7278E0B8" w:rsidR="00141F40" w:rsidRPr="00632405" w:rsidRDefault="00B41AA7" w:rsidP="00DB39F8">
      <w:pPr>
        <w:bidi w:val="0"/>
        <w:spacing w:before="240" w:line="360" w:lineRule="auto"/>
        <w:jc w:val="both"/>
        <w:rPr>
          <w:rFonts w:asciiTheme="majorBidi" w:hAnsiTheme="majorBidi" w:cstheme="majorBidi"/>
          <w:sz w:val="24"/>
          <w:szCs w:val="24"/>
        </w:rPr>
      </w:pPr>
      <w:r w:rsidRPr="00632405">
        <w:rPr>
          <w:rFonts w:asciiTheme="majorBidi" w:hAnsiTheme="majorBidi" w:cstheme="majorBidi"/>
          <w:sz w:val="24"/>
          <w:szCs w:val="24"/>
        </w:rPr>
        <w:t xml:space="preserve">The 'Magen' Unit operating in Ichilov Hospital, opened in 2016, offers specialized first-response health services to women who have suffered sexual violence, with an emphasis on emotional regulation, respect, support and stability. The unit offers, </w:t>
      </w:r>
      <w:r w:rsidRPr="00297F16">
        <w:rPr>
          <w:rFonts w:asciiTheme="majorBidi" w:hAnsiTheme="majorBidi" w:cstheme="majorBidi"/>
          <w:i/>
          <w:iCs/>
          <w:sz w:val="24"/>
          <w:szCs w:val="24"/>
        </w:rPr>
        <w:t>inter alia</w:t>
      </w:r>
      <w:r w:rsidRPr="00632405">
        <w:rPr>
          <w:rFonts w:asciiTheme="majorBidi" w:hAnsiTheme="majorBidi" w:cstheme="majorBidi"/>
          <w:sz w:val="24"/>
          <w:szCs w:val="24"/>
        </w:rPr>
        <w:t>¸one-on-one treatments</w:t>
      </w:r>
      <w:r w:rsidR="007039F3" w:rsidRPr="00632405">
        <w:rPr>
          <w:rFonts w:asciiTheme="majorBidi" w:hAnsiTheme="majorBidi" w:cstheme="majorBidi"/>
          <w:sz w:val="24"/>
          <w:szCs w:val="24"/>
        </w:rPr>
        <w:t xml:space="preserve"> for post-trauma, psychiatric evaluations and connections with rehabilitative service providers in the community.</w:t>
      </w:r>
      <w:r>
        <w:rPr>
          <w:rStyle w:val="FootnoteReference"/>
          <w:rFonts w:asciiTheme="majorBidi" w:hAnsiTheme="majorBidi" w:cstheme="majorBidi"/>
          <w:sz w:val="24"/>
          <w:szCs w:val="24"/>
        </w:rPr>
        <w:footnoteReference w:id="2"/>
      </w:r>
      <w:r w:rsidR="007039F3" w:rsidRPr="00632405">
        <w:rPr>
          <w:rFonts w:asciiTheme="majorBidi" w:hAnsiTheme="majorBidi" w:cstheme="majorBidi"/>
          <w:sz w:val="24"/>
          <w:szCs w:val="24"/>
        </w:rPr>
        <w:t xml:space="preserve"> </w:t>
      </w:r>
    </w:p>
    <w:p w14:paraId="7D794A7A" w14:textId="77777777" w:rsidR="00E44734" w:rsidRPr="00632405" w:rsidRDefault="00B41AA7" w:rsidP="00632405">
      <w:pPr>
        <w:tabs>
          <w:tab w:val="right" w:pos="2127"/>
        </w:tabs>
        <w:bidi w:val="0"/>
        <w:spacing w:before="240" w:line="360" w:lineRule="auto"/>
        <w:jc w:val="both"/>
        <w:rPr>
          <w:rStyle w:val="Heading1"/>
          <w:rFonts w:eastAsia="Calibri"/>
          <w:b w:val="0"/>
          <w:bCs w:val="0"/>
          <w:u w:val="single"/>
          <w:lang w:val="en-US"/>
        </w:rPr>
      </w:pPr>
      <w:bookmarkStart w:id="1" w:name="bookmark0"/>
      <w:r w:rsidRPr="00632405">
        <w:rPr>
          <w:rStyle w:val="Heading1"/>
          <w:rFonts w:eastAsia="Calibri"/>
          <w:b w:val="0"/>
          <w:bCs w:val="0"/>
          <w:u w:val="single"/>
          <w:lang w:val="en-US"/>
        </w:rPr>
        <w:t>Persons involved in Prostitution</w:t>
      </w:r>
    </w:p>
    <w:p w14:paraId="312B334A" w14:textId="6A8B41FB" w:rsidR="00E44734" w:rsidRPr="00632405" w:rsidRDefault="00B41AA7" w:rsidP="0064448C">
      <w:pPr>
        <w:pStyle w:val="a"/>
        <w:tabs>
          <w:tab w:val="right" w:pos="2127"/>
          <w:tab w:val="right" w:pos="10348"/>
        </w:tabs>
        <w:ind w:left="0"/>
        <w:rPr>
          <w:rFonts w:ascii="Times New Roman" w:eastAsia="David" w:hAnsi="Times New Roman"/>
        </w:rPr>
      </w:pPr>
      <w:r w:rsidRPr="00632405">
        <w:rPr>
          <w:rStyle w:val="Heading1"/>
          <w:rFonts w:ascii="Times New Roman" w:eastAsia="Calibri" w:hAnsi="Times New Roman" w:cs="Times New Roman"/>
          <w:b w:val="0"/>
          <w:bCs w:val="0"/>
          <w:lang w:val="en-US"/>
        </w:rPr>
        <w:t>Government Resolution No. 4462</w:t>
      </w:r>
      <w:r w:rsidR="0064448C">
        <w:rPr>
          <w:rStyle w:val="Heading1"/>
          <w:rFonts w:ascii="Times New Roman" w:eastAsia="Calibri" w:hAnsi="Times New Roman" w:cs="Times New Roman"/>
          <w:b w:val="0"/>
          <w:bCs w:val="0"/>
          <w:lang w:val="en-US"/>
        </w:rPr>
        <w:t>,</w:t>
      </w:r>
      <w:r w:rsidRPr="00632405">
        <w:rPr>
          <w:rStyle w:val="Heading1"/>
          <w:rFonts w:ascii="Times New Roman" w:eastAsia="Calibri" w:hAnsi="Times New Roman" w:cs="Times New Roman"/>
          <w:b w:val="0"/>
          <w:bCs w:val="0"/>
          <w:lang w:val="en-US"/>
        </w:rPr>
        <w:t xml:space="preserve"> </w:t>
      </w:r>
      <w:r w:rsidR="0064448C">
        <w:rPr>
          <w:rStyle w:val="Heading1"/>
          <w:rFonts w:ascii="Times New Roman" w:eastAsia="Calibri" w:hAnsi="Times New Roman" w:cs="Times New Roman"/>
          <w:b w:val="0"/>
          <w:bCs w:val="0"/>
          <w:lang w:val="en-US"/>
        </w:rPr>
        <w:t>d</w:t>
      </w:r>
      <w:r w:rsidR="0064448C" w:rsidRPr="00632405">
        <w:rPr>
          <w:rStyle w:val="Heading1"/>
          <w:rFonts w:ascii="Times New Roman" w:eastAsia="Calibri" w:hAnsi="Times New Roman" w:cs="Times New Roman"/>
          <w:b w:val="0"/>
          <w:bCs w:val="0"/>
          <w:lang w:val="en-US"/>
        </w:rPr>
        <w:t xml:space="preserve">ated </w:t>
      </w:r>
      <w:r w:rsidRPr="00632405">
        <w:rPr>
          <w:rStyle w:val="Heading1"/>
          <w:rFonts w:ascii="Times New Roman" w:eastAsia="Calibri" w:hAnsi="Times New Roman" w:cs="Times New Roman"/>
          <w:b w:val="0"/>
          <w:bCs w:val="0"/>
          <w:lang w:val="en-US"/>
        </w:rPr>
        <w:t>January 13, 2019</w:t>
      </w:r>
      <w:bookmarkEnd w:id="1"/>
      <w:r w:rsidRPr="00632405">
        <w:rPr>
          <w:rStyle w:val="Heading1"/>
          <w:rFonts w:ascii="Times New Roman" w:eastAsia="Calibri" w:hAnsi="Times New Roman" w:cs="Times New Roman"/>
          <w:b w:val="0"/>
          <w:bCs w:val="0"/>
          <w:lang w:val="en-US"/>
        </w:rPr>
        <w:t xml:space="preserve"> </w:t>
      </w:r>
      <w:r w:rsidRPr="00632405">
        <w:rPr>
          <w:rStyle w:val="Bodytext2"/>
          <w:rFonts w:ascii="Times New Roman" w:hAnsi="Times New Roman" w:cs="Times New Roman"/>
          <w:b w:val="0"/>
          <w:bCs w:val="0"/>
          <w:sz w:val="24"/>
          <w:szCs w:val="24"/>
          <w:u w:val="none"/>
        </w:rPr>
        <w:t>adopt</w:t>
      </w:r>
      <w:r w:rsidRPr="00632405">
        <w:rPr>
          <w:rStyle w:val="Bodytext2"/>
          <w:rFonts w:ascii="Times New Roman" w:eastAsia="Calibri" w:hAnsi="Times New Roman" w:cs="Times New Roman"/>
          <w:b w:val="0"/>
          <w:bCs w:val="0"/>
          <w:sz w:val="24"/>
          <w:szCs w:val="24"/>
          <w:u w:val="none"/>
        </w:rPr>
        <w:t>s</w:t>
      </w:r>
      <w:r w:rsidRPr="00632405">
        <w:rPr>
          <w:rStyle w:val="Bodytext2"/>
          <w:rFonts w:ascii="Times New Roman" w:hAnsi="Times New Roman" w:cs="Times New Roman"/>
          <w:b w:val="0"/>
          <w:bCs w:val="0"/>
          <w:sz w:val="24"/>
          <w:szCs w:val="24"/>
          <w:u w:val="none"/>
        </w:rPr>
        <w:t xml:space="preserve"> the main points of the program for implementation of the recommendations of the inter-ministerial team for reducing prostitution consumption (the “Program”). This Resolution concerns aspects of rehabilitation, treatment,</w:t>
      </w:r>
      <w:r w:rsidR="0064448C">
        <w:rPr>
          <w:rStyle w:val="Bodytext2"/>
          <w:rFonts w:ascii="Times New Roman" w:hAnsi="Times New Roman" w:cs="Times New Roman"/>
          <w:b w:val="0"/>
          <w:bCs w:val="0"/>
          <w:sz w:val="24"/>
          <w:szCs w:val="24"/>
          <w:u w:val="none"/>
        </w:rPr>
        <w:t xml:space="preserve"> education</w:t>
      </w:r>
      <w:r w:rsidRPr="00632405">
        <w:rPr>
          <w:rStyle w:val="Bodytext2"/>
          <w:rFonts w:ascii="Times New Roman" w:hAnsi="Times New Roman" w:cs="Times New Roman"/>
          <w:b w:val="0"/>
          <w:bCs w:val="0"/>
          <w:sz w:val="24"/>
          <w:szCs w:val="24"/>
          <w:u w:val="none"/>
        </w:rPr>
        <w:t xml:space="preserve"> and public awareness alongside the enforcement. Enforcement will take place </w:t>
      </w:r>
      <w:r w:rsidR="0064448C">
        <w:rPr>
          <w:rStyle w:val="Bodytext2"/>
          <w:rFonts w:ascii="Times New Roman" w:hAnsi="Times New Roman" w:cs="Times New Roman"/>
          <w:b w:val="0"/>
          <w:bCs w:val="0"/>
          <w:sz w:val="24"/>
          <w:szCs w:val="24"/>
          <w:u w:val="none"/>
        </w:rPr>
        <w:t>according to</w:t>
      </w:r>
      <w:r w:rsidR="0064448C" w:rsidRPr="00632405">
        <w:rPr>
          <w:rStyle w:val="Bodytext2"/>
          <w:rFonts w:ascii="Times New Roman" w:hAnsi="Times New Roman" w:cs="Times New Roman"/>
          <w:b w:val="0"/>
          <w:bCs w:val="0"/>
          <w:sz w:val="24"/>
          <w:szCs w:val="24"/>
          <w:u w:val="none"/>
        </w:rPr>
        <w:t xml:space="preserve"> </w:t>
      </w:r>
      <w:r w:rsidRPr="00632405">
        <w:rPr>
          <w:rStyle w:val="Bodytext2"/>
          <w:rFonts w:ascii="Times New Roman" w:hAnsi="Times New Roman" w:cs="Times New Roman"/>
          <w:b w:val="0"/>
          <w:bCs w:val="0"/>
          <w:sz w:val="24"/>
          <w:szCs w:val="24"/>
          <w:u w:val="none"/>
        </w:rPr>
        <w:t>priorities and capabilities as determined by the Israel Police within the existing resources.</w:t>
      </w:r>
      <w:r w:rsidRPr="00632405">
        <w:rPr>
          <w:rFonts w:ascii="Times New Roman" w:eastAsia="Calibri" w:hAnsi="Times New Roman"/>
          <w:color w:val="272727"/>
        </w:rPr>
        <w:t xml:space="preserve"> </w:t>
      </w:r>
      <w:r w:rsidRPr="00632405">
        <w:rPr>
          <w:rStyle w:val="Bodytext2"/>
          <w:rFonts w:ascii="Times New Roman" w:hAnsi="Times New Roman" w:cs="Times New Roman"/>
          <w:b w:val="0"/>
          <w:bCs w:val="0"/>
          <w:sz w:val="24"/>
          <w:szCs w:val="24"/>
          <w:u w:val="none"/>
        </w:rPr>
        <w:t xml:space="preserve">The Resolution allocates thirty (30) </w:t>
      </w:r>
      <w:r w:rsidR="00045321">
        <w:rPr>
          <w:rStyle w:val="Bodytext2"/>
          <w:rFonts w:ascii="Times New Roman" w:hAnsi="Times New Roman" w:cs="Times New Roman"/>
          <w:b w:val="0"/>
          <w:bCs w:val="0"/>
          <w:sz w:val="24"/>
          <w:szCs w:val="24"/>
          <w:u w:val="none"/>
        </w:rPr>
        <w:t>M</w:t>
      </w:r>
      <w:r w:rsidR="00045321" w:rsidRPr="00632405">
        <w:rPr>
          <w:rStyle w:val="Bodytext2"/>
          <w:rFonts w:ascii="Times New Roman" w:hAnsi="Times New Roman" w:cs="Times New Roman"/>
          <w:b w:val="0"/>
          <w:bCs w:val="0"/>
          <w:sz w:val="24"/>
          <w:szCs w:val="24"/>
          <w:u w:val="none"/>
        </w:rPr>
        <w:t xml:space="preserve">illion </w:t>
      </w:r>
      <w:r w:rsidRPr="00632405">
        <w:rPr>
          <w:rStyle w:val="Bodytext2"/>
          <w:rFonts w:ascii="Times New Roman" w:hAnsi="Times New Roman" w:cs="Times New Roman"/>
          <w:b w:val="0"/>
          <w:bCs w:val="0"/>
          <w:sz w:val="24"/>
          <w:szCs w:val="24"/>
          <w:u w:val="none"/>
        </w:rPr>
        <w:t xml:space="preserve">NIS (8,724,400 USD) annually for the Program for 2019-2021, in the </w:t>
      </w:r>
      <w:r w:rsidR="00045321">
        <w:rPr>
          <w:rStyle w:val="Bodytext2"/>
          <w:rFonts w:ascii="Times New Roman" w:hAnsi="Times New Roman" w:cs="Times New Roman"/>
          <w:b w:val="0"/>
          <w:bCs w:val="0"/>
          <w:sz w:val="24"/>
          <w:szCs w:val="24"/>
          <w:u w:val="none"/>
        </w:rPr>
        <w:t xml:space="preserve">Ministry of Welfare and Social </w:t>
      </w:r>
      <w:r w:rsidR="00A73D6C">
        <w:rPr>
          <w:rStyle w:val="Bodytext2"/>
          <w:rFonts w:ascii="Times New Roman" w:hAnsi="Times New Roman" w:cs="Times New Roman"/>
          <w:b w:val="0"/>
          <w:bCs w:val="0"/>
          <w:sz w:val="24"/>
          <w:szCs w:val="24"/>
          <w:u w:val="none"/>
        </w:rPr>
        <w:t>Affairs</w:t>
      </w:r>
      <w:r w:rsidR="00A73D6C" w:rsidRPr="00632405">
        <w:rPr>
          <w:rStyle w:val="Bodytext2"/>
          <w:rFonts w:ascii="Times New Roman" w:hAnsi="Times New Roman" w:cs="Times New Roman"/>
          <w:b w:val="0"/>
          <w:bCs w:val="0"/>
          <w:sz w:val="24"/>
          <w:szCs w:val="24"/>
          <w:u w:val="none"/>
        </w:rPr>
        <w:t xml:space="preserve"> </w:t>
      </w:r>
      <w:r w:rsidRPr="00632405">
        <w:rPr>
          <w:rStyle w:val="Bodytext2"/>
          <w:rFonts w:ascii="Times New Roman" w:hAnsi="Times New Roman" w:cs="Times New Roman"/>
          <w:b w:val="0"/>
          <w:bCs w:val="0"/>
          <w:sz w:val="24"/>
          <w:szCs w:val="24"/>
          <w:u w:val="none"/>
        </w:rPr>
        <w:t xml:space="preserve">budget. </w:t>
      </w:r>
      <w:r w:rsidR="0064448C">
        <w:rPr>
          <w:rStyle w:val="Bodytext2"/>
          <w:rFonts w:ascii="Times New Roman" w:hAnsi="Times New Roman" w:cs="Times New Roman"/>
          <w:b w:val="0"/>
          <w:bCs w:val="0"/>
          <w:sz w:val="24"/>
          <w:szCs w:val="24"/>
          <w:u w:val="none"/>
        </w:rPr>
        <w:t>It</w:t>
      </w:r>
      <w:r w:rsidRPr="00632405">
        <w:rPr>
          <w:rStyle w:val="Bodytext2"/>
          <w:rFonts w:ascii="Times New Roman" w:hAnsi="Times New Roman" w:cs="Times New Roman"/>
          <w:b w:val="0"/>
          <w:bCs w:val="0"/>
          <w:sz w:val="24"/>
          <w:szCs w:val="24"/>
          <w:u w:val="none"/>
        </w:rPr>
        <w:t xml:space="preserve"> also orders the </w:t>
      </w:r>
      <w:r w:rsidR="0064448C">
        <w:rPr>
          <w:rStyle w:val="Bodytext2"/>
          <w:rFonts w:ascii="Times New Roman" w:hAnsi="Times New Roman" w:cs="Times New Roman"/>
          <w:b w:val="0"/>
          <w:bCs w:val="0"/>
          <w:sz w:val="24"/>
          <w:szCs w:val="24"/>
          <w:u w:val="none"/>
        </w:rPr>
        <w:t>preparation</w:t>
      </w:r>
      <w:r w:rsidR="0064448C" w:rsidRPr="00632405">
        <w:rPr>
          <w:rStyle w:val="Bodytext2"/>
          <w:rFonts w:ascii="Times New Roman" w:hAnsi="Times New Roman" w:cs="Times New Roman"/>
          <w:b w:val="0"/>
          <w:bCs w:val="0"/>
          <w:sz w:val="24"/>
          <w:szCs w:val="24"/>
          <w:u w:val="none"/>
        </w:rPr>
        <w:t xml:space="preserve"> </w:t>
      </w:r>
      <w:r w:rsidRPr="00632405">
        <w:rPr>
          <w:rStyle w:val="Bodytext2"/>
          <w:rFonts w:ascii="Times New Roman" w:hAnsi="Times New Roman" w:cs="Times New Roman"/>
          <w:b w:val="0"/>
          <w:bCs w:val="0"/>
          <w:sz w:val="24"/>
          <w:szCs w:val="24"/>
          <w:u w:val="none"/>
        </w:rPr>
        <w:t>of a supporting study, under the responsibility of the Ministry of Welfare and Social A</w:t>
      </w:r>
      <w:r>
        <w:rPr>
          <w:rStyle w:val="Bodytext2"/>
          <w:rFonts w:ascii="Times New Roman" w:hAnsi="Times New Roman" w:cs="Times New Roman"/>
          <w:b w:val="0"/>
          <w:bCs w:val="0"/>
          <w:sz w:val="24"/>
          <w:szCs w:val="24"/>
          <w:u w:val="none"/>
        </w:rPr>
        <w:t>f</w:t>
      </w:r>
      <w:r w:rsidRPr="00632405">
        <w:rPr>
          <w:rStyle w:val="Bodytext2"/>
          <w:rFonts w:ascii="Times New Roman" w:hAnsi="Times New Roman" w:cs="Times New Roman"/>
          <w:b w:val="0"/>
          <w:bCs w:val="0"/>
          <w:sz w:val="24"/>
          <w:szCs w:val="24"/>
          <w:u w:val="none"/>
        </w:rPr>
        <w:t>fairs and with support of the Ministry of Public Security. The study</w:t>
      </w:r>
      <w:r w:rsidR="0064448C">
        <w:rPr>
          <w:rStyle w:val="Bodytext2"/>
          <w:rFonts w:ascii="Times New Roman" w:hAnsi="Times New Roman" w:cs="Times New Roman"/>
          <w:b w:val="0"/>
          <w:bCs w:val="0"/>
          <w:sz w:val="24"/>
          <w:szCs w:val="24"/>
          <w:u w:val="none"/>
        </w:rPr>
        <w:t>’s</w:t>
      </w:r>
      <w:r w:rsidRPr="00632405">
        <w:rPr>
          <w:rStyle w:val="Bodytext2"/>
          <w:rFonts w:ascii="Times New Roman" w:hAnsi="Times New Roman" w:cs="Times New Roman"/>
          <w:b w:val="0"/>
          <w:bCs w:val="0"/>
          <w:sz w:val="24"/>
          <w:szCs w:val="24"/>
          <w:u w:val="none"/>
        </w:rPr>
        <w:t xml:space="preserve"> findings will be submitted to the Government no later than one (1) year before the </w:t>
      </w:r>
      <w:r w:rsidR="0064448C">
        <w:rPr>
          <w:rStyle w:val="Bodytext2"/>
          <w:rFonts w:ascii="Times New Roman" w:hAnsi="Times New Roman" w:cs="Times New Roman"/>
          <w:b w:val="0"/>
          <w:bCs w:val="0"/>
          <w:sz w:val="24"/>
          <w:szCs w:val="24"/>
          <w:u w:val="none"/>
        </w:rPr>
        <w:t>l</w:t>
      </w:r>
      <w:r w:rsidR="0064448C" w:rsidRPr="00632405">
        <w:rPr>
          <w:rStyle w:val="Bodytext2"/>
          <w:rFonts w:ascii="Times New Roman" w:hAnsi="Times New Roman" w:cs="Times New Roman"/>
          <w:b w:val="0"/>
          <w:bCs w:val="0"/>
          <w:sz w:val="24"/>
          <w:szCs w:val="24"/>
          <w:u w:val="none"/>
        </w:rPr>
        <w:t xml:space="preserve">aw’s </w:t>
      </w:r>
      <w:r w:rsidRPr="00632405">
        <w:rPr>
          <w:rStyle w:val="Bodytext2"/>
          <w:rFonts w:ascii="Times New Roman" w:hAnsi="Times New Roman" w:cs="Times New Roman"/>
          <w:b w:val="0"/>
          <w:bCs w:val="0"/>
          <w:sz w:val="24"/>
          <w:szCs w:val="24"/>
          <w:u w:val="none"/>
        </w:rPr>
        <w:t>expiration.</w:t>
      </w:r>
    </w:p>
    <w:p w14:paraId="615B7938" w14:textId="77777777" w:rsidR="0044698F" w:rsidRPr="00541229" w:rsidRDefault="00B41AA7" w:rsidP="00541229">
      <w:pPr>
        <w:bidi w:val="0"/>
        <w:spacing w:line="360" w:lineRule="auto"/>
        <w:jc w:val="both"/>
        <w:rPr>
          <w:rFonts w:asciiTheme="majorBidi" w:eastAsia="Times New Roman" w:hAnsiTheme="majorBidi" w:cstheme="majorBidi"/>
          <w:b/>
          <w:bCs/>
          <w:color w:val="000000"/>
          <w:sz w:val="24"/>
          <w:szCs w:val="24"/>
          <w:u w:val="single"/>
        </w:rPr>
      </w:pPr>
      <w:r w:rsidRPr="00541229">
        <w:rPr>
          <w:rFonts w:asciiTheme="majorBidi" w:eastAsia="Times New Roman" w:hAnsiTheme="majorBidi" w:cstheme="majorBidi"/>
          <w:b/>
          <w:bCs/>
          <w:color w:val="000000"/>
          <w:sz w:val="24"/>
          <w:szCs w:val="24"/>
          <w:u w:val="single"/>
        </w:rPr>
        <w:t>Promising practices</w:t>
      </w:r>
    </w:p>
    <w:p w14:paraId="0D46434C" w14:textId="77777777" w:rsidR="00F07447" w:rsidRPr="00541229" w:rsidRDefault="00B41AA7" w:rsidP="00632405">
      <w:pPr>
        <w:tabs>
          <w:tab w:val="right" w:pos="2410"/>
        </w:tabs>
        <w:bidi w:val="0"/>
        <w:spacing w:before="240" w:line="360" w:lineRule="auto"/>
        <w:jc w:val="both"/>
        <w:rPr>
          <w:rFonts w:asciiTheme="majorBidi" w:hAnsiTheme="majorBidi" w:cstheme="majorBidi"/>
          <w:sz w:val="24"/>
          <w:szCs w:val="24"/>
        </w:rPr>
      </w:pPr>
      <w:r w:rsidRPr="00541229">
        <w:rPr>
          <w:rFonts w:asciiTheme="majorBidi" w:hAnsiTheme="majorBidi" w:cstheme="majorBidi"/>
          <w:sz w:val="24"/>
          <w:szCs w:val="24"/>
        </w:rPr>
        <w:t>Combating violence and crime is a top priority of the State of Israel, and it receives the outmost priority in all ranks of the Government.</w:t>
      </w:r>
      <w:r w:rsidR="00045321">
        <w:rPr>
          <w:rFonts w:asciiTheme="majorBidi" w:hAnsiTheme="majorBidi" w:cstheme="majorBidi"/>
          <w:sz w:val="24"/>
          <w:szCs w:val="24"/>
        </w:rPr>
        <w:t xml:space="preserve"> </w:t>
      </w:r>
      <w:r w:rsidR="00541229" w:rsidRPr="00541229">
        <w:rPr>
          <w:rFonts w:asciiTheme="majorBidi" w:hAnsiTheme="majorBidi" w:cstheme="majorBidi"/>
          <w:sz w:val="24"/>
          <w:szCs w:val="24"/>
        </w:rPr>
        <w:t xml:space="preserve">Regarding victims of domestic violence, </w:t>
      </w:r>
      <w:r w:rsidR="00E44734">
        <w:rPr>
          <w:rFonts w:asciiTheme="majorBidi" w:hAnsiTheme="majorBidi" w:cstheme="majorBidi"/>
          <w:sz w:val="24"/>
          <w:szCs w:val="24"/>
        </w:rPr>
        <w:t xml:space="preserve">Procedure No. 2016-0002-81 (Ministry of Welfare and Social Affairs </w:t>
      </w:r>
      <w:r w:rsidR="00D610F4">
        <w:rPr>
          <w:rFonts w:asciiTheme="majorBidi" w:hAnsiTheme="majorBidi" w:cstheme="majorBidi"/>
          <w:sz w:val="24"/>
          <w:szCs w:val="24"/>
        </w:rPr>
        <w:t xml:space="preserve">Special </w:t>
      </w:r>
      <w:r w:rsidR="00E44734">
        <w:rPr>
          <w:rFonts w:asciiTheme="majorBidi" w:hAnsiTheme="majorBidi" w:cstheme="majorBidi"/>
          <w:sz w:val="24"/>
          <w:szCs w:val="24"/>
        </w:rPr>
        <w:t>Director General Circular No. 92)</w:t>
      </w:r>
      <w:r w:rsidRPr="00541229">
        <w:rPr>
          <w:rFonts w:asciiTheme="majorBidi" w:hAnsiTheme="majorBidi" w:cstheme="majorBidi"/>
          <w:sz w:val="24"/>
          <w:szCs w:val="24"/>
        </w:rPr>
        <w:t xml:space="preserve"> for improving the cooperation between the Police and Social Services has been implemented effectively; the administration receives regular positive feedback from both investigatory units as well as Social Services representatives. The procedure allows for a variety of measures to be undertaken: </w:t>
      </w:r>
    </w:p>
    <w:p w14:paraId="5B9067F1" w14:textId="53E6BD88" w:rsidR="0021785C" w:rsidRDefault="00B41AA7" w:rsidP="0064448C">
      <w:pPr>
        <w:bidi w:val="0"/>
        <w:spacing w:before="240" w:line="360" w:lineRule="auto"/>
        <w:jc w:val="both"/>
        <w:rPr>
          <w:rFonts w:asciiTheme="majorBidi" w:hAnsiTheme="majorBidi" w:cstheme="majorBidi"/>
          <w:sz w:val="24"/>
          <w:szCs w:val="24"/>
        </w:rPr>
      </w:pPr>
      <w:r w:rsidRPr="00541229">
        <w:rPr>
          <w:rFonts w:asciiTheme="majorBidi" w:hAnsiTheme="majorBidi" w:cstheme="majorBidi"/>
          <w:sz w:val="24"/>
          <w:szCs w:val="24"/>
        </w:rPr>
        <w:t xml:space="preserve">Tracking and evaluating the woman's cooperation with the protection plan established by the Social Services; a close </w:t>
      </w:r>
      <w:r w:rsidR="0064448C">
        <w:rPr>
          <w:rFonts w:asciiTheme="majorBidi" w:hAnsiTheme="majorBidi" w:cstheme="majorBidi"/>
          <w:sz w:val="24"/>
          <w:szCs w:val="24"/>
        </w:rPr>
        <w:t>channel of communication between</w:t>
      </w:r>
      <w:r w:rsidRPr="00541229">
        <w:rPr>
          <w:rFonts w:asciiTheme="majorBidi" w:hAnsiTheme="majorBidi" w:cstheme="majorBidi"/>
          <w:sz w:val="24"/>
          <w:szCs w:val="24"/>
        </w:rPr>
        <w:t xml:space="preserve"> the woman </w:t>
      </w:r>
      <w:r w:rsidR="0064448C">
        <w:rPr>
          <w:rFonts w:asciiTheme="majorBidi" w:hAnsiTheme="majorBidi" w:cstheme="majorBidi"/>
          <w:sz w:val="24"/>
          <w:szCs w:val="24"/>
        </w:rPr>
        <w:t>and</w:t>
      </w:r>
      <w:r w:rsidR="0064448C" w:rsidRPr="00541229">
        <w:rPr>
          <w:rFonts w:asciiTheme="majorBidi" w:hAnsiTheme="majorBidi" w:cstheme="majorBidi"/>
          <w:sz w:val="24"/>
          <w:szCs w:val="24"/>
        </w:rPr>
        <w:t xml:space="preserve"> </w:t>
      </w:r>
      <w:r w:rsidRPr="00541229">
        <w:rPr>
          <w:rFonts w:asciiTheme="majorBidi" w:hAnsiTheme="majorBidi" w:cstheme="majorBidi"/>
          <w:sz w:val="24"/>
          <w:szCs w:val="24"/>
        </w:rPr>
        <w:t>both Police and Social Services representatives; referral for a Court protection order; shortening the length of time between the submission of the complaint and the investigation and the submission of an indictment; adding the woman's phone number to the emergency hotline system; assisting the woman in downloading the Police emergency application; and high-level meetings between Police and Social Services representatives regarding cases with particular circumstances.</w:t>
      </w:r>
      <w:r w:rsidR="00D610F4">
        <w:rPr>
          <w:rFonts w:asciiTheme="majorBidi" w:eastAsia="Times New Roman" w:hAnsiTheme="majorBidi" w:cstheme="majorBidi"/>
          <w:color w:val="000000"/>
          <w:sz w:val="24"/>
          <w:szCs w:val="24"/>
        </w:rPr>
        <w:t xml:space="preserve"> </w:t>
      </w:r>
    </w:p>
    <w:p w14:paraId="4DF05E45" w14:textId="77777777" w:rsidR="00045321" w:rsidRPr="006B67EC" w:rsidRDefault="00B41AA7" w:rsidP="00045321">
      <w:pPr>
        <w:bidi w:val="0"/>
        <w:spacing w:before="240" w:line="360" w:lineRule="auto"/>
        <w:jc w:val="both"/>
        <w:rPr>
          <w:rFonts w:asciiTheme="majorBidi" w:hAnsiTheme="majorBidi" w:cstheme="majorBidi"/>
          <w:sz w:val="24"/>
          <w:szCs w:val="24"/>
          <w:u w:val="single"/>
        </w:rPr>
      </w:pPr>
      <w:r w:rsidRPr="006B67EC">
        <w:rPr>
          <w:rFonts w:asciiTheme="majorBidi" w:hAnsiTheme="majorBidi" w:cstheme="majorBidi"/>
          <w:sz w:val="24"/>
          <w:szCs w:val="24"/>
          <w:u w:val="single"/>
        </w:rPr>
        <w:t xml:space="preserve">The Child Online Protection Bureau </w:t>
      </w:r>
    </w:p>
    <w:p w14:paraId="195D4F1E" w14:textId="77777777" w:rsidR="00045321" w:rsidRPr="00541229" w:rsidRDefault="00B41AA7" w:rsidP="00045321">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T</w:t>
      </w:r>
      <w:r w:rsidRPr="00541229">
        <w:rPr>
          <w:rFonts w:asciiTheme="majorBidi" w:hAnsiTheme="majorBidi" w:cstheme="majorBidi"/>
          <w:sz w:val="24"/>
          <w:szCs w:val="24"/>
        </w:rPr>
        <w:t>he Child Online Protection Bureau is a national program for the prevention of violence and crime against children and teenagers online. The program, includes representatives of the Police, the Ministr</w:t>
      </w:r>
      <w:r>
        <w:rPr>
          <w:rFonts w:asciiTheme="majorBidi" w:hAnsiTheme="majorBidi" w:cstheme="majorBidi"/>
          <w:sz w:val="24"/>
          <w:szCs w:val="24"/>
        </w:rPr>
        <w:t>ies</w:t>
      </w:r>
      <w:r w:rsidRPr="00541229">
        <w:rPr>
          <w:rFonts w:asciiTheme="majorBidi" w:hAnsiTheme="majorBidi" w:cstheme="majorBidi"/>
          <w:sz w:val="24"/>
          <w:szCs w:val="24"/>
        </w:rPr>
        <w:t xml:space="preserve"> of Public Security, Education, Justice, Welfare and Social Affairs and Health, started its operations in February 2018. This, as part of Government Resolution No. 1006, from January 17, 2016 and Government Resolution No. 1972, from September 27, 2016. The program includes, among other things:</w:t>
      </w:r>
    </w:p>
    <w:p w14:paraId="2BB0E168" w14:textId="712A03DC" w:rsidR="00045321" w:rsidRPr="00541229" w:rsidRDefault="00B41AA7">
      <w:pPr>
        <w:pStyle w:val="ListParagraph"/>
        <w:numPr>
          <w:ilvl w:val="1"/>
          <w:numId w:val="2"/>
        </w:numPr>
        <w:bidi w:val="0"/>
        <w:spacing w:before="240" w:after="160"/>
        <w:rPr>
          <w:rFonts w:asciiTheme="majorBidi" w:hAnsiTheme="majorBidi" w:cstheme="majorBidi"/>
        </w:rPr>
      </w:pPr>
      <w:r w:rsidRPr="00541229">
        <w:rPr>
          <w:rFonts w:asciiTheme="majorBidi" w:hAnsiTheme="majorBidi" w:cstheme="majorBidi"/>
        </w:rPr>
        <w:t xml:space="preserve">The establishment of a dedicated police unit for crime against </w:t>
      </w:r>
      <w:r w:rsidR="008B16D8">
        <w:rPr>
          <w:rFonts w:asciiTheme="majorBidi" w:hAnsiTheme="majorBidi" w:cstheme="majorBidi"/>
        </w:rPr>
        <w:t>children</w:t>
      </w:r>
      <w:r w:rsidR="008B16D8" w:rsidRPr="00541229">
        <w:rPr>
          <w:rFonts w:asciiTheme="majorBidi" w:hAnsiTheme="majorBidi" w:cstheme="majorBidi"/>
        </w:rPr>
        <w:t xml:space="preserve"> </w:t>
      </w:r>
      <w:r w:rsidRPr="00541229">
        <w:rPr>
          <w:rFonts w:asciiTheme="majorBidi" w:hAnsiTheme="majorBidi" w:cstheme="majorBidi"/>
        </w:rPr>
        <w:t>on the internet, including pedophilia and prostitution;</w:t>
      </w:r>
    </w:p>
    <w:p w14:paraId="3BC40C67" w14:textId="77777777" w:rsidR="00045321" w:rsidRPr="00541229" w:rsidRDefault="00B41AA7" w:rsidP="00045321">
      <w:pPr>
        <w:pStyle w:val="ListParagraph"/>
        <w:numPr>
          <w:ilvl w:val="1"/>
          <w:numId w:val="2"/>
        </w:numPr>
        <w:bidi w:val="0"/>
        <w:spacing w:before="240" w:after="160"/>
        <w:rPr>
          <w:rFonts w:asciiTheme="majorBidi" w:hAnsiTheme="majorBidi" w:cstheme="majorBidi"/>
        </w:rPr>
      </w:pPr>
      <w:r w:rsidRPr="00541229">
        <w:rPr>
          <w:rFonts w:asciiTheme="majorBidi" w:hAnsiTheme="majorBidi" w:cstheme="majorBidi"/>
        </w:rPr>
        <w:t>A national center for child protection, to receive and coordinate inquiries 24/7 on bullying and cyber-crimes;</w:t>
      </w:r>
    </w:p>
    <w:p w14:paraId="6B1C990B" w14:textId="77777777" w:rsidR="00045321" w:rsidRPr="00541229" w:rsidRDefault="00B41AA7" w:rsidP="00045321">
      <w:pPr>
        <w:pStyle w:val="ListParagraph"/>
        <w:numPr>
          <w:ilvl w:val="1"/>
          <w:numId w:val="2"/>
        </w:numPr>
        <w:bidi w:val="0"/>
        <w:spacing w:before="240" w:after="160"/>
        <w:rPr>
          <w:rFonts w:asciiTheme="majorBidi" w:hAnsiTheme="majorBidi" w:cstheme="majorBidi"/>
        </w:rPr>
      </w:pPr>
      <w:r w:rsidRPr="00541229">
        <w:rPr>
          <w:rFonts w:asciiTheme="majorBidi" w:hAnsiTheme="majorBidi" w:cstheme="majorBidi"/>
        </w:rPr>
        <w:t>A prevention and advocacy division, to promote and work to raise public awareness;</w:t>
      </w:r>
    </w:p>
    <w:p w14:paraId="43281BBB" w14:textId="77777777" w:rsidR="00045321" w:rsidRPr="00541229" w:rsidRDefault="00B41AA7" w:rsidP="00045321">
      <w:pPr>
        <w:pStyle w:val="ListParagraph"/>
        <w:numPr>
          <w:ilvl w:val="1"/>
          <w:numId w:val="2"/>
        </w:numPr>
        <w:bidi w:val="0"/>
        <w:spacing w:before="240" w:after="160"/>
        <w:rPr>
          <w:rFonts w:asciiTheme="majorBidi" w:hAnsiTheme="majorBidi" w:cstheme="majorBidi"/>
        </w:rPr>
      </w:pPr>
      <w:r w:rsidRPr="00541229">
        <w:rPr>
          <w:rFonts w:asciiTheme="majorBidi" w:hAnsiTheme="majorBidi" w:cstheme="majorBidi"/>
        </w:rPr>
        <w:t>An immediate hotline providing toll-free calls from all over the country and from any phone. The hotline, which can be reached by dialing 105, was launched in a limited capacity in February 2018, and was launched to the public and transferred to a full working format (24/7), in November 2018.</w:t>
      </w:r>
    </w:p>
    <w:p w14:paraId="74BC9B97" w14:textId="77777777" w:rsidR="001043E7" w:rsidRPr="00591D29" w:rsidRDefault="00B41AA7" w:rsidP="001043E7">
      <w:pPr>
        <w:bidi w:val="0"/>
        <w:spacing w:line="360" w:lineRule="auto"/>
        <w:jc w:val="both"/>
        <w:rPr>
          <w:rFonts w:asciiTheme="majorBidi" w:hAnsiTheme="majorBidi" w:cstheme="majorBidi"/>
          <w:sz w:val="24"/>
          <w:szCs w:val="24"/>
          <w:u w:val="single"/>
        </w:rPr>
      </w:pPr>
      <w:r w:rsidRPr="00591D29">
        <w:rPr>
          <w:rFonts w:asciiTheme="majorBidi" w:hAnsiTheme="majorBidi" w:cstheme="majorBidi"/>
          <w:sz w:val="24"/>
          <w:szCs w:val="24"/>
          <w:u w:val="single"/>
        </w:rPr>
        <w:t>Reducing violence in Arab society</w:t>
      </w:r>
    </w:p>
    <w:p w14:paraId="02A9D4B7" w14:textId="0999D5AA" w:rsidR="001043E7" w:rsidRPr="00541229" w:rsidRDefault="00B41AA7" w:rsidP="0064448C">
      <w:pPr>
        <w:bidi w:val="0"/>
        <w:spacing w:line="360" w:lineRule="auto"/>
        <w:jc w:val="both"/>
        <w:rPr>
          <w:rFonts w:asciiTheme="majorBidi" w:hAnsiTheme="majorBidi" w:cstheme="majorBidi"/>
          <w:sz w:val="24"/>
          <w:szCs w:val="24"/>
        </w:rPr>
      </w:pPr>
      <w:r>
        <w:rPr>
          <w:rFonts w:asciiTheme="majorBidi" w:hAnsiTheme="majorBidi" w:cstheme="majorBidi"/>
          <w:sz w:val="24"/>
          <w:szCs w:val="24"/>
        </w:rPr>
        <w:t>O</w:t>
      </w:r>
      <w:r w:rsidRPr="00541229">
        <w:rPr>
          <w:rFonts w:asciiTheme="majorBidi" w:hAnsiTheme="majorBidi" w:cstheme="majorBidi"/>
          <w:sz w:val="24"/>
          <w:szCs w:val="24"/>
        </w:rPr>
        <w:t>n October 24, 2021, the Israeli Government approved Resolution No. 459, entitled "Program for dealing with the phenomenon of crime and violence among the Arab population for the years 2022-2026". This Resolution established a five-year plan, which aims first and foremost, at raising the sense of personal security and safety of all Israeli citizens and of Arab citizens and residents in particular</w:t>
      </w:r>
      <w:r>
        <w:rPr>
          <w:rFonts w:asciiTheme="majorBidi" w:hAnsiTheme="majorBidi" w:cstheme="majorBidi"/>
          <w:sz w:val="24"/>
          <w:szCs w:val="24"/>
        </w:rPr>
        <w:t>.</w:t>
      </w:r>
      <w:r w:rsidRPr="00541229">
        <w:rPr>
          <w:rFonts w:asciiTheme="majorBidi" w:hAnsiTheme="majorBidi" w:cstheme="majorBidi"/>
          <w:sz w:val="24"/>
          <w:szCs w:val="24"/>
        </w:rPr>
        <w:t xml:space="preserve"> Additional goals of this program include the reduction of crime and violence in the Arab society; significant reduction of illegally held weapons in Arab society; increasing the cooperation and partnership in the implementation of this plan with leading representative</w:t>
      </w:r>
      <w:r w:rsidR="0064448C">
        <w:rPr>
          <w:rFonts w:asciiTheme="majorBidi" w:hAnsiTheme="majorBidi" w:cstheme="majorBidi"/>
          <w:sz w:val="24"/>
          <w:szCs w:val="24"/>
        </w:rPr>
        <w:t>s</w:t>
      </w:r>
      <w:r w:rsidRPr="00541229">
        <w:rPr>
          <w:rFonts w:asciiTheme="majorBidi" w:hAnsiTheme="majorBidi" w:cstheme="majorBidi"/>
          <w:sz w:val="24"/>
          <w:szCs w:val="24"/>
        </w:rPr>
        <w:t xml:space="preserve"> of the Arab society and the Arab public; and finally strengthening and </w:t>
      </w:r>
      <w:r w:rsidR="0064448C">
        <w:rPr>
          <w:rFonts w:asciiTheme="majorBidi" w:hAnsiTheme="majorBidi" w:cstheme="majorBidi"/>
          <w:sz w:val="24"/>
          <w:szCs w:val="24"/>
        </w:rPr>
        <w:t>empowering</w:t>
      </w:r>
      <w:r w:rsidR="0064448C"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of the Arab population to deal with violence in the </w:t>
      </w:r>
      <w:r w:rsidR="00A73D6C">
        <w:rPr>
          <w:rFonts w:asciiTheme="majorBidi" w:hAnsiTheme="majorBidi" w:cstheme="majorBidi"/>
          <w:sz w:val="24"/>
          <w:szCs w:val="24"/>
        </w:rPr>
        <w:t>community</w:t>
      </w:r>
      <w:r w:rsidRPr="00541229">
        <w:rPr>
          <w:rFonts w:asciiTheme="majorBidi" w:hAnsiTheme="majorBidi" w:cstheme="majorBidi"/>
          <w:sz w:val="24"/>
          <w:szCs w:val="24"/>
        </w:rPr>
        <w:t xml:space="preserve"> and </w:t>
      </w:r>
      <w:r w:rsidR="0064448C">
        <w:rPr>
          <w:rFonts w:asciiTheme="majorBidi" w:hAnsiTheme="majorBidi" w:cstheme="majorBidi"/>
          <w:sz w:val="24"/>
          <w:szCs w:val="24"/>
        </w:rPr>
        <w:t>condemning</w:t>
      </w:r>
      <w:r w:rsidR="0064448C"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violence and crime. In order to ensure efficient and successful implementation of the program, </w:t>
      </w:r>
      <w:r w:rsidR="00A73D6C" w:rsidRPr="00541229">
        <w:rPr>
          <w:rFonts w:asciiTheme="majorBidi" w:hAnsiTheme="majorBidi" w:cstheme="majorBidi"/>
          <w:sz w:val="24"/>
          <w:szCs w:val="24"/>
        </w:rPr>
        <w:t>approx</w:t>
      </w:r>
      <w:r w:rsidR="00A73D6C">
        <w:rPr>
          <w:rFonts w:asciiTheme="majorBidi" w:hAnsiTheme="majorBidi" w:cstheme="majorBidi"/>
          <w:sz w:val="24"/>
          <w:szCs w:val="24"/>
        </w:rPr>
        <w:t>imately</w:t>
      </w:r>
      <w:r w:rsidRPr="00541229">
        <w:rPr>
          <w:rFonts w:asciiTheme="majorBidi" w:hAnsiTheme="majorBidi" w:cstheme="majorBidi"/>
          <w:sz w:val="24"/>
          <w:szCs w:val="24"/>
        </w:rPr>
        <w:t xml:space="preserve"> 2.4 Billion NIS (762 Million USD) were allocated by the Government for its implementation.</w:t>
      </w:r>
    </w:p>
    <w:p w14:paraId="4852107A" w14:textId="4AB4DF28" w:rsidR="001043E7" w:rsidRPr="00541229" w:rsidRDefault="00B41AA7" w:rsidP="0064448C">
      <w:pPr>
        <w:bidi w:val="0"/>
        <w:spacing w:line="360" w:lineRule="auto"/>
        <w:jc w:val="both"/>
        <w:rPr>
          <w:rFonts w:asciiTheme="majorBidi" w:eastAsia="Times New Roman" w:hAnsiTheme="majorBidi" w:cstheme="majorBidi"/>
          <w:color w:val="000000"/>
          <w:sz w:val="24"/>
          <w:szCs w:val="24"/>
        </w:rPr>
      </w:pPr>
      <w:r w:rsidRPr="00541229">
        <w:rPr>
          <w:rFonts w:asciiTheme="majorBidi" w:hAnsiTheme="majorBidi" w:cstheme="majorBidi"/>
          <w:sz w:val="24"/>
          <w:szCs w:val="24"/>
        </w:rPr>
        <w:t xml:space="preserve">In order to further strengthen the Arab population in Israel, also on October 24, 2021, the Israeli Government approved Its Resolution No. 550, which established a new five-year plan (for the years 2022-2026), entitled "Tkadum – Progress", for the Arab population in Israel, with a total budget of </w:t>
      </w:r>
      <w:r w:rsidR="00DA4422">
        <w:rPr>
          <w:rFonts w:asciiTheme="majorBidi" w:hAnsiTheme="majorBidi" w:cstheme="majorBidi"/>
          <w:sz w:val="24"/>
          <w:szCs w:val="24"/>
        </w:rPr>
        <w:t>roughly</w:t>
      </w:r>
      <w:r w:rsidRPr="00541229">
        <w:rPr>
          <w:rFonts w:asciiTheme="majorBidi" w:hAnsiTheme="majorBidi" w:cstheme="majorBidi"/>
          <w:sz w:val="24"/>
          <w:szCs w:val="24"/>
        </w:rPr>
        <w:t xml:space="preserve"> 30 Billion NIS (9.6 Billion USD). This plan is aimed at further reducing gaps </w:t>
      </w:r>
      <w:r w:rsidR="0064448C">
        <w:rPr>
          <w:rFonts w:asciiTheme="majorBidi" w:hAnsiTheme="majorBidi" w:cstheme="majorBidi"/>
          <w:sz w:val="24"/>
          <w:szCs w:val="24"/>
        </w:rPr>
        <w:t>between</w:t>
      </w:r>
      <w:r w:rsidR="0064448C" w:rsidRPr="00541229">
        <w:rPr>
          <w:rFonts w:asciiTheme="majorBidi" w:hAnsiTheme="majorBidi" w:cstheme="majorBidi"/>
          <w:sz w:val="24"/>
          <w:szCs w:val="24"/>
        </w:rPr>
        <w:t xml:space="preserve"> </w:t>
      </w:r>
      <w:r w:rsidRPr="00541229">
        <w:rPr>
          <w:rFonts w:asciiTheme="majorBidi" w:hAnsiTheme="majorBidi" w:cstheme="majorBidi"/>
          <w:sz w:val="24"/>
          <w:szCs w:val="24"/>
        </w:rPr>
        <w:t xml:space="preserve">the Arab </w:t>
      </w:r>
      <w:r w:rsidR="0064448C">
        <w:rPr>
          <w:rFonts w:asciiTheme="majorBidi" w:hAnsiTheme="majorBidi" w:cstheme="majorBidi"/>
          <w:sz w:val="24"/>
          <w:szCs w:val="24"/>
        </w:rPr>
        <w:t xml:space="preserve">minority and the general Israeli </w:t>
      </w:r>
      <w:r w:rsidRPr="00541229">
        <w:rPr>
          <w:rFonts w:asciiTheme="majorBidi" w:hAnsiTheme="majorBidi" w:cstheme="majorBidi"/>
          <w:sz w:val="24"/>
          <w:szCs w:val="24"/>
        </w:rPr>
        <w:t>population, and it will address all fields of life, including: welfare, employment, health, housing, education, transportation, infrastructures and more.</w:t>
      </w:r>
    </w:p>
    <w:p w14:paraId="0F4EE14E" w14:textId="77777777" w:rsidR="001043E7" w:rsidRPr="001043E7" w:rsidRDefault="001043E7" w:rsidP="00680E7B">
      <w:pPr>
        <w:tabs>
          <w:tab w:val="left" w:pos="5336"/>
        </w:tabs>
        <w:spacing w:line="360" w:lineRule="auto"/>
        <w:jc w:val="both"/>
        <w:rPr>
          <w:rFonts w:asciiTheme="majorBidi" w:hAnsiTheme="majorBidi" w:cstheme="majorBidi"/>
          <w:sz w:val="24"/>
          <w:szCs w:val="24"/>
        </w:rPr>
      </w:pPr>
    </w:p>
    <w:sectPr w:rsidR="001043E7" w:rsidRPr="001043E7" w:rsidSect="00F83898">
      <w:headerReference w:type="default" r:id="rId8"/>
      <w:footerReference w:type="default" r:id="rId9"/>
      <w:head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F8B9F" w14:textId="77777777" w:rsidR="00E76E7F" w:rsidRDefault="00E76E7F">
      <w:pPr>
        <w:spacing w:after="0" w:line="240" w:lineRule="auto"/>
      </w:pPr>
      <w:r>
        <w:separator/>
      </w:r>
    </w:p>
  </w:endnote>
  <w:endnote w:type="continuationSeparator" w:id="0">
    <w:p w14:paraId="491E93F7" w14:textId="77777777" w:rsidR="00E76E7F" w:rsidRDefault="00E7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arkisim">
    <w:altName w:val="Malgun Gothic Semilight"/>
    <w:charset w:val="00"/>
    <w:family w:val="swiss"/>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2313749"/>
      <w:docPartObj>
        <w:docPartGallery w:val="Page Numbers (Bottom of Page)"/>
        <w:docPartUnique/>
      </w:docPartObj>
    </w:sdtPr>
    <w:sdtEndPr>
      <w:rPr>
        <w:rFonts w:ascii="Narkisim" w:hAnsi="Narkisim" w:cs="Narkisim"/>
        <w:cs/>
      </w:rPr>
    </w:sdtEndPr>
    <w:sdtContent>
      <w:p w14:paraId="1395C967" w14:textId="65AEB19D" w:rsidR="00045321" w:rsidRPr="006B67EC" w:rsidRDefault="00B41AA7">
        <w:pPr>
          <w:pStyle w:val="Footer"/>
          <w:jc w:val="center"/>
          <w:rPr>
            <w:rFonts w:ascii="Narkisim" w:hAnsi="Narkisim" w:cs="Narkisim"/>
            <w:rtl/>
          </w:rPr>
        </w:pPr>
        <w:r w:rsidRPr="006B67EC">
          <w:rPr>
            <w:rFonts w:ascii="Narkisim" w:hAnsi="Narkisim" w:cs="Narkisim"/>
          </w:rPr>
          <w:fldChar w:fldCharType="begin"/>
        </w:r>
        <w:r w:rsidRPr="006B67EC">
          <w:rPr>
            <w:rFonts w:ascii="Narkisim" w:hAnsi="Narkisim" w:cs="Narkisim"/>
          </w:rPr>
          <w:instrText>PAGE   \* MERGEFORMAT</w:instrText>
        </w:r>
        <w:r w:rsidRPr="006B67EC">
          <w:rPr>
            <w:rFonts w:ascii="Narkisim" w:hAnsi="Narkisim" w:cs="Narkisim"/>
          </w:rPr>
          <w:fldChar w:fldCharType="separate"/>
        </w:r>
        <w:r w:rsidR="00B73805" w:rsidRPr="00B73805">
          <w:rPr>
            <w:rFonts w:ascii="Narkisim" w:hAnsi="Narkisim" w:cs="Narkisim"/>
            <w:noProof/>
            <w:lang w:val="he-IL"/>
          </w:rPr>
          <w:t>4</w:t>
        </w:r>
        <w:r w:rsidRPr="006B67EC">
          <w:rPr>
            <w:rFonts w:ascii="Narkisim" w:hAnsi="Narkisim" w:cs="Narkisim"/>
          </w:rPr>
          <w:fldChar w:fldCharType="end"/>
        </w:r>
      </w:p>
    </w:sdtContent>
  </w:sdt>
  <w:p w14:paraId="745C3DC5" w14:textId="77777777" w:rsidR="002566C2" w:rsidRDefault="0025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B09A" w14:textId="77777777" w:rsidR="00E76E7F" w:rsidRDefault="00E76E7F" w:rsidP="00F83898">
      <w:pPr>
        <w:spacing w:after="0" w:line="240" w:lineRule="auto"/>
      </w:pPr>
      <w:r>
        <w:separator/>
      </w:r>
    </w:p>
  </w:footnote>
  <w:footnote w:type="continuationSeparator" w:id="0">
    <w:p w14:paraId="7DB341F7" w14:textId="77777777" w:rsidR="00E76E7F" w:rsidRDefault="00E76E7F" w:rsidP="00F83898">
      <w:pPr>
        <w:spacing w:after="0" w:line="240" w:lineRule="auto"/>
      </w:pPr>
      <w:r>
        <w:continuationSeparator/>
      </w:r>
    </w:p>
  </w:footnote>
  <w:footnote w:id="1">
    <w:p w14:paraId="4B935574" w14:textId="7C2D9969" w:rsidR="008C6973" w:rsidRDefault="00B41AA7" w:rsidP="008C6973">
      <w:pPr>
        <w:bidi w:val="0"/>
        <w:spacing w:before="240" w:line="240" w:lineRule="auto"/>
        <w:jc w:val="both"/>
        <w:rPr>
          <w:rFonts w:asciiTheme="majorBidi" w:hAnsiTheme="majorBidi" w:cstheme="majorBidi"/>
          <w:sz w:val="20"/>
          <w:szCs w:val="20"/>
        </w:rPr>
      </w:pPr>
      <w:r w:rsidRPr="006B67EC">
        <w:rPr>
          <w:rStyle w:val="FootnoteReference"/>
          <w:sz w:val="20"/>
          <w:szCs w:val="20"/>
        </w:rPr>
        <w:footnoteRef/>
      </w:r>
      <w:r>
        <w:rPr>
          <w:rFonts w:asciiTheme="majorBidi" w:hAnsiTheme="majorBidi" w:cstheme="majorBidi"/>
          <w:sz w:val="24"/>
          <w:szCs w:val="24"/>
        </w:rPr>
        <w:t xml:space="preserve"> </w:t>
      </w:r>
      <w:r w:rsidRPr="004E450A">
        <w:rPr>
          <w:rFonts w:asciiTheme="majorBidi" w:hAnsiTheme="majorBidi" w:cstheme="majorBidi"/>
          <w:sz w:val="20"/>
          <w:szCs w:val="20"/>
        </w:rPr>
        <w:t xml:space="preserve">According to the Knesset Research and Information Center -   </w:t>
      </w:r>
      <w:hyperlink r:id="rId1" w:history="1">
        <w:r w:rsidRPr="004E450A">
          <w:rPr>
            <w:rStyle w:val="Hyperlink"/>
            <w:rFonts w:asciiTheme="majorBidi" w:hAnsiTheme="majorBidi" w:cstheme="majorBidi"/>
            <w:sz w:val="20"/>
            <w:szCs w:val="20"/>
          </w:rPr>
          <w:t>https://fs.knesset.gov.il/globaldocs/MMM/05b5403a-66bc-eb11-8112-00155d0aee38/2_05b5403a-66bc-eb11-8112-00155d0aee38_11_18239.pdf</w:t>
        </w:r>
      </w:hyperlink>
      <w:r w:rsidRPr="006B67EC">
        <w:rPr>
          <w:rFonts w:asciiTheme="majorBidi" w:hAnsiTheme="majorBidi" w:cstheme="majorBidi"/>
          <w:sz w:val="20"/>
          <w:szCs w:val="20"/>
        </w:rPr>
        <w:t>.</w:t>
      </w:r>
    </w:p>
    <w:p w14:paraId="6E4215DC" w14:textId="77777777" w:rsidR="008C6973" w:rsidRDefault="008C6973" w:rsidP="008C6973">
      <w:pPr>
        <w:pStyle w:val="FootnoteText"/>
      </w:pPr>
    </w:p>
  </w:footnote>
  <w:footnote w:id="2">
    <w:p w14:paraId="7493386C" w14:textId="27E7053A" w:rsidR="006B67EC" w:rsidRDefault="00B41AA7" w:rsidP="006B67EC">
      <w:pPr>
        <w:bidi w:val="0"/>
        <w:spacing w:before="240" w:line="240" w:lineRule="auto"/>
        <w:jc w:val="both"/>
        <w:rPr>
          <w:rFonts w:asciiTheme="majorBidi" w:hAnsiTheme="majorBidi" w:cstheme="majorBidi"/>
          <w:sz w:val="20"/>
          <w:szCs w:val="20"/>
        </w:rPr>
      </w:pPr>
      <w:r w:rsidRPr="006B67EC">
        <w:rPr>
          <w:rStyle w:val="FootnoteReference"/>
          <w:sz w:val="20"/>
          <w:szCs w:val="20"/>
        </w:rPr>
        <w:footnoteRef/>
      </w:r>
      <w:r w:rsidRPr="006B67EC">
        <w:rPr>
          <w:sz w:val="20"/>
          <w:szCs w:val="20"/>
          <w:rtl/>
        </w:rPr>
        <w:t xml:space="preserve"> </w:t>
      </w:r>
      <w:hyperlink r:id="rId2" w:history="1">
        <w:r w:rsidRPr="006D4D75">
          <w:rPr>
            <w:rStyle w:val="Hyperlink"/>
            <w:rFonts w:asciiTheme="majorBidi" w:hAnsiTheme="majorBidi" w:cstheme="majorBidi"/>
            <w:sz w:val="20"/>
            <w:szCs w:val="20"/>
          </w:rPr>
          <w:t>https://www.tasmc.org.il/Articles/Psychiatry/Pages/magen.aspx</w:t>
        </w:r>
      </w:hyperlink>
    </w:p>
    <w:p w14:paraId="4EE8803E" w14:textId="77777777" w:rsidR="006B67EC" w:rsidRPr="00A73D6C" w:rsidRDefault="006B67EC" w:rsidP="006B67EC">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43FA" w14:textId="77777777" w:rsidR="00F83898" w:rsidRPr="001C4DC4" w:rsidRDefault="00B41AA7" w:rsidP="00F83898">
    <w:pPr>
      <w:pStyle w:val="Header"/>
      <w:jc w:val="center"/>
    </w:pPr>
    <w:r w:rsidRPr="001C4DC4">
      <w:rPr>
        <w:rFonts w:ascii="Times New Roman" w:hAnsi="Times New Roman" w:cs="Times New Roman"/>
        <w:b/>
        <w:bCs/>
      </w:rPr>
      <w:t>Office of the Deputy Attorney General (International Law)</w:t>
    </w:r>
  </w:p>
  <w:p w14:paraId="212D9754" w14:textId="77777777" w:rsidR="00F83898" w:rsidRPr="00F83898" w:rsidRDefault="00F8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FB8E6" w14:textId="77777777" w:rsidR="00F83898" w:rsidRPr="001C4DC4" w:rsidRDefault="00B73805" w:rsidP="00F83898">
    <w:pPr>
      <w:tabs>
        <w:tab w:val="center" w:pos="4153"/>
        <w:tab w:val="right" w:pos="8306"/>
      </w:tabs>
      <w:spacing w:after="0" w:line="240" w:lineRule="auto"/>
      <w:jc w:val="center"/>
      <w:rPr>
        <w:rFonts w:cs="David"/>
        <w:b/>
        <w:bCs/>
        <w:spacing w:val="60"/>
        <w:szCs w:val="28"/>
        <w:rtl/>
      </w:rPr>
    </w:pPr>
    <w:r>
      <w:pict w14:anchorId="54DE0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0.75pt">
          <v:imagedata r:id="rId1" o:title=""/>
        </v:shape>
      </w:pict>
    </w:r>
  </w:p>
  <w:p w14:paraId="7BF52605" w14:textId="77777777" w:rsidR="00F83898" w:rsidRPr="001C4DC4" w:rsidRDefault="00B41AA7"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14:paraId="06C07F30" w14:textId="77777777" w:rsidR="00F83898" w:rsidRPr="001C4DC4" w:rsidRDefault="00B41AA7"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14:paraId="21DC012C" w14:textId="77777777" w:rsidR="00F83898" w:rsidRPr="001C4DC4" w:rsidRDefault="00B41AA7"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lace">
      <w:smartTag w:uri="urn:schemas-microsoft-com:office:smarttags" w:element="PersonName">
        <w:r w:rsidRPr="001C4DC4">
          <w:rPr>
            <w:rFonts w:ascii="Times New Roman" w:hAnsi="Times New Roman" w:cs="Times New Roman"/>
            <w:b/>
            <w:bCs/>
            <w:spacing w:val="60"/>
            <w:szCs w:val="28"/>
          </w:rPr>
          <w:t>Israel</w:t>
        </w:r>
      </w:smartTag>
    </w:smartTag>
  </w:p>
  <w:p w14:paraId="1025B952" w14:textId="77777777" w:rsidR="00F83898" w:rsidRPr="001C4DC4" w:rsidRDefault="00B41AA7"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14:paraId="12434B72" w14:textId="77777777" w:rsidR="00F83898" w:rsidRPr="001C4DC4" w:rsidRDefault="00F83898" w:rsidP="00F83898">
    <w:pPr>
      <w:tabs>
        <w:tab w:val="center" w:pos="4153"/>
        <w:tab w:val="right" w:pos="8306"/>
      </w:tabs>
      <w:bidi w:val="0"/>
      <w:spacing w:after="0" w:line="240" w:lineRule="auto"/>
      <w:jc w:val="center"/>
      <w:rPr>
        <w:rFonts w:cs="David"/>
        <w:b/>
        <w:bCs/>
        <w:spacing w:val="60"/>
        <w:szCs w:val="28"/>
      </w:rPr>
    </w:pPr>
  </w:p>
  <w:p w14:paraId="3AB200EC" w14:textId="77777777" w:rsidR="00F83898" w:rsidRPr="001C4DC4" w:rsidRDefault="00B41AA7" w:rsidP="00F83898">
    <w:pPr>
      <w:pStyle w:val="Header"/>
      <w:jc w:val="center"/>
    </w:pPr>
    <w:r w:rsidRPr="001C4DC4">
      <w:rPr>
        <w:rFonts w:ascii="Times New Roman" w:hAnsi="Times New Roman" w:cs="Times New Roman"/>
        <w:b/>
        <w:bCs/>
      </w:rPr>
      <w:t>Office of the Deputy Attorney General (International Law)</w:t>
    </w:r>
  </w:p>
  <w:p w14:paraId="59DA3387" w14:textId="77777777" w:rsidR="00F83898" w:rsidRPr="00F83898" w:rsidRDefault="00F83898"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6F2"/>
    <w:multiLevelType w:val="multilevel"/>
    <w:tmpl w:val="25BAA88A"/>
    <w:lvl w:ilvl="0">
      <w:start w:val="1"/>
      <w:numFmt w:val="decimal"/>
      <w:lvlText w:val="%1."/>
      <w:lvlJc w:val="left"/>
      <w:pPr>
        <w:tabs>
          <w:tab w:val="num" w:pos="644"/>
        </w:tabs>
        <w:ind w:left="644" w:hanging="360"/>
      </w:pPr>
      <w:rPr>
        <w:rFonts w:ascii="sans-serif" w:hAnsi="sans-serif" w:cs="Narkisim" w:hint="default"/>
        <w:b w:val="0"/>
        <w:bCs w:val="0"/>
        <w:i w:val="0"/>
        <w:iCs w:val="0"/>
        <w:caps w:val="0"/>
        <w:strike w:val="0"/>
        <w:dstrike w:val="0"/>
        <w:outline w:val="0"/>
        <w:shadow w:val="0"/>
        <w:emboss w:val="0"/>
        <w:imprint w:val="0"/>
        <w:vanish w:val="0"/>
        <w:sz w:val="24"/>
        <w:szCs w:val="24"/>
        <w:vertAlign w:val="baseline"/>
        <w:lang w:val="en-GB"/>
      </w:rPr>
    </w:lvl>
    <w:lvl w:ilvl="1">
      <w:start w:val="1"/>
      <w:numFmt w:val="decimal"/>
      <w:lvlText w:val="%1.%2."/>
      <w:lvlJc w:val="left"/>
      <w:pPr>
        <w:tabs>
          <w:tab w:val="num" w:pos="356"/>
        </w:tabs>
        <w:ind w:left="356" w:hanging="432"/>
      </w:pPr>
      <w:rPr>
        <w:rFonts w:ascii="Times New Roman" w:hAnsi="Times New Roman" w:hint="default"/>
        <w:b w:val="0"/>
        <w:bCs w:val="0"/>
        <w:i w:val="0"/>
        <w:i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CF5303"/>
    <w:multiLevelType w:val="hybridMultilevel"/>
    <w:tmpl w:val="EC94809E"/>
    <w:lvl w:ilvl="0" w:tplc="0F66280C">
      <w:start w:val="1"/>
      <w:numFmt w:val="decimal"/>
      <w:lvlText w:val="%1."/>
      <w:lvlJc w:val="left"/>
      <w:pPr>
        <w:ind w:left="360" w:hanging="360"/>
      </w:pPr>
      <w:rPr>
        <w:rFonts w:hint="default"/>
        <w:b w:val="0"/>
        <w:bCs w:val="0"/>
      </w:rPr>
    </w:lvl>
    <w:lvl w:ilvl="1" w:tplc="DDDE1F7E">
      <w:start w:val="1"/>
      <w:numFmt w:val="lowerLetter"/>
      <w:lvlText w:val="%2."/>
      <w:lvlJc w:val="left"/>
      <w:pPr>
        <w:ind w:left="644" w:hanging="360"/>
      </w:pPr>
      <w:rPr>
        <w:b w:val="0"/>
        <w:bCs w:val="0"/>
      </w:rPr>
    </w:lvl>
    <w:lvl w:ilvl="2" w:tplc="73A868E0" w:tentative="1">
      <w:start w:val="1"/>
      <w:numFmt w:val="lowerRoman"/>
      <w:lvlText w:val="%3."/>
      <w:lvlJc w:val="right"/>
      <w:pPr>
        <w:ind w:left="1800" w:hanging="180"/>
      </w:pPr>
    </w:lvl>
    <w:lvl w:ilvl="3" w:tplc="F698CA88" w:tentative="1">
      <w:start w:val="1"/>
      <w:numFmt w:val="decimal"/>
      <w:lvlText w:val="%4."/>
      <w:lvlJc w:val="left"/>
      <w:pPr>
        <w:ind w:left="2520" w:hanging="360"/>
      </w:pPr>
    </w:lvl>
    <w:lvl w:ilvl="4" w:tplc="68A87390" w:tentative="1">
      <w:start w:val="1"/>
      <w:numFmt w:val="lowerLetter"/>
      <w:lvlText w:val="%5."/>
      <w:lvlJc w:val="left"/>
      <w:pPr>
        <w:ind w:left="3240" w:hanging="360"/>
      </w:pPr>
    </w:lvl>
    <w:lvl w:ilvl="5" w:tplc="CACCB006" w:tentative="1">
      <w:start w:val="1"/>
      <w:numFmt w:val="lowerRoman"/>
      <w:lvlText w:val="%6."/>
      <w:lvlJc w:val="right"/>
      <w:pPr>
        <w:ind w:left="3960" w:hanging="180"/>
      </w:pPr>
    </w:lvl>
    <w:lvl w:ilvl="6" w:tplc="78FCED4C" w:tentative="1">
      <w:start w:val="1"/>
      <w:numFmt w:val="decimal"/>
      <w:lvlText w:val="%7."/>
      <w:lvlJc w:val="left"/>
      <w:pPr>
        <w:ind w:left="4680" w:hanging="360"/>
      </w:pPr>
    </w:lvl>
    <w:lvl w:ilvl="7" w:tplc="037050EC" w:tentative="1">
      <w:start w:val="1"/>
      <w:numFmt w:val="lowerLetter"/>
      <w:lvlText w:val="%8."/>
      <w:lvlJc w:val="left"/>
      <w:pPr>
        <w:ind w:left="5400" w:hanging="360"/>
      </w:pPr>
    </w:lvl>
    <w:lvl w:ilvl="8" w:tplc="BCA22892" w:tentative="1">
      <w:start w:val="1"/>
      <w:numFmt w:val="lowerRoman"/>
      <w:lvlText w:val="%9."/>
      <w:lvlJc w:val="right"/>
      <w:pPr>
        <w:ind w:left="6120" w:hanging="180"/>
      </w:pPr>
    </w:lvl>
  </w:abstractNum>
  <w:abstractNum w:abstractNumId="2" w15:restartNumberingAfterBreak="0">
    <w:nsid w:val="3FD34FE0"/>
    <w:multiLevelType w:val="hybridMultilevel"/>
    <w:tmpl w:val="3DBCA082"/>
    <w:lvl w:ilvl="0" w:tplc="824E81AE">
      <w:start w:val="1"/>
      <w:numFmt w:val="decimal"/>
      <w:lvlText w:val="%1."/>
      <w:lvlJc w:val="left"/>
      <w:pPr>
        <w:ind w:left="720" w:hanging="360"/>
      </w:pPr>
      <w:rPr>
        <w:rFonts w:cs="Narkisim" w:hint="cs"/>
        <w:b w:val="0"/>
        <w:bCs w:val="0"/>
        <w:iCs w:val="0"/>
        <w:szCs w:val="24"/>
      </w:rPr>
    </w:lvl>
    <w:lvl w:ilvl="1" w:tplc="97284812" w:tentative="1">
      <w:start w:val="1"/>
      <w:numFmt w:val="lowerLetter"/>
      <w:lvlText w:val="%2."/>
      <w:lvlJc w:val="left"/>
      <w:pPr>
        <w:ind w:left="1440" w:hanging="360"/>
      </w:pPr>
    </w:lvl>
    <w:lvl w:ilvl="2" w:tplc="28F469A6" w:tentative="1">
      <w:start w:val="1"/>
      <w:numFmt w:val="lowerRoman"/>
      <w:lvlText w:val="%3."/>
      <w:lvlJc w:val="right"/>
      <w:pPr>
        <w:ind w:left="2160" w:hanging="180"/>
      </w:pPr>
    </w:lvl>
    <w:lvl w:ilvl="3" w:tplc="71E255B6" w:tentative="1">
      <w:start w:val="1"/>
      <w:numFmt w:val="decimal"/>
      <w:lvlText w:val="%4."/>
      <w:lvlJc w:val="left"/>
      <w:pPr>
        <w:ind w:left="2880" w:hanging="360"/>
      </w:pPr>
    </w:lvl>
    <w:lvl w:ilvl="4" w:tplc="9BD6F030" w:tentative="1">
      <w:start w:val="1"/>
      <w:numFmt w:val="lowerLetter"/>
      <w:lvlText w:val="%5."/>
      <w:lvlJc w:val="left"/>
      <w:pPr>
        <w:ind w:left="3600" w:hanging="360"/>
      </w:pPr>
    </w:lvl>
    <w:lvl w:ilvl="5" w:tplc="F77840E2" w:tentative="1">
      <w:start w:val="1"/>
      <w:numFmt w:val="lowerRoman"/>
      <w:lvlText w:val="%6."/>
      <w:lvlJc w:val="right"/>
      <w:pPr>
        <w:ind w:left="4320" w:hanging="180"/>
      </w:pPr>
    </w:lvl>
    <w:lvl w:ilvl="6" w:tplc="7878276C" w:tentative="1">
      <w:start w:val="1"/>
      <w:numFmt w:val="decimal"/>
      <w:lvlText w:val="%7."/>
      <w:lvlJc w:val="left"/>
      <w:pPr>
        <w:ind w:left="5040" w:hanging="360"/>
      </w:pPr>
    </w:lvl>
    <w:lvl w:ilvl="7" w:tplc="C4D00BEC" w:tentative="1">
      <w:start w:val="1"/>
      <w:numFmt w:val="lowerLetter"/>
      <w:lvlText w:val="%8."/>
      <w:lvlJc w:val="left"/>
      <w:pPr>
        <w:ind w:left="5760" w:hanging="360"/>
      </w:pPr>
    </w:lvl>
    <w:lvl w:ilvl="8" w:tplc="B4BE6648" w:tentative="1">
      <w:start w:val="1"/>
      <w:numFmt w:val="lowerRoman"/>
      <w:lvlText w:val="%9."/>
      <w:lvlJc w:val="right"/>
      <w:pPr>
        <w:ind w:left="6480" w:hanging="180"/>
      </w:pPr>
    </w:lvl>
  </w:abstractNum>
  <w:abstractNum w:abstractNumId="3" w15:restartNumberingAfterBreak="0">
    <w:nsid w:val="74DE2BBB"/>
    <w:multiLevelType w:val="hybridMultilevel"/>
    <w:tmpl w:val="19BA3F0E"/>
    <w:lvl w:ilvl="0" w:tplc="C1461534">
      <w:start w:val="1"/>
      <w:numFmt w:val="decimal"/>
      <w:lvlText w:val="%1."/>
      <w:lvlJc w:val="left"/>
      <w:pPr>
        <w:ind w:left="720" w:hanging="360"/>
      </w:pPr>
      <w:rPr>
        <w:rFonts w:hint="default"/>
      </w:rPr>
    </w:lvl>
    <w:lvl w:ilvl="1" w:tplc="E3E2FEC8" w:tentative="1">
      <w:start w:val="1"/>
      <w:numFmt w:val="lowerLetter"/>
      <w:lvlText w:val="%2."/>
      <w:lvlJc w:val="left"/>
      <w:pPr>
        <w:ind w:left="1440" w:hanging="360"/>
      </w:pPr>
    </w:lvl>
    <w:lvl w:ilvl="2" w:tplc="0BC26B64" w:tentative="1">
      <w:start w:val="1"/>
      <w:numFmt w:val="lowerRoman"/>
      <w:lvlText w:val="%3."/>
      <w:lvlJc w:val="right"/>
      <w:pPr>
        <w:ind w:left="2160" w:hanging="180"/>
      </w:pPr>
    </w:lvl>
    <w:lvl w:ilvl="3" w:tplc="72DCBB32" w:tentative="1">
      <w:start w:val="1"/>
      <w:numFmt w:val="decimal"/>
      <w:lvlText w:val="%4."/>
      <w:lvlJc w:val="left"/>
      <w:pPr>
        <w:ind w:left="2880" w:hanging="360"/>
      </w:pPr>
    </w:lvl>
    <w:lvl w:ilvl="4" w:tplc="1ADEFF44" w:tentative="1">
      <w:start w:val="1"/>
      <w:numFmt w:val="lowerLetter"/>
      <w:lvlText w:val="%5."/>
      <w:lvlJc w:val="left"/>
      <w:pPr>
        <w:ind w:left="3600" w:hanging="360"/>
      </w:pPr>
    </w:lvl>
    <w:lvl w:ilvl="5" w:tplc="6E38EFF4" w:tentative="1">
      <w:start w:val="1"/>
      <w:numFmt w:val="lowerRoman"/>
      <w:lvlText w:val="%6."/>
      <w:lvlJc w:val="right"/>
      <w:pPr>
        <w:ind w:left="4320" w:hanging="180"/>
      </w:pPr>
    </w:lvl>
    <w:lvl w:ilvl="6" w:tplc="03009626" w:tentative="1">
      <w:start w:val="1"/>
      <w:numFmt w:val="decimal"/>
      <w:lvlText w:val="%7."/>
      <w:lvlJc w:val="left"/>
      <w:pPr>
        <w:ind w:left="5040" w:hanging="360"/>
      </w:pPr>
    </w:lvl>
    <w:lvl w:ilvl="7" w:tplc="C696E23C" w:tentative="1">
      <w:start w:val="1"/>
      <w:numFmt w:val="lowerLetter"/>
      <w:lvlText w:val="%8."/>
      <w:lvlJc w:val="left"/>
      <w:pPr>
        <w:ind w:left="5760" w:hanging="360"/>
      </w:pPr>
    </w:lvl>
    <w:lvl w:ilvl="8" w:tplc="9FE6CEAE"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D"/>
    <w:rsid w:val="00016A60"/>
    <w:rsid w:val="000242CE"/>
    <w:rsid w:val="00033A8B"/>
    <w:rsid w:val="00045321"/>
    <w:rsid w:val="00051616"/>
    <w:rsid w:val="00053FE0"/>
    <w:rsid w:val="000961A4"/>
    <w:rsid w:val="000B0404"/>
    <w:rsid w:val="000B7964"/>
    <w:rsid w:val="000E1CF0"/>
    <w:rsid w:val="000E427F"/>
    <w:rsid w:val="001043E7"/>
    <w:rsid w:val="00141F40"/>
    <w:rsid w:val="00163E8F"/>
    <w:rsid w:val="001972DF"/>
    <w:rsid w:val="001C4DC4"/>
    <w:rsid w:val="001F4BB3"/>
    <w:rsid w:val="00214D90"/>
    <w:rsid w:val="0021785C"/>
    <w:rsid w:val="0025606B"/>
    <w:rsid w:val="002566C2"/>
    <w:rsid w:val="00271F4D"/>
    <w:rsid w:val="002748F8"/>
    <w:rsid w:val="00287D18"/>
    <w:rsid w:val="00291794"/>
    <w:rsid w:val="00296F54"/>
    <w:rsid w:val="00297F16"/>
    <w:rsid w:val="002D629A"/>
    <w:rsid w:val="00311DFB"/>
    <w:rsid w:val="0035424D"/>
    <w:rsid w:val="003A0617"/>
    <w:rsid w:val="003B12D3"/>
    <w:rsid w:val="003B2291"/>
    <w:rsid w:val="003C3E99"/>
    <w:rsid w:val="00431C95"/>
    <w:rsid w:val="0044698F"/>
    <w:rsid w:val="00450BFA"/>
    <w:rsid w:val="00464622"/>
    <w:rsid w:val="004E15C9"/>
    <w:rsid w:val="004E450A"/>
    <w:rsid w:val="00516E1A"/>
    <w:rsid w:val="0052224E"/>
    <w:rsid w:val="00526A58"/>
    <w:rsid w:val="0053219D"/>
    <w:rsid w:val="00541229"/>
    <w:rsid w:val="005812CE"/>
    <w:rsid w:val="00591D29"/>
    <w:rsid w:val="005962CB"/>
    <w:rsid w:val="005D2674"/>
    <w:rsid w:val="005D2901"/>
    <w:rsid w:val="00603803"/>
    <w:rsid w:val="00632405"/>
    <w:rsid w:val="0064448C"/>
    <w:rsid w:val="00680E7B"/>
    <w:rsid w:val="006B585F"/>
    <w:rsid w:val="006B67EC"/>
    <w:rsid w:val="006B7A40"/>
    <w:rsid w:val="006C2345"/>
    <w:rsid w:val="006D4D75"/>
    <w:rsid w:val="006D614A"/>
    <w:rsid w:val="007039F3"/>
    <w:rsid w:val="00707185"/>
    <w:rsid w:val="007379C3"/>
    <w:rsid w:val="00756EEF"/>
    <w:rsid w:val="0077237E"/>
    <w:rsid w:val="007B1FFD"/>
    <w:rsid w:val="007D3F61"/>
    <w:rsid w:val="007F0527"/>
    <w:rsid w:val="00800DDE"/>
    <w:rsid w:val="00813622"/>
    <w:rsid w:val="00831543"/>
    <w:rsid w:val="00832CCD"/>
    <w:rsid w:val="008341A7"/>
    <w:rsid w:val="008A3E69"/>
    <w:rsid w:val="008B16D8"/>
    <w:rsid w:val="008B46E4"/>
    <w:rsid w:val="008C6973"/>
    <w:rsid w:val="008E39C7"/>
    <w:rsid w:val="008F7AF6"/>
    <w:rsid w:val="009D0325"/>
    <w:rsid w:val="00A73D6C"/>
    <w:rsid w:val="00A8259B"/>
    <w:rsid w:val="00B163D3"/>
    <w:rsid w:val="00B177E3"/>
    <w:rsid w:val="00B308E4"/>
    <w:rsid w:val="00B33EDC"/>
    <w:rsid w:val="00B41AA7"/>
    <w:rsid w:val="00B73805"/>
    <w:rsid w:val="00B82D37"/>
    <w:rsid w:val="00BB6EF0"/>
    <w:rsid w:val="00BF3A47"/>
    <w:rsid w:val="00C46EF5"/>
    <w:rsid w:val="00C50509"/>
    <w:rsid w:val="00C5483E"/>
    <w:rsid w:val="00C8466D"/>
    <w:rsid w:val="00CA793E"/>
    <w:rsid w:val="00CE6F22"/>
    <w:rsid w:val="00D610F4"/>
    <w:rsid w:val="00DA4422"/>
    <w:rsid w:val="00DB39F8"/>
    <w:rsid w:val="00E05165"/>
    <w:rsid w:val="00E166FD"/>
    <w:rsid w:val="00E2474A"/>
    <w:rsid w:val="00E41FF9"/>
    <w:rsid w:val="00E44734"/>
    <w:rsid w:val="00E70A3A"/>
    <w:rsid w:val="00E76E7F"/>
    <w:rsid w:val="00E81861"/>
    <w:rsid w:val="00EB0D45"/>
    <w:rsid w:val="00EB51E3"/>
    <w:rsid w:val="00EC5E42"/>
    <w:rsid w:val="00EE7D66"/>
    <w:rsid w:val="00F07447"/>
    <w:rsid w:val="00F078A0"/>
    <w:rsid w:val="00F101CB"/>
    <w:rsid w:val="00F5570F"/>
    <w:rsid w:val="00F83898"/>
    <w:rsid w:val="00F90B27"/>
    <w:rsid w:val="00FD26D9"/>
    <w:rsid w:val="00FE49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14:docId w14:val="4A917BEB"/>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character" w:styleId="CommentReference">
    <w:name w:val="annotation reference"/>
    <w:basedOn w:val="DefaultParagraphFont"/>
    <w:uiPriority w:val="99"/>
    <w:semiHidden/>
    <w:unhideWhenUsed/>
    <w:rsid w:val="00832CCD"/>
    <w:rPr>
      <w:sz w:val="16"/>
      <w:szCs w:val="16"/>
    </w:rPr>
  </w:style>
  <w:style w:type="paragraph" w:styleId="CommentText">
    <w:name w:val="annotation text"/>
    <w:basedOn w:val="Normal"/>
    <w:link w:val="CommentTextChar"/>
    <w:uiPriority w:val="99"/>
    <w:semiHidden/>
    <w:unhideWhenUsed/>
    <w:rsid w:val="00832CCD"/>
    <w:pPr>
      <w:spacing w:line="240" w:lineRule="auto"/>
    </w:pPr>
    <w:rPr>
      <w:sz w:val="20"/>
      <w:szCs w:val="20"/>
    </w:rPr>
  </w:style>
  <w:style w:type="character" w:customStyle="1" w:styleId="CommentTextChar">
    <w:name w:val="Comment Text Char"/>
    <w:basedOn w:val="DefaultParagraphFont"/>
    <w:link w:val="CommentText"/>
    <w:uiPriority w:val="99"/>
    <w:semiHidden/>
    <w:rsid w:val="00832CCD"/>
    <w:rPr>
      <w:sz w:val="20"/>
      <w:szCs w:val="20"/>
    </w:rPr>
  </w:style>
  <w:style w:type="paragraph" w:styleId="CommentSubject">
    <w:name w:val="annotation subject"/>
    <w:basedOn w:val="CommentText"/>
    <w:next w:val="CommentText"/>
    <w:link w:val="CommentSubjectChar"/>
    <w:uiPriority w:val="99"/>
    <w:semiHidden/>
    <w:unhideWhenUsed/>
    <w:rsid w:val="00832CCD"/>
    <w:rPr>
      <w:b/>
      <w:bCs/>
    </w:rPr>
  </w:style>
  <w:style w:type="character" w:customStyle="1" w:styleId="CommentSubjectChar">
    <w:name w:val="Comment Subject Char"/>
    <w:basedOn w:val="CommentTextChar"/>
    <w:link w:val="CommentSubject"/>
    <w:uiPriority w:val="99"/>
    <w:semiHidden/>
    <w:rsid w:val="00832CCD"/>
    <w:rPr>
      <w:b/>
      <w:bCs/>
      <w:sz w:val="20"/>
      <w:szCs w:val="20"/>
    </w:rPr>
  </w:style>
  <w:style w:type="paragraph" w:styleId="BalloonText">
    <w:name w:val="Balloon Text"/>
    <w:basedOn w:val="Normal"/>
    <w:link w:val="BalloonTextChar"/>
    <w:uiPriority w:val="99"/>
    <w:semiHidden/>
    <w:unhideWhenUsed/>
    <w:rsid w:val="00832CC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2CCD"/>
    <w:rPr>
      <w:rFonts w:ascii="Tahoma" w:hAnsi="Tahoma" w:cs="Tahoma"/>
      <w:sz w:val="18"/>
      <w:szCs w:val="18"/>
    </w:rPr>
  </w:style>
  <w:style w:type="paragraph" w:styleId="ListParagraph">
    <w:name w:val="List Paragraph"/>
    <w:basedOn w:val="Normal"/>
    <w:uiPriority w:val="34"/>
    <w:qFormat/>
    <w:rsid w:val="00832CCD"/>
    <w:pPr>
      <w:spacing w:after="0" w:line="360" w:lineRule="auto"/>
      <w:ind w:left="720"/>
      <w:contextualSpacing/>
      <w:jc w:val="both"/>
    </w:pPr>
    <w:rPr>
      <w:rFonts w:ascii="Times New Roman" w:eastAsia="Times New Roman" w:hAnsi="Times New Roman" w:cs="Narkisim"/>
      <w:sz w:val="24"/>
      <w:szCs w:val="24"/>
      <w:lang w:eastAsia="he-IL"/>
    </w:rPr>
  </w:style>
  <w:style w:type="character" w:styleId="Hyperlink">
    <w:name w:val="Hyperlink"/>
    <w:basedOn w:val="DefaultParagraphFont"/>
    <w:uiPriority w:val="99"/>
    <w:unhideWhenUsed/>
    <w:rsid w:val="00296F54"/>
    <w:rPr>
      <w:color w:val="0563C1" w:themeColor="hyperlink"/>
      <w:u w:val="single"/>
    </w:rPr>
  </w:style>
  <w:style w:type="paragraph" w:customStyle="1" w:styleId="ParaNo">
    <w:name w:val="ParaNo."/>
    <w:basedOn w:val="Normal"/>
    <w:rsid w:val="00291794"/>
    <w:pPr>
      <w:tabs>
        <w:tab w:val="left" w:pos="737"/>
      </w:tabs>
      <w:bidi w:val="0"/>
      <w:spacing w:after="0" w:line="240" w:lineRule="auto"/>
    </w:pPr>
    <w:rPr>
      <w:rFonts w:ascii="Times New Roman" w:eastAsia="Times New Roman" w:hAnsi="Times New Roman" w:cs="Times New Roman"/>
      <w:sz w:val="24"/>
      <w:szCs w:val="20"/>
      <w:lang w:val="en-GB" w:bidi="ar-SA"/>
    </w:rPr>
  </w:style>
  <w:style w:type="character" w:styleId="FollowedHyperlink">
    <w:name w:val="FollowedHyperlink"/>
    <w:basedOn w:val="DefaultParagraphFont"/>
    <w:uiPriority w:val="99"/>
    <w:semiHidden/>
    <w:unhideWhenUsed/>
    <w:rsid w:val="0035424D"/>
    <w:rPr>
      <w:color w:val="954F72" w:themeColor="followedHyperlink"/>
      <w:u w:val="single"/>
    </w:rPr>
  </w:style>
  <w:style w:type="paragraph" w:customStyle="1" w:styleId="Hesber">
    <w:name w:val="Hesber"/>
    <w:basedOn w:val="Normal"/>
    <w:rsid w:val="0052224E"/>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a">
    <w:name w:val="תשובה"/>
    <w:basedOn w:val="Normal"/>
    <w:link w:val="a0"/>
    <w:qFormat/>
    <w:rsid w:val="00E44734"/>
    <w:pPr>
      <w:bidi w:val="0"/>
      <w:spacing w:before="240" w:after="200" w:line="360" w:lineRule="auto"/>
      <w:ind w:left="709" w:right="-4"/>
      <w:jc w:val="both"/>
    </w:pPr>
    <w:rPr>
      <w:rFonts w:ascii="Garamond" w:eastAsia="Times New Roman" w:hAnsi="Garamond" w:cs="Times New Roman"/>
      <w:sz w:val="24"/>
      <w:szCs w:val="24"/>
      <w:lang w:eastAsia="he-IL"/>
    </w:rPr>
  </w:style>
  <w:style w:type="character" w:customStyle="1" w:styleId="a0">
    <w:name w:val="תשובה תו"/>
    <w:link w:val="a"/>
    <w:rsid w:val="00E44734"/>
    <w:rPr>
      <w:rFonts w:ascii="Garamond" w:eastAsia="Times New Roman" w:hAnsi="Garamond" w:cs="Times New Roman"/>
      <w:sz w:val="24"/>
      <w:szCs w:val="24"/>
      <w:lang w:eastAsia="he-IL"/>
    </w:rPr>
  </w:style>
  <w:style w:type="character" w:customStyle="1" w:styleId="Bodytext2">
    <w:name w:val="Body text (2)"/>
    <w:rsid w:val="00E44734"/>
    <w:rPr>
      <w:rFonts w:ascii="David" w:eastAsia="David" w:hAnsi="David" w:cs="David"/>
      <w:b/>
      <w:bCs/>
      <w:color w:val="000000"/>
      <w:spacing w:val="0"/>
      <w:w w:val="100"/>
      <w:position w:val="0"/>
      <w:sz w:val="21"/>
      <w:szCs w:val="21"/>
      <w:u w:val="single"/>
      <w:lang w:val="en-US" w:eastAsia="en-US" w:bidi="en-US"/>
    </w:rPr>
  </w:style>
  <w:style w:type="character" w:customStyle="1" w:styleId="Heading1">
    <w:name w:val="Heading #1"/>
    <w:rsid w:val="00E44734"/>
    <w:rPr>
      <w:rFonts w:ascii="David" w:eastAsia="David" w:hAnsi="David" w:cs="David"/>
      <w:b/>
      <w:bCs/>
      <w:color w:val="272727"/>
      <w:spacing w:val="0"/>
      <w:w w:val="100"/>
      <w:position w:val="0"/>
      <w:sz w:val="24"/>
      <w:szCs w:val="24"/>
      <w:u w:val="none"/>
      <w:lang w:val="he-IL" w:eastAsia="he-IL" w:bidi="he-IL"/>
    </w:rPr>
  </w:style>
  <w:style w:type="paragraph" w:styleId="FootnoteText">
    <w:name w:val="footnote text"/>
    <w:basedOn w:val="Normal"/>
    <w:link w:val="FootnoteTextChar"/>
    <w:uiPriority w:val="99"/>
    <w:semiHidden/>
    <w:unhideWhenUsed/>
    <w:rsid w:val="00A7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D6C"/>
    <w:rPr>
      <w:sz w:val="20"/>
      <w:szCs w:val="20"/>
    </w:rPr>
  </w:style>
  <w:style w:type="character" w:styleId="FootnoteReference">
    <w:name w:val="footnote reference"/>
    <w:basedOn w:val="DefaultParagraphFont"/>
    <w:uiPriority w:val="99"/>
    <w:semiHidden/>
    <w:unhideWhenUsed/>
    <w:rsid w:val="00A73D6C"/>
    <w:rPr>
      <w:vertAlign w:val="superscript"/>
    </w:rPr>
  </w:style>
  <w:style w:type="paragraph" w:customStyle="1" w:styleId="Default">
    <w:name w:val="Default"/>
    <w:basedOn w:val="Normal"/>
    <w:rsid w:val="00526A58"/>
    <w:pPr>
      <w:autoSpaceDE w:val="0"/>
      <w:autoSpaceDN w:val="0"/>
      <w:bidi w:val="0"/>
      <w:spacing w:after="0" w:line="360" w:lineRule="atLeast"/>
      <w:jc w:val="both"/>
    </w:pPr>
    <w:rPr>
      <w:rFonts w:ascii="Times New Roman" w:hAnsi="Times New Roman" w:cs="Times New Roman"/>
      <w:color w:val="000000"/>
      <w:sz w:val="24"/>
      <w:szCs w:val="24"/>
    </w:rPr>
  </w:style>
  <w:style w:type="paragraph" w:styleId="Revision">
    <w:name w:val="Revision"/>
    <w:hidden/>
    <w:uiPriority w:val="99"/>
    <w:semiHidden/>
    <w:rsid w:val="00603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tasmc.org.il/Articles/Psychiatry/Pages/magen.aspx" TargetMode="External"/><Relationship Id="rId1" Type="http://schemas.openxmlformats.org/officeDocument/2006/relationships/hyperlink" Target="https://fs.knesset.gov.il/globaldocs/MMM/05b5403a-66bc-eb11-8112-00155d0aee38/2_05b5403a-66bc-eb11-8112-00155d0aee38_11_182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B6647F6-5318-4F95-929B-533268AF22C7}">
  <ds:schemaRefs>
    <ds:schemaRef ds:uri="http://schemas.openxmlformats.org/officeDocument/2006/bibliography"/>
  </ds:schemaRefs>
</ds:datastoreItem>
</file>

<file path=customXml/itemProps2.xml><?xml version="1.0" encoding="utf-8"?>
<ds:datastoreItem xmlns:ds="http://schemas.openxmlformats.org/officeDocument/2006/customXml" ds:itemID="{D9430C49-848A-4627-86C7-B5C418CD9D78}"/>
</file>

<file path=customXml/itemProps3.xml><?xml version="1.0" encoding="utf-8"?>
<ds:datastoreItem xmlns:ds="http://schemas.openxmlformats.org/officeDocument/2006/customXml" ds:itemID="{803F5324-4B83-446F-8F41-FF929BF50FB2}"/>
</file>

<file path=customXml/itemProps4.xml><?xml version="1.0" encoding="utf-8"?>
<ds:datastoreItem xmlns:ds="http://schemas.openxmlformats.org/officeDocument/2006/customXml" ds:itemID="{85EFF4FD-A794-40AA-A84B-B61E914FB048}"/>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16779</Characters>
  <Application>Microsoft Office Word</Application>
  <DocSecurity>4</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yaara kleinberger</dc:creator>
  <cp:lastModifiedBy>Adriana Zarraluqui</cp:lastModifiedBy>
  <cp:revision>2</cp:revision>
  <dcterms:created xsi:type="dcterms:W3CDTF">2022-01-19T11:48:00Z</dcterms:created>
  <dcterms:modified xsi:type="dcterms:W3CDTF">2022-01-19T11:48:00Z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