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0BA" w:rsidRPr="004E10A4" w:rsidRDefault="000A013D" w:rsidP="002C6AE2">
      <w:pPr>
        <w:jc w:val="center"/>
        <w:rPr>
          <w:rFonts w:ascii="Garamond" w:hAnsi="Garamond"/>
          <w:b/>
          <w:sz w:val="26"/>
          <w:szCs w:val="26"/>
        </w:rPr>
      </w:pPr>
      <w:bookmarkStart w:id="0" w:name="_GoBack"/>
      <w:bookmarkEnd w:id="0"/>
      <w:r w:rsidRPr="004E10A4">
        <w:rPr>
          <w:rFonts w:ascii="Garamond" w:hAnsi="Garamond"/>
          <w:b/>
          <w:sz w:val="26"/>
          <w:szCs w:val="26"/>
          <w:lang w:val="en-GB"/>
        </w:rPr>
        <w:t>The Kingdom’s response to the questionnaire entitled “</w:t>
      </w:r>
      <w:r w:rsidR="00B36FA2" w:rsidRPr="004E10A4">
        <w:rPr>
          <w:rFonts w:ascii="Garamond" w:hAnsi="Garamond"/>
          <w:b/>
          <w:sz w:val="26"/>
          <w:szCs w:val="26"/>
          <w:lang w:val="en-GB"/>
        </w:rPr>
        <w:t>Violence and its impact on the right to health</w:t>
      </w:r>
      <w:r w:rsidRPr="004E10A4">
        <w:rPr>
          <w:rFonts w:ascii="Garamond" w:hAnsi="Garamond"/>
          <w:b/>
          <w:sz w:val="26"/>
          <w:szCs w:val="26"/>
          <w:lang w:val="en-GB"/>
        </w:rPr>
        <w:t>”</w:t>
      </w:r>
    </w:p>
    <w:tbl>
      <w:tblPr>
        <w:tblStyle w:val="TableGrid"/>
        <w:tblW w:w="0" w:type="auto"/>
        <w:tblLayout w:type="fixed"/>
        <w:tblLook w:val="04A0" w:firstRow="1" w:lastRow="0" w:firstColumn="1" w:lastColumn="0" w:noHBand="0" w:noVBand="1"/>
      </w:tblPr>
      <w:tblGrid>
        <w:gridCol w:w="535"/>
        <w:gridCol w:w="4320"/>
        <w:gridCol w:w="4495"/>
      </w:tblGrid>
      <w:tr w:rsidR="007372D5" w:rsidRPr="004E10A4" w:rsidTr="00AC039C">
        <w:tc>
          <w:tcPr>
            <w:tcW w:w="535" w:type="dxa"/>
            <w:shd w:val="clear" w:color="auto" w:fill="BDD6EE" w:themeFill="accent1" w:themeFillTint="66"/>
          </w:tcPr>
          <w:p w:rsidR="007372D5" w:rsidRPr="00AC039C" w:rsidRDefault="007372D5" w:rsidP="002C6AE2">
            <w:pPr>
              <w:jc w:val="both"/>
              <w:rPr>
                <w:rFonts w:ascii="Garamond" w:hAnsi="Garamond"/>
                <w:b/>
                <w:bCs/>
              </w:rPr>
            </w:pPr>
            <w:r w:rsidRPr="00AC039C">
              <w:rPr>
                <w:rFonts w:ascii="Garamond" w:hAnsi="Garamond"/>
                <w:b/>
                <w:bCs/>
              </w:rPr>
              <w:t>S.N.</w:t>
            </w:r>
          </w:p>
        </w:tc>
        <w:tc>
          <w:tcPr>
            <w:tcW w:w="4320" w:type="dxa"/>
            <w:shd w:val="clear" w:color="auto" w:fill="BDD6EE" w:themeFill="accent1" w:themeFillTint="66"/>
          </w:tcPr>
          <w:p w:rsidR="007372D5" w:rsidRPr="004E10A4" w:rsidRDefault="007372D5" w:rsidP="002C6AE2">
            <w:pPr>
              <w:jc w:val="both"/>
              <w:rPr>
                <w:rFonts w:ascii="Garamond" w:hAnsi="Garamond"/>
                <w:b/>
                <w:bCs/>
                <w:sz w:val="26"/>
                <w:szCs w:val="26"/>
              </w:rPr>
            </w:pPr>
            <w:r w:rsidRPr="004E10A4">
              <w:rPr>
                <w:rFonts w:ascii="Garamond" w:hAnsi="Garamond"/>
                <w:b/>
                <w:bCs/>
                <w:sz w:val="26"/>
                <w:szCs w:val="26"/>
              </w:rPr>
              <w:t>Question</w:t>
            </w:r>
          </w:p>
        </w:tc>
        <w:tc>
          <w:tcPr>
            <w:tcW w:w="4495" w:type="dxa"/>
            <w:shd w:val="clear" w:color="auto" w:fill="BDD6EE" w:themeFill="accent1" w:themeFillTint="66"/>
          </w:tcPr>
          <w:p w:rsidR="007372D5" w:rsidRPr="004E10A4" w:rsidRDefault="007372D5" w:rsidP="002C6AE2">
            <w:pPr>
              <w:jc w:val="both"/>
              <w:rPr>
                <w:rFonts w:ascii="Garamond" w:hAnsi="Garamond"/>
                <w:b/>
                <w:bCs/>
                <w:sz w:val="26"/>
                <w:szCs w:val="26"/>
              </w:rPr>
            </w:pPr>
            <w:r w:rsidRPr="004E10A4">
              <w:rPr>
                <w:rFonts w:ascii="Garamond" w:hAnsi="Garamond"/>
                <w:b/>
                <w:bCs/>
                <w:sz w:val="26"/>
                <w:szCs w:val="26"/>
              </w:rPr>
              <w:t>Answer</w:t>
            </w:r>
          </w:p>
        </w:tc>
      </w:tr>
      <w:tr w:rsidR="007372D5" w:rsidRPr="004E10A4" w:rsidTr="00AC039C">
        <w:tc>
          <w:tcPr>
            <w:tcW w:w="535" w:type="dxa"/>
          </w:tcPr>
          <w:p w:rsidR="007372D5" w:rsidRPr="004E10A4" w:rsidRDefault="007372D5" w:rsidP="002C6AE2">
            <w:pPr>
              <w:jc w:val="both"/>
              <w:rPr>
                <w:rFonts w:ascii="Garamond" w:hAnsi="Garamond"/>
                <w:sz w:val="26"/>
                <w:szCs w:val="26"/>
                <w:lang w:val="en-GB"/>
              </w:rPr>
            </w:pPr>
            <w:r w:rsidRPr="004E10A4">
              <w:rPr>
                <w:rFonts w:ascii="Garamond" w:hAnsi="Garamond"/>
                <w:sz w:val="26"/>
                <w:szCs w:val="26"/>
                <w:lang w:val="en-GB"/>
              </w:rPr>
              <w:t>1</w:t>
            </w:r>
          </w:p>
        </w:tc>
        <w:tc>
          <w:tcPr>
            <w:tcW w:w="4320" w:type="dxa"/>
          </w:tcPr>
          <w:p w:rsidR="00C961F6" w:rsidRPr="00C961F6" w:rsidRDefault="00C961F6" w:rsidP="00C961F6">
            <w:pPr>
              <w:pStyle w:val="ListParagraph"/>
              <w:numPr>
                <w:ilvl w:val="0"/>
                <w:numId w:val="1"/>
              </w:numPr>
              <w:shd w:val="clear" w:color="auto" w:fill="FFFFFF"/>
              <w:spacing w:line="259" w:lineRule="auto"/>
              <w:outlineLvl w:val="2"/>
              <w:rPr>
                <w:color w:val="000000"/>
                <w:sz w:val="24"/>
                <w:szCs w:val="24"/>
                <w:lang w:eastAsia="en-GB"/>
              </w:rPr>
            </w:pPr>
            <w:r w:rsidRPr="00C961F6">
              <w:rPr>
                <w:color w:val="000000"/>
                <w:sz w:val="24"/>
                <w:szCs w:val="24"/>
                <w:lang w:eastAsia="en-GB"/>
              </w:rPr>
              <w:t>Please describe, share data and information on the characteristics, number of cases, and the profile of victims and perpetrators in your country/ies or region(s) regarding:</w:t>
            </w:r>
          </w:p>
          <w:p w:rsidR="00C961F6" w:rsidRPr="00C961F6" w:rsidRDefault="00C961F6" w:rsidP="00C961F6">
            <w:pPr>
              <w:shd w:val="clear" w:color="auto" w:fill="FFFFFF"/>
              <w:ind w:left="360"/>
              <w:contextualSpacing/>
              <w:outlineLvl w:val="2"/>
              <w:rPr>
                <w:rFonts w:ascii="Times New Roman" w:eastAsia="Times New Roman" w:hAnsi="Times New Roman" w:cs="Times New Roman"/>
                <w:color w:val="000000"/>
                <w:sz w:val="24"/>
                <w:szCs w:val="24"/>
                <w:lang w:val="en-GB" w:eastAsia="en-GB"/>
              </w:rPr>
            </w:pPr>
          </w:p>
          <w:p w:rsidR="00C961F6" w:rsidRPr="00C961F6" w:rsidRDefault="00C961F6" w:rsidP="00C961F6">
            <w:pPr>
              <w:numPr>
                <w:ilvl w:val="1"/>
                <w:numId w:val="2"/>
              </w:numPr>
              <w:shd w:val="clear" w:color="auto" w:fill="FFFFFF"/>
              <w:ind w:left="792"/>
              <w:contextualSpacing/>
              <w:outlineLvl w:val="2"/>
              <w:rPr>
                <w:rFonts w:ascii="Times New Roman" w:eastAsia="Times New Roman" w:hAnsi="Times New Roman" w:cs="Times New Roman"/>
                <w:color w:val="000000"/>
                <w:sz w:val="24"/>
                <w:szCs w:val="24"/>
                <w:lang w:val="en-GB" w:eastAsia="en-GB"/>
              </w:rPr>
            </w:pPr>
            <w:r w:rsidRPr="00C961F6">
              <w:rPr>
                <w:rFonts w:ascii="Times New Roman" w:eastAsia="Times New Roman" w:hAnsi="Times New Roman" w:cs="Times New Roman"/>
                <w:color w:val="000000"/>
                <w:sz w:val="24"/>
                <w:szCs w:val="24"/>
                <w:lang w:val="en-GB" w:eastAsia="en-GB"/>
              </w:rPr>
              <w:t xml:space="preserve">gender based violence against women </w:t>
            </w:r>
          </w:p>
          <w:p w:rsidR="00C961F6" w:rsidRPr="00C961F6" w:rsidRDefault="00C961F6" w:rsidP="00C961F6">
            <w:pPr>
              <w:numPr>
                <w:ilvl w:val="1"/>
                <w:numId w:val="2"/>
              </w:numPr>
              <w:shd w:val="clear" w:color="auto" w:fill="FFFFFF"/>
              <w:ind w:left="792"/>
              <w:contextualSpacing/>
              <w:outlineLvl w:val="2"/>
              <w:rPr>
                <w:rFonts w:ascii="Times New Roman" w:eastAsia="Times New Roman" w:hAnsi="Times New Roman" w:cs="Times New Roman"/>
                <w:color w:val="000000"/>
                <w:sz w:val="24"/>
                <w:szCs w:val="24"/>
                <w:lang w:val="en-GB" w:eastAsia="en-GB"/>
              </w:rPr>
            </w:pPr>
            <w:r w:rsidRPr="00C961F6">
              <w:rPr>
                <w:rFonts w:ascii="Times New Roman" w:eastAsia="Times New Roman" w:hAnsi="Times New Roman" w:cs="Times New Roman"/>
                <w:color w:val="000000"/>
                <w:sz w:val="24"/>
                <w:szCs w:val="24"/>
                <w:lang w:val="en-GB" w:eastAsia="en-GB"/>
              </w:rPr>
              <w:t>gender based violence and other forms of violence against children:</w:t>
            </w:r>
          </w:p>
          <w:p w:rsidR="00C961F6" w:rsidRPr="00C961F6" w:rsidRDefault="00C961F6" w:rsidP="00C961F6">
            <w:pPr>
              <w:numPr>
                <w:ilvl w:val="1"/>
                <w:numId w:val="2"/>
              </w:numPr>
              <w:shd w:val="clear" w:color="auto" w:fill="FFFFFF"/>
              <w:ind w:left="792"/>
              <w:contextualSpacing/>
              <w:outlineLvl w:val="2"/>
              <w:rPr>
                <w:rFonts w:ascii="Times New Roman" w:eastAsia="Times New Roman" w:hAnsi="Times New Roman" w:cs="Times New Roman"/>
                <w:sz w:val="24"/>
                <w:szCs w:val="24"/>
                <w:lang w:val="en-GB" w:eastAsia="en-GB"/>
              </w:rPr>
            </w:pPr>
            <w:r w:rsidRPr="00C961F6">
              <w:rPr>
                <w:rFonts w:ascii="Times New Roman" w:eastAsia="Times New Roman" w:hAnsi="Times New Roman" w:cs="Times New Roman"/>
                <w:color w:val="000000"/>
                <w:sz w:val="24"/>
                <w:szCs w:val="24"/>
                <w:lang w:val="en-GB" w:eastAsia="en-GB"/>
              </w:rPr>
              <w:t xml:space="preserve">gender based violence against </w:t>
            </w:r>
            <w:r w:rsidRPr="00C961F6">
              <w:rPr>
                <w:rFonts w:ascii="Times New Roman" w:eastAsia="Times New Roman" w:hAnsi="Times New Roman" w:cs="Times New Roman"/>
                <w:sz w:val="24"/>
                <w:szCs w:val="24"/>
                <w:lang w:val="en-GB" w:eastAsia="en-GB"/>
              </w:rPr>
              <w:t xml:space="preserve">LGBTI or other persons based on </w:t>
            </w:r>
            <w:r w:rsidRPr="00C961F6">
              <w:rPr>
                <w:rFonts w:ascii="Times New Roman" w:eastAsia="Times New Roman" w:hAnsi="Times New Roman" w:cs="Times New Roman"/>
                <w:color w:val="000000"/>
                <w:sz w:val="24"/>
                <w:szCs w:val="24"/>
                <w:lang w:val="en-GB" w:eastAsia="en-GB"/>
              </w:rPr>
              <w:t>real or imputed sexual orientation</w:t>
            </w:r>
            <w:r w:rsidRPr="00C961F6">
              <w:rPr>
                <w:rFonts w:ascii="Times New Roman" w:eastAsia="Times New Roman" w:hAnsi="Times New Roman" w:cs="Times New Roman"/>
                <w:sz w:val="24"/>
                <w:szCs w:val="24"/>
                <w:lang w:val="en-GB" w:eastAsia="en-GB"/>
              </w:rPr>
              <w:t xml:space="preserve">, sex characteristics, and gender identity: </w:t>
            </w:r>
          </w:p>
          <w:p w:rsidR="00C961F6" w:rsidRPr="00C961F6" w:rsidRDefault="00C961F6" w:rsidP="00C961F6">
            <w:pPr>
              <w:numPr>
                <w:ilvl w:val="1"/>
                <w:numId w:val="2"/>
              </w:numPr>
              <w:shd w:val="clear" w:color="auto" w:fill="FFFFFF"/>
              <w:ind w:left="792"/>
              <w:contextualSpacing/>
              <w:outlineLvl w:val="2"/>
              <w:rPr>
                <w:rFonts w:ascii="Times New Roman" w:eastAsia="Times New Roman" w:hAnsi="Times New Roman" w:cs="Times New Roman"/>
                <w:color w:val="000000"/>
                <w:sz w:val="24"/>
                <w:szCs w:val="24"/>
                <w:lang w:val="en-GB" w:eastAsia="en-GB"/>
              </w:rPr>
            </w:pPr>
            <w:r w:rsidRPr="00C961F6">
              <w:rPr>
                <w:rFonts w:ascii="Times New Roman" w:eastAsia="Times New Roman" w:hAnsi="Times New Roman" w:cs="Times New Roman"/>
                <w:sz w:val="24"/>
                <w:szCs w:val="24"/>
                <w:lang w:val="en-GB" w:eastAsia="en-GB"/>
              </w:rPr>
              <w:t>violence against persons with disabilities</w:t>
            </w:r>
            <w:r w:rsidRPr="00C961F6">
              <w:rPr>
                <w:rFonts w:ascii="Times New Roman" w:eastAsia="Times New Roman" w:hAnsi="Times New Roman" w:cs="Times New Roman"/>
                <w:color w:val="000000"/>
                <w:sz w:val="24"/>
                <w:szCs w:val="24"/>
                <w:lang w:val="en-GB" w:eastAsia="en-GB"/>
              </w:rPr>
              <w:t>, including GBV.</w:t>
            </w:r>
          </w:p>
          <w:p w:rsidR="00C961F6" w:rsidRPr="00C961F6" w:rsidRDefault="00C961F6" w:rsidP="00C961F6">
            <w:pPr>
              <w:numPr>
                <w:ilvl w:val="1"/>
                <w:numId w:val="2"/>
              </w:numPr>
              <w:shd w:val="clear" w:color="auto" w:fill="FFFFFF"/>
              <w:ind w:left="792"/>
              <w:contextualSpacing/>
              <w:outlineLvl w:val="2"/>
              <w:rPr>
                <w:rFonts w:ascii="Times New Roman" w:eastAsia="Times New Roman" w:hAnsi="Times New Roman" w:cs="Times New Roman"/>
                <w:color w:val="000000"/>
                <w:sz w:val="24"/>
                <w:szCs w:val="24"/>
                <w:lang w:val="en-GB" w:eastAsia="en-GB"/>
              </w:rPr>
            </w:pPr>
            <w:r w:rsidRPr="00C961F6">
              <w:rPr>
                <w:rFonts w:ascii="Times New Roman" w:eastAsia="Times New Roman" w:hAnsi="Times New Roman" w:cs="Times New Roman"/>
                <w:color w:val="000000"/>
                <w:sz w:val="24"/>
                <w:szCs w:val="24"/>
                <w:lang w:val="en-GB" w:eastAsia="en-GB"/>
              </w:rPr>
              <w:t>gender based violence against men</w:t>
            </w:r>
          </w:p>
          <w:p w:rsidR="00C961F6" w:rsidRPr="00C961F6" w:rsidRDefault="00C961F6" w:rsidP="00C961F6">
            <w:pPr>
              <w:numPr>
                <w:ilvl w:val="1"/>
                <w:numId w:val="2"/>
              </w:numPr>
              <w:shd w:val="clear" w:color="auto" w:fill="FFFFFF"/>
              <w:ind w:left="792"/>
              <w:contextualSpacing/>
              <w:outlineLvl w:val="2"/>
              <w:rPr>
                <w:rFonts w:ascii="Times New Roman" w:eastAsia="Times New Roman" w:hAnsi="Times New Roman" w:cs="Times New Roman"/>
                <w:color w:val="000000"/>
                <w:sz w:val="24"/>
                <w:szCs w:val="24"/>
                <w:lang w:val="en-GB" w:eastAsia="en-GB"/>
              </w:rPr>
            </w:pPr>
            <w:r w:rsidRPr="00C961F6">
              <w:rPr>
                <w:rFonts w:ascii="Times New Roman" w:eastAsia="Times New Roman" w:hAnsi="Times New Roman" w:cs="Times New Roman"/>
                <w:color w:val="000000"/>
                <w:sz w:val="24"/>
                <w:szCs w:val="24"/>
                <w:lang w:val="en-GB" w:eastAsia="en-GB"/>
              </w:rPr>
              <w:t>conflict gender based violence, including sexual violence</w:t>
            </w:r>
          </w:p>
          <w:p w:rsidR="00C961F6" w:rsidRPr="00C961F6" w:rsidRDefault="00C961F6" w:rsidP="00C961F6">
            <w:pPr>
              <w:numPr>
                <w:ilvl w:val="1"/>
                <w:numId w:val="2"/>
              </w:numPr>
              <w:shd w:val="clear" w:color="auto" w:fill="FFFFFF"/>
              <w:ind w:left="792"/>
              <w:contextualSpacing/>
              <w:outlineLvl w:val="2"/>
              <w:rPr>
                <w:rFonts w:ascii="Times New Roman" w:eastAsia="Times New Roman" w:hAnsi="Times New Roman" w:cs="Times New Roman"/>
                <w:color w:val="000000"/>
                <w:sz w:val="24"/>
                <w:szCs w:val="24"/>
                <w:lang w:val="en-GB" w:eastAsia="en-GB"/>
              </w:rPr>
            </w:pPr>
            <w:r w:rsidRPr="00C961F6">
              <w:rPr>
                <w:rFonts w:ascii="Times New Roman" w:eastAsia="Times New Roman" w:hAnsi="Times New Roman" w:cs="Times New Roman"/>
                <w:color w:val="000000"/>
                <w:sz w:val="24"/>
                <w:szCs w:val="24"/>
                <w:lang w:val="en-GB" w:eastAsia="en-GB"/>
              </w:rPr>
              <w:t>Please share analysis and available evidence on the impact of COVID on the above</w:t>
            </w:r>
          </w:p>
          <w:p w:rsidR="007372D5" w:rsidRPr="004E10A4" w:rsidRDefault="007372D5" w:rsidP="002C6AE2">
            <w:pPr>
              <w:jc w:val="both"/>
              <w:rPr>
                <w:rFonts w:ascii="Garamond" w:hAnsi="Garamond"/>
                <w:sz w:val="26"/>
                <w:szCs w:val="26"/>
                <w:lang w:val="en-GB"/>
              </w:rPr>
            </w:pPr>
          </w:p>
        </w:tc>
        <w:tc>
          <w:tcPr>
            <w:tcW w:w="4495" w:type="dxa"/>
          </w:tcPr>
          <w:p w:rsidR="002632CE" w:rsidRDefault="00AD206C" w:rsidP="002632CE">
            <w:pPr>
              <w:pStyle w:val="ListParagraph"/>
              <w:numPr>
                <w:ilvl w:val="0"/>
                <w:numId w:val="3"/>
              </w:numPr>
              <w:jc w:val="both"/>
              <w:rPr>
                <w:rFonts w:ascii="Garamond" w:hAnsi="Garamond"/>
                <w:sz w:val="26"/>
                <w:szCs w:val="26"/>
              </w:rPr>
            </w:pPr>
            <w:r w:rsidRPr="002632CE">
              <w:rPr>
                <w:rFonts w:ascii="Garamond" w:hAnsi="Garamond"/>
                <w:sz w:val="26"/>
                <w:szCs w:val="26"/>
              </w:rPr>
              <w:t>KSA’s</w:t>
            </w:r>
            <w:r w:rsidR="007372D5" w:rsidRPr="002632CE">
              <w:rPr>
                <w:rFonts w:ascii="Garamond" w:hAnsi="Garamond"/>
                <w:sz w:val="26"/>
                <w:szCs w:val="26"/>
              </w:rPr>
              <w:t xml:space="preserve"> laws criminalize </w:t>
            </w:r>
            <w:r w:rsidRPr="002632CE">
              <w:rPr>
                <w:rFonts w:ascii="Garamond" w:hAnsi="Garamond"/>
                <w:sz w:val="26"/>
                <w:szCs w:val="26"/>
              </w:rPr>
              <w:t xml:space="preserve">all kinds of </w:t>
            </w:r>
            <w:r w:rsidR="007372D5" w:rsidRPr="002632CE">
              <w:rPr>
                <w:rFonts w:ascii="Garamond" w:hAnsi="Garamond"/>
                <w:sz w:val="26"/>
                <w:szCs w:val="26"/>
              </w:rPr>
              <w:t xml:space="preserve">violence, including violence against women, children, persons with disabilities, and sexual violence, </w:t>
            </w:r>
            <w:r w:rsidR="00D75354" w:rsidRPr="002632CE">
              <w:rPr>
                <w:rFonts w:ascii="Garamond" w:hAnsi="Garamond"/>
                <w:sz w:val="26"/>
                <w:szCs w:val="26"/>
              </w:rPr>
              <w:t>through</w:t>
            </w:r>
            <w:r w:rsidR="0063273F" w:rsidRPr="002632CE">
              <w:rPr>
                <w:rFonts w:ascii="Garamond" w:hAnsi="Garamond"/>
                <w:sz w:val="26"/>
                <w:szCs w:val="26"/>
              </w:rPr>
              <w:t xml:space="preserve"> </w:t>
            </w:r>
            <w:r w:rsidR="00B40975" w:rsidRPr="002632CE">
              <w:rPr>
                <w:rFonts w:ascii="Garamond" w:hAnsi="Garamond"/>
                <w:sz w:val="26"/>
                <w:szCs w:val="26"/>
              </w:rPr>
              <w:t>the</w:t>
            </w:r>
            <w:r w:rsidR="002632CE" w:rsidRPr="002632CE">
              <w:rPr>
                <w:rFonts w:ascii="Garamond" w:hAnsi="Garamond"/>
                <w:sz w:val="26"/>
                <w:szCs w:val="26"/>
              </w:rPr>
              <w:t xml:space="preserve"> Protection from Abuse Law and the Child Protection Law, which constitute a legal fence to protect all members of society against all forms of violence, </w:t>
            </w:r>
            <w:r w:rsidR="002632CE">
              <w:rPr>
                <w:rFonts w:ascii="Garamond" w:hAnsi="Garamond"/>
                <w:sz w:val="26"/>
                <w:szCs w:val="26"/>
              </w:rPr>
              <w:t>as an example for that is what mentioned in the</w:t>
            </w:r>
            <w:r w:rsidR="00B40975" w:rsidRPr="002632CE">
              <w:rPr>
                <w:rFonts w:ascii="Garamond" w:hAnsi="Garamond"/>
                <w:sz w:val="26"/>
                <w:szCs w:val="26"/>
              </w:rPr>
              <w:t xml:space="preserve"> Protection from Abuse Law</w:t>
            </w:r>
            <w:r w:rsidR="007372D5" w:rsidRPr="002632CE">
              <w:rPr>
                <w:rFonts w:ascii="Garamond" w:hAnsi="Garamond"/>
                <w:sz w:val="26"/>
                <w:szCs w:val="26"/>
              </w:rPr>
              <w:t xml:space="preserve"> </w:t>
            </w:r>
            <w:r w:rsidR="00D75354" w:rsidRPr="002632CE">
              <w:rPr>
                <w:rFonts w:ascii="Garamond" w:hAnsi="Garamond"/>
                <w:sz w:val="26"/>
                <w:szCs w:val="26"/>
              </w:rPr>
              <w:t xml:space="preserve">which </w:t>
            </w:r>
            <w:r w:rsidR="009930BF" w:rsidRPr="002632CE">
              <w:rPr>
                <w:rFonts w:ascii="Garamond" w:hAnsi="Garamond"/>
                <w:sz w:val="26"/>
                <w:szCs w:val="26"/>
              </w:rPr>
              <w:t xml:space="preserve">obligates </w:t>
            </w:r>
            <w:r w:rsidR="0063273F" w:rsidRPr="002632CE">
              <w:rPr>
                <w:rFonts w:ascii="Garamond" w:hAnsi="Garamond"/>
                <w:sz w:val="26"/>
                <w:szCs w:val="26"/>
              </w:rPr>
              <w:t xml:space="preserve">anyone who </w:t>
            </w:r>
            <w:r w:rsidR="002632CE">
              <w:rPr>
                <w:rFonts w:ascii="Garamond" w:hAnsi="Garamond"/>
                <w:sz w:val="26"/>
                <w:szCs w:val="26"/>
              </w:rPr>
              <w:t>witnesses</w:t>
            </w:r>
            <w:r w:rsidR="0063273F" w:rsidRPr="002632CE">
              <w:rPr>
                <w:rFonts w:ascii="Garamond" w:hAnsi="Garamond"/>
                <w:sz w:val="26"/>
                <w:szCs w:val="26"/>
              </w:rPr>
              <w:t xml:space="preserve"> a</w:t>
            </w:r>
            <w:r w:rsidR="009D7465" w:rsidRPr="002632CE">
              <w:rPr>
                <w:rFonts w:ascii="Garamond" w:hAnsi="Garamond"/>
                <w:sz w:val="26"/>
                <w:szCs w:val="26"/>
              </w:rPr>
              <w:t>n</w:t>
            </w:r>
            <w:r w:rsidR="0063273F" w:rsidRPr="002632CE">
              <w:rPr>
                <w:rFonts w:ascii="Garamond" w:hAnsi="Garamond"/>
                <w:sz w:val="26"/>
                <w:szCs w:val="26"/>
              </w:rPr>
              <w:t xml:space="preserve"> abuse </w:t>
            </w:r>
            <w:r w:rsidR="009D7465" w:rsidRPr="002632CE">
              <w:rPr>
                <w:rFonts w:ascii="Garamond" w:hAnsi="Garamond"/>
                <w:sz w:val="26"/>
                <w:szCs w:val="26"/>
              </w:rPr>
              <w:t xml:space="preserve">case </w:t>
            </w:r>
            <w:r w:rsidR="0063273F" w:rsidRPr="002632CE">
              <w:rPr>
                <w:rFonts w:ascii="Garamond" w:hAnsi="Garamond"/>
                <w:sz w:val="26"/>
                <w:szCs w:val="26"/>
              </w:rPr>
              <w:t xml:space="preserve">to report it immediately, </w:t>
            </w:r>
            <w:r w:rsidR="009930BF" w:rsidRPr="002632CE">
              <w:rPr>
                <w:rFonts w:ascii="Garamond" w:hAnsi="Garamond"/>
                <w:sz w:val="26"/>
                <w:szCs w:val="26"/>
              </w:rPr>
              <w:t xml:space="preserve">and obligates the employee who </w:t>
            </w:r>
            <w:r w:rsidR="0058337E" w:rsidRPr="002632CE">
              <w:rPr>
                <w:rFonts w:ascii="Garamond" w:hAnsi="Garamond"/>
                <w:sz w:val="26"/>
                <w:szCs w:val="26"/>
              </w:rPr>
              <w:t xml:space="preserve">is aware of an </w:t>
            </w:r>
            <w:r w:rsidR="009930BF" w:rsidRPr="002632CE">
              <w:rPr>
                <w:rFonts w:ascii="Garamond" w:hAnsi="Garamond"/>
                <w:sz w:val="26"/>
                <w:szCs w:val="26"/>
              </w:rPr>
              <w:t xml:space="preserve">abuse </w:t>
            </w:r>
            <w:r w:rsidR="0058337E" w:rsidRPr="002632CE">
              <w:rPr>
                <w:rFonts w:ascii="Garamond" w:hAnsi="Garamond"/>
                <w:sz w:val="26"/>
                <w:szCs w:val="26"/>
              </w:rPr>
              <w:t xml:space="preserve">case </w:t>
            </w:r>
            <w:r w:rsidR="009930BF" w:rsidRPr="002632CE">
              <w:rPr>
                <w:rFonts w:ascii="Garamond" w:hAnsi="Garamond"/>
                <w:sz w:val="26"/>
                <w:szCs w:val="26"/>
              </w:rPr>
              <w:t xml:space="preserve">to </w:t>
            </w:r>
            <w:r w:rsidR="0058337E" w:rsidRPr="002632CE">
              <w:rPr>
                <w:rFonts w:ascii="Garamond" w:hAnsi="Garamond"/>
                <w:sz w:val="26"/>
                <w:szCs w:val="26"/>
              </w:rPr>
              <w:t xml:space="preserve">report </w:t>
            </w:r>
            <w:r w:rsidR="009930BF" w:rsidRPr="002632CE">
              <w:rPr>
                <w:rFonts w:ascii="Garamond" w:hAnsi="Garamond"/>
                <w:sz w:val="26"/>
                <w:szCs w:val="26"/>
              </w:rPr>
              <w:t>his employer</w:t>
            </w:r>
            <w:r w:rsidR="0058337E" w:rsidRPr="002632CE">
              <w:rPr>
                <w:rFonts w:ascii="Garamond" w:hAnsi="Garamond"/>
                <w:sz w:val="26"/>
                <w:szCs w:val="26"/>
              </w:rPr>
              <w:t xml:space="preserve"> immediately,</w:t>
            </w:r>
            <w:r w:rsidR="009930BF" w:rsidRPr="002632CE">
              <w:rPr>
                <w:rFonts w:ascii="Garamond" w:hAnsi="Garamond"/>
                <w:sz w:val="26"/>
                <w:szCs w:val="26"/>
              </w:rPr>
              <w:t xml:space="preserve"> and his </w:t>
            </w:r>
            <w:r w:rsidR="0058337E" w:rsidRPr="002632CE">
              <w:rPr>
                <w:rFonts w:ascii="Garamond" w:hAnsi="Garamond"/>
                <w:sz w:val="26"/>
                <w:szCs w:val="26"/>
              </w:rPr>
              <w:t xml:space="preserve">employer </w:t>
            </w:r>
            <w:r w:rsidR="009930BF" w:rsidRPr="002632CE">
              <w:rPr>
                <w:rFonts w:ascii="Garamond" w:hAnsi="Garamond"/>
                <w:sz w:val="26"/>
                <w:szCs w:val="26"/>
              </w:rPr>
              <w:t xml:space="preserve">shall </w:t>
            </w:r>
            <w:r w:rsidR="00C110C6" w:rsidRPr="002632CE">
              <w:rPr>
                <w:rFonts w:ascii="Garamond" w:hAnsi="Garamond"/>
                <w:sz w:val="26"/>
                <w:szCs w:val="26"/>
              </w:rPr>
              <w:t xml:space="preserve">report the abuse case to </w:t>
            </w:r>
            <w:r w:rsidR="009930BF" w:rsidRPr="002632CE">
              <w:rPr>
                <w:rFonts w:ascii="Garamond" w:hAnsi="Garamond"/>
                <w:sz w:val="26"/>
                <w:szCs w:val="26"/>
              </w:rPr>
              <w:t xml:space="preserve">the competent authority or the police </w:t>
            </w:r>
            <w:r w:rsidR="00C110C6" w:rsidRPr="002632CE">
              <w:rPr>
                <w:rFonts w:ascii="Garamond" w:hAnsi="Garamond"/>
                <w:sz w:val="26"/>
                <w:szCs w:val="26"/>
              </w:rPr>
              <w:t>immediately</w:t>
            </w:r>
            <w:r w:rsidR="009930BF" w:rsidRPr="002632CE">
              <w:rPr>
                <w:rFonts w:ascii="Garamond" w:hAnsi="Garamond"/>
                <w:sz w:val="26"/>
                <w:szCs w:val="26"/>
              </w:rPr>
              <w:t>.</w:t>
            </w:r>
          </w:p>
          <w:p w:rsidR="007372D5" w:rsidRPr="002632CE" w:rsidRDefault="009930BF" w:rsidP="002632CE">
            <w:pPr>
              <w:pStyle w:val="ListParagraph"/>
              <w:numPr>
                <w:ilvl w:val="0"/>
                <w:numId w:val="3"/>
              </w:numPr>
              <w:jc w:val="both"/>
              <w:rPr>
                <w:rFonts w:ascii="Garamond" w:hAnsi="Garamond"/>
                <w:sz w:val="26"/>
                <w:szCs w:val="26"/>
              </w:rPr>
            </w:pPr>
            <w:r w:rsidRPr="002632CE">
              <w:rPr>
                <w:rFonts w:ascii="Garamond" w:hAnsi="Garamond"/>
                <w:sz w:val="26"/>
                <w:szCs w:val="26"/>
              </w:rPr>
              <w:t xml:space="preserve"> </w:t>
            </w:r>
            <w:r w:rsidR="007372D5" w:rsidRPr="002632CE">
              <w:rPr>
                <w:rFonts w:ascii="Garamond" w:hAnsi="Garamond"/>
                <w:sz w:val="26"/>
                <w:szCs w:val="26"/>
              </w:rPr>
              <w:t xml:space="preserve">In order to strengthen the mechanisms for receiving </w:t>
            </w:r>
            <w:r w:rsidR="00835D62" w:rsidRPr="002632CE">
              <w:rPr>
                <w:rFonts w:ascii="Garamond" w:hAnsi="Garamond"/>
                <w:sz w:val="26"/>
                <w:szCs w:val="26"/>
              </w:rPr>
              <w:t xml:space="preserve">violence related </w:t>
            </w:r>
            <w:r w:rsidR="007372D5" w:rsidRPr="002632CE">
              <w:rPr>
                <w:rFonts w:ascii="Garamond" w:hAnsi="Garamond"/>
                <w:sz w:val="26"/>
                <w:szCs w:val="26"/>
              </w:rPr>
              <w:t xml:space="preserve">complaints, </w:t>
            </w:r>
            <w:r w:rsidR="00860533" w:rsidRPr="002632CE">
              <w:rPr>
                <w:rFonts w:ascii="Garamond" w:hAnsi="Garamond"/>
                <w:sz w:val="26"/>
                <w:szCs w:val="26"/>
              </w:rPr>
              <w:t xml:space="preserve">the complaints center was operated on March 20, 2016, </w:t>
            </w:r>
            <w:r w:rsidR="005C1813" w:rsidRPr="002632CE">
              <w:rPr>
                <w:rFonts w:ascii="Garamond" w:hAnsi="Garamond"/>
                <w:sz w:val="26"/>
                <w:szCs w:val="26"/>
              </w:rPr>
              <w:t xml:space="preserve">which operates 24/7, to receive all abuse complaints </w:t>
            </w:r>
            <w:r w:rsidR="00F13136" w:rsidRPr="002632CE">
              <w:rPr>
                <w:rFonts w:ascii="Garamond" w:hAnsi="Garamond"/>
                <w:sz w:val="26"/>
                <w:szCs w:val="26"/>
              </w:rPr>
              <w:t xml:space="preserve">via </w:t>
            </w:r>
            <w:r w:rsidR="005C1813" w:rsidRPr="002632CE">
              <w:rPr>
                <w:rFonts w:ascii="Garamond" w:hAnsi="Garamond"/>
                <w:sz w:val="26"/>
                <w:szCs w:val="26"/>
              </w:rPr>
              <w:t>a unified number (1919)</w:t>
            </w:r>
            <w:r w:rsidR="00860533" w:rsidRPr="002632CE">
              <w:rPr>
                <w:rFonts w:ascii="Garamond" w:hAnsi="Garamond"/>
                <w:sz w:val="26"/>
                <w:szCs w:val="26"/>
              </w:rPr>
              <w:t xml:space="preserve">, which </w:t>
            </w:r>
            <w:r w:rsidR="00C83031" w:rsidRPr="002632CE">
              <w:rPr>
                <w:rFonts w:ascii="Garamond" w:hAnsi="Garamond"/>
                <w:sz w:val="26"/>
                <w:szCs w:val="26"/>
              </w:rPr>
              <w:t>responsible for completing</w:t>
            </w:r>
            <w:r w:rsidR="00860533" w:rsidRPr="002632CE">
              <w:rPr>
                <w:rFonts w:ascii="Garamond" w:hAnsi="Garamond"/>
                <w:sz w:val="26"/>
                <w:szCs w:val="26"/>
              </w:rPr>
              <w:t xml:space="preserve"> the necessary procedures, assist victims, and</w:t>
            </w:r>
            <w:r w:rsidR="00617BB8" w:rsidRPr="002632CE">
              <w:rPr>
                <w:rFonts w:ascii="Garamond" w:hAnsi="Garamond"/>
                <w:sz w:val="26"/>
                <w:szCs w:val="26"/>
              </w:rPr>
              <w:t xml:space="preserve"> refer</w:t>
            </w:r>
            <w:r w:rsidR="00860533" w:rsidRPr="002632CE">
              <w:rPr>
                <w:rFonts w:ascii="Garamond" w:hAnsi="Garamond"/>
                <w:sz w:val="26"/>
                <w:szCs w:val="26"/>
              </w:rPr>
              <w:t xml:space="preserve"> </w:t>
            </w:r>
            <w:r w:rsidR="00617BB8" w:rsidRPr="002632CE">
              <w:rPr>
                <w:rFonts w:ascii="Garamond" w:hAnsi="Garamond"/>
                <w:sz w:val="26"/>
                <w:szCs w:val="26"/>
              </w:rPr>
              <w:t xml:space="preserve">those against whom there is sufficient evidence </w:t>
            </w:r>
            <w:r w:rsidR="00E72008" w:rsidRPr="002632CE">
              <w:rPr>
                <w:rFonts w:ascii="Garamond" w:hAnsi="Garamond"/>
                <w:sz w:val="26"/>
                <w:szCs w:val="26"/>
              </w:rPr>
              <w:t xml:space="preserve">of committing </w:t>
            </w:r>
            <w:r w:rsidR="00617BB8" w:rsidRPr="002632CE">
              <w:rPr>
                <w:rFonts w:ascii="Garamond" w:hAnsi="Garamond"/>
                <w:sz w:val="26"/>
                <w:szCs w:val="26"/>
              </w:rPr>
              <w:t>an abuse crime to the Public Prosecution to complete the legal procedures in accordance with the provisions of the Protection from Abuse Law</w:t>
            </w:r>
            <w:r w:rsidR="00860533" w:rsidRPr="002632CE">
              <w:rPr>
                <w:rFonts w:ascii="Garamond" w:hAnsi="Garamond"/>
                <w:sz w:val="26"/>
                <w:szCs w:val="26"/>
              </w:rPr>
              <w:t xml:space="preserve">. During the period (2016-October 2020): (108,590) </w:t>
            </w:r>
            <w:r w:rsidR="00EB092C" w:rsidRPr="002632CE">
              <w:rPr>
                <w:rFonts w:ascii="Garamond" w:hAnsi="Garamond"/>
                <w:sz w:val="26"/>
                <w:szCs w:val="26"/>
              </w:rPr>
              <w:t>complaints</w:t>
            </w:r>
            <w:r w:rsidR="00860533" w:rsidRPr="002632CE">
              <w:rPr>
                <w:rFonts w:ascii="Garamond" w:hAnsi="Garamond"/>
                <w:sz w:val="26"/>
                <w:szCs w:val="26"/>
              </w:rPr>
              <w:t xml:space="preserve"> </w:t>
            </w:r>
            <w:r w:rsidR="00FB18FE" w:rsidRPr="002632CE">
              <w:rPr>
                <w:rFonts w:ascii="Garamond" w:hAnsi="Garamond"/>
                <w:sz w:val="26"/>
                <w:szCs w:val="26"/>
              </w:rPr>
              <w:t xml:space="preserve">of various forms of abuse, including </w:t>
            </w:r>
            <w:r w:rsidR="00FB18FE" w:rsidRPr="002632CE">
              <w:rPr>
                <w:rFonts w:ascii="Garamond" w:hAnsi="Garamond"/>
                <w:sz w:val="26"/>
                <w:szCs w:val="26"/>
              </w:rPr>
              <w:lastRenderedPageBreak/>
              <w:t>neglect, psychological, physical, verbal and other abuse, were received by the center</w:t>
            </w:r>
            <w:r w:rsidR="002632CE">
              <w:rPr>
                <w:rFonts w:ascii="Garamond" w:hAnsi="Garamond"/>
                <w:sz w:val="26"/>
                <w:szCs w:val="26"/>
              </w:rPr>
              <w:t>.</w:t>
            </w:r>
          </w:p>
        </w:tc>
      </w:tr>
      <w:tr w:rsidR="007372D5" w:rsidRPr="004E10A4" w:rsidTr="00AC039C">
        <w:tc>
          <w:tcPr>
            <w:tcW w:w="535" w:type="dxa"/>
          </w:tcPr>
          <w:p w:rsidR="007372D5" w:rsidRPr="004E10A4" w:rsidRDefault="00EA2222" w:rsidP="002C6AE2">
            <w:pPr>
              <w:jc w:val="both"/>
              <w:rPr>
                <w:rFonts w:ascii="Garamond" w:hAnsi="Garamond"/>
                <w:sz w:val="26"/>
                <w:szCs w:val="26"/>
              </w:rPr>
            </w:pPr>
            <w:r w:rsidRPr="004E10A4">
              <w:rPr>
                <w:rFonts w:ascii="Garamond" w:hAnsi="Garamond"/>
                <w:sz w:val="26"/>
                <w:szCs w:val="26"/>
              </w:rPr>
              <w:lastRenderedPageBreak/>
              <w:t>2.</w:t>
            </w:r>
          </w:p>
        </w:tc>
        <w:tc>
          <w:tcPr>
            <w:tcW w:w="4320" w:type="dxa"/>
          </w:tcPr>
          <w:p w:rsidR="00A708C3" w:rsidRPr="00A708C3" w:rsidRDefault="00A708C3" w:rsidP="00A708C3">
            <w:pPr>
              <w:pStyle w:val="ListParagraph"/>
              <w:numPr>
                <w:ilvl w:val="0"/>
                <w:numId w:val="1"/>
              </w:numPr>
              <w:shd w:val="clear" w:color="auto" w:fill="FFFFFF"/>
              <w:spacing w:line="259" w:lineRule="auto"/>
              <w:jc w:val="both"/>
              <w:outlineLvl w:val="2"/>
              <w:rPr>
                <w:sz w:val="24"/>
                <w:szCs w:val="24"/>
                <w:lang w:eastAsia="en-GB"/>
              </w:rPr>
            </w:pPr>
            <w:r w:rsidRPr="00A708C3">
              <w:rPr>
                <w:sz w:val="24"/>
                <w:szCs w:val="24"/>
                <w:lang w:eastAsia="en-GB"/>
              </w:rPr>
              <w:t>Please describe whether the legal framework prohibits and sanctions these forms of violence and the definitions and forms of violence included in the legal system. Please explain redress options for survivors of violence, (the pathway they go through if they decide to file a complaint), levels of impunity and if access to comprehensive physical and mental care for GBV-survivors is recognized as a form of reparation.</w:t>
            </w:r>
          </w:p>
          <w:p w:rsidR="007372D5" w:rsidRPr="004E10A4" w:rsidRDefault="007372D5" w:rsidP="002C6AE2">
            <w:pPr>
              <w:jc w:val="both"/>
              <w:rPr>
                <w:rFonts w:ascii="Garamond" w:hAnsi="Garamond"/>
                <w:sz w:val="26"/>
                <w:szCs w:val="26"/>
                <w:lang w:val="en-GB"/>
              </w:rPr>
            </w:pPr>
          </w:p>
        </w:tc>
        <w:tc>
          <w:tcPr>
            <w:tcW w:w="4495" w:type="dxa"/>
          </w:tcPr>
          <w:p w:rsidR="007372D5" w:rsidRPr="002C2CF6" w:rsidRDefault="007372D5" w:rsidP="002C2CF6">
            <w:pPr>
              <w:pStyle w:val="ListParagraph"/>
              <w:numPr>
                <w:ilvl w:val="0"/>
                <w:numId w:val="3"/>
              </w:numPr>
              <w:jc w:val="both"/>
              <w:rPr>
                <w:rFonts w:ascii="Garamond" w:hAnsi="Garamond"/>
                <w:sz w:val="26"/>
                <w:szCs w:val="26"/>
              </w:rPr>
            </w:pPr>
            <w:r w:rsidRPr="002C2CF6">
              <w:rPr>
                <w:rFonts w:ascii="Garamond" w:hAnsi="Garamond"/>
                <w:sz w:val="26"/>
                <w:szCs w:val="26"/>
              </w:rPr>
              <w:t xml:space="preserve">The Basic Law of Governance includes basic principles and provisions aimed at promoting and protecting human rights. In their entirety, </w:t>
            </w:r>
            <w:r w:rsidR="008C309B" w:rsidRPr="002C2CF6">
              <w:rPr>
                <w:rFonts w:ascii="Garamond" w:hAnsi="Garamond"/>
                <w:sz w:val="26"/>
                <w:szCs w:val="26"/>
              </w:rPr>
              <w:t>such</w:t>
            </w:r>
            <w:r w:rsidRPr="002C2CF6">
              <w:rPr>
                <w:rFonts w:ascii="Garamond" w:hAnsi="Garamond"/>
                <w:sz w:val="26"/>
                <w:szCs w:val="26"/>
              </w:rPr>
              <w:t xml:space="preserve"> principles and provisions represent the legal framework for human rights. Article (26) of the Basic Law of Governance </w:t>
            </w:r>
            <w:r w:rsidR="00373282" w:rsidRPr="002C2CF6">
              <w:rPr>
                <w:rFonts w:ascii="Garamond" w:hAnsi="Garamond"/>
                <w:sz w:val="26"/>
                <w:szCs w:val="26"/>
              </w:rPr>
              <w:t>states</w:t>
            </w:r>
            <w:r w:rsidRPr="002C2CF6">
              <w:rPr>
                <w:rFonts w:ascii="Garamond" w:hAnsi="Garamond"/>
                <w:sz w:val="26"/>
                <w:szCs w:val="26"/>
              </w:rPr>
              <w:t>: “</w:t>
            </w:r>
            <w:r w:rsidR="0009763D" w:rsidRPr="002C2CF6">
              <w:rPr>
                <w:rFonts w:ascii="Garamond" w:hAnsi="Garamond"/>
                <w:sz w:val="26"/>
                <w:szCs w:val="26"/>
              </w:rPr>
              <w:t>The State shall protect human r</w:t>
            </w:r>
            <w:r w:rsidR="00D40423" w:rsidRPr="002C2CF6">
              <w:rPr>
                <w:rFonts w:ascii="Garamond" w:hAnsi="Garamond"/>
                <w:sz w:val="26"/>
                <w:szCs w:val="26"/>
              </w:rPr>
              <w:t>ights in accordance with Sharia</w:t>
            </w:r>
            <w:r w:rsidRPr="002C2CF6">
              <w:rPr>
                <w:rFonts w:ascii="Garamond" w:hAnsi="Garamond"/>
                <w:sz w:val="26"/>
                <w:szCs w:val="26"/>
              </w:rPr>
              <w:t>”</w:t>
            </w:r>
            <w:r w:rsidR="00D40423" w:rsidRPr="002C2CF6">
              <w:rPr>
                <w:rFonts w:ascii="Garamond" w:hAnsi="Garamond"/>
                <w:sz w:val="26"/>
                <w:szCs w:val="26"/>
              </w:rPr>
              <w:t>,</w:t>
            </w:r>
            <w:r w:rsidRPr="002C2CF6">
              <w:rPr>
                <w:rFonts w:ascii="Garamond" w:hAnsi="Garamond"/>
                <w:sz w:val="26"/>
                <w:szCs w:val="26"/>
              </w:rPr>
              <w:t xml:space="preserve"> </w:t>
            </w:r>
            <w:r w:rsidR="00D40423" w:rsidRPr="002C2CF6">
              <w:rPr>
                <w:rFonts w:ascii="Garamond" w:hAnsi="Garamond"/>
                <w:sz w:val="26"/>
                <w:szCs w:val="26"/>
              </w:rPr>
              <w:t>t</w:t>
            </w:r>
            <w:r w:rsidRPr="002C2CF6">
              <w:rPr>
                <w:rFonts w:ascii="Garamond" w:hAnsi="Garamond"/>
                <w:sz w:val="26"/>
                <w:szCs w:val="26"/>
              </w:rPr>
              <w:t xml:space="preserve">he </w:t>
            </w:r>
            <w:r w:rsidR="00D40423" w:rsidRPr="002C2CF6">
              <w:rPr>
                <w:rFonts w:ascii="Garamond" w:hAnsi="Garamond"/>
                <w:sz w:val="26"/>
                <w:szCs w:val="26"/>
              </w:rPr>
              <w:t xml:space="preserve">Basic Law also </w:t>
            </w:r>
            <w:r w:rsidRPr="002C2CF6">
              <w:rPr>
                <w:rFonts w:ascii="Garamond" w:hAnsi="Garamond"/>
                <w:sz w:val="26"/>
                <w:szCs w:val="26"/>
              </w:rPr>
              <w:t>emphasized a number of basic rights, including: the right to justice and equality, where Article (8) states: “</w:t>
            </w:r>
            <w:r w:rsidR="00AC039C" w:rsidRPr="002C2CF6">
              <w:rPr>
                <w:rFonts w:ascii="Garamond" w:hAnsi="Garamond"/>
                <w:sz w:val="26"/>
                <w:szCs w:val="26"/>
              </w:rPr>
              <w:t xml:space="preserve">Governance in the Kingdom of Saudi Arabia shall be based on justice, shura, and equality in </w:t>
            </w:r>
            <w:r w:rsidR="00614616" w:rsidRPr="002C2CF6">
              <w:rPr>
                <w:rFonts w:ascii="Garamond" w:hAnsi="Garamond"/>
                <w:sz w:val="26"/>
                <w:szCs w:val="26"/>
              </w:rPr>
              <w:t>accordance with Sharia</w:t>
            </w:r>
            <w:r w:rsidRPr="002C2CF6">
              <w:rPr>
                <w:rFonts w:ascii="Garamond" w:hAnsi="Garamond"/>
                <w:sz w:val="26"/>
                <w:szCs w:val="26"/>
              </w:rPr>
              <w:t>”</w:t>
            </w:r>
            <w:r w:rsidR="00614616" w:rsidRPr="002C2CF6">
              <w:rPr>
                <w:rFonts w:ascii="Garamond" w:hAnsi="Garamond"/>
                <w:sz w:val="26"/>
                <w:szCs w:val="26"/>
              </w:rPr>
              <w:t>.</w:t>
            </w:r>
            <w:r w:rsidRPr="002C2CF6">
              <w:rPr>
                <w:rFonts w:ascii="Garamond" w:hAnsi="Garamond"/>
                <w:sz w:val="26"/>
                <w:szCs w:val="26"/>
              </w:rPr>
              <w:t xml:space="preserve"> </w:t>
            </w:r>
            <w:r w:rsidR="00614616" w:rsidRPr="002C2CF6">
              <w:rPr>
                <w:rFonts w:ascii="Garamond" w:hAnsi="Garamond"/>
                <w:sz w:val="26"/>
                <w:szCs w:val="26"/>
              </w:rPr>
              <w:t xml:space="preserve">For </w:t>
            </w:r>
            <w:r w:rsidRPr="002C2CF6">
              <w:rPr>
                <w:rFonts w:ascii="Garamond" w:hAnsi="Garamond"/>
                <w:sz w:val="26"/>
                <w:szCs w:val="26"/>
              </w:rPr>
              <w:t xml:space="preserve">the </w:t>
            </w:r>
            <w:r w:rsidR="00A6168D" w:rsidRPr="002C2CF6">
              <w:rPr>
                <w:rFonts w:ascii="Garamond" w:hAnsi="Garamond"/>
                <w:sz w:val="26"/>
                <w:szCs w:val="26"/>
              </w:rPr>
              <w:t xml:space="preserve">litigation </w:t>
            </w:r>
            <w:r w:rsidRPr="002C2CF6">
              <w:rPr>
                <w:rFonts w:ascii="Garamond" w:hAnsi="Garamond"/>
                <w:sz w:val="26"/>
                <w:szCs w:val="26"/>
              </w:rPr>
              <w:t xml:space="preserve">right and equality before </w:t>
            </w:r>
            <w:r w:rsidR="00A6168D" w:rsidRPr="002C2CF6">
              <w:rPr>
                <w:rFonts w:ascii="Garamond" w:hAnsi="Garamond"/>
                <w:sz w:val="26"/>
                <w:szCs w:val="26"/>
              </w:rPr>
              <w:t>courts</w:t>
            </w:r>
            <w:r w:rsidRPr="002C2CF6">
              <w:rPr>
                <w:rFonts w:ascii="Garamond" w:hAnsi="Garamond"/>
                <w:sz w:val="26"/>
                <w:szCs w:val="26"/>
              </w:rPr>
              <w:t xml:space="preserve">, Article (47) </w:t>
            </w:r>
            <w:r w:rsidR="00A6168D" w:rsidRPr="002C2CF6">
              <w:rPr>
                <w:rFonts w:ascii="Garamond" w:hAnsi="Garamond"/>
                <w:sz w:val="26"/>
                <w:szCs w:val="26"/>
              </w:rPr>
              <w:t>states</w:t>
            </w:r>
            <w:r w:rsidRPr="002C2CF6">
              <w:rPr>
                <w:rFonts w:ascii="Garamond" w:hAnsi="Garamond"/>
                <w:sz w:val="26"/>
                <w:szCs w:val="26"/>
              </w:rPr>
              <w:t>: “</w:t>
            </w:r>
            <w:r w:rsidR="00C71A54" w:rsidRPr="002C2CF6">
              <w:rPr>
                <w:rFonts w:ascii="Garamond" w:hAnsi="Garamond"/>
                <w:sz w:val="26"/>
                <w:szCs w:val="26"/>
              </w:rPr>
              <w:t>The right of litigation shall be guaranteed equally to citizens and residents in the</w:t>
            </w:r>
            <w:r w:rsidR="00A6168D" w:rsidRPr="002C2CF6">
              <w:rPr>
                <w:rFonts w:ascii="Garamond" w:hAnsi="Garamond"/>
                <w:sz w:val="26"/>
                <w:szCs w:val="26"/>
              </w:rPr>
              <w:t xml:space="preserve"> Kingdom</w:t>
            </w:r>
            <w:r w:rsidRPr="002C2CF6">
              <w:rPr>
                <w:rFonts w:ascii="Garamond" w:hAnsi="Garamond"/>
                <w:sz w:val="26"/>
                <w:szCs w:val="26"/>
              </w:rPr>
              <w:t>”</w:t>
            </w:r>
            <w:r w:rsidR="00A6168D" w:rsidRPr="002C2CF6">
              <w:rPr>
                <w:rFonts w:ascii="Garamond" w:hAnsi="Garamond"/>
                <w:sz w:val="26"/>
                <w:szCs w:val="26"/>
              </w:rPr>
              <w:t>.</w:t>
            </w:r>
          </w:p>
          <w:p w:rsidR="007372D5" w:rsidRPr="002C2CF6" w:rsidRDefault="00C45A59" w:rsidP="002C2CF6">
            <w:pPr>
              <w:pStyle w:val="ListParagraph"/>
              <w:numPr>
                <w:ilvl w:val="0"/>
                <w:numId w:val="3"/>
              </w:numPr>
              <w:jc w:val="both"/>
              <w:rPr>
                <w:rFonts w:ascii="Garamond" w:hAnsi="Garamond"/>
                <w:sz w:val="26"/>
                <w:szCs w:val="26"/>
              </w:rPr>
            </w:pPr>
            <w:r w:rsidRPr="002C2CF6">
              <w:rPr>
                <w:rFonts w:ascii="Garamond" w:hAnsi="Garamond"/>
                <w:sz w:val="26"/>
                <w:szCs w:val="26"/>
              </w:rPr>
              <w:t>The</w:t>
            </w:r>
            <w:r w:rsidR="007372D5" w:rsidRPr="002C2CF6">
              <w:rPr>
                <w:rFonts w:ascii="Garamond" w:hAnsi="Garamond"/>
                <w:sz w:val="26"/>
                <w:szCs w:val="26"/>
              </w:rPr>
              <w:t xml:space="preserve"> Protection from Abuse </w:t>
            </w:r>
            <w:r w:rsidRPr="002C2CF6">
              <w:rPr>
                <w:rFonts w:ascii="Garamond" w:hAnsi="Garamond"/>
                <w:sz w:val="26"/>
                <w:szCs w:val="26"/>
              </w:rPr>
              <w:t>Law and</w:t>
            </w:r>
            <w:r w:rsidR="002222B2" w:rsidRPr="002C2CF6">
              <w:rPr>
                <w:rFonts w:ascii="Garamond" w:hAnsi="Garamond"/>
                <w:sz w:val="26"/>
                <w:szCs w:val="26"/>
              </w:rPr>
              <w:t xml:space="preserve"> the Child Protection Law constitute</w:t>
            </w:r>
            <w:r w:rsidR="007372D5" w:rsidRPr="002C2CF6">
              <w:rPr>
                <w:rFonts w:ascii="Garamond" w:hAnsi="Garamond"/>
                <w:sz w:val="26"/>
                <w:szCs w:val="26"/>
              </w:rPr>
              <w:t xml:space="preserve"> </w:t>
            </w:r>
            <w:r w:rsidR="002222B2" w:rsidRPr="002C2CF6">
              <w:rPr>
                <w:rFonts w:ascii="Garamond" w:hAnsi="Garamond"/>
                <w:sz w:val="26"/>
                <w:szCs w:val="26"/>
              </w:rPr>
              <w:t>a</w:t>
            </w:r>
            <w:r w:rsidR="007372D5" w:rsidRPr="002C2CF6">
              <w:rPr>
                <w:rFonts w:ascii="Garamond" w:hAnsi="Garamond"/>
                <w:sz w:val="26"/>
                <w:szCs w:val="26"/>
              </w:rPr>
              <w:t xml:space="preserve"> legal fence to protect</w:t>
            </w:r>
            <w:r w:rsidR="00B6432D" w:rsidRPr="002C2CF6">
              <w:rPr>
                <w:rFonts w:ascii="Garamond" w:hAnsi="Garamond"/>
                <w:sz w:val="26"/>
                <w:szCs w:val="26"/>
              </w:rPr>
              <w:t xml:space="preserve"> all members of society</w:t>
            </w:r>
            <w:r w:rsidR="007372D5" w:rsidRPr="002C2CF6">
              <w:rPr>
                <w:rFonts w:ascii="Garamond" w:hAnsi="Garamond"/>
                <w:sz w:val="26"/>
                <w:szCs w:val="26"/>
              </w:rPr>
              <w:t xml:space="preserve"> against all forms of violence</w:t>
            </w:r>
            <w:r w:rsidR="00B6432D" w:rsidRPr="002C2CF6">
              <w:rPr>
                <w:rFonts w:ascii="Garamond" w:hAnsi="Garamond"/>
                <w:sz w:val="26"/>
                <w:szCs w:val="26"/>
              </w:rPr>
              <w:t>,</w:t>
            </w:r>
            <w:r w:rsidR="007372D5" w:rsidRPr="002C2CF6">
              <w:rPr>
                <w:rFonts w:ascii="Garamond" w:hAnsi="Garamond"/>
                <w:sz w:val="26"/>
                <w:szCs w:val="26"/>
              </w:rPr>
              <w:t xml:space="preserve"> and the issuance of the </w:t>
            </w:r>
            <w:r w:rsidR="00B6432D" w:rsidRPr="002C2CF6">
              <w:rPr>
                <w:rFonts w:ascii="Garamond" w:hAnsi="Garamond"/>
                <w:sz w:val="26"/>
                <w:szCs w:val="26"/>
              </w:rPr>
              <w:t>A</w:t>
            </w:r>
            <w:r w:rsidR="007372D5" w:rsidRPr="002C2CF6">
              <w:rPr>
                <w:rFonts w:ascii="Garamond" w:hAnsi="Garamond"/>
                <w:sz w:val="26"/>
                <w:szCs w:val="26"/>
              </w:rPr>
              <w:t>nti-</w:t>
            </w:r>
            <w:r w:rsidR="00B6432D" w:rsidRPr="002C2CF6">
              <w:rPr>
                <w:rFonts w:ascii="Garamond" w:hAnsi="Garamond"/>
                <w:sz w:val="26"/>
                <w:szCs w:val="26"/>
              </w:rPr>
              <w:t>H</w:t>
            </w:r>
            <w:r w:rsidR="007372D5" w:rsidRPr="002C2CF6">
              <w:rPr>
                <w:rFonts w:ascii="Garamond" w:hAnsi="Garamond"/>
                <w:sz w:val="26"/>
                <w:szCs w:val="26"/>
              </w:rPr>
              <w:t xml:space="preserve">arassment </w:t>
            </w:r>
            <w:r w:rsidR="00B6432D" w:rsidRPr="002C2CF6">
              <w:rPr>
                <w:rFonts w:ascii="Garamond" w:hAnsi="Garamond"/>
                <w:sz w:val="26"/>
                <w:szCs w:val="26"/>
              </w:rPr>
              <w:t xml:space="preserve">Law </w:t>
            </w:r>
            <w:r w:rsidR="007372D5" w:rsidRPr="002C2CF6">
              <w:rPr>
                <w:rFonts w:ascii="Garamond" w:hAnsi="Garamond"/>
                <w:sz w:val="26"/>
                <w:szCs w:val="26"/>
              </w:rPr>
              <w:t xml:space="preserve">under Royal Decree No. (M/96) dated </w:t>
            </w:r>
            <w:r w:rsidR="008B1D51" w:rsidRPr="002C2CF6">
              <w:rPr>
                <w:rFonts w:ascii="Garamond" w:hAnsi="Garamond"/>
                <w:sz w:val="26"/>
                <w:szCs w:val="26"/>
              </w:rPr>
              <w:t>16</w:t>
            </w:r>
            <w:r w:rsidR="007372D5" w:rsidRPr="002C2CF6">
              <w:rPr>
                <w:rFonts w:ascii="Garamond" w:hAnsi="Garamond"/>
                <w:sz w:val="26"/>
                <w:szCs w:val="26"/>
              </w:rPr>
              <w:t>/</w:t>
            </w:r>
            <w:r w:rsidR="008B1D51" w:rsidRPr="002C2CF6">
              <w:rPr>
                <w:rFonts w:ascii="Garamond" w:hAnsi="Garamond"/>
                <w:sz w:val="26"/>
                <w:szCs w:val="26"/>
              </w:rPr>
              <w:t>09</w:t>
            </w:r>
            <w:r w:rsidR="007372D5" w:rsidRPr="002C2CF6">
              <w:rPr>
                <w:rFonts w:ascii="Garamond" w:hAnsi="Garamond"/>
                <w:sz w:val="26"/>
                <w:szCs w:val="26"/>
              </w:rPr>
              <w:t>/1439 AH, is a consolidation of these legal foundations.</w:t>
            </w:r>
          </w:p>
          <w:p w:rsidR="008F76E9" w:rsidRPr="002C2CF6" w:rsidRDefault="007372D5" w:rsidP="002C2CF6">
            <w:pPr>
              <w:pStyle w:val="ListParagraph"/>
              <w:numPr>
                <w:ilvl w:val="0"/>
                <w:numId w:val="3"/>
              </w:numPr>
              <w:jc w:val="both"/>
              <w:rPr>
                <w:rFonts w:ascii="Garamond" w:hAnsi="Garamond"/>
                <w:sz w:val="26"/>
                <w:szCs w:val="26"/>
              </w:rPr>
            </w:pPr>
            <w:r w:rsidRPr="002C2CF6">
              <w:rPr>
                <w:rFonts w:ascii="Garamond" w:hAnsi="Garamond"/>
                <w:sz w:val="26"/>
                <w:szCs w:val="26"/>
              </w:rPr>
              <w:t xml:space="preserve">There are also supervisory and judicial redress mechanisms </w:t>
            </w:r>
            <w:r w:rsidR="00381C1E" w:rsidRPr="002C2CF6">
              <w:rPr>
                <w:rFonts w:ascii="Garamond" w:hAnsi="Garamond"/>
                <w:sz w:val="26"/>
                <w:szCs w:val="26"/>
              </w:rPr>
              <w:t xml:space="preserve">applicable </w:t>
            </w:r>
            <w:r w:rsidRPr="002C2CF6">
              <w:rPr>
                <w:rFonts w:ascii="Garamond" w:hAnsi="Garamond"/>
                <w:sz w:val="26"/>
                <w:szCs w:val="26"/>
              </w:rPr>
              <w:t xml:space="preserve">and available to all without discrimination, </w:t>
            </w:r>
            <w:r w:rsidR="005245F3" w:rsidRPr="002C2CF6">
              <w:rPr>
                <w:rFonts w:ascii="Garamond" w:hAnsi="Garamond"/>
                <w:sz w:val="26"/>
                <w:szCs w:val="26"/>
              </w:rPr>
              <w:t xml:space="preserve">which aims </w:t>
            </w:r>
            <w:r w:rsidRPr="002C2CF6">
              <w:rPr>
                <w:rFonts w:ascii="Garamond" w:hAnsi="Garamond"/>
                <w:sz w:val="26"/>
                <w:szCs w:val="26"/>
              </w:rPr>
              <w:t xml:space="preserve">to ensure protection from violence, </w:t>
            </w:r>
            <w:r w:rsidR="00E60959" w:rsidRPr="002C2CF6">
              <w:rPr>
                <w:rFonts w:ascii="Garamond" w:hAnsi="Garamond"/>
                <w:sz w:val="26"/>
                <w:szCs w:val="26"/>
              </w:rPr>
              <w:t xml:space="preserve">and provision of </w:t>
            </w:r>
            <w:r w:rsidRPr="002C2CF6">
              <w:rPr>
                <w:rFonts w:ascii="Garamond" w:hAnsi="Garamond"/>
                <w:sz w:val="26"/>
                <w:szCs w:val="26"/>
              </w:rPr>
              <w:t xml:space="preserve">health and legal assistance and reparation, and that there </w:t>
            </w:r>
            <w:r w:rsidR="00AF4488" w:rsidRPr="002C2CF6">
              <w:rPr>
                <w:rFonts w:ascii="Garamond" w:hAnsi="Garamond"/>
                <w:sz w:val="26"/>
                <w:szCs w:val="26"/>
              </w:rPr>
              <w:t>is no impunity for perpetrators.</w:t>
            </w:r>
            <w:r w:rsidRPr="002C2CF6">
              <w:rPr>
                <w:rFonts w:ascii="Garamond" w:hAnsi="Garamond"/>
                <w:sz w:val="26"/>
                <w:szCs w:val="26"/>
              </w:rPr>
              <w:t xml:space="preserve"> </w:t>
            </w:r>
            <w:r w:rsidR="00AF4488" w:rsidRPr="002C2CF6">
              <w:rPr>
                <w:rFonts w:ascii="Garamond" w:hAnsi="Garamond"/>
                <w:sz w:val="26"/>
                <w:szCs w:val="26"/>
              </w:rPr>
              <w:t>A</w:t>
            </w:r>
            <w:r w:rsidRPr="002C2CF6">
              <w:rPr>
                <w:rFonts w:ascii="Garamond" w:hAnsi="Garamond"/>
                <w:sz w:val="26"/>
                <w:szCs w:val="26"/>
              </w:rPr>
              <w:t xml:space="preserve">ny person who has been subjected to any human rights violation has the right to resort to redress, whether governmental and non-governmental </w:t>
            </w:r>
            <w:r w:rsidR="00F7641D" w:rsidRPr="002C2CF6">
              <w:rPr>
                <w:rFonts w:ascii="Garamond" w:hAnsi="Garamond"/>
                <w:sz w:val="26"/>
                <w:szCs w:val="26"/>
              </w:rPr>
              <w:t xml:space="preserve">redress </w:t>
            </w:r>
            <w:r w:rsidRPr="002C2CF6">
              <w:rPr>
                <w:rFonts w:ascii="Garamond" w:hAnsi="Garamond"/>
                <w:sz w:val="26"/>
                <w:szCs w:val="26"/>
              </w:rPr>
              <w:t xml:space="preserve">that </w:t>
            </w:r>
            <w:r w:rsidR="00F7641D" w:rsidRPr="002C2CF6">
              <w:rPr>
                <w:rFonts w:ascii="Garamond" w:hAnsi="Garamond"/>
                <w:sz w:val="26"/>
                <w:szCs w:val="26"/>
              </w:rPr>
              <w:t xml:space="preserve">undertake </w:t>
            </w:r>
            <w:r w:rsidRPr="002C2CF6">
              <w:rPr>
                <w:rFonts w:ascii="Garamond" w:hAnsi="Garamond"/>
                <w:sz w:val="26"/>
                <w:szCs w:val="26"/>
              </w:rPr>
              <w:t>oversight roles, such as the Human Rights Commission, the relevant civil society institutions, and the judiciary</w:t>
            </w:r>
            <w:r w:rsidR="00033447" w:rsidRPr="002C2CF6">
              <w:rPr>
                <w:rFonts w:ascii="Garamond" w:hAnsi="Garamond"/>
                <w:sz w:val="26"/>
                <w:szCs w:val="26"/>
              </w:rPr>
              <w:t xml:space="preserve"> entities</w:t>
            </w:r>
            <w:r w:rsidRPr="002C2CF6">
              <w:rPr>
                <w:rFonts w:ascii="Garamond" w:hAnsi="Garamond"/>
                <w:sz w:val="26"/>
                <w:szCs w:val="26"/>
              </w:rPr>
              <w:t xml:space="preserve">, including the general </w:t>
            </w:r>
            <w:r w:rsidR="0028293D" w:rsidRPr="002C2CF6">
              <w:rPr>
                <w:rFonts w:ascii="Garamond" w:hAnsi="Garamond"/>
                <w:sz w:val="26"/>
                <w:szCs w:val="26"/>
              </w:rPr>
              <w:t>courts</w:t>
            </w:r>
            <w:r w:rsidRPr="002C2CF6">
              <w:rPr>
                <w:rFonts w:ascii="Garamond" w:hAnsi="Garamond"/>
                <w:sz w:val="26"/>
                <w:szCs w:val="26"/>
              </w:rPr>
              <w:t xml:space="preserve">, administrative courts, the Public Prosecution and </w:t>
            </w:r>
            <w:r w:rsidR="001D6A22" w:rsidRPr="002C2CF6">
              <w:rPr>
                <w:rFonts w:ascii="Garamond" w:hAnsi="Garamond"/>
                <w:sz w:val="26"/>
                <w:szCs w:val="26"/>
              </w:rPr>
              <w:t>etc</w:t>
            </w:r>
            <w:r w:rsidRPr="002C2CF6">
              <w:rPr>
                <w:rFonts w:ascii="Garamond" w:hAnsi="Garamond"/>
                <w:sz w:val="26"/>
                <w:szCs w:val="26"/>
              </w:rPr>
              <w:t>. Article (47) of the Basic La</w:t>
            </w:r>
            <w:r w:rsidR="001D6A22" w:rsidRPr="002C2CF6">
              <w:rPr>
                <w:rFonts w:ascii="Garamond" w:hAnsi="Garamond"/>
                <w:sz w:val="26"/>
                <w:szCs w:val="26"/>
              </w:rPr>
              <w:t>w of Governance states:</w:t>
            </w:r>
            <w:r w:rsidRPr="002C2CF6">
              <w:rPr>
                <w:rFonts w:ascii="Garamond" w:hAnsi="Garamond"/>
                <w:sz w:val="26"/>
                <w:szCs w:val="26"/>
              </w:rPr>
              <w:t xml:space="preserve"> “</w:t>
            </w:r>
            <w:r w:rsidR="001D6A22" w:rsidRPr="002C2CF6">
              <w:rPr>
                <w:rFonts w:ascii="Garamond" w:hAnsi="Garamond"/>
                <w:sz w:val="26"/>
                <w:szCs w:val="26"/>
              </w:rPr>
              <w:t>The right of litigation shall be guaranteed equally to citizens and residents in the</w:t>
            </w:r>
            <w:r w:rsidR="002C2CF6">
              <w:rPr>
                <w:rFonts w:ascii="Garamond" w:hAnsi="Garamond"/>
                <w:sz w:val="26"/>
                <w:szCs w:val="26"/>
              </w:rPr>
              <w:t xml:space="preserve"> </w:t>
            </w:r>
            <w:r w:rsidR="001D6A22" w:rsidRPr="002C2CF6">
              <w:rPr>
                <w:rFonts w:ascii="Garamond" w:hAnsi="Garamond"/>
                <w:sz w:val="26"/>
                <w:szCs w:val="26"/>
              </w:rPr>
              <w:t>Kingdom. The law shall set forth t</w:t>
            </w:r>
            <w:r w:rsidR="005B1A58" w:rsidRPr="002C2CF6">
              <w:rPr>
                <w:rFonts w:ascii="Garamond" w:hAnsi="Garamond"/>
                <w:sz w:val="26"/>
                <w:szCs w:val="26"/>
              </w:rPr>
              <w:t>he procedures required therefor</w:t>
            </w:r>
            <w:r w:rsidRPr="002C2CF6">
              <w:rPr>
                <w:rFonts w:ascii="Garamond" w:hAnsi="Garamond"/>
                <w:sz w:val="26"/>
                <w:szCs w:val="26"/>
              </w:rPr>
              <w:t>”</w:t>
            </w:r>
            <w:r w:rsidR="00594F35" w:rsidRPr="002C2CF6">
              <w:rPr>
                <w:rFonts w:ascii="Garamond" w:hAnsi="Garamond"/>
                <w:sz w:val="26"/>
                <w:szCs w:val="26"/>
              </w:rPr>
              <w:t>.</w:t>
            </w:r>
            <w:r w:rsidR="00594F35">
              <w:t xml:space="preserve"> </w:t>
            </w:r>
            <w:r w:rsidR="00594F35" w:rsidRPr="002C2CF6">
              <w:rPr>
                <w:rFonts w:ascii="Garamond" w:hAnsi="Garamond"/>
                <w:sz w:val="26"/>
                <w:szCs w:val="26"/>
              </w:rPr>
              <w:t>The Public Prosecution Office, in accordance with Article (17) of the Law of Criminal Procedures, institutes criminal cases and investigates crimes in which individuals have a private right, if it deems a public interest</w:t>
            </w:r>
            <w:r w:rsidR="008F76E9" w:rsidRPr="002C2CF6">
              <w:rPr>
                <w:rFonts w:ascii="Garamond" w:hAnsi="Garamond"/>
                <w:sz w:val="26"/>
                <w:szCs w:val="26"/>
              </w:rPr>
              <w:t>.</w:t>
            </w:r>
          </w:p>
          <w:p w:rsidR="007372D5" w:rsidRPr="007F1F39" w:rsidRDefault="007372D5" w:rsidP="002632CE">
            <w:pPr>
              <w:pStyle w:val="ListParagraph"/>
              <w:numPr>
                <w:ilvl w:val="0"/>
                <w:numId w:val="3"/>
              </w:numPr>
              <w:jc w:val="both"/>
              <w:rPr>
                <w:rFonts w:ascii="Garamond" w:hAnsi="Garamond"/>
                <w:sz w:val="26"/>
                <w:szCs w:val="26"/>
              </w:rPr>
            </w:pPr>
            <w:r w:rsidRPr="007F1F39">
              <w:rPr>
                <w:rFonts w:ascii="Garamond" w:hAnsi="Garamond"/>
                <w:sz w:val="26"/>
                <w:szCs w:val="26"/>
              </w:rPr>
              <w:t>The</w:t>
            </w:r>
            <w:r w:rsidR="002632CE">
              <w:rPr>
                <w:rFonts w:ascii="Garamond" w:hAnsi="Garamond"/>
                <w:sz w:val="26"/>
                <w:szCs w:val="26"/>
              </w:rPr>
              <w:t xml:space="preserve"> National</w:t>
            </w:r>
            <w:r w:rsidRPr="007F1F39">
              <w:rPr>
                <w:rFonts w:ascii="Garamond" w:hAnsi="Garamond"/>
                <w:sz w:val="26"/>
                <w:szCs w:val="26"/>
              </w:rPr>
              <w:t xml:space="preserve"> Family Safety Program, which was established by </w:t>
            </w:r>
            <w:r w:rsidR="002632CE">
              <w:rPr>
                <w:rFonts w:ascii="Garamond" w:hAnsi="Garamond"/>
                <w:sz w:val="26"/>
                <w:szCs w:val="26"/>
              </w:rPr>
              <w:t>the High Order</w:t>
            </w:r>
            <w:r w:rsidRPr="007F1F39">
              <w:rPr>
                <w:rFonts w:ascii="Garamond" w:hAnsi="Garamond"/>
                <w:sz w:val="26"/>
                <w:szCs w:val="26"/>
              </w:rPr>
              <w:t xml:space="preserve"> No. 11471/MB dated </w:t>
            </w:r>
            <w:r w:rsidR="002632CE">
              <w:rPr>
                <w:rFonts w:ascii="Garamond" w:hAnsi="Garamond"/>
                <w:sz w:val="26"/>
                <w:szCs w:val="26"/>
              </w:rPr>
              <w:t>18 November 2005</w:t>
            </w:r>
            <w:r w:rsidRPr="007F1F39">
              <w:rPr>
                <w:rFonts w:ascii="Garamond" w:hAnsi="Garamond"/>
                <w:sz w:val="26"/>
                <w:szCs w:val="26"/>
              </w:rPr>
              <w:t xml:space="preserve">, is a national program aims to protect the family from violence, by monitoring and studying </w:t>
            </w:r>
            <w:r w:rsidR="008F0D72" w:rsidRPr="007F1F39">
              <w:rPr>
                <w:rFonts w:ascii="Garamond" w:hAnsi="Garamond"/>
                <w:sz w:val="26"/>
                <w:szCs w:val="26"/>
              </w:rPr>
              <w:t xml:space="preserve">abuse </w:t>
            </w:r>
            <w:r w:rsidRPr="007F1F39">
              <w:rPr>
                <w:rFonts w:ascii="Garamond" w:hAnsi="Garamond"/>
                <w:sz w:val="26"/>
                <w:szCs w:val="26"/>
              </w:rPr>
              <w:t xml:space="preserve">cases, </w:t>
            </w:r>
            <w:r w:rsidR="007247E7" w:rsidRPr="007F1F39">
              <w:rPr>
                <w:rFonts w:ascii="Garamond" w:hAnsi="Garamond"/>
                <w:sz w:val="26"/>
                <w:szCs w:val="26"/>
              </w:rPr>
              <w:t>reporting</w:t>
            </w:r>
            <w:r w:rsidRPr="007F1F39">
              <w:rPr>
                <w:rFonts w:ascii="Garamond" w:hAnsi="Garamond"/>
                <w:sz w:val="26"/>
                <w:szCs w:val="26"/>
              </w:rPr>
              <w:t xml:space="preserve"> the competent authorities in this field, and raising awareness of the harms of violence. King Abdulaziz Center for National Dialogue represents a cultural and national dialogue umbrella that works within the </w:t>
            </w:r>
            <w:r w:rsidR="008D4F31" w:rsidRPr="007F1F39">
              <w:rPr>
                <w:rFonts w:ascii="Garamond" w:hAnsi="Garamond"/>
                <w:sz w:val="26"/>
                <w:szCs w:val="26"/>
              </w:rPr>
              <w:t xml:space="preserve">ecosystem </w:t>
            </w:r>
            <w:r w:rsidRPr="007F1F39">
              <w:rPr>
                <w:rFonts w:ascii="Garamond" w:hAnsi="Garamond"/>
                <w:sz w:val="26"/>
                <w:szCs w:val="26"/>
              </w:rPr>
              <w:t xml:space="preserve">of state and civil society institutions. It has held many national </w:t>
            </w:r>
            <w:r w:rsidR="00331F70" w:rsidRPr="007F1F39">
              <w:rPr>
                <w:rFonts w:ascii="Garamond" w:hAnsi="Garamond"/>
                <w:sz w:val="26"/>
                <w:szCs w:val="26"/>
              </w:rPr>
              <w:t xml:space="preserve">events </w:t>
            </w:r>
            <w:r w:rsidRPr="007F1F39">
              <w:rPr>
                <w:rFonts w:ascii="Garamond" w:hAnsi="Garamond"/>
                <w:sz w:val="26"/>
                <w:szCs w:val="26"/>
              </w:rPr>
              <w:t xml:space="preserve">that dealt with human rights issues, their role in promoting social and national cohesion, and the </w:t>
            </w:r>
            <w:r w:rsidR="00331F70" w:rsidRPr="007F1F39">
              <w:rPr>
                <w:rFonts w:ascii="Garamond" w:hAnsi="Garamond"/>
                <w:sz w:val="26"/>
                <w:szCs w:val="26"/>
              </w:rPr>
              <w:t xml:space="preserve">family </w:t>
            </w:r>
            <w:r w:rsidRPr="007F1F39">
              <w:rPr>
                <w:rFonts w:ascii="Garamond" w:hAnsi="Garamond"/>
                <w:sz w:val="26"/>
                <w:szCs w:val="26"/>
              </w:rPr>
              <w:t>role in protecting children from violence.</w:t>
            </w:r>
          </w:p>
        </w:tc>
      </w:tr>
      <w:tr w:rsidR="007372D5" w:rsidRPr="004E10A4" w:rsidTr="00AC039C">
        <w:tc>
          <w:tcPr>
            <w:tcW w:w="535" w:type="dxa"/>
          </w:tcPr>
          <w:p w:rsidR="007372D5" w:rsidRPr="004E10A4" w:rsidRDefault="00331F70" w:rsidP="002C6AE2">
            <w:pPr>
              <w:jc w:val="both"/>
              <w:rPr>
                <w:rFonts w:ascii="Garamond" w:hAnsi="Garamond"/>
                <w:sz w:val="26"/>
                <w:szCs w:val="26"/>
              </w:rPr>
            </w:pPr>
            <w:r>
              <w:rPr>
                <w:rFonts w:ascii="Garamond" w:hAnsi="Garamond"/>
                <w:sz w:val="26"/>
                <w:szCs w:val="26"/>
              </w:rPr>
              <w:t>3.</w:t>
            </w:r>
          </w:p>
        </w:tc>
        <w:tc>
          <w:tcPr>
            <w:tcW w:w="4320" w:type="dxa"/>
          </w:tcPr>
          <w:p w:rsidR="00A708C3" w:rsidRPr="00A708C3" w:rsidRDefault="00A708C3" w:rsidP="00994DC8">
            <w:pPr>
              <w:pStyle w:val="ListParagraph"/>
              <w:numPr>
                <w:ilvl w:val="0"/>
                <w:numId w:val="9"/>
              </w:numPr>
              <w:shd w:val="clear" w:color="auto" w:fill="FFFFFF"/>
              <w:spacing w:line="259" w:lineRule="auto"/>
              <w:jc w:val="both"/>
              <w:outlineLvl w:val="2"/>
              <w:rPr>
                <w:color w:val="000000"/>
                <w:sz w:val="24"/>
                <w:szCs w:val="24"/>
                <w:lang w:eastAsia="en-GB"/>
              </w:rPr>
            </w:pPr>
            <w:r w:rsidRPr="00A708C3">
              <w:rPr>
                <w:color w:val="000000"/>
                <w:sz w:val="24"/>
                <w:szCs w:val="24"/>
                <w:lang w:eastAsia="en-GB"/>
              </w:rPr>
              <w:t>Please share information on the health and other type of responses provided by the State and/or other actors in your country/ies or regions in focus to survivors of each/some of the aforementioned forms of violence. Please assess what works well and not so well, and whether COVID-19 impacted the response and how.</w:t>
            </w:r>
          </w:p>
          <w:p w:rsidR="007372D5" w:rsidRPr="00331F70" w:rsidRDefault="007372D5" w:rsidP="002C6AE2">
            <w:pPr>
              <w:jc w:val="both"/>
              <w:rPr>
                <w:rFonts w:ascii="Garamond" w:hAnsi="Garamond"/>
                <w:sz w:val="26"/>
                <w:szCs w:val="26"/>
                <w:lang w:val="en-GB"/>
              </w:rPr>
            </w:pPr>
          </w:p>
        </w:tc>
        <w:tc>
          <w:tcPr>
            <w:tcW w:w="4495" w:type="dxa"/>
          </w:tcPr>
          <w:p w:rsidR="007F1F39" w:rsidRDefault="007372D5" w:rsidP="004370C3">
            <w:pPr>
              <w:pStyle w:val="ListParagraph"/>
              <w:numPr>
                <w:ilvl w:val="0"/>
                <w:numId w:val="3"/>
              </w:numPr>
              <w:jc w:val="both"/>
              <w:rPr>
                <w:rFonts w:ascii="Garamond" w:hAnsi="Garamond"/>
                <w:sz w:val="26"/>
                <w:szCs w:val="26"/>
              </w:rPr>
            </w:pPr>
            <w:r w:rsidRPr="007F1F39">
              <w:rPr>
                <w:rFonts w:ascii="Garamond" w:hAnsi="Garamond"/>
                <w:sz w:val="26"/>
                <w:szCs w:val="26"/>
              </w:rPr>
              <w:t xml:space="preserve">Issuance of </w:t>
            </w:r>
            <w:r w:rsidR="002632CE">
              <w:rPr>
                <w:rFonts w:ascii="Garamond" w:hAnsi="Garamond"/>
                <w:sz w:val="26"/>
                <w:szCs w:val="26"/>
              </w:rPr>
              <w:t>the High Order</w:t>
            </w:r>
            <w:r w:rsidRPr="007F1F39">
              <w:rPr>
                <w:rFonts w:ascii="Garamond" w:hAnsi="Garamond"/>
                <w:sz w:val="26"/>
                <w:szCs w:val="26"/>
              </w:rPr>
              <w:t xml:space="preserve"> No. 27808 dated </w:t>
            </w:r>
            <w:r w:rsidR="002632CE">
              <w:rPr>
                <w:rFonts w:ascii="Garamond" w:hAnsi="Garamond"/>
                <w:sz w:val="26"/>
                <w:szCs w:val="26"/>
              </w:rPr>
              <w:t xml:space="preserve">on </w:t>
            </w:r>
            <w:r w:rsidRPr="007F1F39">
              <w:rPr>
                <w:rFonts w:ascii="Garamond" w:hAnsi="Garamond"/>
                <w:sz w:val="26"/>
                <w:szCs w:val="26"/>
              </w:rPr>
              <w:t>March 15, 2017</w:t>
            </w:r>
            <w:r w:rsidR="00C76AF4">
              <w:rPr>
                <w:rFonts w:ascii="Garamond" w:hAnsi="Garamond"/>
                <w:sz w:val="26"/>
                <w:szCs w:val="26"/>
              </w:rPr>
              <w:t>,</w:t>
            </w:r>
            <w:r w:rsidRPr="007F1F39">
              <w:rPr>
                <w:rFonts w:ascii="Garamond" w:hAnsi="Garamond"/>
                <w:sz w:val="26"/>
                <w:szCs w:val="26"/>
              </w:rPr>
              <w:t xml:space="preserve"> to study domestic violence cases and the best procedures </w:t>
            </w:r>
            <w:r w:rsidR="00D347FD" w:rsidRPr="007F1F39">
              <w:rPr>
                <w:rFonts w:ascii="Garamond" w:hAnsi="Garamond"/>
                <w:sz w:val="26"/>
                <w:szCs w:val="26"/>
              </w:rPr>
              <w:t xml:space="preserve">to address </w:t>
            </w:r>
            <w:r w:rsidRPr="007F1F39">
              <w:rPr>
                <w:rFonts w:ascii="Garamond" w:hAnsi="Garamond"/>
                <w:sz w:val="26"/>
                <w:szCs w:val="26"/>
              </w:rPr>
              <w:t xml:space="preserve">cases related to guardianship and custody, the </w:t>
            </w:r>
            <w:r w:rsidR="00D347FD" w:rsidRPr="007F1F39">
              <w:rPr>
                <w:rFonts w:ascii="Garamond" w:hAnsi="Garamond"/>
                <w:sz w:val="26"/>
                <w:szCs w:val="26"/>
              </w:rPr>
              <w:t xml:space="preserve">main points </w:t>
            </w:r>
            <w:r w:rsidR="002C6AE2" w:rsidRPr="007F1F39">
              <w:rPr>
                <w:rFonts w:ascii="Garamond" w:hAnsi="Garamond"/>
                <w:sz w:val="26"/>
                <w:szCs w:val="26"/>
              </w:rPr>
              <w:t>of which is:</w:t>
            </w:r>
          </w:p>
          <w:p w:rsidR="007372D5" w:rsidRPr="007F1F39" w:rsidRDefault="002C6AE2" w:rsidP="00F152EC">
            <w:pPr>
              <w:pStyle w:val="ListParagraph"/>
              <w:ind w:left="360"/>
              <w:jc w:val="both"/>
              <w:rPr>
                <w:rFonts w:ascii="Garamond" w:hAnsi="Garamond"/>
                <w:sz w:val="26"/>
                <w:szCs w:val="26"/>
              </w:rPr>
            </w:pPr>
            <w:r w:rsidRPr="007F1F39">
              <w:rPr>
                <w:rFonts w:ascii="Garamond" w:hAnsi="Garamond"/>
                <w:sz w:val="26"/>
                <w:szCs w:val="26"/>
              </w:rPr>
              <w:t>Reviewing</w:t>
            </w:r>
            <w:r w:rsidR="007372D5" w:rsidRPr="007F1F39">
              <w:rPr>
                <w:rFonts w:ascii="Garamond" w:hAnsi="Garamond"/>
                <w:sz w:val="26"/>
                <w:szCs w:val="26"/>
              </w:rPr>
              <w:t xml:space="preserve"> the relevant regulations, proposing appropriate amendments to them, </w:t>
            </w:r>
            <w:r w:rsidR="0082524F" w:rsidRPr="007F1F39">
              <w:rPr>
                <w:rFonts w:ascii="Garamond" w:hAnsi="Garamond"/>
                <w:sz w:val="26"/>
                <w:szCs w:val="26"/>
              </w:rPr>
              <w:t>developing a</w:t>
            </w:r>
            <w:r w:rsidR="007372D5" w:rsidRPr="007F1F39">
              <w:rPr>
                <w:rFonts w:ascii="Garamond" w:hAnsi="Garamond"/>
                <w:sz w:val="26"/>
                <w:szCs w:val="26"/>
              </w:rPr>
              <w:t xml:space="preserve">wareness-raising guidance </w:t>
            </w:r>
            <w:r w:rsidR="0082524F" w:rsidRPr="007F1F39">
              <w:rPr>
                <w:rFonts w:ascii="Garamond" w:hAnsi="Garamond"/>
                <w:sz w:val="26"/>
                <w:szCs w:val="26"/>
              </w:rPr>
              <w:t xml:space="preserve">blog </w:t>
            </w:r>
            <w:r w:rsidR="007372D5" w:rsidRPr="007F1F39">
              <w:rPr>
                <w:rFonts w:ascii="Garamond" w:hAnsi="Garamond"/>
                <w:sz w:val="26"/>
                <w:szCs w:val="26"/>
              </w:rPr>
              <w:t xml:space="preserve">on issues of domestic violence in general, custody and other related issues, and organizing a number of programs for judges in all regions of the Kingdom, with the participation of the relevant authorities. </w:t>
            </w:r>
          </w:p>
          <w:p w:rsidR="007372D5" w:rsidRPr="007F1F39" w:rsidRDefault="007372D5" w:rsidP="00C76AF4">
            <w:pPr>
              <w:pStyle w:val="ListParagraph"/>
              <w:numPr>
                <w:ilvl w:val="0"/>
                <w:numId w:val="3"/>
              </w:numPr>
              <w:jc w:val="both"/>
              <w:rPr>
                <w:rFonts w:ascii="Garamond" w:hAnsi="Garamond"/>
                <w:sz w:val="26"/>
                <w:szCs w:val="26"/>
              </w:rPr>
            </w:pPr>
            <w:r w:rsidRPr="007F1F39">
              <w:rPr>
                <w:rFonts w:ascii="Garamond" w:hAnsi="Garamond"/>
                <w:sz w:val="26"/>
                <w:szCs w:val="26"/>
              </w:rPr>
              <w:t xml:space="preserve">The issuance </w:t>
            </w:r>
            <w:r w:rsidR="00F152EC">
              <w:rPr>
                <w:rFonts w:ascii="Garamond" w:hAnsi="Garamond"/>
                <w:sz w:val="26"/>
                <w:szCs w:val="26"/>
              </w:rPr>
              <w:t>of</w:t>
            </w:r>
            <w:r w:rsidR="00C76AF4">
              <w:rPr>
                <w:rFonts w:ascii="Garamond" w:hAnsi="Garamond"/>
                <w:sz w:val="26"/>
                <w:szCs w:val="26"/>
              </w:rPr>
              <w:t xml:space="preserve"> the High Order</w:t>
            </w:r>
            <w:r w:rsidR="00F152EC">
              <w:rPr>
                <w:rFonts w:ascii="Garamond" w:hAnsi="Garamond"/>
                <w:sz w:val="26"/>
                <w:szCs w:val="26"/>
              </w:rPr>
              <w:t xml:space="preserve"> No. 25803 dated on </w:t>
            </w:r>
            <w:r w:rsidRPr="007F1F39">
              <w:rPr>
                <w:rFonts w:ascii="Garamond" w:hAnsi="Garamond"/>
                <w:sz w:val="26"/>
                <w:szCs w:val="26"/>
              </w:rPr>
              <w:t>February 15, 2018 regarding providing human rights assistance to women and childre</w:t>
            </w:r>
            <w:r w:rsidR="00452197" w:rsidRPr="007F1F39">
              <w:rPr>
                <w:rFonts w:ascii="Garamond" w:hAnsi="Garamond"/>
                <w:sz w:val="26"/>
                <w:szCs w:val="26"/>
              </w:rPr>
              <w:t>n in cases of abuse.</w:t>
            </w:r>
            <w:r w:rsidRPr="007F1F39">
              <w:rPr>
                <w:rFonts w:ascii="Garamond" w:hAnsi="Garamond"/>
                <w:sz w:val="26"/>
                <w:szCs w:val="26"/>
              </w:rPr>
              <w:t xml:space="preserve"> </w:t>
            </w:r>
            <w:r w:rsidR="00452197" w:rsidRPr="007F1F39">
              <w:rPr>
                <w:rFonts w:ascii="Garamond" w:hAnsi="Garamond"/>
                <w:sz w:val="26"/>
                <w:szCs w:val="26"/>
              </w:rPr>
              <w:t xml:space="preserve">The </w:t>
            </w:r>
            <w:r w:rsidR="00C76AF4">
              <w:rPr>
                <w:rFonts w:ascii="Garamond" w:hAnsi="Garamond"/>
                <w:sz w:val="26"/>
                <w:szCs w:val="26"/>
              </w:rPr>
              <w:t>Order</w:t>
            </w:r>
            <w:r w:rsidR="00452197" w:rsidRPr="007F1F39">
              <w:rPr>
                <w:rFonts w:ascii="Garamond" w:hAnsi="Garamond"/>
                <w:sz w:val="26"/>
                <w:szCs w:val="26"/>
              </w:rPr>
              <w:t xml:space="preserve"> </w:t>
            </w:r>
            <w:r w:rsidRPr="007F1F39">
              <w:rPr>
                <w:rFonts w:ascii="Garamond" w:hAnsi="Garamond"/>
                <w:sz w:val="26"/>
                <w:szCs w:val="26"/>
              </w:rPr>
              <w:t>included</w:t>
            </w:r>
            <w:r w:rsidR="00452197" w:rsidRPr="007F1F39">
              <w:rPr>
                <w:rFonts w:ascii="Garamond" w:hAnsi="Garamond"/>
                <w:sz w:val="26"/>
                <w:szCs w:val="26"/>
              </w:rPr>
              <w:t xml:space="preserve"> also</w:t>
            </w:r>
            <w:r w:rsidRPr="007F1F39">
              <w:rPr>
                <w:rFonts w:ascii="Garamond" w:hAnsi="Garamond"/>
                <w:sz w:val="26"/>
                <w:szCs w:val="26"/>
              </w:rPr>
              <w:t xml:space="preserve"> directing </w:t>
            </w:r>
            <w:r w:rsidR="00733F9D" w:rsidRPr="007F1F39">
              <w:rPr>
                <w:rFonts w:ascii="Garamond" w:hAnsi="Garamond"/>
                <w:sz w:val="26"/>
                <w:szCs w:val="26"/>
              </w:rPr>
              <w:t xml:space="preserve">MHRSD </w:t>
            </w:r>
            <w:r w:rsidRPr="007F1F39">
              <w:rPr>
                <w:rFonts w:ascii="Garamond" w:hAnsi="Garamond"/>
                <w:sz w:val="26"/>
                <w:szCs w:val="26"/>
              </w:rPr>
              <w:t xml:space="preserve">in coordination with the Saudi </w:t>
            </w:r>
            <w:r w:rsidR="00733F9D" w:rsidRPr="007F1F39">
              <w:rPr>
                <w:rFonts w:ascii="Garamond" w:hAnsi="Garamond"/>
                <w:sz w:val="26"/>
                <w:szCs w:val="26"/>
              </w:rPr>
              <w:t xml:space="preserve">Bar Association </w:t>
            </w:r>
            <w:r w:rsidRPr="007F1F39">
              <w:rPr>
                <w:rFonts w:ascii="Garamond" w:hAnsi="Garamond"/>
                <w:sz w:val="26"/>
                <w:szCs w:val="26"/>
              </w:rPr>
              <w:t>to obtain a periodic list of the names and addresses of donor lawyers to submit Legal aid and cooperation with them.</w:t>
            </w:r>
          </w:p>
        </w:tc>
      </w:tr>
      <w:tr w:rsidR="007372D5" w:rsidRPr="004E10A4" w:rsidTr="00AC039C">
        <w:tc>
          <w:tcPr>
            <w:tcW w:w="535" w:type="dxa"/>
          </w:tcPr>
          <w:p w:rsidR="007372D5" w:rsidRPr="004E10A4" w:rsidRDefault="00452197" w:rsidP="002C6AE2">
            <w:pPr>
              <w:jc w:val="both"/>
              <w:rPr>
                <w:rFonts w:ascii="Garamond" w:hAnsi="Garamond"/>
                <w:sz w:val="26"/>
                <w:szCs w:val="26"/>
              </w:rPr>
            </w:pPr>
            <w:r>
              <w:rPr>
                <w:rFonts w:ascii="Garamond" w:hAnsi="Garamond"/>
                <w:sz w:val="26"/>
                <w:szCs w:val="26"/>
              </w:rPr>
              <w:t>4.</w:t>
            </w:r>
          </w:p>
        </w:tc>
        <w:tc>
          <w:tcPr>
            <w:tcW w:w="4320" w:type="dxa"/>
          </w:tcPr>
          <w:p w:rsidR="00994DC8" w:rsidRPr="00994DC8" w:rsidRDefault="00994DC8" w:rsidP="00994DC8">
            <w:pPr>
              <w:numPr>
                <w:ilvl w:val="0"/>
                <w:numId w:val="8"/>
              </w:numPr>
              <w:shd w:val="clear" w:color="auto" w:fill="FFFFFF"/>
              <w:contextualSpacing/>
              <w:jc w:val="both"/>
              <w:outlineLvl w:val="2"/>
              <w:rPr>
                <w:rFonts w:ascii="Times New Roman" w:eastAsia="Times New Roman" w:hAnsi="Times New Roman" w:cs="Times New Roman"/>
                <w:color w:val="000000"/>
                <w:sz w:val="24"/>
                <w:szCs w:val="24"/>
                <w:lang w:val="en-GB" w:eastAsia="en-GB"/>
              </w:rPr>
            </w:pPr>
            <w:r w:rsidRPr="00994DC8">
              <w:rPr>
                <w:rFonts w:ascii="Times New Roman" w:eastAsia="Times New Roman" w:hAnsi="Times New Roman" w:cs="Times New Roman"/>
                <w:color w:val="000000"/>
                <w:sz w:val="24"/>
                <w:szCs w:val="24"/>
                <w:lang w:val="en-GB" w:eastAsia="en-GB"/>
              </w:rPr>
              <w:t xml:space="preserve">Please specify the budget allocated in your country/ies in focus, to health related response to survivors of all/some forms of violence mentioned above. Please indicate the percentage of the national budget devoted to this; the percentage of the international aid provided or received for this. Please explain the impact of Covid 19 to the funding of responses to all/some forms of violence in your State/institution.  </w:t>
            </w:r>
          </w:p>
          <w:p w:rsidR="007372D5" w:rsidRPr="007860E3" w:rsidRDefault="007372D5" w:rsidP="002C6AE2">
            <w:pPr>
              <w:jc w:val="both"/>
              <w:rPr>
                <w:rFonts w:ascii="Garamond" w:hAnsi="Garamond"/>
                <w:sz w:val="26"/>
                <w:szCs w:val="26"/>
                <w:lang w:val="en-GB"/>
              </w:rPr>
            </w:pPr>
          </w:p>
        </w:tc>
        <w:tc>
          <w:tcPr>
            <w:tcW w:w="4495" w:type="dxa"/>
          </w:tcPr>
          <w:p w:rsidR="00107D60" w:rsidRPr="004E10A4" w:rsidRDefault="001E1F92" w:rsidP="00C240E4">
            <w:pPr>
              <w:jc w:val="both"/>
              <w:rPr>
                <w:rFonts w:ascii="Garamond" w:hAnsi="Garamond"/>
                <w:sz w:val="26"/>
                <w:szCs w:val="26"/>
              </w:rPr>
            </w:pPr>
            <w:r>
              <w:rPr>
                <w:rFonts w:ascii="Garamond" w:hAnsi="Garamond"/>
                <w:sz w:val="26"/>
                <w:szCs w:val="26"/>
              </w:rPr>
              <w:t xml:space="preserve">KSA </w:t>
            </w:r>
            <w:r w:rsidR="007372D5" w:rsidRPr="004E10A4">
              <w:rPr>
                <w:rFonts w:ascii="Garamond" w:hAnsi="Garamond"/>
                <w:sz w:val="26"/>
                <w:szCs w:val="26"/>
              </w:rPr>
              <w:t xml:space="preserve">is keen to allocate a large percentage of its annual </w:t>
            </w:r>
            <w:r w:rsidR="00821A24">
              <w:rPr>
                <w:rFonts w:ascii="Garamond" w:hAnsi="Garamond"/>
                <w:sz w:val="26"/>
                <w:szCs w:val="26"/>
              </w:rPr>
              <w:t xml:space="preserve">budget </w:t>
            </w:r>
            <w:r w:rsidR="007372D5" w:rsidRPr="004E10A4">
              <w:rPr>
                <w:rFonts w:ascii="Garamond" w:hAnsi="Garamond"/>
                <w:sz w:val="26"/>
                <w:szCs w:val="26"/>
              </w:rPr>
              <w:t xml:space="preserve">to protection from violence, through </w:t>
            </w:r>
            <w:r w:rsidR="003C0D49">
              <w:rPr>
                <w:rFonts w:ascii="Garamond" w:hAnsi="Garamond"/>
                <w:sz w:val="26"/>
                <w:szCs w:val="26"/>
              </w:rPr>
              <w:t xml:space="preserve">provide allocations </w:t>
            </w:r>
            <w:r w:rsidR="007372D5" w:rsidRPr="004E10A4">
              <w:rPr>
                <w:rFonts w:ascii="Garamond" w:hAnsi="Garamond"/>
                <w:sz w:val="26"/>
                <w:szCs w:val="26"/>
              </w:rPr>
              <w:t xml:space="preserve">to government agencies directly related to this field, </w:t>
            </w:r>
            <w:r w:rsidR="003C0D49">
              <w:rPr>
                <w:rFonts w:ascii="Garamond" w:hAnsi="Garamond"/>
                <w:sz w:val="26"/>
                <w:szCs w:val="26"/>
              </w:rPr>
              <w:t>MOH</w:t>
            </w:r>
            <w:r w:rsidR="007372D5" w:rsidRPr="004E10A4">
              <w:rPr>
                <w:rFonts w:ascii="Garamond" w:hAnsi="Garamond"/>
                <w:sz w:val="26"/>
                <w:szCs w:val="26"/>
              </w:rPr>
              <w:t xml:space="preserve">, </w:t>
            </w:r>
            <w:r w:rsidR="003C0D49">
              <w:rPr>
                <w:rFonts w:ascii="Garamond" w:hAnsi="Garamond"/>
                <w:sz w:val="26"/>
                <w:szCs w:val="26"/>
              </w:rPr>
              <w:t>MHRSD</w:t>
            </w:r>
            <w:r w:rsidR="007372D5" w:rsidRPr="004E10A4">
              <w:rPr>
                <w:rFonts w:ascii="Garamond" w:hAnsi="Garamond"/>
                <w:sz w:val="26"/>
                <w:szCs w:val="26"/>
              </w:rPr>
              <w:t xml:space="preserve">, </w:t>
            </w:r>
            <w:r w:rsidR="003C0D49">
              <w:rPr>
                <w:rFonts w:ascii="Garamond" w:hAnsi="Garamond"/>
                <w:sz w:val="26"/>
                <w:szCs w:val="26"/>
              </w:rPr>
              <w:t xml:space="preserve">and HRC </w:t>
            </w:r>
            <w:r w:rsidR="007372D5" w:rsidRPr="004E10A4">
              <w:rPr>
                <w:rFonts w:ascii="Garamond" w:hAnsi="Garamond"/>
                <w:sz w:val="26"/>
                <w:szCs w:val="26"/>
              </w:rPr>
              <w:t xml:space="preserve">and others. The Ministry of Finance is responsible for verifying </w:t>
            </w:r>
            <w:r w:rsidR="00D72D87">
              <w:rPr>
                <w:rFonts w:ascii="Garamond" w:hAnsi="Garamond"/>
                <w:sz w:val="26"/>
                <w:szCs w:val="26"/>
              </w:rPr>
              <w:t>g</w:t>
            </w:r>
            <w:r w:rsidR="00067686" w:rsidRPr="00067686">
              <w:rPr>
                <w:rFonts w:ascii="Garamond" w:hAnsi="Garamond"/>
                <w:sz w:val="26"/>
                <w:szCs w:val="26"/>
              </w:rPr>
              <w:t xml:space="preserve">ood </w:t>
            </w:r>
            <w:r w:rsidR="00067686">
              <w:rPr>
                <w:rFonts w:ascii="Garamond" w:hAnsi="Garamond"/>
                <w:sz w:val="26"/>
                <w:szCs w:val="26"/>
              </w:rPr>
              <w:t>d</w:t>
            </w:r>
            <w:r w:rsidR="00067686" w:rsidRPr="00067686">
              <w:rPr>
                <w:rFonts w:ascii="Garamond" w:hAnsi="Garamond"/>
                <w:sz w:val="26"/>
                <w:szCs w:val="26"/>
              </w:rPr>
              <w:t xml:space="preserve">isbursement </w:t>
            </w:r>
            <w:r w:rsidR="00067686">
              <w:rPr>
                <w:rFonts w:ascii="Garamond" w:hAnsi="Garamond"/>
                <w:sz w:val="26"/>
                <w:szCs w:val="26"/>
              </w:rPr>
              <w:t>of the allocated</w:t>
            </w:r>
            <w:r w:rsidR="007372D5" w:rsidRPr="004E10A4">
              <w:rPr>
                <w:rFonts w:ascii="Garamond" w:hAnsi="Garamond"/>
                <w:sz w:val="26"/>
                <w:szCs w:val="26"/>
              </w:rPr>
              <w:t xml:space="preserve"> budget to ensure the benefit of the concerned groups, including women, children and people with disabilities. It should also be noted that it is difficult to determine the res</w:t>
            </w:r>
            <w:r w:rsidR="00240022">
              <w:rPr>
                <w:rFonts w:ascii="Garamond" w:hAnsi="Garamond"/>
                <w:sz w:val="26"/>
                <w:szCs w:val="26"/>
              </w:rPr>
              <w:t xml:space="preserve">ources spent on protection from all kinds of </w:t>
            </w:r>
            <w:r w:rsidR="007372D5" w:rsidRPr="004E10A4">
              <w:rPr>
                <w:rFonts w:ascii="Garamond" w:hAnsi="Garamond"/>
                <w:sz w:val="26"/>
                <w:szCs w:val="26"/>
              </w:rPr>
              <w:t xml:space="preserve">violence, because the </w:t>
            </w:r>
            <w:r w:rsidR="00240022" w:rsidRPr="004E10A4">
              <w:rPr>
                <w:rFonts w:ascii="Garamond" w:hAnsi="Garamond"/>
                <w:sz w:val="26"/>
                <w:szCs w:val="26"/>
              </w:rPr>
              <w:t xml:space="preserve">budget </w:t>
            </w:r>
            <w:r w:rsidR="00240022">
              <w:rPr>
                <w:rFonts w:ascii="Garamond" w:hAnsi="Garamond"/>
                <w:sz w:val="26"/>
                <w:szCs w:val="26"/>
              </w:rPr>
              <w:t xml:space="preserve">development approach </w:t>
            </w:r>
            <w:r w:rsidR="007372D5" w:rsidRPr="004E10A4">
              <w:rPr>
                <w:rFonts w:ascii="Garamond" w:hAnsi="Garamond"/>
                <w:sz w:val="26"/>
                <w:szCs w:val="26"/>
              </w:rPr>
              <w:t xml:space="preserve">depends on general items that include all segments of society. </w:t>
            </w:r>
            <w:r w:rsidR="00043472" w:rsidRPr="00043472">
              <w:rPr>
                <w:rFonts w:ascii="Garamond" w:hAnsi="Garamond"/>
                <w:sz w:val="26"/>
                <w:szCs w:val="26"/>
              </w:rPr>
              <w:t xml:space="preserve">The government agencies concerned with protection from violence review aspects of financial spending on </w:t>
            </w:r>
            <w:r w:rsidR="009A1522">
              <w:rPr>
                <w:rFonts w:ascii="Garamond" w:hAnsi="Garamond"/>
                <w:sz w:val="26"/>
                <w:szCs w:val="26"/>
              </w:rPr>
              <w:t xml:space="preserve">supervised </w:t>
            </w:r>
            <w:r w:rsidR="00043472" w:rsidRPr="00043472">
              <w:rPr>
                <w:rFonts w:ascii="Garamond" w:hAnsi="Garamond"/>
                <w:sz w:val="26"/>
                <w:szCs w:val="26"/>
              </w:rPr>
              <w:t xml:space="preserve">sectors, including the sector of protection from forms violence and abuse, </w:t>
            </w:r>
            <w:r w:rsidR="00721DEE" w:rsidRPr="00043472">
              <w:rPr>
                <w:rFonts w:ascii="Garamond" w:hAnsi="Garamond"/>
                <w:sz w:val="26"/>
                <w:szCs w:val="26"/>
              </w:rPr>
              <w:t>identify</w:t>
            </w:r>
            <w:r w:rsidR="00043472" w:rsidRPr="00043472">
              <w:rPr>
                <w:rFonts w:ascii="Garamond" w:hAnsi="Garamond"/>
                <w:sz w:val="26"/>
                <w:szCs w:val="26"/>
              </w:rPr>
              <w:t xml:space="preserve"> aspects </w:t>
            </w:r>
            <w:r w:rsidR="00900C78">
              <w:rPr>
                <w:rFonts w:ascii="Garamond" w:hAnsi="Garamond"/>
                <w:sz w:val="26"/>
                <w:szCs w:val="26"/>
              </w:rPr>
              <w:t>that need</w:t>
            </w:r>
            <w:r w:rsidR="00DE3F92">
              <w:rPr>
                <w:rFonts w:ascii="Garamond" w:hAnsi="Garamond"/>
                <w:sz w:val="26"/>
                <w:szCs w:val="26"/>
              </w:rPr>
              <w:t xml:space="preserve"> </w:t>
            </w:r>
            <w:r w:rsidR="00043472" w:rsidRPr="00043472">
              <w:rPr>
                <w:rFonts w:ascii="Garamond" w:hAnsi="Garamond"/>
                <w:sz w:val="26"/>
                <w:szCs w:val="26"/>
              </w:rPr>
              <w:t xml:space="preserve">to </w:t>
            </w:r>
            <w:r w:rsidR="00900C78" w:rsidRPr="00043472">
              <w:rPr>
                <w:rFonts w:ascii="Garamond" w:hAnsi="Garamond"/>
                <w:sz w:val="26"/>
                <w:szCs w:val="26"/>
              </w:rPr>
              <w:t>spend</w:t>
            </w:r>
            <w:r w:rsidR="00721DEE">
              <w:rPr>
                <w:rFonts w:ascii="Garamond" w:hAnsi="Garamond"/>
                <w:sz w:val="26"/>
                <w:szCs w:val="26"/>
              </w:rPr>
              <w:t xml:space="preserve"> </w:t>
            </w:r>
            <w:r w:rsidR="00721DEE" w:rsidRPr="00043472">
              <w:rPr>
                <w:rFonts w:ascii="Garamond" w:hAnsi="Garamond"/>
                <w:sz w:val="26"/>
                <w:szCs w:val="26"/>
              </w:rPr>
              <w:t>increase</w:t>
            </w:r>
            <w:r w:rsidR="00043472" w:rsidRPr="00043472">
              <w:rPr>
                <w:rFonts w:ascii="Garamond" w:hAnsi="Garamond"/>
                <w:sz w:val="26"/>
                <w:szCs w:val="26"/>
              </w:rPr>
              <w:t xml:space="preserve">, and review this with </w:t>
            </w:r>
            <w:r w:rsidR="008A17B5">
              <w:rPr>
                <w:rFonts w:ascii="Garamond" w:hAnsi="Garamond"/>
                <w:sz w:val="26"/>
                <w:szCs w:val="26"/>
              </w:rPr>
              <w:t xml:space="preserve">MOF upon </w:t>
            </w:r>
            <w:r w:rsidR="008A17B5" w:rsidRPr="00043472">
              <w:rPr>
                <w:rFonts w:ascii="Garamond" w:hAnsi="Garamond"/>
                <w:sz w:val="26"/>
                <w:szCs w:val="26"/>
              </w:rPr>
              <w:t xml:space="preserve">annual budget </w:t>
            </w:r>
            <w:r w:rsidR="008A17B5">
              <w:rPr>
                <w:rFonts w:ascii="Garamond" w:hAnsi="Garamond"/>
                <w:sz w:val="26"/>
                <w:szCs w:val="26"/>
              </w:rPr>
              <w:t>discussion</w:t>
            </w:r>
            <w:r w:rsidR="00043472" w:rsidRPr="00043472">
              <w:rPr>
                <w:rFonts w:ascii="Garamond" w:hAnsi="Garamond"/>
                <w:sz w:val="26"/>
                <w:szCs w:val="26"/>
              </w:rPr>
              <w:t>.</w:t>
            </w:r>
          </w:p>
        </w:tc>
      </w:tr>
      <w:tr w:rsidR="007372D5" w:rsidRPr="004E10A4" w:rsidTr="00AC039C">
        <w:tc>
          <w:tcPr>
            <w:tcW w:w="535" w:type="dxa"/>
          </w:tcPr>
          <w:p w:rsidR="007372D5" w:rsidRPr="004E10A4" w:rsidRDefault="008A17B5" w:rsidP="002C6AE2">
            <w:pPr>
              <w:jc w:val="both"/>
              <w:rPr>
                <w:rFonts w:ascii="Garamond" w:hAnsi="Garamond"/>
                <w:sz w:val="26"/>
                <w:szCs w:val="26"/>
              </w:rPr>
            </w:pPr>
            <w:r>
              <w:rPr>
                <w:rFonts w:ascii="Garamond" w:hAnsi="Garamond"/>
                <w:sz w:val="26"/>
                <w:szCs w:val="26"/>
              </w:rPr>
              <w:t>5.</w:t>
            </w:r>
          </w:p>
        </w:tc>
        <w:tc>
          <w:tcPr>
            <w:tcW w:w="4320" w:type="dxa"/>
          </w:tcPr>
          <w:p w:rsidR="00994DC8" w:rsidRPr="00994DC8" w:rsidRDefault="00994DC8" w:rsidP="00994DC8">
            <w:pPr>
              <w:numPr>
                <w:ilvl w:val="0"/>
                <w:numId w:val="10"/>
              </w:numPr>
              <w:shd w:val="clear" w:color="auto" w:fill="FFFFFF"/>
              <w:contextualSpacing/>
              <w:jc w:val="both"/>
              <w:outlineLvl w:val="2"/>
              <w:rPr>
                <w:rFonts w:ascii="Times New Roman" w:eastAsia="Times New Roman" w:hAnsi="Times New Roman" w:cs="Times New Roman"/>
                <w:color w:val="000000"/>
                <w:sz w:val="24"/>
                <w:szCs w:val="24"/>
                <w:lang w:val="en-GB" w:eastAsia="en-GB"/>
              </w:rPr>
            </w:pPr>
            <w:r w:rsidRPr="00994DC8">
              <w:rPr>
                <w:rFonts w:ascii="Times New Roman" w:eastAsia="Times New Roman" w:hAnsi="Times New Roman" w:cs="Times New Roman"/>
                <w:color w:val="000000"/>
                <w:sz w:val="24"/>
                <w:szCs w:val="24"/>
                <w:lang w:val="en-GB" w:eastAsia="en-GB"/>
              </w:rPr>
              <w:t>Please describe the needs of survivors of the abovementioned forms of violence as identified by your State/institution. Please share survivor-self identified needs and those of their families, with a focus on health emergency and long-term needs.</w:t>
            </w:r>
          </w:p>
          <w:p w:rsidR="007372D5" w:rsidRPr="00FC0F79" w:rsidRDefault="007372D5" w:rsidP="002C6AE2">
            <w:pPr>
              <w:jc w:val="both"/>
              <w:rPr>
                <w:rFonts w:ascii="Garamond" w:hAnsi="Garamond"/>
                <w:sz w:val="26"/>
                <w:szCs w:val="26"/>
                <w:lang w:val="en-GB"/>
              </w:rPr>
            </w:pPr>
          </w:p>
        </w:tc>
        <w:tc>
          <w:tcPr>
            <w:tcW w:w="4495" w:type="dxa"/>
          </w:tcPr>
          <w:p w:rsidR="00080DDC" w:rsidRPr="007F1F39" w:rsidRDefault="007372D5" w:rsidP="007F1F39">
            <w:pPr>
              <w:pStyle w:val="ListParagraph"/>
              <w:numPr>
                <w:ilvl w:val="0"/>
                <w:numId w:val="4"/>
              </w:numPr>
              <w:jc w:val="both"/>
              <w:rPr>
                <w:rFonts w:ascii="Garamond" w:hAnsi="Garamond"/>
                <w:sz w:val="26"/>
                <w:szCs w:val="26"/>
              </w:rPr>
            </w:pPr>
            <w:r w:rsidRPr="007F1F39">
              <w:rPr>
                <w:rFonts w:ascii="Garamond" w:hAnsi="Garamond"/>
                <w:sz w:val="26"/>
                <w:szCs w:val="26"/>
              </w:rPr>
              <w:t>The Kingdom's regulation</w:t>
            </w:r>
            <w:r w:rsidR="001C78EA" w:rsidRPr="007F1F39">
              <w:rPr>
                <w:rFonts w:ascii="Garamond" w:hAnsi="Garamond"/>
                <w:sz w:val="26"/>
                <w:szCs w:val="26"/>
              </w:rPr>
              <w:t>s guarantee the health</w:t>
            </w:r>
            <w:r w:rsidRPr="007F1F39">
              <w:rPr>
                <w:rFonts w:ascii="Garamond" w:hAnsi="Garamond"/>
                <w:sz w:val="26"/>
                <w:szCs w:val="26"/>
              </w:rPr>
              <w:t xml:space="preserve">care </w:t>
            </w:r>
            <w:r w:rsidR="001C78EA" w:rsidRPr="007F1F39">
              <w:rPr>
                <w:rFonts w:ascii="Garamond" w:hAnsi="Garamond"/>
                <w:sz w:val="26"/>
                <w:szCs w:val="26"/>
              </w:rPr>
              <w:t xml:space="preserve">right </w:t>
            </w:r>
            <w:r w:rsidRPr="007F1F39">
              <w:rPr>
                <w:rFonts w:ascii="Garamond" w:hAnsi="Garamond"/>
                <w:sz w:val="26"/>
                <w:szCs w:val="26"/>
              </w:rPr>
              <w:t xml:space="preserve">for all, including victims of violence or abuse, as Article (2) of the health </w:t>
            </w:r>
            <w:r w:rsidR="0043648E" w:rsidRPr="007F1F39">
              <w:rPr>
                <w:rFonts w:ascii="Garamond" w:hAnsi="Garamond"/>
                <w:sz w:val="26"/>
                <w:szCs w:val="26"/>
              </w:rPr>
              <w:t xml:space="preserve">Law </w:t>
            </w:r>
            <w:r w:rsidRPr="007F1F39">
              <w:rPr>
                <w:rFonts w:ascii="Garamond" w:hAnsi="Garamond"/>
                <w:sz w:val="26"/>
                <w:szCs w:val="26"/>
              </w:rPr>
              <w:t>states</w:t>
            </w:r>
            <w:r w:rsidR="0043648E" w:rsidRPr="007F1F39">
              <w:rPr>
                <w:rFonts w:ascii="Garamond" w:hAnsi="Garamond"/>
                <w:sz w:val="26"/>
                <w:szCs w:val="26"/>
              </w:rPr>
              <w:t>:</w:t>
            </w:r>
            <w:r w:rsidRPr="007F1F39">
              <w:rPr>
                <w:rFonts w:ascii="Garamond" w:hAnsi="Garamond"/>
                <w:sz w:val="26"/>
                <w:szCs w:val="26"/>
              </w:rPr>
              <w:t xml:space="preserve"> "</w:t>
            </w:r>
            <w:r w:rsidR="0043648E" w:rsidRPr="007F1F39">
              <w:rPr>
                <w:rFonts w:ascii="Garamond" w:hAnsi="Garamond"/>
                <w:sz w:val="26"/>
                <w:szCs w:val="26"/>
              </w:rPr>
              <w:t>T</w:t>
            </w:r>
            <w:r w:rsidRPr="007F1F39">
              <w:rPr>
                <w:rFonts w:ascii="Garamond" w:hAnsi="Garamond"/>
                <w:sz w:val="26"/>
                <w:szCs w:val="26"/>
              </w:rPr>
              <w:t xml:space="preserve">his </w:t>
            </w:r>
            <w:r w:rsidR="0043648E" w:rsidRPr="007F1F39">
              <w:rPr>
                <w:rFonts w:ascii="Garamond" w:hAnsi="Garamond"/>
                <w:sz w:val="26"/>
                <w:szCs w:val="26"/>
              </w:rPr>
              <w:t xml:space="preserve">law </w:t>
            </w:r>
            <w:r w:rsidRPr="007F1F39">
              <w:rPr>
                <w:rFonts w:ascii="Garamond" w:hAnsi="Garamond"/>
                <w:sz w:val="26"/>
                <w:szCs w:val="26"/>
              </w:rPr>
              <w:t xml:space="preserve">aims to ensure the provision </w:t>
            </w:r>
            <w:r w:rsidR="0042659B" w:rsidRPr="007F1F39">
              <w:rPr>
                <w:rFonts w:ascii="Garamond" w:hAnsi="Garamond"/>
                <w:sz w:val="26"/>
                <w:szCs w:val="26"/>
              </w:rPr>
              <w:t xml:space="preserve">and regulation of </w:t>
            </w:r>
            <w:r w:rsidRPr="007F1F39">
              <w:rPr>
                <w:rFonts w:ascii="Garamond" w:hAnsi="Garamond"/>
                <w:sz w:val="26"/>
                <w:szCs w:val="26"/>
              </w:rPr>
              <w:t>comp</w:t>
            </w:r>
            <w:r w:rsidR="0043648E" w:rsidRPr="007F1F39">
              <w:rPr>
                <w:rFonts w:ascii="Garamond" w:hAnsi="Garamond"/>
                <w:sz w:val="26"/>
                <w:szCs w:val="26"/>
              </w:rPr>
              <w:t>rehensive and integrated health</w:t>
            </w:r>
            <w:r w:rsidRPr="007F1F39">
              <w:rPr>
                <w:rFonts w:ascii="Garamond" w:hAnsi="Garamond"/>
                <w:sz w:val="26"/>
                <w:szCs w:val="26"/>
              </w:rPr>
              <w:t>care, to all the population, in a fair and accessible manner"</w:t>
            </w:r>
            <w:r w:rsidR="0042659B" w:rsidRPr="007F1F39">
              <w:rPr>
                <w:rFonts w:ascii="Garamond" w:hAnsi="Garamond"/>
                <w:sz w:val="26"/>
                <w:szCs w:val="26"/>
              </w:rPr>
              <w:t>.</w:t>
            </w:r>
            <w:r w:rsidRPr="007F1F39">
              <w:rPr>
                <w:rFonts w:ascii="Garamond" w:hAnsi="Garamond"/>
                <w:sz w:val="26"/>
                <w:szCs w:val="26"/>
              </w:rPr>
              <w:t xml:space="preserve"> Article (3) of the same </w:t>
            </w:r>
            <w:r w:rsidR="0042659B" w:rsidRPr="007F1F39">
              <w:rPr>
                <w:rFonts w:ascii="Garamond" w:hAnsi="Garamond"/>
                <w:sz w:val="26"/>
                <w:szCs w:val="26"/>
              </w:rPr>
              <w:t xml:space="preserve">Law states: </w:t>
            </w:r>
            <w:r w:rsidRPr="007F1F39">
              <w:rPr>
                <w:rFonts w:ascii="Garamond" w:hAnsi="Garamond"/>
                <w:sz w:val="26"/>
                <w:szCs w:val="26"/>
              </w:rPr>
              <w:t xml:space="preserve">“the state shall </w:t>
            </w:r>
            <w:r w:rsidR="00332A3A" w:rsidRPr="007F1F39">
              <w:rPr>
                <w:rFonts w:ascii="Garamond" w:hAnsi="Garamond"/>
                <w:sz w:val="26"/>
                <w:szCs w:val="26"/>
              </w:rPr>
              <w:t xml:space="preserve">provide </w:t>
            </w:r>
            <w:r w:rsidR="00B02FC9" w:rsidRPr="007F1F39">
              <w:rPr>
                <w:rFonts w:ascii="Garamond" w:hAnsi="Garamond"/>
                <w:sz w:val="26"/>
                <w:szCs w:val="26"/>
              </w:rPr>
              <w:t>healthcare</w:t>
            </w:r>
            <w:r w:rsidRPr="007F1F39">
              <w:rPr>
                <w:rFonts w:ascii="Garamond" w:hAnsi="Garamond"/>
                <w:sz w:val="26"/>
                <w:szCs w:val="26"/>
              </w:rPr>
              <w:t xml:space="preserve"> and </w:t>
            </w:r>
            <w:r w:rsidR="00332A3A" w:rsidRPr="007F1F39">
              <w:rPr>
                <w:rFonts w:ascii="Garamond" w:hAnsi="Garamond"/>
                <w:sz w:val="26"/>
                <w:szCs w:val="26"/>
              </w:rPr>
              <w:t xml:space="preserve">responsible for </w:t>
            </w:r>
            <w:r w:rsidR="00817215" w:rsidRPr="007F1F39">
              <w:rPr>
                <w:rFonts w:ascii="Garamond" w:hAnsi="Garamond"/>
                <w:sz w:val="26"/>
                <w:szCs w:val="26"/>
              </w:rPr>
              <w:t xml:space="preserve">the community </w:t>
            </w:r>
            <w:r w:rsidRPr="007F1F39">
              <w:rPr>
                <w:rFonts w:ascii="Garamond" w:hAnsi="Garamond"/>
                <w:sz w:val="26"/>
                <w:szCs w:val="26"/>
              </w:rPr>
              <w:t xml:space="preserve">public health, </w:t>
            </w:r>
            <w:r w:rsidR="00817215" w:rsidRPr="007F1F39">
              <w:rPr>
                <w:rFonts w:ascii="Garamond" w:hAnsi="Garamond"/>
                <w:sz w:val="26"/>
                <w:szCs w:val="26"/>
              </w:rPr>
              <w:t>ensuring</w:t>
            </w:r>
            <w:r w:rsidRPr="007F1F39">
              <w:rPr>
                <w:rFonts w:ascii="Garamond" w:hAnsi="Garamond"/>
                <w:sz w:val="26"/>
                <w:szCs w:val="26"/>
              </w:rPr>
              <w:t xml:space="preserve"> living in a healthy </w:t>
            </w:r>
            <w:r w:rsidR="00817215" w:rsidRPr="007F1F39">
              <w:rPr>
                <w:rFonts w:ascii="Garamond" w:hAnsi="Garamond"/>
                <w:sz w:val="26"/>
                <w:szCs w:val="26"/>
              </w:rPr>
              <w:t xml:space="preserve">and safe </w:t>
            </w:r>
            <w:r w:rsidR="009C5C3C" w:rsidRPr="007F1F39">
              <w:rPr>
                <w:rFonts w:ascii="Garamond" w:hAnsi="Garamond"/>
                <w:sz w:val="26"/>
                <w:szCs w:val="26"/>
              </w:rPr>
              <w:t>environment</w:t>
            </w:r>
            <w:r w:rsidRPr="007F1F39">
              <w:rPr>
                <w:rFonts w:ascii="Garamond" w:hAnsi="Garamond"/>
                <w:sz w:val="26"/>
                <w:szCs w:val="26"/>
              </w:rPr>
              <w:t>”</w:t>
            </w:r>
            <w:r w:rsidR="009C5C3C" w:rsidRPr="007F1F39">
              <w:rPr>
                <w:rFonts w:ascii="Garamond" w:hAnsi="Garamond"/>
                <w:sz w:val="26"/>
                <w:szCs w:val="26"/>
              </w:rPr>
              <w:t>.</w:t>
            </w:r>
            <w:r w:rsidRPr="007F1F39">
              <w:rPr>
                <w:rFonts w:ascii="Garamond" w:hAnsi="Garamond"/>
                <w:sz w:val="26"/>
                <w:szCs w:val="26"/>
              </w:rPr>
              <w:t xml:space="preserve"> </w:t>
            </w:r>
            <w:r w:rsidR="002F0BF7" w:rsidRPr="007F1F39">
              <w:rPr>
                <w:rFonts w:ascii="Garamond" w:hAnsi="Garamond"/>
                <w:sz w:val="26"/>
                <w:szCs w:val="26"/>
              </w:rPr>
              <w:t xml:space="preserve">Article (4) of the law emphasized the provision of healthcare services to citizens and </w:t>
            </w:r>
            <w:r w:rsidR="007C151E" w:rsidRPr="007F1F39">
              <w:rPr>
                <w:rFonts w:ascii="Garamond" w:hAnsi="Garamond"/>
                <w:sz w:val="26"/>
                <w:szCs w:val="26"/>
              </w:rPr>
              <w:t>their coverage for all segments of society</w:t>
            </w:r>
            <w:r w:rsidR="00396952" w:rsidRPr="007F1F39">
              <w:rPr>
                <w:rFonts w:ascii="Garamond" w:hAnsi="Garamond"/>
                <w:sz w:val="26"/>
                <w:szCs w:val="26"/>
              </w:rPr>
              <w:t xml:space="preserve">, </w:t>
            </w:r>
            <w:r w:rsidR="002F0BF7" w:rsidRPr="007F1F39">
              <w:rPr>
                <w:rFonts w:ascii="Garamond" w:hAnsi="Garamond"/>
                <w:sz w:val="26"/>
                <w:szCs w:val="26"/>
              </w:rPr>
              <w:t>emergencies</w:t>
            </w:r>
            <w:r w:rsidR="00396952" w:rsidRPr="007F1F39">
              <w:rPr>
                <w:rFonts w:ascii="Garamond" w:hAnsi="Garamond"/>
                <w:sz w:val="26"/>
                <w:szCs w:val="26"/>
              </w:rPr>
              <w:t>,</w:t>
            </w:r>
            <w:r w:rsidR="002F0BF7" w:rsidRPr="007F1F39">
              <w:rPr>
                <w:rFonts w:ascii="Garamond" w:hAnsi="Garamond"/>
                <w:sz w:val="26"/>
                <w:szCs w:val="26"/>
              </w:rPr>
              <w:t xml:space="preserve"> disasters, infectious and epidemic diseases, incurable diseases, and mental health</w:t>
            </w:r>
            <w:r w:rsidR="00EF44DF" w:rsidRPr="007F1F39">
              <w:rPr>
                <w:rFonts w:ascii="Garamond" w:hAnsi="Garamond"/>
                <w:sz w:val="26"/>
                <w:szCs w:val="26"/>
              </w:rPr>
              <w:t>”.</w:t>
            </w:r>
            <w:r w:rsidR="002F0BF7" w:rsidRPr="007F1F39">
              <w:rPr>
                <w:rFonts w:ascii="Garamond" w:hAnsi="Garamond"/>
                <w:sz w:val="26"/>
                <w:szCs w:val="26"/>
              </w:rPr>
              <w:t xml:space="preserve"> Also, clause (1) of Paragraph (First) of the </w:t>
            </w:r>
            <w:r w:rsidR="00364C7E" w:rsidRPr="007F1F39">
              <w:rPr>
                <w:rFonts w:ascii="Garamond" w:hAnsi="Garamond"/>
                <w:sz w:val="26"/>
                <w:szCs w:val="26"/>
              </w:rPr>
              <w:t xml:space="preserve">Executive Regulations of the Private Health Institutions Law </w:t>
            </w:r>
            <w:r w:rsidR="00080DDC" w:rsidRPr="007F1F39">
              <w:rPr>
                <w:rFonts w:ascii="Garamond" w:hAnsi="Garamond"/>
                <w:sz w:val="26"/>
                <w:szCs w:val="26"/>
              </w:rPr>
              <w:t xml:space="preserve">also obligated private health institutions to receive any emergency cases through emergency departments. These </w:t>
            </w:r>
            <w:r w:rsidR="00DA4AEF" w:rsidRPr="007F1F39">
              <w:rPr>
                <w:rFonts w:ascii="Garamond" w:hAnsi="Garamond"/>
                <w:sz w:val="26"/>
                <w:szCs w:val="26"/>
              </w:rPr>
              <w:t xml:space="preserve">above </w:t>
            </w:r>
            <w:r w:rsidR="00080DDC" w:rsidRPr="007F1F39">
              <w:rPr>
                <w:rFonts w:ascii="Garamond" w:hAnsi="Garamond"/>
                <w:sz w:val="26"/>
                <w:szCs w:val="26"/>
              </w:rPr>
              <w:t>texts show t</w:t>
            </w:r>
            <w:r w:rsidR="00DA4AEF" w:rsidRPr="007F1F39">
              <w:rPr>
                <w:rFonts w:ascii="Garamond" w:hAnsi="Garamond"/>
                <w:sz w:val="26"/>
                <w:szCs w:val="26"/>
              </w:rPr>
              <w:t>he obligation to provide health</w:t>
            </w:r>
            <w:r w:rsidR="00080DDC" w:rsidRPr="007F1F39">
              <w:rPr>
                <w:rFonts w:ascii="Garamond" w:hAnsi="Garamond"/>
                <w:sz w:val="26"/>
                <w:szCs w:val="26"/>
              </w:rPr>
              <w:t>care in all circumstances, including cases of abuse.</w:t>
            </w:r>
          </w:p>
          <w:p w:rsidR="002605AC" w:rsidRDefault="007F1F39" w:rsidP="002605AC">
            <w:pPr>
              <w:pStyle w:val="ListParagraph"/>
              <w:numPr>
                <w:ilvl w:val="0"/>
                <w:numId w:val="3"/>
              </w:numPr>
              <w:jc w:val="both"/>
              <w:rPr>
                <w:rFonts w:ascii="Garamond" w:hAnsi="Garamond"/>
                <w:sz w:val="26"/>
                <w:szCs w:val="26"/>
              </w:rPr>
            </w:pPr>
            <w:r w:rsidRPr="007F1F39">
              <w:rPr>
                <w:rFonts w:ascii="Garamond" w:hAnsi="Garamond"/>
                <w:sz w:val="26"/>
                <w:szCs w:val="26"/>
              </w:rPr>
              <w:t>A circular was issued by the Minister of Health approving the regulation of dealing with violence</w:t>
            </w:r>
            <w:r w:rsidR="00063C2C">
              <w:rPr>
                <w:rFonts w:ascii="Garamond" w:hAnsi="Garamond"/>
                <w:sz w:val="26"/>
                <w:szCs w:val="26"/>
              </w:rPr>
              <w:t xml:space="preserve"> and abuse</w:t>
            </w:r>
            <w:r w:rsidRPr="007F1F39">
              <w:rPr>
                <w:rFonts w:ascii="Garamond" w:hAnsi="Garamond"/>
                <w:sz w:val="26"/>
                <w:szCs w:val="26"/>
              </w:rPr>
              <w:t xml:space="preserve"> </w:t>
            </w:r>
            <w:r w:rsidR="00D235DB" w:rsidRPr="007F1F39">
              <w:rPr>
                <w:rFonts w:ascii="Garamond" w:hAnsi="Garamond"/>
                <w:sz w:val="26"/>
                <w:szCs w:val="26"/>
              </w:rPr>
              <w:t xml:space="preserve">cases </w:t>
            </w:r>
            <w:r w:rsidR="00063C2C">
              <w:rPr>
                <w:rFonts w:ascii="Garamond" w:hAnsi="Garamond"/>
                <w:sz w:val="26"/>
                <w:szCs w:val="26"/>
              </w:rPr>
              <w:t xml:space="preserve">within </w:t>
            </w:r>
            <w:r w:rsidRPr="007F1F39">
              <w:rPr>
                <w:rFonts w:ascii="Garamond" w:hAnsi="Garamond"/>
                <w:sz w:val="26"/>
                <w:szCs w:val="26"/>
              </w:rPr>
              <w:t xml:space="preserve">health </w:t>
            </w:r>
            <w:r w:rsidR="00063C2C">
              <w:rPr>
                <w:rFonts w:ascii="Garamond" w:hAnsi="Garamond"/>
                <w:sz w:val="26"/>
                <w:szCs w:val="26"/>
              </w:rPr>
              <w:t>institutions</w:t>
            </w:r>
            <w:r w:rsidRPr="007F1F39">
              <w:rPr>
                <w:rFonts w:ascii="Garamond" w:hAnsi="Garamond"/>
                <w:sz w:val="26"/>
                <w:szCs w:val="26"/>
              </w:rPr>
              <w:t xml:space="preserve"> </w:t>
            </w:r>
            <w:r w:rsidR="00224BC6">
              <w:rPr>
                <w:rFonts w:ascii="Garamond" w:hAnsi="Garamond"/>
                <w:sz w:val="26"/>
                <w:szCs w:val="26"/>
              </w:rPr>
              <w:t xml:space="preserve">to monitor and track </w:t>
            </w:r>
            <w:r w:rsidR="00224BC6" w:rsidRPr="007F1F39">
              <w:rPr>
                <w:rFonts w:ascii="Garamond" w:hAnsi="Garamond"/>
                <w:sz w:val="26"/>
                <w:szCs w:val="26"/>
              </w:rPr>
              <w:t>violence</w:t>
            </w:r>
            <w:r w:rsidR="00224BC6">
              <w:rPr>
                <w:rFonts w:ascii="Garamond" w:hAnsi="Garamond"/>
                <w:sz w:val="26"/>
                <w:szCs w:val="26"/>
              </w:rPr>
              <w:t>, abuse</w:t>
            </w:r>
            <w:r w:rsidR="00224BC6" w:rsidRPr="007F1F39">
              <w:rPr>
                <w:rFonts w:ascii="Garamond" w:hAnsi="Garamond"/>
                <w:sz w:val="26"/>
                <w:szCs w:val="26"/>
              </w:rPr>
              <w:t xml:space="preserve"> </w:t>
            </w:r>
            <w:r w:rsidR="00224BC6">
              <w:rPr>
                <w:rFonts w:ascii="Garamond" w:hAnsi="Garamond"/>
                <w:sz w:val="26"/>
                <w:szCs w:val="26"/>
              </w:rPr>
              <w:t xml:space="preserve">and </w:t>
            </w:r>
            <w:r w:rsidR="00224BC6" w:rsidRPr="007F1F39">
              <w:rPr>
                <w:rFonts w:ascii="Garamond" w:hAnsi="Garamond"/>
                <w:sz w:val="26"/>
                <w:szCs w:val="26"/>
              </w:rPr>
              <w:t xml:space="preserve">neglect cases </w:t>
            </w:r>
            <w:r w:rsidRPr="007F1F39">
              <w:rPr>
                <w:rFonts w:ascii="Garamond" w:hAnsi="Garamond"/>
                <w:sz w:val="26"/>
                <w:szCs w:val="26"/>
              </w:rPr>
              <w:t xml:space="preserve">and professional </w:t>
            </w:r>
            <w:r w:rsidR="00B81FED">
              <w:rPr>
                <w:rFonts w:ascii="Garamond" w:hAnsi="Garamond"/>
                <w:sz w:val="26"/>
                <w:szCs w:val="26"/>
              </w:rPr>
              <w:t>dealing with them, and open</w:t>
            </w:r>
            <w:r w:rsidRPr="007F1F39">
              <w:rPr>
                <w:rFonts w:ascii="Garamond" w:hAnsi="Garamond"/>
                <w:sz w:val="26"/>
                <w:szCs w:val="26"/>
              </w:rPr>
              <w:t xml:space="preserve"> communication </w:t>
            </w:r>
            <w:r w:rsidR="00B81FED" w:rsidRPr="007F1F39">
              <w:rPr>
                <w:rFonts w:ascii="Garamond" w:hAnsi="Garamond"/>
                <w:sz w:val="26"/>
                <w:szCs w:val="26"/>
              </w:rPr>
              <w:t xml:space="preserve">channels </w:t>
            </w:r>
            <w:r w:rsidR="00281A24">
              <w:rPr>
                <w:rFonts w:ascii="Garamond" w:hAnsi="Garamond"/>
                <w:sz w:val="26"/>
                <w:szCs w:val="26"/>
              </w:rPr>
              <w:t xml:space="preserve">with the relevant </w:t>
            </w:r>
            <w:r w:rsidRPr="007F1F39">
              <w:rPr>
                <w:rFonts w:ascii="Garamond" w:hAnsi="Garamond"/>
                <w:sz w:val="26"/>
                <w:szCs w:val="26"/>
              </w:rPr>
              <w:t>authorities to provide the necessary protection</w:t>
            </w:r>
            <w:r w:rsidR="00281A24">
              <w:rPr>
                <w:rFonts w:ascii="Garamond" w:hAnsi="Garamond"/>
                <w:sz w:val="26"/>
                <w:szCs w:val="26"/>
              </w:rPr>
              <w:t>,</w:t>
            </w:r>
            <w:r w:rsidRPr="007F1F39">
              <w:rPr>
                <w:rFonts w:ascii="Garamond" w:hAnsi="Garamond"/>
                <w:sz w:val="26"/>
                <w:szCs w:val="26"/>
              </w:rPr>
              <w:t xml:space="preserve"> care and assistance in providing the necessary health, psychological or social care, and providing </w:t>
            </w:r>
            <w:r w:rsidR="007C0629">
              <w:rPr>
                <w:rFonts w:ascii="Garamond" w:hAnsi="Garamond"/>
                <w:sz w:val="26"/>
                <w:szCs w:val="26"/>
              </w:rPr>
              <w:t xml:space="preserve">database </w:t>
            </w:r>
            <w:r w:rsidRPr="007F1F39">
              <w:rPr>
                <w:rFonts w:ascii="Garamond" w:hAnsi="Garamond"/>
                <w:sz w:val="26"/>
                <w:szCs w:val="26"/>
              </w:rPr>
              <w:t xml:space="preserve">to be used in studies, research and programs related to violence and </w:t>
            </w:r>
            <w:r w:rsidR="00C317B8">
              <w:rPr>
                <w:rFonts w:ascii="Garamond" w:hAnsi="Garamond"/>
                <w:sz w:val="26"/>
                <w:szCs w:val="26"/>
              </w:rPr>
              <w:t xml:space="preserve">mitigation ways. </w:t>
            </w:r>
            <w:r w:rsidRPr="007F1F39">
              <w:rPr>
                <w:rFonts w:ascii="Garamond" w:hAnsi="Garamond"/>
                <w:sz w:val="26"/>
                <w:szCs w:val="26"/>
              </w:rPr>
              <w:t xml:space="preserve">Committees and teams of specialists were formed in health </w:t>
            </w:r>
            <w:r w:rsidR="00C317B8">
              <w:rPr>
                <w:rFonts w:ascii="Garamond" w:hAnsi="Garamond"/>
                <w:sz w:val="26"/>
                <w:szCs w:val="26"/>
              </w:rPr>
              <w:t xml:space="preserve">institution </w:t>
            </w:r>
            <w:r w:rsidRPr="007F1F39">
              <w:rPr>
                <w:rFonts w:ascii="Garamond" w:hAnsi="Garamond"/>
                <w:sz w:val="26"/>
                <w:szCs w:val="26"/>
              </w:rPr>
              <w:t xml:space="preserve">to carry out the tasks and roles required towards </w:t>
            </w:r>
            <w:r w:rsidR="002605AC" w:rsidRPr="007F1F39">
              <w:rPr>
                <w:rFonts w:ascii="Garamond" w:hAnsi="Garamond"/>
                <w:sz w:val="26"/>
                <w:szCs w:val="26"/>
              </w:rPr>
              <w:t xml:space="preserve">violence and abuse </w:t>
            </w:r>
            <w:r w:rsidRPr="007F1F39">
              <w:rPr>
                <w:rFonts w:ascii="Garamond" w:hAnsi="Garamond"/>
                <w:sz w:val="26"/>
                <w:szCs w:val="26"/>
              </w:rPr>
              <w:t>cases.</w:t>
            </w:r>
          </w:p>
          <w:p w:rsidR="009639B4" w:rsidRDefault="00FF67D1" w:rsidP="009639B4">
            <w:pPr>
              <w:pStyle w:val="ListParagraph"/>
              <w:numPr>
                <w:ilvl w:val="0"/>
                <w:numId w:val="3"/>
              </w:numPr>
              <w:jc w:val="both"/>
              <w:rPr>
                <w:rFonts w:ascii="Garamond" w:hAnsi="Garamond"/>
                <w:sz w:val="26"/>
                <w:szCs w:val="26"/>
              </w:rPr>
            </w:pPr>
            <w:r>
              <w:rPr>
                <w:rFonts w:ascii="Garamond" w:hAnsi="Garamond"/>
                <w:sz w:val="26"/>
                <w:szCs w:val="26"/>
              </w:rPr>
              <w:t xml:space="preserve">A decision also was issued by the </w:t>
            </w:r>
            <w:r w:rsidR="007372D5" w:rsidRPr="002605AC">
              <w:rPr>
                <w:rFonts w:ascii="Garamond" w:hAnsi="Garamond"/>
                <w:sz w:val="26"/>
                <w:szCs w:val="26"/>
              </w:rPr>
              <w:t xml:space="preserve">Saudi Health Council approving the document of </w:t>
            </w:r>
            <w:r w:rsidR="00D05C6B">
              <w:rPr>
                <w:rFonts w:ascii="Garamond" w:hAnsi="Garamond"/>
                <w:sz w:val="26"/>
                <w:szCs w:val="26"/>
              </w:rPr>
              <w:t xml:space="preserve">the </w:t>
            </w:r>
            <w:r w:rsidR="007372D5" w:rsidRPr="002605AC">
              <w:rPr>
                <w:rFonts w:ascii="Garamond" w:hAnsi="Garamond"/>
                <w:sz w:val="26"/>
                <w:szCs w:val="26"/>
              </w:rPr>
              <w:t xml:space="preserve">mechanism for dealing with </w:t>
            </w:r>
            <w:r w:rsidR="00D05C6B" w:rsidRPr="002605AC">
              <w:rPr>
                <w:rFonts w:ascii="Garamond" w:hAnsi="Garamond"/>
                <w:sz w:val="26"/>
                <w:szCs w:val="26"/>
              </w:rPr>
              <w:t xml:space="preserve">child abuse and domestic violence </w:t>
            </w:r>
            <w:r w:rsidR="007372D5" w:rsidRPr="002605AC">
              <w:rPr>
                <w:rFonts w:ascii="Garamond" w:hAnsi="Garamond"/>
                <w:sz w:val="26"/>
                <w:szCs w:val="26"/>
              </w:rPr>
              <w:t xml:space="preserve">cases </w:t>
            </w:r>
            <w:r w:rsidR="00D05C6B">
              <w:rPr>
                <w:rFonts w:ascii="Garamond" w:hAnsi="Garamond"/>
                <w:sz w:val="26"/>
                <w:szCs w:val="26"/>
              </w:rPr>
              <w:t>to encourage</w:t>
            </w:r>
            <w:r w:rsidR="007372D5" w:rsidRPr="002605AC">
              <w:rPr>
                <w:rFonts w:ascii="Garamond" w:hAnsi="Garamond"/>
                <w:sz w:val="26"/>
                <w:szCs w:val="26"/>
              </w:rPr>
              <w:t xml:space="preserve"> investigation of </w:t>
            </w:r>
            <w:r w:rsidR="00D05C6B" w:rsidRPr="002605AC">
              <w:rPr>
                <w:rFonts w:ascii="Garamond" w:hAnsi="Garamond"/>
                <w:sz w:val="26"/>
                <w:szCs w:val="26"/>
              </w:rPr>
              <w:t xml:space="preserve">abuse and violence </w:t>
            </w:r>
            <w:r w:rsidR="007372D5" w:rsidRPr="002605AC">
              <w:rPr>
                <w:rFonts w:ascii="Garamond" w:hAnsi="Garamond"/>
                <w:sz w:val="26"/>
                <w:szCs w:val="26"/>
              </w:rPr>
              <w:t xml:space="preserve">cases against children in health </w:t>
            </w:r>
            <w:r w:rsidR="00302FC7">
              <w:rPr>
                <w:rFonts w:ascii="Garamond" w:hAnsi="Garamond"/>
                <w:sz w:val="26"/>
                <w:szCs w:val="26"/>
              </w:rPr>
              <w:t>institutions</w:t>
            </w:r>
            <w:r w:rsidR="007372D5" w:rsidRPr="002605AC">
              <w:rPr>
                <w:rFonts w:ascii="Garamond" w:hAnsi="Garamond"/>
                <w:sz w:val="26"/>
                <w:szCs w:val="26"/>
              </w:rPr>
              <w:t>, and adopting the appropriate mechanism to deal with these cases and coordinating between the roles and procedures of the relevant authorities to take the necessary measures for prevention and treatment.</w:t>
            </w:r>
          </w:p>
          <w:p w:rsidR="007629C2" w:rsidRDefault="007372D5" w:rsidP="007629C2">
            <w:pPr>
              <w:pStyle w:val="ListParagraph"/>
              <w:numPr>
                <w:ilvl w:val="0"/>
                <w:numId w:val="3"/>
              </w:numPr>
              <w:jc w:val="both"/>
              <w:rPr>
                <w:rFonts w:ascii="Garamond" w:hAnsi="Garamond"/>
                <w:sz w:val="26"/>
                <w:szCs w:val="26"/>
              </w:rPr>
            </w:pPr>
            <w:r w:rsidRPr="009639B4">
              <w:rPr>
                <w:rFonts w:ascii="Garamond" w:hAnsi="Garamond"/>
                <w:sz w:val="26"/>
                <w:szCs w:val="26"/>
              </w:rPr>
              <w:t xml:space="preserve">The Ministry of Health, in cooperation with the concerned authorities and human rights institutions, trains health practitioners in emergency departments in hospitals to deal with </w:t>
            </w:r>
            <w:r w:rsidR="00644DAD" w:rsidRPr="009639B4">
              <w:rPr>
                <w:rFonts w:ascii="Garamond" w:hAnsi="Garamond"/>
                <w:sz w:val="26"/>
                <w:szCs w:val="26"/>
              </w:rPr>
              <w:t xml:space="preserve">violence </w:t>
            </w:r>
            <w:r w:rsidRPr="009639B4">
              <w:rPr>
                <w:rFonts w:ascii="Garamond" w:hAnsi="Garamond"/>
                <w:sz w:val="26"/>
                <w:szCs w:val="26"/>
              </w:rPr>
              <w:t xml:space="preserve">cases, including doctors, nurses and technicians, to </w:t>
            </w:r>
            <w:r w:rsidR="00644DAD">
              <w:rPr>
                <w:rFonts w:ascii="Garamond" w:hAnsi="Garamond"/>
                <w:sz w:val="26"/>
                <w:szCs w:val="26"/>
              </w:rPr>
              <w:t xml:space="preserve">enable them </w:t>
            </w:r>
            <w:r w:rsidRPr="009639B4">
              <w:rPr>
                <w:rFonts w:ascii="Garamond" w:hAnsi="Garamond"/>
                <w:sz w:val="26"/>
                <w:szCs w:val="26"/>
              </w:rPr>
              <w:t xml:space="preserve">to determine the physical damage </w:t>
            </w:r>
            <w:r w:rsidR="00967DB4">
              <w:rPr>
                <w:rFonts w:ascii="Garamond" w:hAnsi="Garamond"/>
                <w:sz w:val="26"/>
                <w:szCs w:val="26"/>
              </w:rPr>
              <w:t>resulted</w:t>
            </w:r>
            <w:r w:rsidRPr="009639B4">
              <w:rPr>
                <w:rFonts w:ascii="Garamond" w:hAnsi="Garamond"/>
                <w:sz w:val="26"/>
                <w:szCs w:val="26"/>
              </w:rPr>
              <w:t xml:space="preserve"> from torture, violence and ill-treatment.</w:t>
            </w:r>
          </w:p>
          <w:p w:rsidR="007629C2" w:rsidRDefault="004E60F0" w:rsidP="00B45AF8">
            <w:pPr>
              <w:pStyle w:val="ListParagraph"/>
              <w:numPr>
                <w:ilvl w:val="0"/>
                <w:numId w:val="3"/>
              </w:numPr>
              <w:jc w:val="both"/>
              <w:rPr>
                <w:rFonts w:ascii="Garamond" w:hAnsi="Garamond"/>
                <w:sz w:val="26"/>
                <w:szCs w:val="26"/>
              </w:rPr>
            </w:pPr>
            <w:r>
              <w:rPr>
                <w:rFonts w:ascii="Garamond" w:hAnsi="Garamond"/>
                <w:sz w:val="26"/>
                <w:szCs w:val="26"/>
              </w:rPr>
              <w:t xml:space="preserve">A </w:t>
            </w:r>
            <w:r w:rsidR="007629C2" w:rsidRPr="007629C2">
              <w:rPr>
                <w:rFonts w:ascii="Garamond" w:hAnsi="Garamond"/>
                <w:sz w:val="26"/>
                <w:szCs w:val="26"/>
              </w:rPr>
              <w:t xml:space="preserve">ministerial decision </w:t>
            </w:r>
            <w:r>
              <w:rPr>
                <w:rFonts w:ascii="Garamond" w:hAnsi="Garamond"/>
                <w:sz w:val="26"/>
                <w:szCs w:val="26"/>
              </w:rPr>
              <w:t xml:space="preserve">was issued </w:t>
            </w:r>
            <w:r w:rsidR="007629C2" w:rsidRPr="007629C2">
              <w:rPr>
                <w:rFonts w:ascii="Garamond" w:hAnsi="Garamond"/>
                <w:sz w:val="26"/>
                <w:szCs w:val="26"/>
              </w:rPr>
              <w:t>obligating reporting domestic violence</w:t>
            </w:r>
            <w:r>
              <w:rPr>
                <w:rFonts w:ascii="Garamond" w:hAnsi="Garamond"/>
                <w:sz w:val="26"/>
                <w:szCs w:val="26"/>
              </w:rPr>
              <w:t xml:space="preserve"> </w:t>
            </w:r>
            <w:r w:rsidRPr="007629C2">
              <w:rPr>
                <w:rFonts w:ascii="Garamond" w:hAnsi="Garamond"/>
                <w:sz w:val="26"/>
                <w:szCs w:val="26"/>
              </w:rPr>
              <w:t>cases</w:t>
            </w:r>
            <w:r w:rsidR="007629C2" w:rsidRPr="007629C2">
              <w:rPr>
                <w:rFonts w:ascii="Garamond" w:hAnsi="Garamond"/>
                <w:sz w:val="26"/>
                <w:szCs w:val="26"/>
              </w:rPr>
              <w:t xml:space="preserve">, including violence against children </w:t>
            </w:r>
            <w:r w:rsidR="00B45AF8">
              <w:rPr>
                <w:rFonts w:ascii="Garamond" w:hAnsi="Garamond"/>
                <w:sz w:val="26"/>
                <w:szCs w:val="26"/>
              </w:rPr>
              <w:t>with</w:t>
            </w:r>
            <w:r w:rsidR="007629C2" w:rsidRPr="007629C2">
              <w:rPr>
                <w:rFonts w:ascii="Garamond" w:hAnsi="Garamond"/>
                <w:sz w:val="26"/>
                <w:szCs w:val="26"/>
              </w:rPr>
              <w:t>in the health sector, which contributes directly to monitoring cases and making all preventive and remedial efforts.</w:t>
            </w:r>
          </w:p>
          <w:p w:rsidR="007372D5" w:rsidRPr="007629C2" w:rsidRDefault="007372D5" w:rsidP="009F4DED">
            <w:pPr>
              <w:pStyle w:val="ListParagraph"/>
              <w:numPr>
                <w:ilvl w:val="0"/>
                <w:numId w:val="3"/>
              </w:numPr>
              <w:jc w:val="both"/>
              <w:rPr>
                <w:rFonts w:ascii="Garamond" w:hAnsi="Garamond"/>
                <w:sz w:val="26"/>
                <w:szCs w:val="26"/>
              </w:rPr>
            </w:pPr>
            <w:r w:rsidRPr="007629C2">
              <w:rPr>
                <w:rFonts w:ascii="Garamond" w:hAnsi="Garamond"/>
                <w:sz w:val="26"/>
                <w:szCs w:val="26"/>
              </w:rPr>
              <w:t xml:space="preserve">Circular </w:t>
            </w:r>
            <w:r w:rsidR="00D21E8D" w:rsidRPr="007629C2">
              <w:rPr>
                <w:rFonts w:ascii="Garamond" w:hAnsi="Garamond"/>
                <w:sz w:val="26"/>
                <w:szCs w:val="26"/>
              </w:rPr>
              <w:t>No. 24/1149/165327</w:t>
            </w:r>
            <w:r w:rsidR="00D21E8D">
              <w:rPr>
                <w:rFonts w:ascii="Garamond" w:hAnsi="Garamond"/>
                <w:sz w:val="26"/>
                <w:szCs w:val="26"/>
              </w:rPr>
              <w:t xml:space="preserve"> issued by </w:t>
            </w:r>
            <w:r w:rsidRPr="007629C2">
              <w:rPr>
                <w:rFonts w:ascii="Garamond" w:hAnsi="Garamond"/>
                <w:sz w:val="26"/>
                <w:szCs w:val="26"/>
              </w:rPr>
              <w:t xml:space="preserve">the Ministry of Health dated </w:t>
            </w:r>
            <w:r w:rsidR="00186043">
              <w:rPr>
                <w:rFonts w:ascii="Garamond" w:hAnsi="Garamond" w:hint="cs"/>
                <w:sz w:val="26"/>
                <w:szCs w:val="26"/>
                <w:rtl/>
              </w:rPr>
              <w:t xml:space="preserve">15 </w:t>
            </w:r>
            <w:r w:rsidR="00186043">
              <w:rPr>
                <w:rFonts w:ascii="Garamond" w:hAnsi="Garamond"/>
                <w:sz w:val="26"/>
                <w:szCs w:val="26"/>
                <w:lang w:val="en-US"/>
              </w:rPr>
              <w:t xml:space="preserve"> December 2004,</w:t>
            </w:r>
            <w:r w:rsidRPr="007629C2">
              <w:rPr>
                <w:rFonts w:ascii="Garamond" w:hAnsi="Garamond"/>
                <w:sz w:val="26"/>
                <w:szCs w:val="26"/>
              </w:rPr>
              <w:t xml:space="preserve"> regarding the formation of protection committees in all health </w:t>
            </w:r>
            <w:r w:rsidR="00982720">
              <w:rPr>
                <w:rFonts w:ascii="Garamond" w:hAnsi="Garamond"/>
                <w:sz w:val="26"/>
                <w:szCs w:val="26"/>
              </w:rPr>
              <w:t xml:space="preserve">institutions </w:t>
            </w:r>
            <w:r w:rsidRPr="007629C2">
              <w:rPr>
                <w:rFonts w:ascii="Garamond" w:hAnsi="Garamond"/>
                <w:sz w:val="26"/>
                <w:szCs w:val="26"/>
              </w:rPr>
              <w:t>in the various regions of the Kingdom.</w:t>
            </w:r>
          </w:p>
        </w:tc>
      </w:tr>
      <w:tr w:rsidR="007372D5" w:rsidRPr="004E10A4" w:rsidTr="00AC039C">
        <w:tc>
          <w:tcPr>
            <w:tcW w:w="535" w:type="dxa"/>
          </w:tcPr>
          <w:p w:rsidR="007372D5" w:rsidRPr="004E10A4" w:rsidRDefault="00982720" w:rsidP="002C6AE2">
            <w:pPr>
              <w:jc w:val="both"/>
              <w:rPr>
                <w:rFonts w:ascii="Garamond" w:hAnsi="Garamond"/>
                <w:sz w:val="26"/>
                <w:szCs w:val="26"/>
              </w:rPr>
            </w:pPr>
            <w:r>
              <w:rPr>
                <w:rFonts w:ascii="Garamond" w:hAnsi="Garamond"/>
                <w:sz w:val="26"/>
                <w:szCs w:val="26"/>
              </w:rPr>
              <w:t>6.</w:t>
            </w:r>
          </w:p>
        </w:tc>
        <w:tc>
          <w:tcPr>
            <w:tcW w:w="4320" w:type="dxa"/>
          </w:tcPr>
          <w:p w:rsidR="00994DC8" w:rsidRPr="00994DC8" w:rsidRDefault="00994DC8" w:rsidP="00994DC8">
            <w:pPr>
              <w:numPr>
                <w:ilvl w:val="0"/>
                <w:numId w:val="11"/>
              </w:numPr>
              <w:shd w:val="clear" w:color="auto" w:fill="FFFFFF"/>
              <w:contextualSpacing/>
              <w:jc w:val="both"/>
              <w:outlineLvl w:val="2"/>
              <w:rPr>
                <w:rFonts w:ascii="Times New Roman" w:eastAsia="Times New Roman" w:hAnsi="Times New Roman" w:cs="Times New Roman"/>
                <w:color w:val="000000"/>
                <w:sz w:val="24"/>
                <w:szCs w:val="24"/>
                <w:lang w:val="en-GB" w:eastAsia="en-GB"/>
              </w:rPr>
            </w:pPr>
            <w:r w:rsidRPr="00994DC8">
              <w:rPr>
                <w:rFonts w:ascii="Times New Roman" w:eastAsia="Times New Roman" w:hAnsi="Times New Roman" w:cs="Times New Roman"/>
                <w:color w:val="000000"/>
                <w:sz w:val="24"/>
                <w:szCs w:val="24"/>
                <w:lang w:val="en-GB" w:eastAsia="en-GB"/>
              </w:rPr>
              <w:t>Please share examples of good practices and examples of comprehensive health responses to survivors of violence and indicate efficient multi-sectorial efforts at the community, national, regional and international levels by State or non-State actors.</w:t>
            </w:r>
          </w:p>
          <w:p w:rsidR="007372D5" w:rsidRPr="00982720" w:rsidRDefault="007372D5" w:rsidP="002C6AE2">
            <w:pPr>
              <w:jc w:val="both"/>
              <w:rPr>
                <w:rFonts w:ascii="Garamond" w:hAnsi="Garamond"/>
                <w:sz w:val="26"/>
                <w:szCs w:val="26"/>
                <w:lang w:val="en-GB"/>
              </w:rPr>
            </w:pPr>
          </w:p>
        </w:tc>
        <w:tc>
          <w:tcPr>
            <w:tcW w:w="4495" w:type="dxa"/>
          </w:tcPr>
          <w:p w:rsidR="008D6021" w:rsidRPr="008D6021" w:rsidRDefault="00FB5117" w:rsidP="00873063">
            <w:pPr>
              <w:pStyle w:val="ListParagraph"/>
              <w:numPr>
                <w:ilvl w:val="0"/>
                <w:numId w:val="6"/>
              </w:numPr>
              <w:jc w:val="both"/>
              <w:rPr>
                <w:rFonts w:ascii="Garamond" w:hAnsi="Garamond"/>
                <w:sz w:val="26"/>
                <w:szCs w:val="26"/>
              </w:rPr>
            </w:pPr>
            <w:r w:rsidRPr="008D6021">
              <w:rPr>
                <w:rFonts w:ascii="Garamond" w:hAnsi="Garamond"/>
                <w:sz w:val="26"/>
                <w:szCs w:val="26"/>
              </w:rPr>
              <w:t>Children</w:t>
            </w:r>
            <w:r w:rsidR="007372D5" w:rsidRPr="008D6021">
              <w:rPr>
                <w:rFonts w:ascii="Garamond" w:hAnsi="Garamond"/>
                <w:sz w:val="26"/>
                <w:szCs w:val="26"/>
              </w:rPr>
              <w:t xml:space="preserve"> Advisory Committee was established </w:t>
            </w:r>
            <w:r w:rsidRPr="008D6021">
              <w:rPr>
                <w:rFonts w:ascii="Garamond" w:hAnsi="Garamond"/>
                <w:sz w:val="26"/>
                <w:szCs w:val="26"/>
              </w:rPr>
              <w:t xml:space="preserve">under </w:t>
            </w:r>
            <w:r w:rsidR="007372D5" w:rsidRPr="008D6021">
              <w:rPr>
                <w:rFonts w:ascii="Garamond" w:hAnsi="Garamond"/>
                <w:sz w:val="26"/>
                <w:szCs w:val="26"/>
              </w:rPr>
              <w:t xml:space="preserve">the Family Affairs Council, consisting of several </w:t>
            </w:r>
            <w:r w:rsidR="001C081E" w:rsidRPr="008D6021">
              <w:rPr>
                <w:rFonts w:ascii="Garamond" w:hAnsi="Garamond"/>
                <w:sz w:val="26"/>
                <w:szCs w:val="26"/>
              </w:rPr>
              <w:t xml:space="preserve">members of </w:t>
            </w:r>
            <w:r w:rsidR="007372D5" w:rsidRPr="008D6021">
              <w:rPr>
                <w:rFonts w:ascii="Garamond" w:hAnsi="Garamond"/>
                <w:sz w:val="26"/>
                <w:szCs w:val="26"/>
              </w:rPr>
              <w:t xml:space="preserve">children. The committee </w:t>
            </w:r>
            <w:r w:rsidR="001B4CFC" w:rsidRPr="008D6021">
              <w:rPr>
                <w:rFonts w:ascii="Garamond" w:hAnsi="Garamond"/>
                <w:sz w:val="26"/>
                <w:szCs w:val="26"/>
              </w:rPr>
              <w:t>responsible for achieving</w:t>
            </w:r>
            <w:r w:rsidR="007372D5" w:rsidRPr="008D6021">
              <w:rPr>
                <w:rFonts w:ascii="Garamond" w:hAnsi="Garamond"/>
                <w:sz w:val="26"/>
                <w:szCs w:val="26"/>
              </w:rPr>
              <w:t xml:space="preserve"> several goals, </w:t>
            </w:r>
            <w:r w:rsidR="001B4CFC" w:rsidRPr="008D6021">
              <w:rPr>
                <w:rFonts w:ascii="Garamond" w:hAnsi="Garamond"/>
                <w:sz w:val="26"/>
                <w:szCs w:val="26"/>
              </w:rPr>
              <w:t>including</w:t>
            </w:r>
            <w:r w:rsidR="00DC67D9" w:rsidRPr="008D6021">
              <w:rPr>
                <w:rFonts w:ascii="Garamond" w:hAnsi="Garamond"/>
                <w:sz w:val="26"/>
                <w:szCs w:val="26"/>
              </w:rPr>
              <w:t>:</w:t>
            </w:r>
            <w:r w:rsidR="001B4CFC" w:rsidRPr="008D6021">
              <w:rPr>
                <w:rFonts w:ascii="Garamond" w:hAnsi="Garamond"/>
                <w:sz w:val="26"/>
                <w:szCs w:val="26"/>
              </w:rPr>
              <w:t xml:space="preserve"> </w:t>
            </w:r>
            <w:r w:rsidR="000A3B1D" w:rsidRPr="008D6021">
              <w:rPr>
                <w:rFonts w:ascii="Garamond" w:hAnsi="Garamond"/>
                <w:sz w:val="26"/>
                <w:szCs w:val="26"/>
              </w:rPr>
              <w:t>children rights awareness raising, promoting children</w:t>
            </w:r>
            <w:r w:rsidR="007372D5" w:rsidRPr="008D6021">
              <w:rPr>
                <w:rFonts w:ascii="Garamond" w:hAnsi="Garamond"/>
                <w:sz w:val="26"/>
                <w:szCs w:val="26"/>
              </w:rPr>
              <w:t xml:space="preserve"> participation in expressing their issues at the internal and external levels, expressing </w:t>
            </w:r>
            <w:r w:rsidR="00D75A57" w:rsidRPr="008D6021">
              <w:rPr>
                <w:rFonts w:ascii="Garamond" w:hAnsi="Garamond"/>
                <w:sz w:val="26"/>
                <w:szCs w:val="26"/>
              </w:rPr>
              <w:t xml:space="preserve">their </w:t>
            </w:r>
            <w:r w:rsidR="007372D5" w:rsidRPr="008D6021">
              <w:rPr>
                <w:rFonts w:ascii="Garamond" w:hAnsi="Garamond"/>
                <w:sz w:val="26"/>
                <w:szCs w:val="26"/>
              </w:rPr>
              <w:t xml:space="preserve">opinion about </w:t>
            </w:r>
            <w:r w:rsidR="00D75A57" w:rsidRPr="008D6021">
              <w:rPr>
                <w:rFonts w:ascii="Garamond" w:hAnsi="Garamond"/>
                <w:sz w:val="26"/>
                <w:szCs w:val="26"/>
              </w:rPr>
              <w:t>s</w:t>
            </w:r>
            <w:r w:rsidR="007372D5" w:rsidRPr="008D6021">
              <w:rPr>
                <w:rFonts w:ascii="Garamond" w:hAnsi="Garamond"/>
                <w:sz w:val="26"/>
                <w:szCs w:val="26"/>
              </w:rPr>
              <w:t>trategic childhood issues and possible solutions, contributing to policy and decision</w:t>
            </w:r>
            <w:r w:rsidR="008C2F0E" w:rsidRPr="008D6021">
              <w:rPr>
                <w:rFonts w:ascii="Garamond" w:hAnsi="Garamond"/>
                <w:sz w:val="26"/>
                <w:szCs w:val="26"/>
              </w:rPr>
              <w:t xml:space="preserve"> </w:t>
            </w:r>
            <w:r w:rsidR="007372D5" w:rsidRPr="008D6021">
              <w:rPr>
                <w:rFonts w:ascii="Garamond" w:hAnsi="Garamond"/>
                <w:sz w:val="26"/>
                <w:szCs w:val="26"/>
              </w:rPr>
              <w:t xml:space="preserve">making, providing children with </w:t>
            </w:r>
            <w:r w:rsidR="006E7639" w:rsidRPr="008D6021">
              <w:rPr>
                <w:rFonts w:ascii="Garamond" w:hAnsi="Garamond"/>
                <w:sz w:val="26"/>
                <w:szCs w:val="26"/>
              </w:rPr>
              <w:t xml:space="preserve">effective </w:t>
            </w:r>
            <w:r w:rsidR="007372D5" w:rsidRPr="008D6021">
              <w:rPr>
                <w:rFonts w:ascii="Garamond" w:hAnsi="Garamond"/>
                <w:sz w:val="26"/>
                <w:szCs w:val="26"/>
              </w:rPr>
              <w:t xml:space="preserve">dialogue and communication skills and accepting the other opinion, and introducing them to their rights and how to express and disseminate them. </w:t>
            </w:r>
            <w:r w:rsidR="008D6021">
              <w:rPr>
                <w:rFonts w:ascii="Garamond" w:hAnsi="Garamond"/>
                <w:sz w:val="26"/>
                <w:szCs w:val="26"/>
              </w:rPr>
              <w:t xml:space="preserve">Children members </w:t>
            </w:r>
            <w:r w:rsidR="008D6021" w:rsidRPr="008D6021">
              <w:rPr>
                <w:rFonts w:ascii="Garamond" w:hAnsi="Garamond"/>
                <w:sz w:val="26"/>
                <w:szCs w:val="26"/>
              </w:rPr>
              <w:t xml:space="preserve">work on identifying important and purposeful topics and issues that need to be discussed and </w:t>
            </w:r>
            <w:r w:rsidR="00DA26FB">
              <w:rPr>
                <w:rFonts w:ascii="Garamond" w:hAnsi="Garamond"/>
                <w:sz w:val="26"/>
                <w:szCs w:val="26"/>
              </w:rPr>
              <w:t>provide</w:t>
            </w:r>
            <w:r w:rsidR="008D6021" w:rsidRPr="008D6021">
              <w:rPr>
                <w:rFonts w:ascii="Garamond" w:hAnsi="Garamond"/>
                <w:sz w:val="26"/>
                <w:szCs w:val="26"/>
              </w:rPr>
              <w:t xml:space="preserve"> proposals to be presented to the Family Affairs Council through the Childhood Committee. </w:t>
            </w:r>
            <w:r w:rsidR="00873063" w:rsidRPr="00873063">
              <w:rPr>
                <w:rFonts w:ascii="Garamond" w:hAnsi="Garamond"/>
                <w:sz w:val="26"/>
                <w:szCs w:val="26"/>
              </w:rPr>
              <w:t>A workshop was presented for children on child regulations and agreements in cooperation with UNICEF, as well as a workshop on dialogue and communication in cooperation with the King Abdulaz</w:t>
            </w:r>
            <w:r w:rsidR="00873063">
              <w:rPr>
                <w:rFonts w:ascii="Garamond" w:hAnsi="Garamond"/>
                <w:sz w:val="26"/>
                <w:szCs w:val="26"/>
              </w:rPr>
              <w:t>iz Center for National Dialogue</w:t>
            </w:r>
            <w:r w:rsidR="008D6021" w:rsidRPr="008D6021">
              <w:rPr>
                <w:rFonts w:ascii="Garamond" w:hAnsi="Garamond"/>
                <w:sz w:val="26"/>
                <w:szCs w:val="26"/>
              </w:rPr>
              <w:t>.</w:t>
            </w:r>
          </w:p>
          <w:p w:rsidR="007372D5" w:rsidRPr="00196E46" w:rsidRDefault="003B76F1" w:rsidP="00196E46">
            <w:pPr>
              <w:pStyle w:val="ListParagraph"/>
              <w:numPr>
                <w:ilvl w:val="0"/>
                <w:numId w:val="5"/>
              </w:numPr>
              <w:jc w:val="both"/>
              <w:rPr>
                <w:rFonts w:ascii="Garamond" w:hAnsi="Garamond"/>
                <w:sz w:val="26"/>
                <w:szCs w:val="26"/>
              </w:rPr>
            </w:pPr>
            <w:r w:rsidRPr="00196E46">
              <w:rPr>
                <w:rFonts w:ascii="Garamond" w:hAnsi="Garamond"/>
                <w:sz w:val="26"/>
                <w:szCs w:val="26"/>
              </w:rPr>
              <w:t xml:space="preserve">For </w:t>
            </w:r>
            <w:r w:rsidR="007372D5" w:rsidRPr="00196E46">
              <w:rPr>
                <w:rFonts w:ascii="Garamond" w:hAnsi="Garamond"/>
                <w:sz w:val="26"/>
                <w:szCs w:val="26"/>
              </w:rPr>
              <w:t xml:space="preserve">international cooperation, a series of </w:t>
            </w:r>
            <w:r w:rsidRPr="00196E46">
              <w:rPr>
                <w:rFonts w:ascii="Garamond" w:hAnsi="Garamond"/>
                <w:sz w:val="26"/>
                <w:szCs w:val="26"/>
              </w:rPr>
              <w:t xml:space="preserve">virtual </w:t>
            </w:r>
            <w:r w:rsidR="007372D5" w:rsidRPr="00196E46">
              <w:rPr>
                <w:rFonts w:ascii="Garamond" w:hAnsi="Garamond"/>
                <w:sz w:val="26"/>
                <w:szCs w:val="26"/>
              </w:rPr>
              <w:t xml:space="preserve">awareness sessions </w:t>
            </w:r>
            <w:r w:rsidRPr="00196E46">
              <w:rPr>
                <w:rFonts w:ascii="Garamond" w:hAnsi="Garamond"/>
                <w:sz w:val="26"/>
                <w:szCs w:val="26"/>
              </w:rPr>
              <w:t>and</w:t>
            </w:r>
            <w:r w:rsidR="007372D5" w:rsidRPr="00196E46">
              <w:rPr>
                <w:rFonts w:ascii="Garamond" w:hAnsi="Garamond"/>
                <w:sz w:val="26"/>
                <w:szCs w:val="26"/>
              </w:rPr>
              <w:t xml:space="preserve"> seminars were launched in partnership with the Family Safety Program and UNICEF, which included a number of topics:</w:t>
            </w:r>
          </w:p>
          <w:p w:rsidR="00285CB6" w:rsidRDefault="007372D5" w:rsidP="00285CB6">
            <w:pPr>
              <w:pStyle w:val="ListParagraph"/>
              <w:numPr>
                <w:ilvl w:val="0"/>
                <w:numId w:val="7"/>
              </w:numPr>
              <w:jc w:val="both"/>
              <w:rPr>
                <w:rFonts w:ascii="Garamond" w:hAnsi="Garamond"/>
                <w:sz w:val="26"/>
                <w:szCs w:val="26"/>
              </w:rPr>
            </w:pPr>
            <w:r w:rsidRPr="003B76F1">
              <w:rPr>
                <w:rFonts w:ascii="Garamond" w:hAnsi="Garamond"/>
                <w:sz w:val="26"/>
                <w:szCs w:val="26"/>
              </w:rPr>
              <w:t>Child health and nutrition</w:t>
            </w:r>
          </w:p>
          <w:p w:rsidR="00285CB6" w:rsidRDefault="007372D5" w:rsidP="00285CB6">
            <w:pPr>
              <w:pStyle w:val="ListParagraph"/>
              <w:numPr>
                <w:ilvl w:val="0"/>
                <w:numId w:val="7"/>
              </w:numPr>
              <w:jc w:val="both"/>
              <w:rPr>
                <w:rFonts w:ascii="Garamond" w:hAnsi="Garamond"/>
                <w:sz w:val="26"/>
                <w:szCs w:val="26"/>
              </w:rPr>
            </w:pPr>
            <w:r w:rsidRPr="00285CB6">
              <w:rPr>
                <w:rFonts w:ascii="Garamond" w:hAnsi="Garamond"/>
                <w:sz w:val="26"/>
                <w:szCs w:val="26"/>
              </w:rPr>
              <w:t>Child protection.</w:t>
            </w:r>
          </w:p>
          <w:p w:rsidR="00285CB6" w:rsidRDefault="007372D5" w:rsidP="00285CB6">
            <w:pPr>
              <w:pStyle w:val="ListParagraph"/>
              <w:numPr>
                <w:ilvl w:val="0"/>
                <w:numId w:val="7"/>
              </w:numPr>
              <w:jc w:val="both"/>
              <w:rPr>
                <w:rFonts w:ascii="Garamond" w:hAnsi="Garamond"/>
                <w:sz w:val="26"/>
                <w:szCs w:val="26"/>
              </w:rPr>
            </w:pPr>
            <w:r w:rsidRPr="00285CB6">
              <w:rPr>
                <w:rFonts w:ascii="Garamond" w:hAnsi="Garamond"/>
                <w:sz w:val="26"/>
                <w:szCs w:val="26"/>
              </w:rPr>
              <w:t xml:space="preserve">Mental health during </w:t>
            </w:r>
            <w:r w:rsidR="00285CB6">
              <w:rPr>
                <w:rFonts w:ascii="Garamond" w:hAnsi="Garamond"/>
                <w:sz w:val="26"/>
                <w:szCs w:val="26"/>
              </w:rPr>
              <w:t>the</w:t>
            </w:r>
            <w:r w:rsidRPr="00285CB6">
              <w:rPr>
                <w:rFonts w:ascii="Garamond" w:hAnsi="Garamond"/>
                <w:sz w:val="26"/>
                <w:szCs w:val="26"/>
              </w:rPr>
              <w:t xml:space="preserve"> pandemic.</w:t>
            </w:r>
          </w:p>
          <w:p w:rsidR="00285CB6" w:rsidRPr="00285CB6" w:rsidRDefault="007372D5" w:rsidP="00285CB6">
            <w:pPr>
              <w:pStyle w:val="ListParagraph"/>
              <w:numPr>
                <w:ilvl w:val="0"/>
                <w:numId w:val="7"/>
              </w:numPr>
              <w:jc w:val="both"/>
              <w:rPr>
                <w:rFonts w:ascii="Garamond" w:hAnsi="Garamond"/>
                <w:sz w:val="26"/>
                <w:szCs w:val="26"/>
              </w:rPr>
            </w:pPr>
            <w:r w:rsidRPr="00285CB6">
              <w:rPr>
                <w:rFonts w:ascii="Garamond" w:hAnsi="Garamond"/>
                <w:sz w:val="26"/>
                <w:szCs w:val="26"/>
              </w:rPr>
              <w:t>Return to education safely.</w:t>
            </w:r>
          </w:p>
          <w:p w:rsidR="00196E46" w:rsidRDefault="007372D5" w:rsidP="00196E46">
            <w:pPr>
              <w:pStyle w:val="ListParagraph"/>
              <w:numPr>
                <w:ilvl w:val="0"/>
                <w:numId w:val="7"/>
              </w:numPr>
              <w:jc w:val="both"/>
              <w:rPr>
                <w:rFonts w:ascii="Garamond" w:hAnsi="Garamond"/>
                <w:sz w:val="26"/>
                <w:szCs w:val="26"/>
              </w:rPr>
            </w:pPr>
            <w:r w:rsidRPr="004E10A4">
              <w:rPr>
                <w:rFonts w:ascii="Garamond" w:hAnsi="Garamond"/>
                <w:sz w:val="26"/>
                <w:szCs w:val="26"/>
              </w:rPr>
              <w:t>Children and the Internet.</w:t>
            </w:r>
          </w:p>
          <w:p w:rsidR="007372D5" w:rsidRPr="00196E46" w:rsidRDefault="007372D5" w:rsidP="00196E46">
            <w:pPr>
              <w:pStyle w:val="ListParagraph"/>
              <w:numPr>
                <w:ilvl w:val="0"/>
                <w:numId w:val="7"/>
              </w:numPr>
              <w:jc w:val="both"/>
              <w:rPr>
                <w:rFonts w:ascii="Garamond" w:hAnsi="Garamond"/>
                <w:sz w:val="26"/>
                <w:szCs w:val="26"/>
              </w:rPr>
            </w:pPr>
            <w:r w:rsidRPr="00196E46">
              <w:rPr>
                <w:rFonts w:ascii="Garamond" w:hAnsi="Garamond"/>
                <w:sz w:val="26"/>
                <w:szCs w:val="26"/>
              </w:rPr>
              <w:t>Active parenting.</w:t>
            </w:r>
          </w:p>
          <w:p w:rsidR="000E42C7" w:rsidRDefault="007372D5" w:rsidP="000E42C7">
            <w:pPr>
              <w:pStyle w:val="ListParagraph"/>
              <w:numPr>
                <w:ilvl w:val="1"/>
                <w:numId w:val="7"/>
              </w:numPr>
              <w:jc w:val="both"/>
              <w:rPr>
                <w:rFonts w:ascii="Garamond" w:hAnsi="Garamond"/>
                <w:sz w:val="26"/>
                <w:szCs w:val="26"/>
              </w:rPr>
            </w:pPr>
            <w:r w:rsidRPr="00196E46">
              <w:rPr>
                <w:rFonts w:ascii="Garamond" w:hAnsi="Garamond"/>
                <w:sz w:val="26"/>
                <w:szCs w:val="26"/>
              </w:rPr>
              <w:t>Preparing a guideline for protecting children righ</w:t>
            </w:r>
            <w:r w:rsidR="00AB71EF">
              <w:rPr>
                <w:rFonts w:ascii="Garamond" w:hAnsi="Garamond"/>
                <w:sz w:val="26"/>
                <w:szCs w:val="26"/>
              </w:rPr>
              <w:t>ts during the COVID-19 pandemic</w:t>
            </w:r>
            <w:r w:rsidRPr="00196E46">
              <w:rPr>
                <w:rFonts w:ascii="Garamond" w:hAnsi="Garamond"/>
                <w:sz w:val="26"/>
                <w:szCs w:val="26"/>
              </w:rPr>
              <w:t xml:space="preserve"> in cooperation with UNICEF, which aims to support child protection</w:t>
            </w:r>
            <w:r w:rsidR="00955B87">
              <w:rPr>
                <w:rFonts w:ascii="Garamond" w:hAnsi="Garamond"/>
                <w:sz w:val="26"/>
                <w:szCs w:val="26"/>
              </w:rPr>
              <w:t xml:space="preserve"> practitioners to better response</w:t>
            </w:r>
            <w:r w:rsidRPr="00196E46">
              <w:rPr>
                <w:rFonts w:ascii="Garamond" w:hAnsi="Garamond"/>
                <w:sz w:val="26"/>
                <w:szCs w:val="26"/>
              </w:rPr>
              <w:t xml:space="preserve"> to child protection risks durin</w:t>
            </w:r>
            <w:r w:rsidR="00280AC8">
              <w:rPr>
                <w:rFonts w:ascii="Garamond" w:hAnsi="Garamond"/>
                <w:sz w:val="26"/>
                <w:szCs w:val="26"/>
              </w:rPr>
              <w:t>g the ongoing COVID-19 pandemic.</w:t>
            </w:r>
            <w:r w:rsidRPr="00196E46">
              <w:rPr>
                <w:rFonts w:ascii="Garamond" w:hAnsi="Garamond"/>
                <w:sz w:val="26"/>
                <w:szCs w:val="26"/>
              </w:rPr>
              <w:t xml:space="preserve"> </w:t>
            </w:r>
            <w:r w:rsidR="00280AC8">
              <w:rPr>
                <w:rFonts w:ascii="Garamond" w:hAnsi="Garamond"/>
                <w:sz w:val="26"/>
                <w:szCs w:val="26"/>
              </w:rPr>
              <w:t xml:space="preserve">It </w:t>
            </w:r>
            <w:r w:rsidRPr="00196E46">
              <w:rPr>
                <w:rFonts w:ascii="Garamond" w:hAnsi="Garamond"/>
                <w:sz w:val="26"/>
                <w:szCs w:val="26"/>
              </w:rPr>
              <w:t xml:space="preserve">includes potential child protection risks, and program options </w:t>
            </w:r>
            <w:r w:rsidR="003E0D84">
              <w:rPr>
                <w:rFonts w:ascii="Garamond" w:hAnsi="Garamond"/>
                <w:sz w:val="26"/>
                <w:szCs w:val="26"/>
              </w:rPr>
              <w:t>i</w:t>
            </w:r>
            <w:r w:rsidRPr="00196E46">
              <w:rPr>
                <w:rFonts w:ascii="Garamond" w:hAnsi="Garamond"/>
                <w:sz w:val="26"/>
                <w:szCs w:val="26"/>
              </w:rPr>
              <w:t xml:space="preserve">n line with the minimum standards for child protection within the framework of humanitarian actions issued in 2019, and </w:t>
            </w:r>
            <w:r w:rsidR="0019779E" w:rsidRPr="0019779E">
              <w:rPr>
                <w:rFonts w:ascii="Garamond" w:hAnsi="Garamond"/>
                <w:sz w:val="26"/>
                <w:szCs w:val="26"/>
              </w:rPr>
              <w:t>the points contained in the child protection document during the spread of infectious diseases.</w:t>
            </w:r>
          </w:p>
          <w:p w:rsidR="00D639AA" w:rsidRDefault="007372D5" w:rsidP="00186043">
            <w:pPr>
              <w:pStyle w:val="ListParagraph"/>
              <w:numPr>
                <w:ilvl w:val="1"/>
                <w:numId w:val="7"/>
              </w:numPr>
              <w:jc w:val="both"/>
              <w:rPr>
                <w:rFonts w:ascii="Garamond" w:hAnsi="Garamond"/>
                <w:sz w:val="26"/>
                <w:szCs w:val="26"/>
              </w:rPr>
            </w:pPr>
            <w:r w:rsidRPr="000E42C7">
              <w:rPr>
                <w:rFonts w:ascii="Garamond" w:hAnsi="Garamond"/>
                <w:sz w:val="26"/>
                <w:szCs w:val="26"/>
              </w:rPr>
              <w:t xml:space="preserve">The first childhood forum entitled “Childhood and </w:t>
            </w:r>
            <w:r w:rsidR="00186043" w:rsidRPr="00186043">
              <w:rPr>
                <w:rFonts w:ascii="Garamond" w:hAnsi="Garamond"/>
                <w:sz w:val="26"/>
                <w:szCs w:val="26"/>
              </w:rPr>
              <w:t xml:space="preserve">COVID-19 </w:t>
            </w:r>
            <w:r w:rsidRPr="000E42C7">
              <w:rPr>
                <w:rFonts w:ascii="Garamond" w:hAnsi="Garamond"/>
                <w:sz w:val="26"/>
                <w:szCs w:val="26"/>
              </w:rPr>
              <w:t xml:space="preserve">Pandemic” was launched on </w:t>
            </w:r>
            <w:r w:rsidR="00430F74">
              <w:rPr>
                <w:rFonts w:ascii="Garamond" w:hAnsi="Garamond"/>
                <w:sz w:val="26"/>
                <w:szCs w:val="26"/>
              </w:rPr>
              <w:t>World</w:t>
            </w:r>
            <w:r w:rsidRPr="000E42C7">
              <w:rPr>
                <w:rFonts w:ascii="Garamond" w:hAnsi="Garamond"/>
                <w:sz w:val="26"/>
                <w:szCs w:val="26"/>
              </w:rPr>
              <w:t xml:space="preserve"> Children’s Day, which aims to raise awareness of the child, parents, educators and caregivers who deal and interact with children about the </w:t>
            </w:r>
            <w:r w:rsidR="001745D8">
              <w:rPr>
                <w:rFonts w:ascii="Garamond" w:hAnsi="Garamond"/>
                <w:sz w:val="26"/>
                <w:szCs w:val="26"/>
              </w:rPr>
              <w:t>core</w:t>
            </w:r>
            <w:r w:rsidRPr="000E42C7">
              <w:rPr>
                <w:rFonts w:ascii="Garamond" w:hAnsi="Garamond"/>
                <w:sz w:val="26"/>
                <w:szCs w:val="26"/>
              </w:rPr>
              <w:t xml:space="preserve"> principles and concepts contained in the Convention on the Rights of the Child and linking them to the needs and requirements of children during </w:t>
            </w:r>
            <w:r w:rsidR="00186043" w:rsidRPr="00186043">
              <w:rPr>
                <w:rFonts w:ascii="Garamond" w:hAnsi="Garamond"/>
                <w:sz w:val="26"/>
                <w:szCs w:val="26"/>
              </w:rPr>
              <w:t xml:space="preserve">COVID-19 </w:t>
            </w:r>
            <w:r w:rsidRPr="000E42C7">
              <w:rPr>
                <w:rFonts w:ascii="Garamond" w:hAnsi="Garamond"/>
                <w:sz w:val="26"/>
                <w:szCs w:val="26"/>
              </w:rPr>
              <w:t>pandemic to come up with recommendations for future activities of the Committee Childhood.</w:t>
            </w:r>
          </w:p>
          <w:p w:rsidR="007372D5" w:rsidRPr="00D639AA" w:rsidRDefault="00D639AA" w:rsidP="00240D5B">
            <w:pPr>
              <w:pStyle w:val="ListParagraph"/>
              <w:numPr>
                <w:ilvl w:val="1"/>
                <w:numId w:val="7"/>
              </w:numPr>
              <w:jc w:val="both"/>
              <w:rPr>
                <w:rFonts w:ascii="Garamond" w:hAnsi="Garamond"/>
                <w:sz w:val="26"/>
                <w:szCs w:val="26"/>
              </w:rPr>
            </w:pPr>
            <w:r w:rsidRPr="00D639AA">
              <w:rPr>
                <w:rFonts w:ascii="Garamond" w:hAnsi="Garamond"/>
                <w:sz w:val="26"/>
                <w:szCs w:val="26"/>
              </w:rPr>
              <w:t xml:space="preserve">A free and unified phone line </w:t>
            </w:r>
            <w:r>
              <w:rPr>
                <w:rFonts w:ascii="Garamond" w:hAnsi="Garamond"/>
                <w:sz w:val="26"/>
                <w:szCs w:val="26"/>
              </w:rPr>
              <w:t>(116111) was established</w:t>
            </w:r>
            <w:r w:rsidR="007372D5" w:rsidRPr="00D639AA">
              <w:rPr>
                <w:rFonts w:ascii="Garamond" w:hAnsi="Garamond"/>
                <w:sz w:val="26"/>
                <w:szCs w:val="26"/>
              </w:rPr>
              <w:t xml:space="preserve"> to support and </w:t>
            </w:r>
            <w:r>
              <w:rPr>
                <w:rFonts w:ascii="Garamond" w:hAnsi="Garamond"/>
                <w:sz w:val="26"/>
                <w:szCs w:val="26"/>
              </w:rPr>
              <w:t xml:space="preserve">help </w:t>
            </w:r>
            <w:r w:rsidR="007372D5" w:rsidRPr="00D639AA">
              <w:rPr>
                <w:rFonts w:ascii="Garamond" w:hAnsi="Garamond"/>
                <w:sz w:val="26"/>
                <w:szCs w:val="26"/>
              </w:rPr>
              <w:t xml:space="preserve">children </w:t>
            </w:r>
            <w:r w:rsidR="00186043">
              <w:rPr>
                <w:rFonts w:ascii="Garamond" w:hAnsi="Garamond"/>
                <w:sz w:val="26"/>
                <w:szCs w:val="26"/>
              </w:rPr>
              <w:t xml:space="preserve">under </w:t>
            </w:r>
            <w:r w:rsidR="00F90809">
              <w:rPr>
                <w:rFonts w:ascii="Garamond" w:hAnsi="Garamond"/>
                <w:sz w:val="26"/>
                <w:szCs w:val="26"/>
              </w:rPr>
              <w:t>18 years</w:t>
            </w:r>
            <w:r w:rsidR="007372D5" w:rsidRPr="00D639AA">
              <w:rPr>
                <w:rFonts w:ascii="Garamond" w:hAnsi="Garamond"/>
                <w:sz w:val="26"/>
                <w:szCs w:val="26"/>
              </w:rPr>
              <w:t>, and aims to receive complaints related to children subjected to any kind of abuse, neglect and exploitation, whether at home, school, neighborhood, public places, gov</w:t>
            </w:r>
            <w:r w:rsidR="00A96C41">
              <w:rPr>
                <w:rFonts w:ascii="Garamond" w:hAnsi="Garamond"/>
                <w:sz w:val="26"/>
                <w:szCs w:val="26"/>
              </w:rPr>
              <w:t>ernment or private institutions</w:t>
            </w:r>
            <w:r w:rsidR="007372D5" w:rsidRPr="00D639AA">
              <w:rPr>
                <w:rFonts w:ascii="Garamond" w:hAnsi="Garamond"/>
                <w:sz w:val="26"/>
                <w:szCs w:val="26"/>
              </w:rPr>
              <w:t xml:space="preserve">, and </w:t>
            </w:r>
            <w:r w:rsidR="00F90809">
              <w:rPr>
                <w:rFonts w:ascii="Garamond" w:hAnsi="Garamond"/>
                <w:sz w:val="26"/>
                <w:szCs w:val="26"/>
              </w:rPr>
              <w:t>etc.</w:t>
            </w:r>
            <w:r w:rsidR="007372D5" w:rsidRPr="00D639AA">
              <w:rPr>
                <w:rFonts w:ascii="Garamond" w:hAnsi="Garamond"/>
                <w:sz w:val="26"/>
                <w:szCs w:val="26"/>
              </w:rPr>
              <w:t>, and provides immediate and</w:t>
            </w:r>
            <w:r w:rsidR="00240D5B">
              <w:rPr>
                <w:rFonts w:ascii="Garamond" w:hAnsi="Garamond"/>
                <w:sz w:val="26"/>
                <w:szCs w:val="26"/>
              </w:rPr>
              <w:t xml:space="preserve"> specialized advice to children.</w:t>
            </w:r>
            <w:r w:rsidR="007372D5" w:rsidRPr="00D639AA">
              <w:rPr>
                <w:rFonts w:ascii="Garamond" w:hAnsi="Garamond"/>
                <w:sz w:val="26"/>
                <w:szCs w:val="26"/>
              </w:rPr>
              <w:t xml:space="preserve"> </w:t>
            </w:r>
            <w:r w:rsidR="00240D5B">
              <w:rPr>
                <w:rFonts w:ascii="Garamond" w:hAnsi="Garamond"/>
                <w:sz w:val="26"/>
                <w:szCs w:val="26"/>
              </w:rPr>
              <w:t>T</w:t>
            </w:r>
            <w:r w:rsidR="007372D5" w:rsidRPr="00D639AA">
              <w:rPr>
                <w:rFonts w:ascii="Garamond" w:hAnsi="Garamond"/>
                <w:sz w:val="26"/>
                <w:szCs w:val="26"/>
              </w:rPr>
              <w:t>he Child Helpline has obtained membership in the (Child Helpline International)</w:t>
            </w:r>
            <w:r w:rsidR="00240D5B">
              <w:rPr>
                <w:rFonts w:ascii="Garamond" w:hAnsi="Garamond"/>
                <w:sz w:val="26"/>
                <w:szCs w:val="26"/>
              </w:rPr>
              <w:t xml:space="preserve"> </w:t>
            </w:r>
            <w:r w:rsidR="00240D5B" w:rsidRPr="00D639AA">
              <w:rPr>
                <w:rFonts w:ascii="Garamond" w:hAnsi="Garamond"/>
                <w:sz w:val="26"/>
                <w:szCs w:val="26"/>
              </w:rPr>
              <w:t>organization</w:t>
            </w:r>
            <w:r w:rsidR="007372D5" w:rsidRPr="00D639AA">
              <w:rPr>
                <w:rFonts w:ascii="Garamond" w:hAnsi="Garamond"/>
                <w:sz w:val="26"/>
                <w:szCs w:val="26"/>
              </w:rPr>
              <w:t>.</w:t>
            </w:r>
          </w:p>
        </w:tc>
      </w:tr>
    </w:tbl>
    <w:p w:rsidR="00C410E5" w:rsidRPr="004E10A4" w:rsidRDefault="00C410E5" w:rsidP="002C6AE2">
      <w:pPr>
        <w:jc w:val="both"/>
        <w:rPr>
          <w:rFonts w:ascii="Garamond" w:hAnsi="Garamond"/>
          <w:sz w:val="26"/>
          <w:szCs w:val="26"/>
        </w:rPr>
      </w:pPr>
    </w:p>
    <w:sectPr w:rsidR="00C410E5" w:rsidRPr="004E10A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731" w:rsidRDefault="007A0731" w:rsidP="00A746CD">
      <w:pPr>
        <w:spacing w:after="0" w:line="240" w:lineRule="auto"/>
      </w:pPr>
      <w:r>
        <w:separator/>
      </w:r>
    </w:p>
  </w:endnote>
  <w:endnote w:type="continuationSeparator" w:id="0">
    <w:p w:rsidR="007A0731" w:rsidRDefault="007A0731" w:rsidP="00A74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817194"/>
      <w:docPartObj>
        <w:docPartGallery w:val="Page Numbers (Bottom of Page)"/>
        <w:docPartUnique/>
      </w:docPartObj>
    </w:sdtPr>
    <w:sdtEndPr>
      <w:rPr>
        <w:color w:val="7F7F7F" w:themeColor="background1" w:themeShade="7F"/>
        <w:spacing w:val="60"/>
      </w:rPr>
    </w:sdtEndPr>
    <w:sdtContent>
      <w:p w:rsidR="00240D5B" w:rsidRDefault="00240D5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A39E7" w:rsidRPr="009A39E7">
          <w:rPr>
            <w:b/>
            <w:bCs/>
            <w:noProof/>
          </w:rPr>
          <w:t>1</w:t>
        </w:r>
        <w:r>
          <w:rPr>
            <w:b/>
            <w:bCs/>
            <w:noProof/>
          </w:rPr>
          <w:fldChar w:fldCharType="end"/>
        </w:r>
        <w:r>
          <w:rPr>
            <w:b/>
            <w:bCs/>
          </w:rPr>
          <w:t xml:space="preserve"> | </w:t>
        </w:r>
        <w:r>
          <w:rPr>
            <w:color w:val="7F7F7F" w:themeColor="background1" w:themeShade="7F"/>
            <w:spacing w:val="60"/>
          </w:rPr>
          <w:t>Page</w:t>
        </w:r>
      </w:p>
    </w:sdtContent>
  </w:sdt>
  <w:p w:rsidR="00240D5B" w:rsidRDefault="00240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731" w:rsidRDefault="007A0731" w:rsidP="00A746CD">
      <w:pPr>
        <w:spacing w:after="0" w:line="240" w:lineRule="auto"/>
      </w:pPr>
      <w:r>
        <w:separator/>
      </w:r>
    </w:p>
  </w:footnote>
  <w:footnote w:type="continuationSeparator" w:id="0">
    <w:p w:rsidR="007A0731" w:rsidRDefault="007A0731" w:rsidP="00A74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904"/>
      <w:gridCol w:w="3006"/>
    </w:tblGrid>
    <w:tr w:rsidR="00A746CD" w:rsidRPr="00F87228" w:rsidTr="0087788B">
      <w:tc>
        <w:tcPr>
          <w:tcW w:w="4106" w:type="dxa"/>
        </w:tcPr>
        <w:p w:rsidR="00A746CD" w:rsidRPr="00F87228" w:rsidRDefault="00A746CD" w:rsidP="00105E08">
          <w:pPr>
            <w:pStyle w:val="Header"/>
            <w:rPr>
              <w:rFonts w:ascii="Garamond" w:hAnsi="Garamond"/>
              <w:b/>
              <w:bCs/>
            </w:rPr>
          </w:pPr>
          <w:r w:rsidRPr="00F87228">
            <w:rPr>
              <w:rFonts w:ascii="Garamond" w:hAnsi="Garamond"/>
              <w:b/>
              <w:bCs/>
            </w:rPr>
            <w:t>De</w:t>
          </w:r>
          <w:r w:rsidR="00105E08">
            <w:rPr>
              <w:rFonts w:ascii="Garamond" w:hAnsi="Garamond"/>
              <w:b/>
              <w:bCs/>
            </w:rPr>
            <w:t>puty for</w:t>
          </w:r>
          <w:r w:rsidRPr="00F87228">
            <w:rPr>
              <w:rFonts w:ascii="Garamond" w:hAnsi="Garamond"/>
              <w:b/>
              <w:bCs/>
            </w:rPr>
            <w:t xml:space="preserve"> Reports &amp; Treaty</w:t>
          </w:r>
        </w:p>
      </w:tc>
      <w:tc>
        <w:tcPr>
          <w:tcW w:w="1904" w:type="dxa"/>
          <w:vMerge w:val="restart"/>
        </w:tcPr>
        <w:p w:rsidR="00A746CD" w:rsidRDefault="00A746CD" w:rsidP="00A746CD">
          <w:pPr>
            <w:pStyle w:val="Header"/>
            <w:jc w:val="center"/>
          </w:pPr>
          <w:r>
            <w:rPr>
              <w:rFonts w:hint="cs"/>
              <w:noProof/>
              <w:rtl/>
              <w:lang w:val="en-GB" w:eastAsia="en-GB"/>
            </w:rPr>
            <w:drawing>
              <wp:anchor distT="0" distB="0" distL="114300" distR="114300" simplePos="0" relativeHeight="251659264" behindDoc="1" locked="0" layoutInCell="1" allowOverlap="1" wp14:anchorId="6D06B558" wp14:editId="3567DE4A">
                <wp:simplePos x="0" y="0"/>
                <wp:positionH relativeFrom="margin">
                  <wp:align>center</wp:align>
                </wp:positionH>
                <wp:positionV relativeFrom="paragraph">
                  <wp:posOffset>-40716</wp:posOffset>
                </wp:positionV>
                <wp:extent cx="1141451" cy="1104148"/>
                <wp:effectExtent l="0" t="0" r="1905"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هيئة.jpg"/>
                        <pic:cNvPicPr/>
                      </pic:nvPicPr>
                      <pic:blipFill>
                        <a:blip r:embed="rId1">
                          <a:extLst>
                            <a:ext uri="{28A0092B-C50C-407E-A947-70E740481C1C}">
                              <a14:useLocalDpi xmlns:a14="http://schemas.microsoft.com/office/drawing/2010/main" val="0"/>
                            </a:ext>
                          </a:extLst>
                        </a:blip>
                        <a:stretch>
                          <a:fillRect/>
                        </a:stretch>
                      </pic:blipFill>
                      <pic:spPr>
                        <a:xfrm>
                          <a:off x="0" y="0"/>
                          <a:ext cx="1141451" cy="1104148"/>
                        </a:xfrm>
                        <a:prstGeom prst="rect">
                          <a:avLst/>
                        </a:prstGeom>
                      </pic:spPr>
                    </pic:pic>
                  </a:graphicData>
                </a:graphic>
                <wp14:sizeRelH relativeFrom="margin">
                  <wp14:pctWidth>0</wp14:pctWidth>
                </wp14:sizeRelH>
                <wp14:sizeRelV relativeFrom="margin">
                  <wp14:pctHeight>0</wp14:pctHeight>
                </wp14:sizeRelV>
              </wp:anchor>
            </w:drawing>
          </w:r>
        </w:p>
        <w:p w:rsidR="00A746CD" w:rsidRDefault="00A746CD" w:rsidP="00A746CD">
          <w:pPr>
            <w:pStyle w:val="Header"/>
            <w:jc w:val="center"/>
            <w:rPr>
              <w:rFonts w:ascii="Garamond" w:hAnsi="Garamond"/>
            </w:rPr>
          </w:pPr>
        </w:p>
        <w:p w:rsidR="00A746CD" w:rsidRDefault="00A746CD" w:rsidP="00A746CD">
          <w:pPr>
            <w:pStyle w:val="Header"/>
            <w:jc w:val="center"/>
            <w:rPr>
              <w:rFonts w:ascii="Garamond" w:hAnsi="Garamond"/>
            </w:rPr>
          </w:pPr>
        </w:p>
        <w:p w:rsidR="00A746CD" w:rsidRDefault="00A746CD" w:rsidP="00A746CD">
          <w:pPr>
            <w:pStyle w:val="Header"/>
            <w:jc w:val="center"/>
            <w:rPr>
              <w:rFonts w:ascii="Garamond" w:hAnsi="Garamond"/>
            </w:rPr>
          </w:pPr>
        </w:p>
        <w:p w:rsidR="00A746CD" w:rsidRDefault="00A746CD" w:rsidP="00A746CD">
          <w:pPr>
            <w:pStyle w:val="Header"/>
            <w:jc w:val="center"/>
            <w:rPr>
              <w:rFonts w:ascii="Garamond" w:hAnsi="Garamond"/>
            </w:rPr>
          </w:pPr>
        </w:p>
        <w:p w:rsidR="00A746CD" w:rsidRDefault="00A746CD" w:rsidP="00A746CD">
          <w:pPr>
            <w:pStyle w:val="Header"/>
            <w:jc w:val="center"/>
            <w:rPr>
              <w:rFonts w:ascii="Garamond" w:hAnsi="Garamond"/>
            </w:rPr>
          </w:pPr>
        </w:p>
        <w:p w:rsidR="00A746CD" w:rsidRPr="00F87228" w:rsidRDefault="00A746CD" w:rsidP="00A746CD">
          <w:pPr>
            <w:pStyle w:val="Header"/>
            <w:jc w:val="center"/>
            <w:rPr>
              <w:rFonts w:ascii="Garamond" w:hAnsi="Garamond"/>
            </w:rPr>
          </w:pPr>
        </w:p>
      </w:tc>
      <w:tc>
        <w:tcPr>
          <w:tcW w:w="3006" w:type="dxa"/>
        </w:tcPr>
        <w:p w:rsidR="00A746CD" w:rsidRPr="00F87228" w:rsidRDefault="00A746CD" w:rsidP="00105E08">
          <w:pPr>
            <w:pStyle w:val="Header"/>
            <w:rPr>
              <w:rFonts w:ascii="Garamond" w:hAnsi="Garamond"/>
              <w:b/>
              <w:bCs/>
            </w:rPr>
          </w:pPr>
          <w:r w:rsidRPr="00F87228">
            <w:rPr>
              <w:rFonts w:ascii="Garamond" w:hAnsi="Garamond"/>
              <w:b/>
              <w:bCs/>
            </w:rPr>
            <w:t xml:space="preserve">Ref: </w:t>
          </w:r>
          <w:r w:rsidR="00105E08">
            <w:rPr>
              <w:rFonts w:ascii="Garamond" w:hAnsi="Garamond"/>
              <w:b/>
              <w:bCs/>
            </w:rPr>
            <w:t>49/</w:t>
          </w:r>
          <w:r w:rsidRPr="00F87228">
            <w:rPr>
              <w:rFonts w:ascii="Garamond" w:hAnsi="Garamond"/>
              <w:b/>
              <w:bCs/>
            </w:rPr>
            <w:t>HRC/DRT/TR</w:t>
          </w:r>
        </w:p>
      </w:tc>
    </w:tr>
    <w:tr w:rsidR="00A746CD" w:rsidRPr="00F87228" w:rsidTr="0087788B">
      <w:tc>
        <w:tcPr>
          <w:tcW w:w="4106" w:type="dxa"/>
        </w:tcPr>
        <w:p w:rsidR="00A746CD" w:rsidRPr="00F87228" w:rsidRDefault="00105E08" w:rsidP="00A746CD">
          <w:pPr>
            <w:pStyle w:val="Header"/>
            <w:rPr>
              <w:rFonts w:ascii="Garamond" w:hAnsi="Garamond"/>
              <w:b/>
              <w:bCs/>
            </w:rPr>
          </w:pPr>
          <w:r>
            <w:rPr>
              <w:rFonts w:ascii="Garamond" w:hAnsi="Garamond"/>
              <w:b/>
              <w:bCs/>
            </w:rPr>
            <w:t>General Department for</w:t>
          </w:r>
          <w:r w:rsidR="00A746CD" w:rsidRPr="00F87228">
            <w:rPr>
              <w:rFonts w:ascii="Garamond" w:hAnsi="Garamond"/>
              <w:b/>
              <w:bCs/>
            </w:rPr>
            <w:t xml:space="preserve"> Reports &amp; Treaty</w:t>
          </w:r>
        </w:p>
      </w:tc>
      <w:tc>
        <w:tcPr>
          <w:tcW w:w="1904" w:type="dxa"/>
          <w:vMerge/>
        </w:tcPr>
        <w:p w:rsidR="00A746CD" w:rsidRPr="00F87228" w:rsidRDefault="00A746CD" w:rsidP="00A746CD">
          <w:pPr>
            <w:pStyle w:val="Header"/>
            <w:rPr>
              <w:rFonts w:ascii="Garamond" w:hAnsi="Garamond"/>
            </w:rPr>
          </w:pPr>
        </w:p>
      </w:tc>
      <w:tc>
        <w:tcPr>
          <w:tcW w:w="3006" w:type="dxa"/>
        </w:tcPr>
        <w:p w:rsidR="00A746CD" w:rsidRPr="00F87228" w:rsidRDefault="00A746CD" w:rsidP="00105E08">
          <w:pPr>
            <w:pStyle w:val="Header"/>
            <w:rPr>
              <w:rFonts w:ascii="Garamond" w:hAnsi="Garamond"/>
              <w:b/>
              <w:bCs/>
            </w:rPr>
          </w:pPr>
          <w:r w:rsidRPr="00F87228">
            <w:rPr>
              <w:rFonts w:ascii="Garamond" w:hAnsi="Garamond"/>
              <w:b/>
              <w:bCs/>
            </w:rPr>
            <w:t xml:space="preserve">Date: </w:t>
          </w:r>
          <w:r w:rsidR="00105E08">
            <w:rPr>
              <w:rFonts w:ascii="Garamond" w:hAnsi="Garamond"/>
              <w:b/>
              <w:bCs/>
            </w:rPr>
            <w:t>18</w:t>
          </w:r>
          <w:r w:rsidRPr="00F87228">
            <w:rPr>
              <w:rFonts w:ascii="Garamond" w:hAnsi="Garamond"/>
              <w:b/>
              <w:bCs/>
            </w:rPr>
            <w:t>/</w:t>
          </w:r>
          <w:r w:rsidR="0087788B">
            <w:rPr>
              <w:rFonts w:ascii="Garamond" w:hAnsi="Garamond"/>
              <w:b/>
              <w:bCs/>
            </w:rPr>
            <w:t>01</w:t>
          </w:r>
          <w:r w:rsidRPr="00F87228">
            <w:rPr>
              <w:rFonts w:ascii="Garamond" w:hAnsi="Garamond"/>
              <w:b/>
              <w:bCs/>
            </w:rPr>
            <w:t>/</w:t>
          </w:r>
          <w:r w:rsidR="0087788B">
            <w:rPr>
              <w:rFonts w:ascii="Garamond" w:hAnsi="Garamond"/>
              <w:b/>
              <w:bCs/>
            </w:rPr>
            <w:t>2022</w:t>
          </w:r>
          <w:r>
            <w:rPr>
              <w:rFonts w:ascii="Garamond" w:hAnsi="Garamond"/>
              <w:b/>
              <w:bCs/>
            </w:rPr>
            <w:t xml:space="preserve"> </w:t>
          </w:r>
        </w:p>
      </w:tc>
    </w:tr>
  </w:tbl>
  <w:p w:rsidR="00A746CD" w:rsidRDefault="00A74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BAF"/>
    <w:multiLevelType w:val="multilevel"/>
    <w:tmpl w:val="B78AC946"/>
    <w:lvl w:ilvl="0">
      <w:start w:val="6"/>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rPr>
        <w:rFonts w:hint="default"/>
      </w:rPr>
    </w:lvl>
    <w:lvl w:ilvl="2">
      <w:start w:val="9"/>
      <w:numFmt w:val="bullet"/>
      <w:lvlText w:val="-"/>
      <w:lvlJc w:val="left"/>
      <w:pPr>
        <w:ind w:left="1224" w:hanging="504"/>
      </w:pPr>
      <w:rPr>
        <w:rFonts w:ascii="Times New Roman" w:hAnsi="Times New Roman" w:cs="Times New Roman" w:hint="default"/>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794DAD"/>
    <w:multiLevelType w:val="multilevel"/>
    <w:tmpl w:val="ED4E66CC"/>
    <w:lvl w:ilvl="0">
      <w:start w:val="8"/>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rPr>
        <w:rFonts w:hint="default"/>
      </w:rPr>
    </w:lvl>
    <w:lvl w:ilvl="2">
      <w:start w:val="9"/>
      <w:numFmt w:val="bullet"/>
      <w:lvlText w:val="-"/>
      <w:lvlJc w:val="left"/>
      <w:pPr>
        <w:ind w:left="1224" w:hanging="504"/>
      </w:pPr>
      <w:rPr>
        <w:rFonts w:ascii="Times New Roman" w:hAnsi="Times New Roman" w:cs="Times New Roman" w:hint="default"/>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A6F4950"/>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7A3442"/>
    <w:multiLevelType w:val="multilevel"/>
    <w:tmpl w:val="EB00E9F6"/>
    <w:lvl w:ilvl="0">
      <w:start w:val="5"/>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rPr>
        <w:rFonts w:hint="default"/>
      </w:rPr>
    </w:lvl>
    <w:lvl w:ilvl="2">
      <w:start w:val="9"/>
      <w:numFmt w:val="bullet"/>
      <w:lvlText w:val="-"/>
      <w:lvlJc w:val="left"/>
      <w:pPr>
        <w:ind w:left="1224" w:hanging="504"/>
      </w:pPr>
      <w:rPr>
        <w:rFonts w:ascii="Times New Roman" w:hAnsi="Times New Roman" w:cs="Times New Roman" w:hint="default"/>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251358D"/>
    <w:multiLevelType w:val="hybridMultilevel"/>
    <w:tmpl w:val="8D6A8844"/>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9753925"/>
    <w:multiLevelType w:val="multilevel"/>
    <w:tmpl w:val="E05E13A8"/>
    <w:lvl w:ilvl="0">
      <w:start w:val="7"/>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rPr>
        <w:rFonts w:hint="default"/>
      </w:rPr>
    </w:lvl>
    <w:lvl w:ilvl="2">
      <w:start w:val="9"/>
      <w:numFmt w:val="bullet"/>
      <w:lvlText w:val="-"/>
      <w:lvlJc w:val="left"/>
      <w:pPr>
        <w:ind w:left="1224" w:hanging="504"/>
      </w:pPr>
      <w:rPr>
        <w:rFonts w:ascii="Times New Roman" w:hAnsi="Times New Roman" w:cs="Times New Roman" w:hint="default"/>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9875F2"/>
    <w:multiLevelType w:val="hybridMultilevel"/>
    <w:tmpl w:val="4FD28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E84C60"/>
    <w:multiLevelType w:val="hybridMultilevel"/>
    <w:tmpl w:val="B1966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544753"/>
    <w:multiLevelType w:val="multilevel"/>
    <w:tmpl w:val="0A78F05E"/>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792" w:hanging="432"/>
      </w:pPr>
    </w:lvl>
    <w:lvl w:ilvl="2">
      <w:start w:val="9"/>
      <w:numFmt w:val="bullet"/>
      <w:lvlText w:val="-"/>
      <w:lvlJc w:val="left"/>
      <w:pPr>
        <w:ind w:left="1224" w:hanging="504"/>
      </w:pPr>
      <w:rPr>
        <w:rFonts w:ascii="Times New Roman" w:hAnsi="Times New Roman" w:cs="Times New Roman"/>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0418FE"/>
    <w:multiLevelType w:val="hybridMultilevel"/>
    <w:tmpl w:val="0B6EC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917A18"/>
    <w:multiLevelType w:val="hybridMultilevel"/>
    <w:tmpl w:val="A6A0B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0"/>
  </w:num>
  <w:num w:numId="4">
    <w:abstractNumId w:val="9"/>
  </w:num>
  <w:num w:numId="5">
    <w:abstractNumId w:val="7"/>
  </w:num>
  <w:num w:numId="6">
    <w:abstractNumId w:val="6"/>
  </w:num>
  <w:num w:numId="7">
    <w:abstractNumId w:val="4"/>
  </w:num>
  <w:num w:numId="8">
    <w:abstractNumId w:val="0"/>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0A"/>
    <w:rsid w:val="00033447"/>
    <w:rsid w:val="00043472"/>
    <w:rsid w:val="00063C2C"/>
    <w:rsid w:val="00067686"/>
    <w:rsid w:val="00080DDC"/>
    <w:rsid w:val="0009763D"/>
    <w:rsid w:val="000A013D"/>
    <w:rsid w:val="000A3B1D"/>
    <w:rsid w:val="000B3205"/>
    <w:rsid w:val="000E42C7"/>
    <w:rsid w:val="00105E08"/>
    <w:rsid w:val="00107D60"/>
    <w:rsid w:val="001745D8"/>
    <w:rsid w:val="00186043"/>
    <w:rsid w:val="00196E46"/>
    <w:rsid w:val="0019779E"/>
    <w:rsid w:val="001A07B2"/>
    <w:rsid w:val="001B4CFC"/>
    <w:rsid w:val="001B6F0A"/>
    <w:rsid w:val="001C081E"/>
    <w:rsid w:val="001C78EA"/>
    <w:rsid w:val="001D6A22"/>
    <w:rsid w:val="001E1F92"/>
    <w:rsid w:val="001F5109"/>
    <w:rsid w:val="002222B2"/>
    <w:rsid w:val="00224BC6"/>
    <w:rsid w:val="00240022"/>
    <w:rsid w:val="00240D5B"/>
    <w:rsid w:val="002605AC"/>
    <w:rsid w:val="002632CE"/>
    <w:rsid w:val="00280AC8"/>
    <w:rsid w:val="00281A24"/>
    <w:rsid w:val="0028293D"/>
    <w:rsid w:val="00285CB6"/>
    <w:rsid w:val="002A6044"/>
    <w:rsid w:val="002C2CF6"/>
    <w:rsid w:val="002C6AE2"/>
    <w:rsid w:val="002F0BF7"/>
    <w:rsid w:val="00302FC7"/>
    <w:rsid w:val="00331F70"/>
    <w:rsid w:val="00332A3A"/>
    <w:rsid w:val="00340DC1"/>
    <w:rsid w:val="00364C7E"/>
    <w:rsid w:val="003722A7"/>
    <w:rsid w:val="00372806"/>
    <w:rsid w:val="00373282"/>
    <w:rsid w:val="00381C1E"/>
    <w:rsid w:val="00396952"/>
    <w:rsid w:val="003B76F1"/>
    <w:rsid w:val="003C0D49"/>
    <w:rsid w:val="003E0D84"/>
    <w:rsid w:val="00403656"/>
    <w:rsid w:val="0042659B"/>
    <w:rsid w:val="00430F74"/>
    <w:rsid w:val="0043648E"/>
    <w:rsid w:val="004370C3"/>
    <w:rsid w:val="00452197"/>
    <w:rsid w:val="0047074F"/>
    <w:rsid w:val="004B75C8"/>
    <w:rsid w:val="004E10A4"/>
    <w:rsid w:val="004E60F0"/>
    <w:rsid w:val="005245F3"/>
    <w:rsid w:val="00532D1A"/>
    <w:rsid w:val="005479B9"/>
    <w:rsid w:val="00552C0A"/>
    <w:rsid w:val="0058337E"/>
    <w:rsid w:val="00594F35"/>
    <w:rsid w:val="005B0D81"/>
    <w:rsid w:val="005B1A58"/>
    <w:rsid w:val="005B75F0"/>
    <w:rsid w:val="005C1813"/>
    <w:rsid w:val="005C4BDA"/>
    <w:rsid w:val="0060759D"/>
    <w:rsid w:val="00614616"/>
    <w:rsid w:val="00617BB8"/>
    <w:rsid w:val="0063273F"/>
    <w:rsid w:val="00641409"/>
    <w:rsid w:val="00643DB5"/>
    <w:rsid w:val="00644DAD"/>
    <w:rsid w:val="006571D9"/>
    <w:rsid w:val="00672BAE"/>
    <w:rsid w:val="006E7639"/>
    <w:rsid w:val="00721DEE"/>
    <w:rsid w:val="007247E7"/>
    <w:rsid w:val="00733F9D"/>
    <w:rsid w:val="007372D5"/>
    <w:rsid w:val="007629C2"/>
    <w:rsid w:val="00774BC8"/>
    <w:rsid w:val="007860E3"/>
    <w:rsid w:val="00793DDC"/>
    <w:rsid w:val="007A0731"/>
    <w:rsid w:val="007C0629"/>
    <w:rsid w:val="007C151E"/>
    <w:rsid w:val="007F11B4"/>
    <w:rsid w:val="007F1F39"/>
    <w:rsid w:val="00812CEA"/>
    <w:rsid w:val="0081408D"/>
    <w:rsid w:val="00817215"/>
    <w:rsid w:val="00821A24"/>
    <w:rsid w:val="0082524F"/>
    <w:rsid w:val="00835D62"/>
    <w:rsid w:val="00860533"/>
    <w:rsid w:val="00873063"/>
    <w:rsid w:val="0087788B"/>
    <w:rsid w:val="00894844"/>
    <w:rsid w:val="00897372"/>
    <w:rsid w:val="008A17B5"/>
    <w:rsid w:val="008B1D51"/>
    <w:rsid w:val="008B5836"/>
    <w:rsid w:val="008C2F0E"/>
    <w:rsid w:val="008C309B"/>
    <w:rsid w:val="008D4F31"/>
    <w:rsid w:val="008D6021"/>
    <w:rsid w:val="008F0D72"/>
    <w:rsid w:val="008F76E9"/>
    <w:rsid w:val="00900C78"/>
    <w:rsid w:val="009266B2"/>
    <w:rsid w:val="00955B87"/>
    <w:rsid w:val="009639B4"/>
    <w:rsid w:val="00967DB4"/>
    <w:rsid w:val="0097336B"/>
    <w:rsid w:val="00982720"/>
    <w:rsid w:val="009930BF"/>
    <w:rsid w:val="00994DC8"/>
    <w:rsid w:val="009A1522"/>
    <w:rsid w:val="009A39E7"/>
    <w:rsid w:val="009C1806"/>
    <w:rsid w:val="009C5C3C"/>
    <w:rsid w:val="009D7465"/>
    <w:rsid w:val="009F4DED"/>
    <w:rsid w:val="00A177CC"/>
    <w:rsid w:val="00A6168D"/>
    <w:rsid w:val="00A66A1A"/>
    <w:rsid w:val="00A708C3"/>
    <w:rsid w:val="00A746CD"/>
    <w:rsid w:val="00A7662C"/>
    <w:rsid w:val="00A95CC8"/>
    <w:rsid w:val="00A96C41"/>
    <w:rsid w:val="00AA6A61"/>
    <w:rsid w:val="00AB71EF"/>
    <w:rsid w:val="00AC039C"/>
    <w:rsid w:val="00AD206C"/>
    <w:rsid w:val="00AF4488"/>
    <w:rsid w:val="00B013A2"/>
    <w:rsid w:val="00B02FC9"/>
    <w:rsid w:val="00B36FA2"/>
    <w:rsid w:val="00B40975"/>
    <w:rsid w:val="00B45AF8"/>
    <w:rsid w:val="00B6432D"/>
    <w:rsid w:val="00B64C80"/>
    <w:rsid w:val="00B81FED"/>
    <w:rsid w:val="00B859F1"/>
    <w:rsid w:val="00BA76A0"/>
    <w:rsid w:val="00BE1543"/>
    <w:rsid w:val="00BF2A39"/>
    <w:rsid w:val="00BF32EB"/>
    <w:rsid w:val="00C060D0"/>
    <w:rsid w:val="00C110C6"/>
    <w:rsid w:val="00C240E4"/>
    <w:rsid w:val="00C317B8"/>
    <w:rsid w:val="00C410E5"/>
    <w:rsid w:val="00C42400"/>
    <w:rsid w:val="00C45A59"/>
    <w:rsid w:val="00C46050"/>
    <w:rsid w:val="00C64B9F"/>
    <w:rsid w:val="00C71A54"/>
    <w:rsid w:val="00C7373C"/>
    <w:rsid w:val="00C76AF4"/>
    <w:rsid w:val="00C83031"/>
    <w:rsid w:val="00C961F6"/>
    <w:rsid w:val="00D05C6B"/>
    <w:rsid w:val="00D21E8D"/>
    <w:rsid w:val="00D235DB"/>
    <w:rsid w:val="00D347FD"/>
    <w:rsid w:val="00D40423"/>
    <w:rsid w:val="00D639AA"/>
    <w:rsid w:val="00D661AA"/>
    <w:rsid w:val="00D7274E"/>
    <w:rsid w:val="00D72D87"/>
    <w:rsid w:val="00D75354"/>
    <w:rsid w:val="00D75A57"/>
    <w:rsid w:val="00DA26FB"/>
    <w:rsid w:val="00DA4AEF"/>
    <w:rsid w:val="00DC67D9"/>
    <w:rsid w:val="00DE3F92"/>
    <w:rsid w:val="00DF65DD"/>
    <w:rsid w:val="00E60959"/>
    <w:rsid w:val="00E62202"/>
    <w:rsid w:val="00E72008"/>
    <w:rsid w:val="00EA1E0E"/>
    <w:rsid w:val="00EA2222"/>
    <w:rsid w:val="00EB092C"/>
    <w:rsid w:val="00ED7E6F"/>
    <w:rsid w:val="00EF44DF"/>
    <w:rsid w:val="00F13136"/>
    <w:rsid w:val="00F14494"/>
    <w:rsid w:val="00F152EC"/>
    <w:rsid w:val="00F34BF5"/>
    <w:rsid w:val="00F5302B"/>
    <w:rsid w:val="00F64963"/>
    <w:rsid w:val="00F7641D"/>
    <w:rsid w:val="00F90809"/>
    <w:rsid w:val="00FB18FE"/>
    <w:rsid w:val="00FB5117"/>
    <w:rsid w:val="00FC0F79"/>
    <w:rsid w:val="00FF67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99E362D-F1EC-4AEF-BE2F-6204E540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46CD"/>
    <w:pPr>
      <w:spacing w:after="0" w:line="240" w:lineRule="auto"/>
      <w:ind w:left="720"/>
      <w:contextualSpacing/>
    </w:pPr>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A74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6CD"/>
  </w:style>
  <w:style w:type="paragraph" w:styleId="Footer">
    <w:name w:val="footer"/>
    <w:basedOn w:val="Normal"/>
    <w:link w:val="FooterChar"/>
    <w:uiPriority w:val="99"/>
    <w:unhideWhenUsed/>
    <w:rsid w:val="00A74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2115</Words>
  <Characters>12060</Characters>
  <Application>Microsoft Office Word</Application>
  <DocSecurity>4</DocSecurity>
  <Lines>100</Lines>
  <Paragraphs>28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Sameh hawash</dc:creator>
  <cp:keywords/>
  <dc:description/>
  <cp:lastModifiedBy>Adriana Zarraluqui</cp:lastModifiedBy>
  <cp:revision>2</cp:revision>
  <dcterms:created xsi:type="dcterms:W3CDTF">2022-02-03T15:01:00Z</dcterms:created>
  <dcterms:modified xsi:type="dcterms:W3CDTF">2022-02-03T15:01:00Z</dcterms:modified>
</cp:coreProperties>
</file>