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307C6" w14:paraId="0272615E" w14:textId="77777777" w:rsidTr="00F11093">
        <w:trPr>
          <w:trHeight w:val="810"/>
        </w:trPr>
        <w:tc>
          <w:tcPr>
            <w:tcW w:w="1259" w:type="dxa"/>
            <w:tcBorders>
              <w:top w:val="nil"/>
              <w:left w:val="nil"/>
              <w:bottom w:val="single" w:sz="4" w:space="0" w:color="auto"/>
              <w:right w:val="nil"/>
            </w:tcBorders>
          </w:tcPr>
          <w:p w14:paraId="08E9F4FA" w14:textId="77777777" w:rsidR="00446DE4" w:rsidRPr="00A307C6" w:rsidRDefault="00446DE4" w:rsidP="00F11093">
            <w:pPr>
              <w:pStyle w:val="HChG"/>
              <w:numPr>
                <w:ilvl w:val="0"/>
                <w:numId w:val="0"/>
              </w:numPr>
              <w:ind w:left="360"/>
            </w:pPr>
            <w:bookmarkStart w:id="0" w:name="_Hlk98290675"/>
          </w:p>
        </w:tc>
        <w:tc>
          <w:tcPr>
            <w:tcW w:w="2236" w:type="dxa"/>
            <w:tcBorders>
              <w:top w:val="nil"/>
              <w:left w:val="nil"/>
              <w:bottom w:val="single" w:sz="4" w:space="0" w:color="auto"/>
              <w:right w:val="nil"/>
            </w:tcBorders>
            <w:vAlign w:val="bottom"/>
          </w:tcPr>
          <w:p w14:paraId="1267D498" w14:textId="4CD6D12B" w:rsidR="00446DE4" w:rsidRPr="00A307C6"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453806B" w14:textId="16788E9F" w:rsidR="00446DE4" w:rsidRPr="00A307C6" w:rsidRDefault="00EC6FBA" w:rsidP="00C21E5C">
            <w:pPr>
              <w:jc w:val="right"/>
            </w:pPr>
            <w:r w:rsidRPr="00A307C6">
              <w:rPr>
                <w:sz w:val="40"/>
              </w:rPr>
              <w:t>A</w:t>
            </w:r>
            <w:r w:rsidRPr="00A307C6">
              <w:t>/HRC/</w:t>
            </w:r>
            <w:r w:rsidR="00751A81" w:rsidRPr="00A307C6">
              <w:t>4</w:t>
            </w:r>
            <w:r w:rsidR="009B2958" w:rsidRPr="00A307C6">
              <w:t>9</w:t>
            </w:r>
            <w:r w:rsidRPr="00A307C6">
              <w:t>/</w:t>
            </w:r>
            <w:r w:rsidR="00C21E5C" w:rsidRPr="00A307C6">
              <w:t>CRP</w:t>
            </w:r>
            <w:r w:rsidR="00973EE4" w:rsidRPr="00A307C6">
              <w:t>.</w:t>
            </w:r>
            <w:r w:rsidR="009B2958" w:rsidRPr="00A307C6">
              <w:t>4</w:t>
            </w:r>
          </w:p>
        </w:tc>
      </w:tr>
      <w:tr w:rsidR="003107FA" w:rsidRPr="00A307C6" w14:paraId="06936DE0" w14:textId="77777777" w:rsidTr="00562621">
        <w:trPr>
          <w:trHeight w:val="2835"/>
        </w:trPr>
        <w:tc>
          <w:tcPr>
            <w:tcW w:w="1259" w:type="dxa"/>
            <w:tcBorders>
              <w:top w:val="single" w:sz="4" w:space="0" w:color="auto"/>
              <w:left w:val="nil"/>
              <w:bottom w:val="single" w:sz="12" w:space="0" w:color="auto"/>
              <w:right w:val="nil"/>
            </w:tcBorders>
          </w:tcPr>
          <w:p w14:paraId="790DF41D" w14:textId="71EE763B" w:rsidR="003107FA" w:rsidRPr="00A307C6"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5AF9BF" w14:textId="643ABC3A" w:rsidR="003107FA" w:rsidRPr="00A307C6" w:rsidRDefault="00F11093" w:rsidP="0074717A">
            <w:pPr>
              <w:spacing w:before="120" w:line="420" w:lineRule="exact"/>
              <w:rPr>
                <w:b/>
                <w:sz w:val="32"/>
                <w:szCs w:val="32"/>
              </w:rPr>
            </w:pPr>
            <w:r w:rsidRPr="00A307C6">
              <w:rPr>
                <w:b/>
                <w:bCs/>
              </w:rPr>
              <w:t xml:space="preserve"> </w:t>
            </w:r>
          </w:p>
        </w:tc>
        <w:tc>
          <w:tcPr>
            <w:tcW w:w="2930" w:type="dxa"/>
            <w:tcBorders>
              <w:top w:val="single" w:sz="4" w:space="0" w:color="auto"/>
              <w:left w:val="nil"/>
              <w:bottom w:val="single" w:sz="12" w:space="0" w:color="auto"/>
              <w:right w:val="nil"/>
            </w:tcBorders>
          </w:tcPr>
          <w:p w14:paraId="03AB8CC3" w14:textId="77777777" w:rsidR="009B2958" w:rsidRPr="00A307C6" w:rsidRDefault="009B2958" w:rsidP="00EC6FBA">
            <w:pPr>
              <w:spacing w:line="240" w:lineRule="exact"/>
            </w:pPr>
          </w:p>
          <w:p w14:paraId="735172F0" w14:textId="496EE00E" w:rsidR="00EC6FBA" w:rsidRPr="00A307C6" w:rsidRDefault="00CD4D77" w:rsidP="009B2958">
            <w:pPr>
              <w:spacing w:line="240" w:lineRule="exact"/>
            </w:pPr>
            <w:r w:rsidRPr="00CD4D77">
              <w:t>21</w:t>
            </w:r>
            <w:r w:rsidR="008C50EA" w:rsidRPr="00CD4D77">
              <w:t xml:space="preserve"> </w:t>
            </w:r>
            <w:r w:rsidR="009B2958" w:rsidRPr="00CD4D77">
              <w:t>March 2022</w:t>
            </w:r>
          </w:p>
          <w:p w14:paraId="16B3479E" w14:textId="77777777" w:rsidR="00EC6FBA" w:rsidRPr="00A307C6" w:rsidRDefault="00EC6FBA" w:rsidP="00EC6FBA">
            <w:pPr>
              <w:spacing w:line="240" w:lineRule="exact"/>
            </w:pPr>
          </w:p>
          <w:p w14:paraId="5FA22BF1" w14:textId="554DB183" w:rsidR="00EC6FBA" w:rsidRPr="00A307C6" w:rsidRDefault="00EC6FBA" w:rsidP="00EC6FBA">
            <w:pPr>
              <w:spacing w:line="240" w:lineRule="exact"/>
            </w:pPr>
            <w:r w:rsidRPr="00A307C6">
              <w:t>English</w:t>
            </w:r>
            <w:r w:rsidR="00DC3EED" w:rsidRPr="00A307C6">
              <w:t xml:space="preserve"> </w:t>
            </w:r>
            <w:r w:rsidR="00CD4D77">
              <w:t>only</w:t>
            </w:r>
          </w:p>
          <w:p w14:paraId="76CF378F" w14:textId="2856B40B" w:rsidR="009E20FD" w:rsidRPr="00A307C6" w:rsidRDefault="009E20FD" w:rsidP="00EC6FBA">
            <w:pPr>
              <w:spacing w:line="240" w:lineRule="exact"/>
            </w:pPr>
            <w:bookmarkStart w:id="1" w:name="_GoBack"/>
            <w:bookmarkEnd w:id="1"/>
          </w:p>
        </w:tc>
      </w:tr>
    </w:tbl>
    <w:p w14:paraId="60EAE6D7" w14:textId="77777777" w:rsidR="00EC6FBA" w:rsidRPr="00A307C6" w:rsidRDefault="00360F3F" w:rsidP="00360F3F">
      <w:pPr>
        <w:spacing w:before="120"/>
        <w:rPr>
          <w:b/>
          <w:sz w:val="24"/>
          <w:szCs w:val="24"/>
        </w:rPr>
      </w:pPr>
      <w:r w:rsidRPr="00A307C6">
        <w:rPr>
          <w:b/>
          <w:sz w:val="24"/>
          <w:szCs w:val="24"/>
        </w:rPr>
        <w:t>Human Rights Council</w:t>
      </w:r>
    </w:p>
    <w:p w14:paraId="05CF679D" w14:textId="77777777" w:rsidR="009B2958" w:rsidRPr="00A307C6" w:rsidRDefault="009B2958" w:rsidP="009B2958">
      <w:pPr>
        <w:ind w:left="17" w:right="17"/>
        <w:rPr>
          <w:b/>
          <w:bCs/>
        </w:rPr>
      </w:pPr>
      <w:r w:rsidRPr="00A307C6">
        <w:rPr>
          <w:b/>
          <w:bCs/>
        </w:rPr>
        <w:t>Forty-ninth session</w:t>
      </w:r>
    </w:p>
    <w:p w14:paraId="00C6A1FE" w14:textId="77777777" w:rsidR="009B2958" w:rsidRPr="00A307C6" w:rsidRDefault="009B2958" w:rsidP="009B2958">
      <w:pPr>
        <w:ind w:left="17" w:right="17"/>
      </w:pPr>
      <w:r w:rsidRPr="00A307C6">
        <w:t>28 February–1 April 2022</w:t>
      </w:r>
    </w:p>
    <w:p w14:paraId="5F414A57" w14:textId="77777777" w:rsidR="009B2958" w:rsidRPr="00A307C6" w:rsidRDefault="009B2958" w:rsidP="009B2958">
      <w:pPr>
        <w:ind w:left="17" w:right="17"/>
        <w:rPr>
          <w:highlight w:val="yellow"/>
        </w:rPr>
      </w:pPr>
      <w:r w:rsidRPr="00A307C6">
        <w:t xml:space="preserve">Agenda item 4 </w:t>
      </w:r>
    </w:p>
    <w:p w14:paraId="56897930" w14:textId="77777777" w:rsidR="00360F3F" w:rsidRPr="00A307C6" w:rsidRDefault="00360F3F" w:rsidP="00CF586F">
      <w:pPr>
        <w:rPr>
          <w:b/>
        </w:rPr>
      </w:pPr>
      <w:r w:rsidRPr="00A307C6">
        <w:rPr>
          <w:b/>
        </w:rPr>
        <w:t>Human Rights Situations that require the attention of the Council</w:t>
      </w:r>
    </w:p>
    <w:bookmarkEnd w:id="0"/>
    <w:p w14:paraId="68F87327" w14:textId="77777777" w:rsidR="00CD4D77" w:rsidRPr="00A307C6" w:rsidRDefault="00CD4D77" w:rsidP="00CD4D77">
      <w:pPr>
        <w:pStyle w:val="HChG"/>
        <w:numPr>
          <w:ilvl w:val="0"/>
          <w:numId w:val="0"/>
        </w:numPr>
        <w:spacing w:before="340" w:after="220" w:line="280" w:lineRule="exact"/>
        <w:ind w:left="720"/>
        <w:jc w:val="both"/>
      </w:pPr>
      <w:r>
        <w:t>C</w:t>
      </w:r>
      <w:r w:rsidRPr="00A307C6">
        <w:t>onflict-related sexual violence against women and girls in South Sudan</w:t>
      </w:r>
    </w:p>
    <w:p w14:paraId="1E6699D4" w14:textId="77777777" w:rsidR="00CD4D77" w:rsidRPr="00CF7942" w:rsidRDefault="00CD4D77" w:rsidP="00CD4D77">
      <w:pPr>
        <w:pStyle w:val="HChG"/>
        <w:numPr>
          <w:ilvl w:val="0"/>
          <w:numId w:val="0"/>
        </w:numPr>
        <w:spacing w:before="340" w:after="220" w:line="280" w:lineRule="exact"/>
        <w:ind w:left="720"/>
        <w:jc w:val="both"/>
        <w:rPr>
          <w:sz w:val="24"/>
          <w:szCs w:val="24"/>
        </w:rPr>
      </w:pPr>
      <w:r>
        <w:rPr>
          <w:sz w:val="24"/>
          <w:szCs w:val="24"/>
        </w:rPr>
        <w:t>C</w:t>
      </w:r>
      <w:r w:rsidRPr="00CF7942">
        <w:rPr>
          <w:sz w:val="24"/>
          <w:szCs w:val="24"/>
        </w:rPr>
        <w:t>onference room paper of the Commission on Human Rights in South Sudan</w:t>
      </w:r>
    </w:p>
    <w:tbl>
      <w:tblPr>
        <w:tblStyle w:val="TableGrid"/>
        <w:tblW w:w="0" w:type="auto"/>
        <w:jc w:val="center"/>
        <w:tblLook w:val="05E0" w:firstRow="1" w:lastRow="1" w:firstColumn="1" w:lastColumn="1" w:noHBand="0" w:noVBand="1"/>
      </w:tblPr>
      <w:tblGrid>
        <w:gridCol w:w="9629"/>
      </w:tblGrid>
      <w:tr w:rsidR="00CD4D77" w:rsidRPr="00A307C6" w14:paraId="5A97358E" w14:textId="77777777" w:rsidTr="00E82108">
        <w:trPr>
          <w:jc w:val="center"/>
        </w:trPr>
        <w:tc>
          <w:tcPr>
            <w:tcW w:w="9629" w:type="dxa"/>
            <w:tcBorders>
              <w:bottom w:val="nil"/>
            </w:tcBorders>
          </w:tcPr>
          <w:p w14:paraId="61281AC1" w14:textId="77777777" w:rsidR="00CD4D77" w:rsidRPr="00A307C6" w:rsidRDefault="00CD4D77" w:rsidP="00E82108">
            <w:pPr>
              <w:tabs>
                <w:tab w:val="left" w:pos="255"/>
              </w:tabs>
              <w:suppressAutoHyphens w:val="0"/>
              <w:spacing w:before="200" w:after="120"/>
              <w:rPr>
                <w:sz w:val="24"/>
              </w:rPr>
            </w:pPr>
            <w:r w:rsidRPr="00A307C6">
              <w:rPr>
                <w:i/>
                <w:sz w:val="24"/>
              </w:rPr>
              <w:t>Summary</w:t>
            </w:r>
          </w:p>
        </w:tc>
      </w:tr>
      <w:tr w:rsidR="00CD4D77" w:rsidRPr="00A307C6" w14:paraId="25C7FEC8" w14:textId="77777777" w:rsidTr="00E82108">
        <w:trPr>
          <w:jc w:val="center"/>
        </w:trPr>
        <w:tc>
          <w:tcPr>
            <w:tcW w:w="9629" w:type="dxa"/>
            <w:tcBorders>
              <w:top w:val="nil"/>
              <w:bottom w:val="nil"/>
            </w:tcBorders>
            <w:shd w:val="clear" w:color="auto" w:fill="auto"/>
          </w:tcPr>
          <w:p w14:paraId="75EE6173" w14:textId="381354BB" w:rsidR="00CD4D77" w:rsidRPr="006E7CD7" w:rsidRDefault="00CD4D77" w:rsidP="0074717A">
            <w:pPr>
              <w:pStyle w:val="SingleTxtG"/>
              <w:spacing w:line="230" w:lineRule="atLeast"/>
              <w:ind w:firstLine="567"/>
            </w:pPr>
            <w:r w:rsidRPr="00B956FC">
              <w:t>Conflict</w:t>
            </w:r>
            <w:r>
              <w:t>-</w:t>
            </w:r>
            <w:r w:rsidRPr="00B956FC">
              <w:t>related sexual violence against women and girls is widespread and systematic throughout South Sudan</w:t>
            </w:r>
            <w:r>
              <w:t>. O</w:t>
            </w:r>
            <w:r w:rsidRPr="00B956FC">
              <w:t xml:space="preserve">ngoing conflict </w:t>
            </w:r>
            <w:r>
              <w:t xml:space="preserve">across the country, including in the </w:t>
            </w:r>
            <w:proofErr w:type="spellStart"/>
            <w:r w:rsidRPr="00B956FC">
              <w:t>Equatorias</w:t>
            </w:r>
            <w:proofErr w:type="spellEnd"/>
            <w:r>
              <w:t xml:space="preserve">, has created a perilous situation of great insecurity for women and girls, exacerbated by </w:t>
            </w:r>
            <w:r w:rsidR="005E1CFB">
              <w:t xml:space="preserve">a </w:t>
            </w:r>
            <w:r w:rsidRPr="00B956FC">
              <w:t>lack of accountability for sexual and gender</w:t>
            </w:r>
            <w:r>
              <w:t>-</w:t>
            </w:r>
            <w:r w:rsidRPr="00B956FC">
              <w:t>based violence</w:t>
            </w:r>
            <w:r>
              <w:t>.</w:t>
            </w:r>
            <w:r w:rsidRPr="00B956FC">
              <w:t xml:space="preserve"> </w:t>
            </w:r>
            <w:r>
              <w:rPr>
                <w:lang w:val="en-US"/>
              </w:rPr>
              <w:t xml:space="preserve">Widespread </w:t>
            </w:r>
            <w:r w:rsidR="005E1CFB">
              <w:rPr>
                <w:lang w:val="en-US"/>
              </w:rPr>
              <w:t xml:space="preserve">rape and </w:t>
            </w:r>
            <w:r w:rsidRPr="00B956FC">
              <w:rPr>
                <w:lang w:val="en-US"/>
              </w:rPr>
              <w:t>sexual violence in armed conflict</w:t>
            </w:r>
            <w:r>
              <w:rPr>
                <w:lang w:val="en-US"/>
              </w:rPr>
              <w:t>,</w:t>
            </w:r>
            <w:r w:rsidRPr="00B956FC">
              <w:rPr>
                <w:lang w:val="en-US"/>
              </w:rPr>
              <w:t xml:space="preserve"> while complex</w:t>
            </w:r>
            <w:r>
              <w:rPr>
                <w:lang w:val="en-US"/>
              </w:rPr>
              <w:t>,</w:t>
            </w:r>
            <w:r w:rsidRPr="00B956FC">
              <w:rPr>
                <w:lang w:val="en-US"/>
              </w:rPr>
              <w:t xml:space="preserve"> </w:t>
            </w:r>
            <w:r>
              <w:rPr>
                <w:lang w:val="en-US"/>
              </w:rPr>
              <w:t>can be attributed to</w:t>
            </w:r>
            <w:r w:rsidRPr="00B956FC">
              <w:rPr>
                <w:lang w:val="en-US"/>
              </w:rPr>
              <w:t xml:space="preserve"> </w:t>
            </w:r>
            <w:r>
              <w:rPr>
                <w:lang w:val="en-US"/>
              </w:rPr>
              <w:t xml:space="preserve">a </w:t>
            </w:r>
            <w:r w:rsidRPr="00B956FC">
              <w:rPr>
                <w:lang w:val="en-US"/>
              </w:rPr>
              <w:t>patriarchal society</w:t>
            </w:r>
            <w:r>
              <w:rPr>
                <w:lang w:val="en-US"/>
              </w:rPr>
              <w:t>,</w:t>
            </w:r>
            <w:r w:rsidRPr="00B956FC">
              <w:rPr>
                <w:lang w:val="en-US"/>
              </w:rPr>
              <w:t xml:space="preserve"> </w:t>
            </w:r>
            <w:r w:rsidR="007261EE">
              <w:rPr>
                <w:lang w:val="en-US"/>
              </w:rPr>
              <w:t xml:space="preserve">and is </w:t>
            </w:r>
            <w:r>
              <w:rPr>
                <w:lang w:val="en-US"/>
              </w:rPr>
              <w:t xml:space="preserve">reflected in the inferior status of women </w:t>
            </w:r>
            <w:r w:rsidRPr="00B956FC">
              <w:rPr>
                <w:lang w:val="en-US"/>
              </w:rPr>
              <w:t xml:space="preserve">maintained by the </w:t>
            </w:r>
            <w:r w:rsidR="002B00D0">
              <w:rPr>
                <w:lang w:val="en-US"/>
              </w:rPr>
              <w:t>S</w:t>
            </w:r>
            <w:r w:rsidRPr="00B956FC">
              <w:rPr>
                <w:lang w:val="en-US"/>
              </w:rPr>
              <w:t xml:space="preserve">tate and </w:t>
            </w:r>
            <w:r>
              <w:rPr>
                <w:lang w:val="en-US"/>
              </w:rPr>
              <w:t xml:space="preserve">its </w:t>
            </w:r>
            <w:r w:rsidRPr="00B956FC">
              <w:rPr>
                <w:lang w:val="en-US"/>
              </w:rPr>
              <w:t>institutions</w:t>
            </w:r>
            <w:r>
              <w:rPr>
                <w:lang w:val="en-US"/>
              </w:rPr>
              <w:t>, creating conditions in which these violations thrive</w:t>
            </w:r>
            <w:r w:rsidRPr="00B956FC">
              <w:rPr>
                <w:lang w:val="en-US"/>
              </w:rPr>
              <w:t xml:space="preserve">. </w:t>
            </w:r>
          </w:p>
          <w:p w14:paraId="551D62F3" w14:textId="77777777" w:rsidR="00CD4D77" w:rsidRDefault="00CD4D77" w:rsidP="0074717A">
            <w:pPr>
              <w:pStyle w:val="SingleTxtG"/>
              <w:spacing w:line="230" w:lineRule="atLeast"/>
              <w:ind w:firstLine="567"/>
            </w:pPr>
            <w:r w:rsidRPr="00B956FC">
              <w:rPr>
                <w:lang w:val="en-US"/>
              </w:rPr>
              <w:t>Sexual violence in South Sudan has been instrumentalized</w:t>
            </w:r>
            <w:r>
              <w:rPr>
                <w:lang w:val="en-US"/>
              </w:rPr>
              <w:t xml:space="preserve"> </w:t>
            </w:r>
            <w:r w:rsidRPr="00B956FC">
              <w:rPr>
                <w:lang w:val="en-US"/>
              </w:rPr>
              <w:t xml:space="preserve">as a </w:t>
            </w:r>
            <w:r w:rsidRPr="00854F14">
              <w:rPr>
                <w:lang w:val="en-US"/>
              </w:rPr>
              <w:t xml:space="preserve">reward </w:t>
            </w:r>
            <w:r w:rsidRPr="00B956FC">
              <w:rPr>
                <w:lang w:val="en-US"/>
              </w:rPr>
              <w:t xml:space="preserve">and entitlement </w:t>
            </w:r>
            <w:r w:rsidRPr="00854F14">
              <w:rPr>
                <w:lang w:val="en-US"/>
              </w:rPr>
              <w:t xml:space="preserve">for </w:t>
            </w:r>
            <w:r w:rsidRPr="00B956FC">
              <w:rPr>
                <w:lang w:val="en-US"/>
              </w:rPr>
              <w:t xml:space="preserve">youth </w:t>
            </w:r>
            <w:r>
              <w:rPr>
                <w:lang w:val="en-US"/>
              </w:rPr>
              <w:t xml:space="preserve">and men participating </w:t>
            </w:r>
            <w:r w:rsidRPr="00B956FC">
              <w:rPr>
                <w:lang w:val="en-US"/>
              </w:rPr>
              <w:t>in conflict</w:t>
            </w:r>
            <w:r>
              <w:rPr>
                <w:lang w:val="en-US"/>
              </w:rPr>
              <w:t xml:space="preserve">. It serves </w:t>
            </w:r>
            <w:r w:rsidRPr="00B956FC">
              <w:rPr>
                <w:lang w:val="en-US"/>
              </w:rPr>
              <w:t xml:space="preserve">as a </w:t>
            </w:r>
            <w:r w:rsidRPr="00854F14">
              <w:rPr>
                <w:lang w:val="en-US"/>
              </w:rPr>
              <w:t xml:space="preserve">means of building </w:t>
            </w:r>
            <w:r w:rsidRPr="00B956FC">
              <w:rPr>
                <w:lang w:val="en-US"/>
              </w:rPr>
              <w:t xml:space="preserve">ethnic </w:t>
            </w:r>
            <w:r w:rsidRPr="00854F14">
              <w:rPr>
                <w:lang w:val="en-US"/>
              </w:rPr>
              <w:t>solidarity</w:t>
            </w:r>
            <w:r>
              <w:rPr>
                <w:lang w:val="en-US"/>
              </w:rPr>
              <w:t xml:space="preserve"> to mete out </w:t>
            </w:r>
            <w:r w:rsidRPr="00854F14">
              <w:rPr>
                <w:lang w:val="en-US"/>
              </w:rPr>
              <w:t>retribution</w:t>
            </w:r>
            <w:r w:rsidRPr="00B956FC">
              <w:rPr>
                <w:lang w:val="en-US"/>
              </w:rPr>
              <w:t xml:space="preserve"> against </w:t>
            </w:r>
            <w:r>
              <w:rPr>
                <w:lang w:val="en-US"/>
              </w:rPr>
              <w:t>perceived enemies; t</w:t>
            </w:r>
            <w:r w:rsidRPr="00B956FC">
              <w:rPr>
                <w:lang w:val="en-US"/>
              </w:rPr>
              <w:t xml:space="preserve">he objective </w:t>
            </w:r>
            <w:r>
              <w:rPr>
                <w:lang w:val="en-US"/>
              </w:rPr>
              <w:t xml:space="preserve">being to inflict maximum disruption and the </w:t>
            </w:r>
            <w:r w:rsidRPr="00B956FC">
              <w:rPr>
                <w:lang w:val="en-US"/>
              </w:rPr>
              <w:t xml:space="preserve">destruction of </w:t>
            </w:r>
            <w:r w:rsidRPr="00854F14">
              <w:rPr>
                <w:lang w:val="en-US"/>
              </w:rPr>
              <w:t xml:space="preserve">the </w:t>
            </w:r>
            <w:r>
              <w:rPr>
                <w:lang w:val="en-US"/>
              </w:rPr>
              <w:t xml:space="preserve">fabric of </w:t>
            </w:r>
            <w:r w:rsidRPr="00B956FC">
              <w:rPr>
                <w:lang w:val="en-US"/>
              </w:rPr>
              <w:t>communities</w:t>
            </w:r>
            <w:r>
              <w:rPr>
                <w:lang w:val="en-US"/>
              </w:rPr>
              <w:t>,</w:t>
            </w:r>
            <w:r w:rsidRPr="00B956FC">
              <w:rPr>
                <w:lang w:val="en-US"/>
              </w:rPr>
              <w:t xml:space="preserve"> including through their constant displacement</w:t>
            </w:r>
            <w:r>
              <w:rPr>
                <w:lang w:val="en-US"/>
              </w:rPr>
              <w:t xml:space="preserve">. This scourge </w:t>
            </w:r>
            <w:r w:rsidRPr="00B956FC">
              <w:rPr>
                <w:lang w:val="en-US"/>
              </w:rPr>
              <w:t xml:space="preserve">has </w:t>
            </w:r>
            <w:r>
              <w:rPr>
                <w:lang w:val="en-US"/>
              </w:rPr>
              <w:t xml:space="preserve">had </w:t>
            </w:r>
            <w:r w:rsidRPr="00B956FC">
              <w:rPr>
                <w:lang w:val="en-US"/>
              </w:rPr>
              <w:t xml:space="preserve">the most </w:t>
            </w:r>
            <w:r w:rsidRPr="00B956FC">
              <w:t>profound impact on victims, their families and communities.</w:t>
            </w:r>
          </w:p>
          <w:p w14:paraId="6369ECF3" w14:textId="77777777" w:rsidR="00CD4D77" w:rsidRDefault="00CD4D77" w:rsidP="0074717A">
            <w:pPr>
              <w:pStyle w:val="SingleTxtG"/>
              <w:spacing w:line="230" w:lineRule="atLeast"/>
              <w:ind w:firstLine="567"/>
            </w:pPr>
            <w:r>
              <w:t xml:space="preserve">Drawing on the Commission’s documentation of testimonies of survivors and witnesses, this paper highlights incidents, patterns and impact of the gross human rights violations and </w:t>
            </w:r>
            <w:r>
              <w:lastRenderedPageBreak/>
              <w:t xml:space="preserve">abuses against women and girls. While the Commission has documented incidents of rape and sexual violence against men and boys, this phenomenon continues to be underreported. </w:t>
            </w:r>
          </w:p>
          <w:p w14:paraId="71B41CF6" w14:textId="58DCAAFE" w:rsidR="00CD4D77" w:rsidRPr="00A307C6" w:rsidRDefault="00CD4D77" w:rsidP="0074717A">
            <w:pPr>
              <w:pStyle w:val="SingleTxtG"/>
              <w:spacing w:line="230" w:lineRule="atLeast"/>
              <w:ind w:firstLine="567"/>
            </w:pPr>
            <w:r>
              <w:t>The Commission acknowledges the initiatives taken by the Government of South Sudan to address sexual and gender-based violence including through establishing a Special Court and military prosecutions. Nevertheless, these measures remain woefully inadequate, given the scale and extent of conflict</w:t>
            </w:r>
            <w:r w:rsidR="005E1CFB">
              <w:t>-</w:t>
            </w:r>
            <w:r>
              <w:t xml:space="preserve">related sexual violence in the country. The Commission notes that the Government of South Sudan has the primary obligation to end </w:t>
            </w:r>
            <w:r w:rsidRPr="00417784">
              <w:rPr>
                <w:lang w:val="en-US"/>
              </w:rPr>
              <w:t>impunity for all forms of violence against women and girl</w:t>
            </w:r>
            <w:r w:rsidR="005E1CFB">
              <w:rPr>
                <w:lang w:val="en-US"/>
              </w:rPr>
              <w:t>s</w:t>
            </w:r>
            <w:r w:rsidRPr="00417784">
              <w:rPr>
                <w:lang w:val="en-US"/>
              </w:rPr>
              <w:t xml:space="preserve"> during and after armed conflicts, especially sexual violence</w:t>
            </w:r>
            <w:r>
              <w:rPr>
                <w:lang w:val="en-US"/>
              </w:rPr>
              <w:t>.</w:t>
            </w:r>
            <w:r>
              <w:t xml:space="preserve"> The Commission notes with grave concern the Government of South Sudan’s lack of progress in implementing key aspects of the 2018 Revitalized Peace Agreement, which provide the basis for addressing the persistent conflict and insecurity in which conflict-related sexual violence takes place. </w:t>
            </w:r>
          </w:p>
        </w:tc>
      </w:tr>
      <w:tr w:rsidR="00CD4D77" w:rsidRPr="00A307C6" w14:paraId="254A2A20" w14:textId="77777777" w:rsidTr="00CD4D77">
        <w:trPr>
          <w:jc w:val="center"/>
        </w:trPr>
        <w:tc>
          <w:tcPr>
            <w:tcW w:w="9625" w:type="dxa"/>
            <w:tcBorders>
              <w:top w:val="nil"/>
            </w:tcBorders>
          </w:tcPr>
          <w:p w14:paraId="04860A6A" w14:textId="77777777" w:rsidR="00CD4D77" w:rsidRPr="00A307C6" w:rsidRDefault="00CD4D77" w:rsidP="00E82108"/>
        </w:tc>
      </w:tr>
    </w:tbl>
    <w:p w14:paraId="293EC825" w14:textId="77777777" w:rsidR="00CD4D77" w:rsidRPr="00A307C6" w:rsidRDefault="00CD4D77" w:rsidP="00CD4D77"/>
    <w:p w14:paraId="36921731" w14:textId="77777777" w:rsidR="00CD4D77" w:rsidRDefault="00CD4D77">
      <w:pPr>
        <w:rPr>
          <w:b/>
          <w:bCs/>
          <w:sz w:val="28"/>
          <w:szCs w:val="28"/>
          <w:highlight w:val="yellow"/>
        </w:rPr>
      </w:pPr>
      <w:r>
        <w:rPr>
          <w:b/>
          <w:bCs/>
          <w:sz w:val="28"/>
          <w:szCs w:val="28"/>
          <w:highlight w:val="yellow"/>
        </w:rPr>
        <w:br w:type="page"/>
      </w:r>
    </w:p>
    <w:sdt>
      <w:sdtPr>
        <w:rPr>
          <w:rFonts w:asciiTheme="majorBidi" w:eastAsiaTheme="minorHAnsi" w:hAnsiTheme="majorBidi" w:cs="Times New Roman"/>
          <w:color w:val="auto"/>
          <w:sz w:val="28"/>
          <w:szCs w:val="28"/>
        </w:rPr>
        <w:id w:val="-1115446776"/>
        <w:docPartObj>
          <w:docPartGallery w:val="Table of Contents"/>
          <w:docPartUnique/>
        </w:docPartObj>
      </w:sdtPr>
      <w:sdtEndPr>
        <w:rPr>
          <w:rFonts w:ascii="Times New Roman" w:hAnsi="Times New Roman"/>
          <w:b/>
          <w:bCs/>
          <w:noProof/>
          <w:sz w:val="20"/>
          <w:szCs w:val="20"/>
        </w:rPr>
      </w:sdtEndPr>
      <w:sdtContent>
        <w:p w14:paraId="6CC5800B" w14:textId="7F6DF3D0" w:rsidR="00AE1CB5" w:rsidRPr="0074717A" w:rsidRDefault="00AE1CB5">
          <w:pPr>
            <w:pStyle w:val="TOCHeading"/>
            <w:rPr>
              <w:rFonts w:asciiTheme="majorBidi" w:hAnsiTheme="majorBidi"/>
              <w:bCs/>
              <w:color w:val="auto"/>
              <w:sz w:val="28"/>
              <w:szCs w:val="28"/>
            </w:rPr>
          </w:pPr>
          <w:r w:rsidRPr="0074717A">
            <w:rPr>
              <w:rFonts w:asciiTheme="majorBidi" w:hAnsiTheme="majorBidi"/>
              <w:bCs/>
              <w:color w:val="auto"/>
              <w:sz w:val="28"/>
              <w:szCs w:val="28"/>
            </w:rPr>
            <w:t>Contents</w:t>
          </w:r>
        </w:p>
        <w:p w14:paraId="08281842" w14:textId="78D08A3A" w:rsidR="00AE1CB5" w:rsidRDefault="00AE1CB5" w:rsidP="00AE14A4">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98606439" w:history="1">
            <w:r w:rsidRPr="00EF7C9D">
              <w:rPr>
                <w:rStyle w:val="Hyperlink"/>
              </w:rPr>
              <w:t>I</w:t>
            </w:r>
            <w:r w:rsidR="00AE14A4">
              <w:rPr>
                <w:rStyle w:val="Hyperlink"/>
              </w:rPr>
              <w:t>.</w:t>
            </w:r>
            <w:r>
              <w:rPr>
                <w:rStyle w:val="Hyperlink"/>
              </w:rPr>
              <w:t xml:space="preserve">     </w:t>
            </w:r>
            <w:r w:rsidRPr="00EF7C9D">
              <w:rPr>
                <w:rStyle w:val="Hyperlink"/>
              </w:rPr>
              <w:t>Introduction</w:t>
            </w:r>
            <w:r>
              <w:rPr>
                <w:webHidden/>
              </w:rPr>
              <w:tab/>
            </w:r>
            <w:r>
              <w:rPr>
                <w:webHidden/>
              </w:rPr>
              <w:fldChar w:fldCharType="begin"/>
            </w:r>
            <w:r>
              <w:rPr>
                <w:webHidden/>
              </w:rPr>
              <w:instrText xml:space="preserve"> PAGEREF _Toc98606439 \h </w:instrText>
            </w:r>
            <w:r>
              <w:rPr>
                <w:webHidden/>
              </w:rPr>
            </w:r>
            <w:r>
              <w:rPr>
                <w:webHidden/>
              </w:rPr>
              <w:fldChar w:fldCharType="separate"/>
            </w:r>
            <w:r w:rsidR="00D64AC4">
              <w:rPr>
                <w:webHidden/>
              </w:rPr>
              <w:t>3</w:t>
            </w:r>
            <w:r>
              <w:rPr>
                <w:webHidden/>
              </w:rPr>
              <w:fldChar w:fldCharType="end"/>
            </w:r>
          </w:hyperlink>
        </w:p>
        <w:p w14:paraId="05374890" w14:textId="660C2CDE" w:rsidR="00AE1CB5" w:rsidRDefault="00D64AC4" w:rsidP="00AE14A4">
          <w:pPr>
            <w:pStyle w:val="TOC1"/>
            <w:rPr>
              <w:rFonts w:asciiTheme="minorHAnsi" w:eastAsiaTheme="minorEastAsia" w:hAnsiTheme="minorHAnsi" w:cstheme="minorBidi"/>
              <w:sz w:val="22"/>
              <w:szCs w:val="22"/>
              <w:lang w:val="en-US"/>
            </w:rPr>
          </w:pPr>
          <w:hyperlink w:anchor="_Toc98606440" w:history="1">
            <w:r w:rsidR="00AE1CB5" w:rsidRPr="00EF7C9D">
              <w:rPr>
                <w:rStyle w:val="Hyperlink"/>
              </w:rPr>
              <w:t>II.</w:t>
            </w:r>
            <w:r w:rsidR="00AE1CB5">
              <w:rPr>
                <w:rFonts w:asciiTheme="minorHAnsi" w:eastAsiaTheme="minorEastAsia" w:hAnsiTheme="minorHAnsi" w:cstheme="minorBidi"/>
                <w:sz w:val="22"/>
                <w:szCs w:val="22"/>
                <w:lang w:val="en-US"/>
              </w:rPr>
              <w:t xml:space="preserve">    </w:t>
            </w:r>
            <w:r w:rsidR="00AE1CB5" w:rsidRPr="00EF7C9D">
              <w:rPr>
                <w:rStyle w:val="Hyperlink"/>
              </w:rPr>
              <w:t>Mandate and methodology</w:t>
            </w:r>
            <w:r w:rsidR="00AE1CB5">
              <w:rPr>
                <w:webHidden/>
              </w:rPr>
              <w:tab/>
            </w:r>
            <w:r w:rsidR="00AE1CB5">
              <w:rPr>
                <w:webHidden/>
              </w:rPr>
              <w:fldChar w:fldCharType="begin"/>
            </w:r>
            <w:r w:rsidR="00AE1CB5">
              <w:rPr>
                <w:webHidden/>
              </w:rPr>
              <w:instrText xml:space="preserve"> PAGEREF _Toc98606440 \h </w:instrText>
            </w:r>
            <w:r w:rsidR="00AE1CB5">
              <w:rPr>
                <w:webHidden/>
              </w:rPr>
            </w:r>
            <w:r w:rsidR="00AE1CB5">
              <w:rPr>
                <w:webHidden/>
              </w:rPr>
              <w:fldChar w:fldCharType="separate"/>
            </w:r>
            <w:r>
              <w:rPr>
                <w:webHidden/>
              </w:rPr>
              <w:t>4</w:t>
            </w:r>
            <w:r w:rsidR="00AE1CB5">
              <w:rPr>
                <w:webHidden/>
              </w:rPr>
              <w:fldChar w:fldCharType="end"/>
            </w:r>
          </w:hyperlink>
        </w:p>
        <w:p w14:paraId="34E772B6" w14:textId="48C880BF" w:rsidR="00AE1CB5" w:rsidRPr="001F18CA" w:rsidRDefault="00AE1CB5" w:rsidP="00AE14A4">
          <w:pPr>
            <w:pStyle w:val="TOC2"/>
            <w:rPr>
              <w:rFonts w:asciiTheme="minorHAnsi" w:eastAsiaTheme="minorEastAsia" w:hAnsiTheme="minorHAnsi" w:cstheme="minorBidi"/>
              <w:sz w:val="22"/>
              <w:szCs w:val="22"/>
              <w:lang w:val="en-US"/>
            </w:rPr>
          </w:pPr>
          <w:r>
            <w:rPr>
              <w:rStyle w:val="Hyperlink"/>
            </w:rPr>
            <w:t xml:space="preserve">        </w:t>
          </w:r>
          <w:r w:rsidRPr="001F18CA">
            <w:rPr>
              <w:rStyle w:val="Hyperlink"/>
            </w:rPr>
            <w:t xml:space="preserve"> </w:t>
          </w:r>
          <w:hyperlink w:anchor="_Toc98606441" w:history="1">
            <w:r w:rsidRPr="001F18CA">
              <w:rPr>
                <w:rStyle w:val="Hyperlink"/>
              </w:rPr>
              <w:t>Mandate</w:t>
            </w:r>
            <w:r w:rsidRPr="001F18CA">
              <w:rPr>
                <w:webHidden/>
              </w:rPr>
              <w:tab/>
            </w:r>
            <w:r w:rsidRPr="004D22FF">
              <w:rPr>
                <w:i w:val="0"/>
                <w:iCs w:val="0"/>
                <w:webHidden/>
              </w:rPr>
              <w:fldChar w:fldCharType="begin"/>
            </w:r>
            <w:r w:rsidRPr="004D22FF">
              <w:rPr>
                <w:i w:val="0"/>
                <w:iCs w:val="0"/>
                <w:webHidden/>
              </w:rPr>
              <w:instrText xml:space="preserve"> PAGEREF _Toc98606441 \h </w:instrText>
            </w:r>
            <w:r w:rsidRPr="004D22FF">
              <w:rPr>
                <w:i w:val="0"/>
                <w:iCs w:val="0"/>
                <w:webHidden/>
              </w:rPr>
            </w:r>
            <w:r w:rsidRPr="004D22FF">
              <w:rPr>
                <w:i w:val="0"/>
                <w:iCs w:val="0"/>
                <w:webHidden/>
              </w:rPr>
              <w:fldChar w:fldCharType="separate"/>
            </w:r>
            <w:r w:rsidR="00D64AC4">
              <w:rPr>
                <w:i w:val="0"/>
                <w:iCs w:val="0"/>
                <w:webHidden/>
              </w:rPr>
              <w:t>4</w:t>
            </w:r>
            <w:r w:rsidRPr="004D22FF">
              <w:rPr>
                <w:i w:val="0"/>
                <w:iCs w:val="0"/>
                <w:webHidden/>
              </w:rPr>
              <w:fldChar w:fldCharType="end"/>
            </w:r>
          </w:hyperlink>
        </w:p>
        <w:p w14:paraId="2E288503" w14:textId="4E3F69C6"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42" w:history="1">
            <w:r w:rsidRPr="001F18CA">
              <w:rPr>
                <w:rStyle w:val="Hyperlink"/>
              </w:rPr>
              <w:t>Methodology</w:t>
            </w:r>
            <w:r w:rsidRPr="001F18CA">
              <w:rPr>
                <w:webHidden/>
              </w:rPr>
              <w:tab/>
            </w:r>
            <w:r w:rsidRPr="004D22FF">
              <w:rPr>
                <w:i w:val="0"/>
                <w:iCs w:val="0"/>
                <w:webHidden/>
              </w:rPr>
              <w:fldChar w:fldCharType="begin"/>
            </w:r>
            <w:r w:rsidRPr="004D22FF">
              <w:rPr>
                <w:i w:val="0"/>
                <w:iCs w:val="0"/>
                <w:webHidden/>
              </w:rPr>
              <w:instrText xml:space="preserve"> PAGEREF _Toc98606442 \h </w:instrText>
            </w:r>
            <w:r w:rsidRPr="004D22FF">
              <w:rPr>
                <w:i w:val="0"/>
                <w:iCs w:val="0"/>
                <w:webHidden/>
              </w:rPr>
            </w:r>
            <w:r w:rsidRPr="004D22FF">
              <w:rPr>
                <w:i w:val="0"/>
                <w:iCs w:val="0"/>
                <w:webHidden/>
              </w:rPr>
              <w:fldChar w:fldCharType="separate"/>
            </w:r>
            <w:r w:rsidR="00D64AC4">
              <w:rPr>
                <w:i w:val="0"/>
                <w:iCs w:val="0"/>
                <w:webHidden/>
              </w:rPr>
              <w:t>4</w:t>
            </w:r>
            <w:r w:rsidRPr="004D22FF">
              <w:rPr>
                <w:i w:val="0"/>
                <w:iCs w:val="0"/>
                <w:webHidden/>
              </w:rPr>
              <w:fldChar w:fldCharType="end"/>
            </w:r>
          </w:hyperlink>
        </w:p>
        <w:p w14:paraId="63839636" w14:textId="62E23FA1"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43" w:history="1">
            <w:r w:rsidRPr="001F18CA">
              <w:rPr>
                <w:rStyle w:val="Hyperlink"/>
              </w:rPr>
              <w:t>Legal framework</w:t>
            </w:r>
            <w:r w:rsidRPr="001F18CA">
              <w:rPr>
                <w:webHidden/>
              </w:rPr>
              <w:tab/>
            </w:r>
            <w:r w:rsidRPr="004D22FF">
              <w:rPr>
                <w:i w:val="0"/>
                <w:iCs w:val="0"/>
                <w:webHidden/>
              </w:rPr>
              <w:fldChar w:fldCharType="begin"/>
            </w:r>
            <w:r w:rsidRPr="004D22FF">
              <w:rPr>
                <w:i w:val="0"/>
                <w:iCs w:val="0"/>
                <w:webHidden/>
              </w:rPr>
              <w:instrText xml:space="preserve"> PAGEREF _Toc98606443 \h </w:instrText>
            </w:r>
            <w:r w:rsidRPr="004D22FF">
              <w:rPr>
                <w:i w:val="0"/>
                <w:iCs w:val="0"/>
                <w:webHidden/>
              </w:rPr>
            </w:r>
            <w:r w:rsidRPr="004D22FF">
              <w:rPr>
                <w:i w:val="0"/>
                <w:iCs w:val="0"/>
                <w:webHidden/>
              </w:rPr>
              <w:fldChar w:fldCharType="separate"/>
            </w:r>
            <w:r w:rsidR="00D64AC4">
              <w:rPr>
                <w:i w:val="0"/>
                <w:iCs w:val="0"/>
                <w:webHidden/>
              </w:rPr>
              <w:t>6</w:t>
            </w:r>
            <w:r w:rsidRPr="004D22FF">
              <w:rPr>
                <w:i w:val="0"/>
                <w:iCs w:val="0"/>
                <w:webHidden/>
              </w:rPr>
              <w:fldChar w:fldCharType="end"/>
            </w:r>
          </w:hyperlink>
        </w:p>
        <w:p w14:paraId="4A267274" w14:textId="25EC8199" w:rsidR="00AE1CB5" w:rsidRDefault="00D64AC4" w:rsidP="00AE14A4">
          <w:pPr>
            <w:pStyle w:val="TOC1"/>
            <w:rPr>
              <w:rFonts w:asciiTheme="minorHAnsi" w:eastAsiaTheme="minorEastAsia" w:hAnsiTheme="minorHAnsi" w:cstheme="minorBidi"/>
              <w:sz w:val="22"/>
              <w:szCs w:val="22"/>
              <w:lang w:val="en-US"/>
            </w:rPr>
          </w:pPr>
          <w:hyperlink w:anchor="_Toc98606444" w:history="1">
            <w:r w:rsidR="00AE1CB5" w:rsidRPr="00EF7C9D">
              <w:rPr>
                <w:rStyle w:val="Hyperlink"/>
              </w:rPr>
              <w:t>III.</w:t>
            </w:r>
            <w:r w:rsidR="00AE1CB5">
              <w:rPr>
                <w:rFonts w:asciiTheme="minorHAnsi" w:eastAsiaTheme="minorEastAsia" w:hAnsiTheme="minorHAnsi" w:cstheme="minorBidi"/>
                <w:sz w:val="22"/>
                <w:szCs w:val="22"/>
                <w:lang w:val="en-US"/>
              </w:rPr>
              <w:t xml:space="preserve">   </w:t>
            </w:r>
            <w:r w:rsidR="00AE1CB5" w:rsidRPr="00EF7C9D">
              <w:rPr>
                <w:rStyle w:val="Hyperlink"/>
              </w:rPr>
              <w:t>Gender inequality and its links to conflict-related sexual violence</w:t>
            </w:r>
            <w:r w:rsidR="00AE1CB5">
              <w:rPr>
                <w:webHidden/>
              </w:rPr>
              <w:tab/>
            </w:r>
            <w:r w:rsidR="00AE1CB5">
              <w:rPr>
                <w:webHidden/>
              </w:rPr>
              <w:fldChar w:fldCharType="begin"/>
            </w:r>
            <w:r w:rsidR="00AE1CB5">
              <w:rPr>
                <w:webHidden/>
              </w:rPr>
              <w:instrText xml:space="preserve"> PAGEREF _Toc98606444 \h </w:instrText>
            </w:r>
            <w:r w:rsidR="00AE1CB5">
              <w:rPr>
                <w:webHidden/>
              </w:rPr>
            </w:r>
            <w:r w:rsidR="00AE1CB5">
              <w:rPr>
                <w:webHidden/>
              </w:rPr>
              <w:fldChar w:fldCharType="separate"/>
            </w:r>
            <w:r>
              <w:rPr>
                <w:webHidden/>
              </w:rPr>
              <w:t>7</w:t>
            </w:r>
            <w:r w:rsidR="00AE1CB5">
              <w:rPr>
                <w:webHidden/>
              </w:rPr>
              <w:fldChar w:fldCharType="end"/>
            </w:r>
          </w:hyperlink>
        </w:p>
        <w:p w14:paraId="4001A801" w14:textId="647578DB" w:rsidR="00AE1CB5" w:rsidRDefault="00D64AC4" w:rsidP="00AE14A4">
          <w:pPr>
            <w:pStyle w:val="TOC1"/>
            <w:rPr>
              <w:rFonts w:asciiTheme="minorHAnsi" w:eastAsiaTheme="minorEastAsia" w:hAnsiTheme="minorHAnsi" w:cstheme="minorBidi"/>
              <w:sz w:val="22"/>
              <w:szCs w:val="22"/>
              <w:lang w:val="en-US"/>
            </w:rPr>
          </w:pPr>
          <w:hyperlink w:anchor="_Toc98606445" w:history="1">
            <w:r w:rsidR="00AE1CB5" w:rsidRPr="00EF7C9D">
              <w:rPr>
                <w:rStyle w:val="Hyperlink"/>
              </w:rPr>
              <w:t>IV.</w:t>
            </w:r>
            <w:r w:rsidR="00AE1CB5">
              <w:rPr>
                <w:rFonts w:asciiTheme="minorHAnsi" w:eastAsiaTheme="minorEastAsia" w:hAnsiTheme="minorHAnsi" w:cstheme="minorBidi"/>
                <w:sz w:val="22"/>
                <w:szCs w:val="22"/>
                <w:lang w:val="en-US"/>
              </w:rPr>
              <w:t xml:space="preserve">   </w:t>
            </w:r>
            <w:r w:rsidR="00AE1CB5" w:rsidRPr="00EF7C9D">
              <w:rPr>
                <w:rStyle w:val="Hyperlink"/>
              </w:rPr>
              <w:t>Conflict-related sexual violence against women and girls in South Sudan</w:t>
            </w:r>
            <w:r w:rsidR="00AE1CB5">
              <w:rPr>
                <w:webHidden/>
              </w:rPr>
              <w:tab/>
            </w:r>
            <w:r w:rsidR="00AE1CB5">
              <w:rPr>
                <w:webHidden/>
              </w:rPr>
              <w:fldChar w:fldCharType="begin"/>
            </w:r>
            <w:r w:rsidR="00AE1CB5">
              <w:rPr>
                <w:webHidden/>
              </w:rPr>
              <w:instrText xml:space="preserve"> PAGEREF _Toc98606445 \h </w:instrText>
            </w:r>
            <w:r w:rsidR="00AE1CB5">
              <w:rPr>
                <w:webHidden/>
              </w:rPr>
            </w:r>
            <w:r w:rsidR="00AE1CB5">
              <w:rPr>
                <w:webHidden/>
              </w:rPr>
              <w:fldChar w:fldCharType="separate"/>
            </w:r>
            <w:r>
              <w:rPr>
                <w:webHidden/>
              </w:rPr>
              <w:t>8</w:t>
            </w:r>
            <w:r w:rsidR="00AE1CB5">
              <w:rPr>
                <w:webHidden/>
              </w:rPr>
              <w:fldChar w:fldCharType="end"/>
            </w:r>
          </w:hyperlink>
        </w:p>
        <w:p w14:paraId="1A96FC5E" w14:textId="68CDB957" w:rsidR="00AE1CB5" w:rsidRDefault="00D64AC4" w:rsidP="00AE14A4">
          <w:pPr>
            <w:pStyle w:val="TOC1"/>
            <w:rPr>
              <w:rFonts w:asciiTheme="minorHAnsi" w:eastAsiaTheme="minorEastAsia" w:hAnsiTheme="minorHAnsi" w:cstheme="minorBidi"/>
              <w:sz w:val="22"/>
              <w:szCs w:val="22"/>
              <w:lang w:val="en-US"/>
            </w:rPr>
          </w:pPr>
          <w:hyperlink w:anchor="_Toc98606446" w:history="1">
            <w:r w:rsidR="00AE1CB5" w:rsidRPr="00EF7C9D">
              <w:rPr>
                <w:rStyle w:val="Hyperlink"/>
              </w:rPr>
              <w:t>A.</w:t>
            </w:r>
            <w:r w:rsidR="00AE1CB5">
              <w:rPr>
                <w:rFonts w:asciiTheme="minorHAnsi" w:eastAsiaTheme="minorEastAsia" w:hAnsiTheme="minorHAnsi" w:cstheme="minorBidi"/>
                <w:sz w:val="22"/>
                <w:szCs w:val="22"/>
                <w:lang w:val="en-US"/>
              </w:rPr>
              <w:tab/>
            </w:r>
            <w:r w:rsidR="00AE1CB5" w:rsidRPr="00EF7C9D">
              <w:rPr>
                <w:rStyle w:val="Hyperlink"/>
              </w:rPr>
              <w:t>Rape and other forms of sexual violence</w:t>
            </w:r>
            <w:r w:rsidR="00AE1CB5">
              <w:rPr>
                <w:webHidden/>
              </w:rPr>
              <w:tab/>
            </w:r>
            <w:r w:rsidR="00AE1CB5">
              <w:rPr>
                <w:webHidden/>
              </w:rPr>
              <w:fldChar w:fldCharType="begin"/>
            </w:r>
            <w:r w:rsidR="00AE1CB5">
              <w:rPr>
                <w:webHidden/>
              </w:rPr>
              <w:instrText xml:space="preserve"> PAGEREF _Toc98606446 \h </w:instrText>
            </w:r>
            <w:r w:rsidR="00AE1CB5">
              <w:rPr>
                <w:webHidden/>
              </w:rPr>
            </w:r>
            <w:r w:rsidR="00AE1CB5">
              <w:rPr>
                <w:webHidden/>
              </w:rPr>
              <w:fldChar w:fldCharType="separate"/>
            </w:r>
            <w:r>
              <w:rPr>
                <w:webHidden/>
              </w:rPr>
              <w:t>9</w:t>
            </w:r>
            <w:r w:rsidR="00AE1CB5">
              <w:rPr>
                <w:webHidden/>
              </w:rPr>
              <w:fldChar w:fldCharType="end"/>
            </w:r>
          </w:hyperlink>
        </w:p>
        <w:p w14:paraId="2D5C58FF" w14:textId="7E32D4FF" w:rsidR="00AE1CB5" w:rsidRPr="001F18CA" w:rsidRDefault="00AE1CB5" w:rsidP="00AE14A4">
          <w:pPr>
            <w:pStyle w:val="TOC2"/>
            <w:rPr>
              <w:rFonts w:asciiTheme="minorHAnsi" w:eastAsiaTheme="minorEastAsia" w:hAnsiTheme="minorHAnsi" w:cstheme="minorBidi"/>
              <w:sz w:val="22"/>
              <w:szCs w:val="22"/>
              <w:lang w:val="en-US"/>
            </w:rPr>
          </w:pPr>
          <w:r>
            <w:rPr>
              <w:rStyle w:val="Hyperlink"/>
            </w:rPr>
            <w:t xml:space="preserve">         </w:t>
          </w:r>
          <w:hyperlink w:anchor="_Toc98606447" w:history="1">
            <w:r w:rsidRPr="001F18CA">
              <w:rPr>
                <w:rStyle w:val="Hyperlink"/>
              </w:rPr>
              <w:t>Gang rape and mass rape</w:t>
            </w:r>
            <w:r w:rsidRPr="001F18CA">
              <w:rPr>
                <w:webHidden/>
              </w:rPr>
              <w:tab/>
            </w:r>
            <w:r w:rsidRPr="00FA2F4A">
              <w:rPr>
                <w:i w:val="0"/>
                <w:iCs w:val="0"/>
                <w:webHidden/>
              </w:rPr>
              <w:fldChar w:fldCharType="begin"/>
            </w:r>
            <w:r w:rsidRPr="00FA2F4A">
              <w:rPr>
                <w:i w:val="0"/>
                <w:iCs w:val="0"/>
                <w:webHidden/>
              </w:rPr>
              <w:instrText xml:space="preserve"> PAGEREF _Toc98606447 \h </w:instrText>
            </w:r>
            <w:r w:rsidRPr="00FA2F4A">
              <w:rPr>
                <w:i w:val="0"/>
                <w:iCs w:val="0"/>
                <w:webHidden/>
              </w:rPr>
            </w:r>
            <w:r w:rsidRPr="00FA2F4A">
              <w:rPr>
                <w:i w:val="0"/>
                <w:iCs w:val="0"/>
                <w:webHidden/>
              </w:rPr>
              <w:fldChar w:fldCharType="separate"/>
            </w:r>
            <w:r w:rsidR="00D64AC4">
              <w:rPr>
                <w:i w:val="0"/>
                <w:iCs w:val="0"/>
                <w:webHidden/>
              </w:rPr>
              <w:t>9</w:t>
            </w:r>
            <w:r w:rsidRPr="00FA2F4A">
              <w:rPr>
                <w:i w:val="0"/>
                <w:iCs w:val="0"/>
                <w:webHidden/>
              </w:rPr>
              <w:fldChar w:fldCharType="end"/>
            </w:r>
          </w:hyperlink>
        </w:p>
        <w:p w14:paraId="4ACF06FA" w14:textId="5CF935B7"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48" w:history="1">
            <w:r w:rsidRPr="001F18CA">
              <w:rPr>
                <w:rStyle w:val="Hyperlink"/>
              </w:rPr>
              <w:t>Abductions, detentions and sexual slavery</w:t>
            </w:r>
            <w:r w:rsidRPr="001F18CA">
              <w:rPr>
                <w:webHidden/>
              </w:rPr>
              <w:tab/>
            </w:r>
            <w:r w:rsidRPr="004D22FF">
              <w:rPr>
                <w:i w:val="0"/>
                <w:iCs w:val="0"/>
                <w:webHidden/>
              </w:rPr>
              <w:fldChar w:fldCharType="begin"/>
            </w:r>
            <w:r w:rsidRPr="004D22FF">
              <w:rPr>
                <w:i w:val="0"/>
                <w:iCs w:val="0"/>
                <w:webHidden/>
              </w:rPr>
              <w:instrText xml:space="preserve"> PAGEREF _Toc98606448 \h </w:instrText>
            </w:r>
            <w:r w:rsidRPr="004D22FF">
              <w:rPr>
                <w:i w:val="0"/>
                <w:iCs w:val="0"/>
                <w:webHidden/>
              </w:rPr>
            </w:r>
            <w:r w:rsidRPr="004D22FF">
              <w:rPr>
                <w:i w:val="0"/>
                <w:iCs w:val="0"/>
                <w:webHidden/>
              </w:rPr>
              <w:fldChar w:fldCharType="separate"/>
            </w:r>
            <w:r w:rsidR="00D64AC4">
              <w:rPr>
                <w:i w:val="0"/>
                <w:iCs w:val="0"/>
                <w:webHidden/>
              </w:rPr>
              <w:t>11</w:t>
            </w:r>
            <w:r w:rsidRPr="004D22FF">
              <w:rPr>
                <w:i w:val="0"/>
                <w:iCs w:val="0"/>
                <w:webHidden/>
              </w:rPr>
              <w:fldChar w:fldCharType="end"/>
            </w:r>
          </w:hyperlink>
        </w:p>
        <w:p w14:paraId="034B8495" w14:textId="7DAFFB01"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49" w:history="1">
            <w:r w:rsidRPr="001F18CA">
              <w:rPr>
                <w:rStyle w:val="Hyperlink"/>
              </w:rPr>
              <w:t>Sexual Torture, Beatings and Cruel and Inhuman Treatment</w:t>
            </w:r>
            <w:r w:rsidRPr="001F18CA">
              <w:rPr>
                <w:webHidden/>
              </w:rPr>
              <w:tab/>
            </w:r>
            <w:r w:rsidRPr="004D22FF">
              <w:rPr>
                <w:i w:val="0"/>
                <w:iCs w:val="0"/>
                <w:webHidden/>
              </w:rPr>
              <w:fldChar w:fldCharType="begin"/>
            </w:r>
            <w:r w:rsidRPr="004D22FF">
              <w:rPr>
                <w:i w:val="0"/>
                <w:iCs w:val="0"/>
                <w:webHidden/>
              </w:rPr>
              <w:instrText xml:space="preserve"> PAGEREF _Toc98606449 \h </w:instrText>
            </w:r>
            <w:r w:rsidRPr="004D22FF">
              <w:rPr>
                <w:i w:val="0"/>
                <w:iCs w:val="0"/>
                <w:webHidden/>
              </w:rPr>
            </w:r>
            <w:r w:rsidRPr="004D22FF">
              <w:rPr>
                <w:i w:val="0"/>
                <w:iCs w:val="0"/>
                <w:webHidden/>
              </w:rPr>
              <w:fldChar w:fldCharType="separate"/>
            </w:r>
            <w:r w:rsidR="00D64AC4">
              <w:rPr>
                <w:i w:val="0"/>
                <w:iCs w:val="0"/>
                <w:webHidden/>
              </w:rPr>
              <w:t>12</w:t>
            </w:r>
            <w:r w:rsidRPr="004D22FF">
              <w:rPr>
                <w:i w:val="0"/>
                <w:iCs w:val="0"/>
                <w:webHidden/>
              </w:rPr>
              <w:fldChar w:fldCharType="end"/>
            </w:r>
          </w:hyperlink>
        </w:p>
        <w:p w14:paraId="032A00DB" w14:textId="426D3468"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50" w:history="1">
            <w:r w:rsidRPr="001F18CA">
              <w:rPr>
                <w:rStyle w:val="Hyperlink"/>
              </w:rPr>
              <w:t>Forced to witness sexual violence</w:t>
            </w:r>
            <w:r w:rsidRPr="001F18CA">
              <w:rPr>
                <w:webHidden/>
              </w:rPr>
              <w:tab/>
            </w:r>
            <w:r w:rsidRPr="004D22FF">
              <w:rPr>
                <w:i w:val="0"/>
                <w:iCs w:val="0"/>
                <w:webHidden/>
              </w:rPr>
              <w:fldChar w:fldCharType="begin"/>
            </w:r>
            <w:r w:rsidRPr="004D22FF">
              <w:rPr>
                <w:i w:val="0"/>
                <w:iCs w:val="0"/>
                <w:webHidden/>
              </w:rPr>
              <w:instrText xml:space="preserve"> PAGEREF _Toc98606450 \h </w:instrText>
            </w:r>
            <w:r w:rsidRPr="004D22FF">
              <w:rPr>
                <w:i w:val="0"/>
                <w:iCs w:val="0"/>
                <w:webHidden/>
              </w:rPr>
            </w:r>
            <w:r w:rsidRPr="004D22FF">
              <w:rPr>
                <w:i w:val="0"/>
                <w:iCs w:val="0"/>
                <w:webHidden/>
              </w:rPr>
              <w:fldChar w:fldCharType="separate"/>
            </w:r>
            <w:r w:rsidR="00D64AC4">
              <w:rPr>
                <w:i w:val="0"/>
                <w:iCs w:val="0"/>
                <w:webHidden/>
              </w:rPr>
              <w:t>13</w:t>
            </w:r>
            <w:r w:rsidRPr="004D22FF">
              <w:rPr>
                <w:i w:val="0"/>
                <w:iCs w:val="0"/>
                <w:webHidden/>
              </w:rPr>
              <w:fldChar w:fldCharType="end"/>
            </w:r>
          </w:hyperlink>
        </w:p>
        <w:p w14:paraId="7D6F71ED" w14:textId="3FE9AE60"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51" w:history="1">
            <w:r w:rsidRPr="001F18CA">
              <w:rPr>
                <w:rStyle w:val="Hyperlink"/>
              </w:rPr>
              <w:t>Forced unprotected sex, and unwanted pregnancies</w:t>
            </w:r>
            <w:r w:rsidRPr="001F18CA">
              <w:rPr>
                <w:webHidden/>
              </w:rPr>
              <w:tab/>
            </w:r>
            <w:r w:rsidRPr="004D22FF">
              <w:rPr>
                <w:i w:val="0"/>
                <w:iCs w:val="0"/>
                <w:webHidden/>
              </w:rPr>
              <w:fldChar w:fldCharType="begin"/>
            </w:r>
            <w:r w:rsidRPr="004D22FF">
              <w:rPr>
                <w:i w:val="0"/>
                <w:iCs w:val="0"/>
                <w:webHidden/>
              </w:rPr>
              <w:instrText xml:space="preserve"> PAGEREF _Toc98606451 \h </w:instrText>
            </w:r>
            <w:r w:rsidRPr="004D22FF">
              <w:rPr>
                <w:i w:val="0"/>
                <w:iCs w:val="0"/>
                <w:webHidden/>
              </w:rPr>
            </w:r>
            <w:r w:rsidRPr="004D22FF">
              <w:rPr>
                <w:i w:val="0"/>
                <w:iCs w:val="0"/>
                <w:webHidden/>
              </w:rPr>
              <w:fldChar w:fldCharType="separate"/>
            </w:r>
            <w:r w:rsidR="00D64AC4">
              <w:rPr>
                <w:i w:val="0"/>
                <w:iCs w:val="0"/>
                <w:webHidden/>
              </w:rPr>
              <w:t>14</w:t>
            </w:r>
            <w:r w:rsidRPr="004D22FF">
              <w:rPr>
                <w:i w:val="0"/>
                <w:iCs w:val="0"/>
                <w:webHidden/>
              </w:rPr>
              <w:fldChar w:fldCharType="end"/>
            </w:r>
          </w:hyperlink>
        </w:p>
        <w:p w14:paraId="377293EB" w14:textId="029A428A"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52" w:history="1">
            <w:r w:rsidRPr="001F18CA">
              <w:rPr>
                <w:rStyle w:val="Hyperlink"/>
              </w:rPr>
              <w:t>Sexual violence in the context of multiple forms of violence</w:t>
            </w:r>
            <w:r w:rsidRPr="001F18CA">
              <w:rPr>
                <w:webHidden/>
              </w:rPr>
              <w:tab/>
            </w:r>
            <w:r w:rsidRPr="004D22FF">
              <w:rPr>
                <w:i w:val="0"/>
                <w:iCs w:val="0"/>
                <w:webHidden/>
              </w:rPr>
              <w:fldChar w:fldCharType="begin"/>
            </w:r>
            <w:r w:rsidRPr="004D22FF">
              <w:rPr>
                <w:i w:val="0"/>
                <w:iCs w:val="0"/>
                <w:webHidden/>
              </w:rPr>
              <w:instrText xml:space="preserve"> PAGEREF _Toc98606452 \h </w:instrText>
            </w:r>
            <w:r w:rsidRPr="004D22FF">
              <w:rPr>
                <w:i w:val="0"/>
                <w:iCs w:val="0"/>
                <w:webHidden/>
              </w:rPr>
            </w:r>
            <w:r w:rsidRPr="004D22FF">
              <w:rPr>
                <w:i w:val="0"/>
                <w:iCs w:val="0"/>
                <w:webHidden/>
              </w:rPr>
              <w:fldChar w:fldCharType="separate"/>
            </w:r>
            <w:r w:rsidR="00D64AC4">
              <w:rPr>
                <w:i w:val="0"/>
                <w:iCs w:val="0"/>
                <w:webHidden/>
              </w:rPr>
              <w:t>15</w:t>
            </w:r>
            <w:r w:rsidRPr="004D22FF">
              <w:rPr>
                <w:i w:val="0"/>
                <w:iCs w:val="0"/>
                <w:webHidden/>
              </w:rPr>
              <w:fldChar w:fldCharType="end"/>
            </w:r>
          </w:hyperlink>
        </w:p>
        <w:p w14:paraId="41A17643" w14:textId="15F29ED0" w:rsidR="00AE1CB5" w:rsidRDefault="00D64AC4" w:rsidP="00AE14A4">
          <w:pPr>
            <w:pStyle w:val="TOC1"/>
            <w:rPr>
              <w:rFonts w:asciiTheme="minorHAnsi" w:eastAsiaTheme="minorEastAsia" w:hAnsiTheme="minorHAnsi" w:cstheme="minorBidi"/>
              <w:sz w:val="22"/>
              <w:szCs w:val="22"/>
              <w:lang w:val="en-US"/>
            </w:rPr>
          </w:pPr>
          <w:hyperlink w:anchor="_Toc98606453" w:history="1">
            <w:r w:rsidR="00AE1CB5" w:rsidRPr="00EF7C9D">
              <w:rPr>
                <w:rStyle w:val="Hyperlink"/>
              </w:rPr>
              <w:t>B.</w:t>
            </w:r>
            <w:r w:rsidR="00AE1CB5">
              <w:rPr>
                <w:rFonts w:asciiTheme="minorHAnsi" w:eastAsiaTheme="minorEastAsia" w:hAnsiTheme="minorHAnsi" w:cstheme="minorBidi"/>
                <w:sz w:val="22"/>
                <w:szCs w:val="22"/>
                <w:lang w:val="en-US"/>
              </w:rPr>
              <w:tab/>
            </w:r>
            <w:r w:rsidR="00AE1CB5" w:rsidRPr="00EF7C9D">
              <w:rPr>
                <w:rStyle w:val="Hyperlink"/>
              </w:rPr>
              <w:t>Conflict-related sexual violence at subnational level</w:t>
            </w:r>
            <w:r w:rsidR="00AE1CB5">
              <w:rPr>
                <w:webHidden/>
              </w:rPr>
              <w:tab/>
            </w:r>
            <w:r w:rsidR="00AE1CB5">
              <w:rPr>
                <w:webHidden/>
              </w:rPr>
              <w:fldChar w:fldCharType="begin"/>
            </w:r>
            <w:r w:rsidR="00AE1CB5">
              <w:rPr>
                <w:webHidden/>
              </w:rPr>
              <w:instrText xml:space="preserve"> PAGEREF _Toc98606453 \h </w:instrText>
            </w:r>
            <w:r w:rsidR="00AE1CB5">
              <w:rPr>
                <w:webHidden/>
              </w:rPr>
            </w:r>
            <w:r w:rsidR="00AE1CB5">
              <w:rPr>
                <w:webHidden/>
              </w:rPr>
              <w:fldChar w:fldCharType="separate"/>
            </w:r>
            <w:r>
              <w:rPr>
                <w:webHidden/>
              </w:rPr>
              <w:t>16</w:t>
            </w:r>
            <w:r w:rsidR="00AE1CB5">
              <w:rPr>
                <w:webHidden/>
              </w:rPr>
              <w:fldChar w:fldCharType="end"/>
            </w:r>
          </w:hyperlink>
        </w:p>
        <w:p w14:paraId="6A42C4A6" w14:textId="38CF2738" w:rsidR="00AE1CB5" w:rsidRPr="001F18CA" w:rsidRDefault="00AE1CB5" w:rsidP="00AE14A4">
          <w:pPr>
            <w:pStyle w:val="TOC2"/>
            <w:rPr>
              <w:rFonts w:asciiTheme="minorHAnsi" w:eastAsiaTheme="minorEastAsia" w:hAnsiTheme="minorHAnsi" w:cstheme="minorBidi"/>
              <w:sz w:val="22"/>
              <w:szCs w:val="22"/>
              <w:lang w:val="en-US"/>
            </w:rPr>
          </w:pPr>
          <w:r>
            <w:rPr>
              <w:rStyle w:val="Hyperlink"/>
            </w:rPr>
            <w:t xml:space="preserve">        </w:t>
          </w:r>
          <w:r w:rsidRPr="001F18CA">
            <w:rPr>
              <w:rStyle w:val="Hyperlink"/>
            </w:rPr>
            <w:t xml:space="preserve"> </w:t>
          </w:r>
          <w:hyperlink w:anchor="_Toc98606454" w:history="1">
            <w:r w:rsidRPr="001F18CA">
              <w:rPr>
                <w:rStyle w:val="Hyperlink"/>
              </w:rPr>
              <w:t>Central Equatoria State</w:t>
            </w:r>
            <w:r w:rsidRPr="001F18CA">
              <w:rPr>
                <w:webHidden/>
              </w:rPr>
              <w:tab/>
            </w:r>
            <w:r w:rsidRPr="004D22FF">
              <w:rPr>
                <w:i w:val="0"/>
                <w:iCs w:val="0"/>
                <w:webHidden/>
              </w:rPr>
              <w:fldChar w:fldCharType="begin"/>
            </w:r>
            <w:r w:rsidRPr="004D22FF">
              <w:rPr>
                <w:i w:val="0"/>
                <w:iCs w:val="0"/>
                <w:webHidden/>
              </w:rPr>
              <w:instrText xml:space="preserve"> PAGEREF _Toc98606454 \h </w:instrText>
            </w:r>
            <w:r w:rsidRPr="004D22FF">
              <w:rPr>
                <w:i w:val="0"/>
                <w:iCs w:val="0"/>
                <w:webHidden/>
              </w:rPr>
            </w:r>
            <w:r w:rsidRPr="004D22FF">
              <w:rPr>
                <w:i w:val="0"/>
                <w:iCs w:val="0"/>
                <w:webHidden/>
              </w:rPr>
              <w:fldChar w:fldCharType="separate"/>
            </w:r>
            <w:r w:rsidR="00D64AC4">
              <w:rPr>
                <w:i w:val="0"/>
                <w:iCs w:val="0"/>
                <w:webHidden/>
              </w:rPr>
              <w:t>16</w:t>
            </w:r>
            <w:r w:rsidRPr="004D22FF">
              <w:rPr>
                <w:i w:val="0"/>
                <w:iCs w:val="0"/>
                <w:webHidden/>
              </w:rPr>
              <w:fldChar w:fldCharType="end"/>
            </w:r>
          </w:hyperlink>
        </w:p>
        <w:p w14:paraId="1E7F0C1E" w14:textId="3CD77D17"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55" w:history="1">
            <w:r w:rsidRPr="001F18CA">
              <w:rPr>
                <w:rStyle w:val="Hyperlink"/>
              </w:rPr>
              <w:t>Unity State</w:t>
            </w:r>
            <w:r w:rsidRPr="001F18CA">
              <w:rPr>
                <w:webHidden/>
              </w:rPr>
              <w:tab/>
            </w:r>
            <w:r w:rsidRPr="004D22FF">
              <w:rPr>
                <w:i w:val="0"/>
                <w:iCs w:val="0"/>
                <w:webHidden/>
              </w:rPr>
              <w:fldChar w:fldCharType="begin"/>
            </w:r>
            <w:r w:rsidRPr="004D22FF">
              <w:rPr>
                <w:i w:val="0"/>
                <w:iCs w:val="0"/>
                <w:webHidden/>
              </w:rPr>
              <w:instrText xml:space="preserve"> PAGEREF _Toc98606455 \h </w:instrText>
            </w:r>
            <w:r w:rsidRPr="004D22FF">
              <w:rPr>
                <w:i w:val="0"/>
                <w:iCs w:val="0"/>
                <w:webHidden/>
              </w:rPr>
            </w:r>
            <w:r w:rsidRPr="004D22FF">
              <w:rPr>
                <w:i w:val="0"/>
                <w:iCs w:val="0"/>
                <w:webHidden/>
              </w:rPr>
              <w:fldChar w:fldCharType="separate"/>
            </w:r>
            <w:r w:rsidR="00D64AC4">
              <w:rPr>
                <w:i w:val="0"/>
                <w:iCs w:val="0"/>
                <w:webHidden/>
              </w:rPr>
              <w:t>19</w:t>
            </w:r>
            <w:r w:rsidRPr="004D22FF">
              <w:rPr>
                <w:i w:val="0"/>
                <w:iCs w:val="0"/>
                <w:webHidden/>
              </w:rPr>
              <w:fldChar w:fldCharType="end"/>
            </w:r>
          </w:hyperlink>
        </w:p>
        <w:p w14:paraId="0B009F63" w14:textId="7B7A088E"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56" w:history="1">
            <w:r w:rsidRPr="001F18CA">
              <w:rPr>
                <w:rStyle w:val="Hyperlink"/>
              </w:rPr>
              <w:t>Western Equatoria State</w:t>
            </w:r>
            <w:r w:rsidRPr="001F18CA">
              <w:rPr>
                <w:webHidden/>
              </w:rPr>
              <w:tab/>
            </w:r>
            <w:r w:rsidRPr="004D22FF">
              <w:rPr>
                <w:i w:val="0"/>
                <w:iCs w:val="0"/>
                <w:webHidden/>
              </w:rPr>
              <w:fldChar w:fldCharType="begin"/>
            </w:r>
            <w:r w:rsidRPr="004D22FF">
              <w:rPr>
                <w:i w:val="0"/>
                <w:iCs w:val="0"/>
                <w:webHidden/>
              </w:rPr>
              <w:instrText xml:space="preserve"> PAGEREF _Toc98606456 \h </w:instrText>
            </w:r>
            <w:r w:rsidRPr="004D22FF">
              <w:rPr>
                <w:i w:val="0"/>
                <w:iCs w:val="0"/>
                <w:webHidden/>
              </w:rPr>
            </w:r>
            <w:r w:rsidRPr="004D22FF">
              <w:rPr>
                <w:i w:val="0"/>
                <w:iCs w:val="0"/>
                <w:webHidden/>
              </w:rPr>
              <w:fldChar w:fldCharType="separate"/>
            </w:r>
            <w:r w:rsidR="00D64AC4">
              <w:rPr>
                <w:i w:val="0"/>
                <w:iCs w:val="0"/>
                <w:webHidden/>
              </w:rPr>
              <w:t>24</w:t>
            </w:r>
            <w:r w:rsidRPr="004D22FF">
              <w:rPr>
                <w:i w:val="0"/>
                <w:iCs w:val="0"/>
                <w:webHidden/>
              </w:rPr>
              <w:fldChar w:fldCharType="end"/>
            </w:r>
          </w:hyperlink>
        </w:p>
        <w:p w14:paraId="31EF4D31" w14:textId="1087E2A2" w:rsidR="00AE1CB5" w:rsidRDefault="00D64AC4" w:rsidP="00AE14A4">
          <w:pPr>
            <w:pStyle w:val="TOC1"/>
            <w:rPr>
              <w:rFonts w:asciiTheme="minorHAnsi" w:eastAsiaTheme="minorEastAsia" w:hAnsiTheme="minorHAnsi" w:cstheme="minorBidi"/>
              <w:sz w:val="22"/>
              <w:szCs w:val="22"/>
              <w:lang w:val="en-US"/>
            </w:rPr>
          </w:pPr>
          <w:hyperlink w:anchor="_Toc98606457" w:history="1">
            <w:r w:rsidR="00AE1CB5" w:rsidRPr="00EF7C9D">
              <w:rPr>
                <w:rStyle w:val="Hyperlink"/>
              </w:rPr>
              <w:t>C.</w:t>
            </w:r>
            <w:r w:rsidR="00AE1CB5">
              <w:rPr>
                <w:rFonts w:asciiTheme="minorHAnsi" w:eastAsiaTheme="minorEastAsia" w:hAnsiTheme="minorHAnsi" w:cstheme="minorBidi"/>
                <w:sz w:val="22"/>
                <w:szCs w:val="22"/>
                <w:lang w:val="en-US"/>
              </w:rPr>
              <w:tab/>
            </w:r>
            <w:r w:rsidR="00AE1CB5" w:rsidRPr="00EF7C9D">
              <w:rPr>
                <w:rStyle w:val="Hyperlink"/>
              </w:rPr>
              <w:t>Patterns of perpetration and drivers of sexual violence</w:t>
            </w:r>
            <w:r w:rsidR="00AE1CB5">
              <w:rPr>
                <w:webHidden/>
              </w:rPr>
              <w:tab/>
            </w:r>
            <w:r w:rsidR="00AE1CB5">
              <w:rPr>
                <w:webHidden/>
              </w:rPr>
              <w:fldChar w:fldCharType="begin"/>
            </w:r>
            <w:r w:rsidR="00AE1CB5">
              <w:rPr>
                <w:webHidden/>
              </w:rPr>
              <w:instrText xml:space="preserve"> PAGEREF _Toc98606457 \h </w:instrText>
            </w:r>
            <w:r w:rsidR="00AE1CB5">
              <w:rPr>
                <w:webHidden/>
              </w:rPr>
            </w:r>
            <w:r w:rsidR="00AE1CB5">
              <w:rPr>
                <w:webHidden/>
              </w:rPr>
              <w:fldChar w:fldCharType="separate"/>
            </w:r>
            <w:r>
              <w:rPr>
                <w:webHidden/>
              </w:rPr>
              <w:t>27</w:t>
            </w:r>
            <w:r w:rsidR="00AE1CB5">
              <w:rPr>
                <w:webHidden/>
              </w:rPr>
              <w:fldChar w:fldCharType="end"/>
            </w:r>
          </w:hyperlink>
        </w:p>
        <w:p w14:paraId="44711B6E" w14:textId="5ED59032" w:rsidR="00AE1CB5" w:rsidRPr="001F18CA" w:rsidRDefault="00AE1CB5" w:rsidP="00AE14A4">
          <w:pPr>
            <w:pStyle w:val="TOC2"/>
            <w:rPr>
              <w:rFonts w:asciiTheme="minorHAnsi" w:eastAsiaTheme="minorEastAsia" w:hAnsiTheme="minorHAnsi" w:cstheme="minorBidi"/>
              <w:sz w:val="22"/>
              <w:szCs w:val="22"/>
              <w:lang w:val="en-US"/>
            </w:rPr>
          </w:pPr>
          <w:r>
            <w:rPr>
              <w:rStyle w:val="Hyperlink"/>
            </w:rPr>
            <w:t xml:space="preserve">        </w:t>
          </w:r>
          <w:r w:rsidRPr="00AE14A4">
            <w:rPr>
              <w:rStyle w:val="Hyperlink"/>
              <w:i w:val="0"/>
              <w:iCs w:val="0"/>
            </w:rPr>
            <w:t xml:space="preserve"> </w:t>
          </w:r>
          <w:hyperlink w:anchor="_Toc98606458" w:history="1">
            <w:r w:rsidRPr="001F18CA">
              <w:rPr>
                <w:rStyle w:val="Hyperlink"/>
              </w:rPr>
              <w:t>Military and political objectives</w:t>
            </w:r>
            <w:r w:rsidRPr="001F18CA">
              <w:rPr>
                <w:webHidden/>
              </w:rPr>
              <w:tab/>
            </w:r>
            <w:r w:rsidRPr="004D22FF">
              <w:rPr>
                <w:i w:val="0"/>
                <w:iCs w:val="0"/>
                <w:webHidden/>
              </w:rPr>
              <w:fldChar w:fldCharType="begin"/>
            </w:r>
            <w:r w:rsidRPr="004D22FF">
              <w:rPr>
                <w:i w:val="0"/>
                <w:iCs w:val="0"/>
                <w:webHidden/>
              </w:rPr>
              <w:instrText xml:space="preserve"> PAGEREF _Toc98606458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42362181" w14:textId="09538AF5"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59" w:history="1">
            <w:r w:rsidRPr="001F18CA">
              <w:rPr>
                <w:rStyle w:val="Hyperlink"/>
              </w:rPr>
              <w:t>Sexual slavery and servitude</w:t>
            </w:r>
            <w:r w:rsidRPr="001F18CA">
              <w:rPr>
                <w:webHidden/>
              </w:rPr>
              <w:tab/>
            </w:r>
            <w:r w:rsidRPr="004D22FF">
              <w:rPr>
                <w:i w:val="0"/>
                <w:iCs w:val="0"/>
                <w:webHidden/>
              </w:rPr>
              <w:fldChar w:fldCharType="begin"/>
            </w:r>
            <w:r w:rsidRPr="004D22FF">
              <w:rPr>
                <w:i w:val="0"/>
                <w:iCs w:val="0"/>
                <w:webHidden/>
              </w:rPr>
              <w:instrText xml:space="preserve"> PAGEREF _Toc98606459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31B023D6" w14:textId="4A085CAC"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60" w:history="1">
            <w:r w:rsidRPr="001F18CA">
              <w:rPr>
                <w:rStyle w:val="Hyperlink"/>
              </w:rPr>
              <w:t>Crimes occurring in an enabling environment of impunity</w:t>
            </w:r>
            <w:r w:rsidRPr="001F18CA">
              <w:rPr>
                <w:webHidden/>
              </w:rPr>
              <w:tab/>
            </w:r>
            <w:r w:rsidRPr="004D22FF">
              <w:rPr>
                <w:i w:val="0"/>
                <w:iCs w:val="0"/>
                <w:webHidden/>
              </w:rPr>
              <w:fldChar w:fldCharType="begin"/>
            </w:r>
            <w:r w:rsidRPr="004D22FF">
              <w:rPr>
                <w:i w:val="0"/>
                <w:iCs w:val="0"/>
                <w:webHidden/>
              </w:rPr>
              <w:instrText xml:space="preserve"> PAGEREF _Toc98606460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4D5B97A4" w14:textId="2277D3AF"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61" w:history="1">
            <w:r w:rsidRPr="001F18CA">
              <w:rPr>
                <w:rStyle w:val="Hyperlink"/>
              </w:rPr>
              <w:t>Culture of entitlement and exploitation of women and girls</w:t>
            </w:r>
            <w:r w:rsidRPr="001F18CA">
              <w:rPr>
                <w:webHidden/>
              </w:rPr>
              <w:tab/>
            </w:r>
            <w:r w:rsidRPr="004D22FF">
              <w:rPr>
                <w:i w:val="0"/>
                <w:iCs w:val="0"/>
                <w:webHidden/>
              </w:rPr>
              <w:fldChar w:fldCharType="begin"/>
            </w:r>
            <w:r w:rsidRPr="004D22FF">
              <w:rPr>
                <w:i w:val="0"/>
                <w:iCs w:val="0"/>
                <w:webHidden/>
              </w:rPr>
              <w:instrText xml:space="preserve"> PAGEREF _Toc98606461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4DD552AF" w14:textId="340E5EF4" w:rsidR="00AE1CB5" w:rsidRDefault="00D64AC4" w:rsidP="00AE14A4">
          <w:pPr>
            <w:pStyle w:val="TOC1"/>
            <w:rPr>
              <w:rFonts w:asciiTheme="minorHAnsi" w:eastAsiaTheme="minorEastAsia" w:hAnsiTheme="minorHAnsi" w:cstheme="minorBidi"/>
              <w:sz w:val="22"/>
              <w:szCs w:val="22"/>
              <w:lang w:val="en-US"/>
            </w:rPr>
          </w:pPr>
          <w:hyperlink w:anchor="_Toc98606462" w:history="1">
            <w:r w:rsidR="00AE1CB5" w:rsidRPr="00EF7C9D">
              <w:rPr>
                <w:rStyle w:val="Hyperlink"/>
              </w:rPr>
              <w:t>V.</w:t>
            </w:r>
            <w:r w:rsidR="00AE1CB5">
              <w:rPr>
                <w:rFonts w:asciiTheme="minorHAnsi" w:eastAsiaTheme="minorEastAsia" w:hAnsiTheme="minorHAnsi" w:cstheme="minorBidi"/>
                <w:sz w:val="22"/>
                <w:szCs w:val="22"/>
                <w:lang w:val="en-US"/>
              </w:rPr>
              <w:t xml:space="preserve">    </w:t>
            </w:r>
            <w:r w:rsidR="00AE1CB5" w:rsidRPr="00EF7C9D">
              <w:rPr>
                <w:rStyle w:val="Hyperlink"/>
              </w:rPr>
              <w:t>Harms and impact</w:t>
            </w:r>
            <w:r w:rsidR="00B70440">
              <w:rPr>
                <w:rStyle w:val="Hyperlink"/>
              </w:rPr>
              <w:t>s</w:t>
            </w:r>
            <w:r w:rsidR="00AE1CB5" w:rsidRPr="00EF7C9D">
              <w:rPr>
                <w:rStyle w:val="Hyperlink"/>
              </w:rPr>
              <w:t xml:space="preserve"> of conflict-related sexual violence</w:t>
            </w:r>
            <w:r w:rsidR="00AE1CB5">
              <w:rPr>
                <w:webHidden/>
              </w:rPr>
              <w:tab/>
            </w:r>
            <w:r w:rsidR="00AE1CB5">
              <w:rPr>
                <w:webHidden/>
              </w:rPr>
              <w:fldChar w:fldCharType="begin"/>
            </w:r>
            <w:r w:rsidR="00AE1CB5">
              <w:rPr>
                <w:webHidden/>
              </w:rPr>
              <w:instrText xml:space="preserve"> PAGEREF _Toc98606462 \h </w:instrText>
            </w:r>
            <w:r w:rsidR="00AE1CB5">
              <w:rPr>
                <w:webHidden/>
              </w:rPr>
            </w:r>
            <w:r w:rsidR="00AE1CB5">
              <w:rPr>
                <w:webHidden/>
              </w:rPr>
              <w:fldChar w:fldCharType="separate"/>
            </w:r>
            <w:r>
              <w:rPr>
                <w:webHidden/>
              </w:rPr>
              <w:t>28</w:t>
            </w:r>
            <w:r w:rsidR="00AE1CB5">
              <w:rPr>
                <w:webHidden/>
              </w:rPr>
              <w:fldChar w:fldCharType="end"/>
            </w:r>
          </w:hyperlink>
        </w:p>
        <w:p w14:paraId="0BD1D0D4" w14:textId="6F5426A7" w:rsidR="00AE1CB5" w:rsidRPr="00AE14A4" w:rsidRDefault="00D64AC4" w:rsidP="00AE14A4">
          <w:pPr>
            <w:pStyle w:val="TOC1"/>
            <w:rPr>
              <w:rFonts w:asciiTheme="minorHAnsi" w:eastAsiaTheme="minorEastAsia" w:hAnsiTheme="minorHAnsi" w:cstheme="minorBidi"/>
              <w:i/>
              <w:iCs/>
              <w:sz w:val="22"/>
              <w:szCs w:val="22"/>
              <w:lang w:val="en-US"/>
            </w:rPr>
          </w:pPr>
          <w:hyperlink w:anchor="_Toc98606463" w:history="1">
            <w:r w:rsidR="00AE1CB5" w:rsidRPr="00EF7C9D">
              <w:rPr>
                <w:rStyle w:val="Hyperlink"/>
              </w:rPr>
              <w:t>A.</w:t>
            </w:r>
            <w:r w:rsidR="00AE1CB5">
              <w:rPr>
                <w:rFonts w:asciiTheme="minorHAnsi" w:eastAsiaTheme="minorEastAsia" w:hAnsiTheme="minorHAnsi" w:cstheme="minorBidi"/>
                <w:sz w:val="22"/>
                <w:szCs w:val="22"/>
                <w:lang w:val="en-US"/>
              </w:rPr>
              <w:tab/>
            </w:r>
            <w:r w:rsidR="00AE1CB5" w:rsidRPr="007E006F">
              <w:rPr>
                <w:rStyle w:val="Hyperlink"/>
              </w:rPr>
              <w:t>Health impacts</w:t>
            </w:r>
            <w:r w:rsidR="00AE1CB5">
              <w:rPr>
                <w:webHidden/>
              </w:rPr>
              <w:tab/>
            </w:r>
            <w:r w:rsidR="00AE1CB5">
              <w:rPr>
                <w:webHidden/>
              </w:rPr>
              <w:fldChar w:fldCharType="begin"/>
            </w:r>
            <w:r w:rsidR="00AE1CB5">
              <w:rPr>
                <w:webHidden/>
              </w:rPr>
              <w:instrText xml:space="preserve"> PAGEREF _Toc98606463 \h </w:instrText>
            </w:r>
            <w:r w:rsidR="00AE1CB5">
              <w:rPr>
                <w:webHidden/>
              </w:rPr>
            </w:r>
            <w:r w:rsidR="00AE1CB5">
              <w:rPr>
                <w:webHidden/>
              </w:rPr>
              <w:fldChar w:fldCharType="separate"/>
            </w:r>
            <w:r>
              <w:rPr>
                <w:webHidden/>
              </w:rPr>
              <w:t>29</w:t>
            </w:r>
            <w:r w:rsidR="00AE1CB5">
              <w:rPr>
                <w:webHidden/>
              </w:rPr>
              <w:fldChar w:fldCharType="end"/>
            </w:r>
          </w:hyperlink>
        </w:p>
        <w:p w14:paraId="0B4512E9" w14:textId="7F9DA535" w:rsidR="00AE1CB5" w:rsidRPr="001F18CA" w:rsidRDefault="00AE1CB5" w:rsidP="00AE14A4">
          <w:pPr>
            <w:pStyle w:val="TOC2"/>
            <w:rPr>
              <w:rFonts w:asciiTheme="minorHAnsi" w:eastAsiaTheme="minorEastAsia" w:hAnsiTheme="minorHAnsi" w:cstheme="minorBidi"/>
              <w:sz w:val="22"/>
              <w:szCs w:val="22"/>
              <w:lang w:val="en-US"/>
            </w:rPr>
          </w:pPr>
          <w:r w:rsidRPr="00AE14A4">
            <w:rPr>
              <w:rStyle w:val="Hyperlink"/>
              <w:i w:val="0"/>
              <w:iCs w:val="0"/>
            </w:rPr>
            <w:t xml:space="preserve">         </w:t>
          </w:r>
          <w:hyperlink w:anchor="_Toc98606464" w:history="1">
            <w:r w:rsidRPr="001F18CA">
              <w:rPr>
                <w:rStyle w:val="Hyperlink"/>
              </w:rPr>
              <w:t>Physical health</w:t>
            </w:r>
            <w:r w:rsidRPr="001F18CA">
              <w:rPr>
                <w:webHidden/>
              </w:rPr>
              <w:tab/>
            </w:r>
            <w:r w:rsidRPr="004D22FF">
              <w:rPr>
                <w:i w:val="0"/>
                <w:iCs w:val="0"/>
                <w:webHidden/>
              </w:rPr>
              <w:fldChar w:fldCharType="begin"/>
            </w:r>
            <w:r w:rsidRPr="004D22FF">
              <w:rPr>
                <w:i w:val="0"/>
                <w:iCs w:val="0"/>
                <w:webHidden/>
              </w:rPr>
              <w:instrText xml:space="preserve"> PAGEREF _Toc98606464 \h </w:instrText>
            </w:r>
            <w:r w:rsidRPr="004D22FF">
              <w:rPr>
                <w:i w:val="0"/>
                <w:iCs w:val="0"/>
                <w:webHidden/>
              </w:rPr>
            </w:r>
            <w:r w:rsidRPr="004D22FF">
              <w:rPr>
                <w:i w:val="0"/>
                <w:iCs w:val="0"/>
                <w:webHidden/>
              </w:rPr>
              <w:fldChar w:fldCharType="separate"/>
            </w:r>
            <w:r w:rsidR="00D64AC4">
              <w:rPr>
                <w:i w:val="0"/>
                <w:iCs w:val="0"/>
                <w:webHidden/>
              </w:rPr>
              <w:t>29</w:t>
            </w:r>
            <w:r w:rsidRPr="004D22FF">
              <w:rPr>
                <w:i w:val="0"/>
                <w:iCs w:val="0"/>
                <w:webHidden/>
              </w:rPr>
              <w:fldChar w:fldCharType="end"/>
            </w:r>
          </w:hyperlink>
        </w:p>
        <w:p w14:paraId="73F32977" w14:textId="3CA4A502"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65" w:history="1">
            <w:r w:rsidRPr="001F18CA">
              <w:rPr>
                <w:rStyle w:val="Hyperlink"/>
              </w:rPr>
              <w:t>Psychological</w:t>
            </w:r>
            <w:r w:rsidRPr="001F18CA">
              <w:rPr>
                <w:rStyle w:val="Hyperlink"/>
                <w:bCs/>
              </w:rPr>
              <w:t xml:space="preserve"> health</w:t>
            </w:r>
            <w:r w:rsidRPr="001F18CA">
              <w:rPr>
                <w:webHidden/>
              </w:rPr>
              <w:tab/>
            </w:r>
            <w:r w:rsidRPr="004D22FF">
              <w:rPr>
                <w:i w:val="0"/>
                <w:iCs w:val="0"/>
                <w:webHidden/>
              </w:rPr>
              <w:fldChar w:fldCharType="begin"/>
            </w:r>
            <w:r w:rsidRPr="004D22FF">
              <w:rPr>
                <w:i w:val="0"/>
                <w:iCs w:val="0"/>
                <w:webHidden/>
              </w:rPr>
              <w:instrText xml:space="preserve"> PAGEREF _Toc98606465 \h </w:instrText>
            </w:r>
            <w:r w:rsidRPr="004D22FF">
              <w:rPr>
                <w:i w:val="0"/>
                <w:iCs w:val="0"/>
                <w:webHidden/>
              </w:rPr>
            </w:r>
            <w:r w:rsidRPr="004D22FF">
              <w:rPr>
                <w:i w:val="0"/>
                <w:iCs w:val="0"/>
                <w:webHidden/>
              </w:rPr>
              <w:fldChar w:fldCharType="separate"/>
            </w:r>
            <w:r w:rsidR="00D64AC4">
              <w:rPr>
                <w:i w:val="0"/>
                <w:iCs w:val="0"/>
                <w:webHidden/>
              </w:rPr>
              <w:t>30</w:t>
            </w:r>
            <w:r w:rsidRPr="004D22FF">
              <w:rPr>
                <w:i w:val="0"/>
                <w:iCs w:val="0"/>
                <w:webHidden/>
              </w:rPr>
              <w:fldChar w:fldCharType="end"/>
            </w:r>
          </w:hyperlink>
        </w:p>
        <w:p w14:paraId="528ABC9B" w14:textId="29D77983" w:rsidR="00AE1CB5" w:rsidRPr="001F18CA" w:rsidRDefault="00AE1CB5" w:rsidP="00AE14A4">
          <w:pPr>
            <w:pStyle w:val="TOC2"/>
            <w:rPr>
              <w:rFonts w:asciiTheme="minorHAnsi" w:eastAsiaTheme="minorEastAsia" w:hAnsiTheme="minorHAnsi" w:cstheme="minorBidi"/>
              <w:sz w:val="22"/>
              <w:szCs w:val="22"/>
              <w:lang w:val="en-US"/>
            </w:rPr>
          </w:pPr>
          <w:r w:rsidRPr="001F18CA">
            <w:rPr>
              <w:rStyle w:val="Hyperlink"/>
            </w:rPr>
            <w:t xml:space="preserve">         </w:t>
          </w:r>
          <w:hyperlink w:anchor="_Toc98606466" w:history="1">
            <w:r w:rsidRPr="001F18CA">
              <w:rPr>
                <w:rStyle w:val="Hyperlink"/>
              </w:rPr>
              <w:t>Obstacles to accessing health care and psychosocial support</w:t>
            </w:r>
            <w:r w:rsidRPr="001F18CA">
              <w:rPr>
                <w:webHidden/>
              </w:rPr>
              <w:tab/>
            </w:r>
            <w:r w:rsidRPr="004D22FF">
              <w:rPr>
                <w:i w:val="0"/>
                <w:iCs w:val="0"/>
                <w:webHidden/>
              </w:rPr>
              <w:fldChar w:fldCharType="begin"/>
            </w:r>
            <w:r w:rsidRPr="004D22FF">
              <w:rPr>
                <w:i w:val="0"/>
                <w:iCs w:val="0"/>
                <w:webHidden/>
              </w:rPr>
              <w:instrText xml:space="preserve"> PAGEREF _Toc98606466 \h </w:instrText>
            </w:r>
            <w:r w:rsidRPr="004D22FF">
              <w:rPr>
                <w:i w:val="0"/>
                <w:iCs w:val="0"/>
                <w:webHidden/>
              </w:rPr>
            </w:r>
            <w:r w:rsidRPr="004D22FF">
              <w:rPr>
                <w:i w:val="0"/>
                <w:iCs w:val="0"/>
                <w:webHidden/>
              </w:rPr>
              <w:fldChar w:fldCharType="separate"/>
            </w:r>
            <w:r w:rsidR="00D64AC4">
              <w:rPr>
                <w:i w:val="0"/>
                <w:iCs w:val="0"/>
                <w:webHidden/>
              </w:rPr>
              <w:t>31</w:t>
            </w:r>
            <w:r w:rsidRPr="004D22FF">
              <w:rPr>
                <w:i w:val="0"/>
                <w:iCs w:val="0"/>
                <w:webHidden/>
              </w:rPr>
              <w:fldChar w:fldCharType="end"/>
            </w:r>
          </w:hyperlink>
        </w:p>
        <w:p w14:paraId="2F72623F" w14:textId="7AC67F20" w:rsidR="00AE1CB5" w:rsidRPr="008423FE" w:rsidRDefault="00D64AC4" w:rsidP="00AE14A4">
          <w:pPr>
            <w:pStyle w:val="TOC1"/>
            <w:rPr>
              <w:rFonts w:asciiTheme="minorHAnsi" w:eastAsiaTheme="minorEastAsia" w:hAnsiTheme="minorHAnsi" w:cstheme="minorBidi"/>
              <w:sz w:val="22"/>
              <w:szCs w:val="22"/>
              <w:lang w:val="en-US"/>
            </w:rPr>
          </w:pPr>
          <w:hyperlink w:anchor="_Toc98606467" w:history="1">
            <w:r w:rsidR="00AE1CB5" w:rsidRPr="008423FE">
              <w:rPr>
                <w:rStyle w:val="Hyperlink"/>
              </w:rPr>
              <w:t>B.</w:t>
            </w:r>
            <w:r w:rsidR="00AE1CB5" w:rsidRPr="008423FE">
              <w:rPr>
                <w:rFonts w:asciiTheme="minorHAnsi" w:eastAsiaTheme="minorEastAsia" w:hAnsiTheme="minorHAnsi" w:cstheme="minorBidi"/>
                <w:sz w:val="22"/>
                <w:szCs w:val="22"/>
                <w:lang w:val="en-US"/>
              </w:rPr>
              <w:tab/>
            </w:r>
            <w:r w:rsidR="00AE1CB5" w:rsidRPr="008423FE">
              <w:rPr>
                <w:rStyle w:val="Hyperlink"/>
              </w:rPr>
              <w:t>Socio-economic impacts</w:t>
            </w:r>
            <w:r w:rsidR="00AE1CB5" w:rsidRPr="008423FE">
              <w:rPr>
                <w:webHidden/>
              </w:rPr>
              <w:tab/>
            </w:r>
            <w:r w:rsidR="00AE1CB5" w:rsidRPr="008423FE">
              <w:rPr>
                <w:webHidden/>
              </w:rPr>
              <w:fldChar w:fldCharType="begin"/>
            </w:r>
            <w:r w:rsidR="00AE1CB5" w:rsidRPr="008423FE">
              <w:rPr>
                <w:webHidden/>
              </w:rPr>
              <w:instrText xml:space="preserve"> PAGEREF _Toc98606467 \h </w:instrText>
            </w:r>
            <w:r w:rsidR="00AE1CB5" w:rsidRPr="008423FE">
              <w:rPr>
                <w:webHidden/>
              </w:rPr>
            </w:r>
            <w:r w:rsidR="00AE1CB5" w:rsidRPr="008423FE">
              <w:rPr>
                <w:webHidden/>
              </w:rPr>
              <w:fldChar w:fldCharType="separate"/>
            </w:r>
            <w:r>
              <w:rPr>
                <w:webHidden/>
              </w:rPr>
              <w:t>32</w:t>
            </w:r>
            <w:r w:rsidR="00AE1CB5" w:rsidRPr="008423FE">
              <w:rPr>
                <w:webHidden/>
              </w:rPr>
              <w:fldChar w:fldCharType="end"/>
            </w:r>
          </w:hyperlink>
        </w:p>
        <w:p w14:paraId="522FDFDB" w14:textId="464B3962" w:rsidR="00AE1CB5" w:rsidRPr="008423FE" w:rsidRDefault="00D64AC4" w:rsidP="00AE14A4">
          <w:pPr>
            <w:pStyle w:val="TOC1"/>
            <w:rPr>
              <w:rFonts w:asciiTheme="minorHAnsi" w:eastAsiaTheme="minorEastAsia" w:hAnsiTheme="minorHAnsi" w:cstheme="minorBidi"/>
              <w:sz w:val="22"/>
              <w:szCs w:val="22"/>
              <w:lang w:val="en-US"/>
            </w:rPr>
          </w:pPr>
          <w:hyperlink w:anchor="_Toc98606468" w:history="1">
            <w:r w:rsidR="00AE1CB5" w:rsidRPr="008423FE">
              <w:rPr>
                <w:rStyle w:val="Hyperlink"/>
              </w:rPr>
              <w:t>VI.</w:t>
            </w:r>
            <w:r w:rsidR="00AE1CB5" w:rsidRPr="008423FE">
              <w:rPr>
                <w:rFonts w:asciiTheme="minorHAnsi" w:eastAsiaTheme="minorEastAsia" w:hAnsiTheme="minorHAnsi" w:cstheme="minorBidi"/>
                <w:sz w:val="22"/>
                <w:szCs w:val="22"/>
                <w:lang w:val="en-US"/>
              </w:rPr>
              <w:t xml:space="preserve">    </w:t>
            </w:r>
            <w:r w:rsidR="00AE1CB5" w:rsidRPr="008423FE">
              <w:rPr>
                <w:rStyle w:val="Hyperlink"/>
              </w:rPr>
              <w:t>Impunity, accountability and transitional justice</w:t>
            </w:r>
            <w:r w:rsidR="00AE1CB5" w:rsidRPr="008423FE">
              <w:rPr>
                <w:webHidden/>
              </w:rPr>
              <w:tab/>
            </w:r>
            <w:r w:rsidR="00AE1CB5" w:rsidRPr="008423FE">
              <w:rPr>
                <w:webHidden/>
              </w:rPr>
              <w:fldChar w:fldCharType="begin"/>
            </w:r>
            <w:r w:rsidR="00AE1CB5" w:rsidRPr="008423FE">
              <w:rPr>
                <w:webHidden/>
              </w:rPr>
              <w:instrText xml:space="preserve"> PAGEREF _Toc98606468 \h </w:instrText>
            </w:r>
            <w:r w:rsidR="00AE1CB5" w:rsidRPr="008423FE">
              <w:rPr>
                <w:webHidden/>
              </w:rPr>
            </w:r>
            <w:r w:rsidR="00AE1CB5" w:rsidRPr="008423FE">
              <w:rPr>
                <w:webHidden/>
              </w:rPr>
              <w:fldChar w:fldCharType="separate"/>
            </w:r>
            <w:r>
              <w:rPr>
                <w:webHidden/>
              </w:rPr>
              <w:t>34</w:t>
            </w:r>
            <w:r w:rsidR="00AE1CB5" w:rsidRPr="008423FE">
              <w:rPr>
                <w:webHidden/>
              </w:rPr>
              <w:fldChar w:fldCharType="end"/>
            </w:r>
          </w:hyperlink>
        </w:p>
        <w:p w14:paraId="11ABADA7" w14:textId="4A48F5DA" w:rsidR="00AE1CB5" w:rsidRDefault="00D64AC4" w:rsidP="00AE14A4">
          <w:pPr>
            <w:pStyle w:val="TOC1"/>
            <w:rPr>
              <w:rFonts w:asciiTheme="minorHAnsi" w:eastAsiaTheme="minorEastAsia" w:hAnsiTheme="minorHAnsi" w:cstheme="minorBidi"/>
              <w:sz w:val="22"/>
              <w:szCs w:val="22"/>
              <w:lang w:val="en-US"/>
            </w:rPr>
          </w:pPr>
          <w:hyperlink w:anchor="_Toc98606469" w:history="1">
            <w:r w:rsidR="00AE1CB5" w:rsidRPr="00EF7C9D">
              <w:rPr>
                <w:rStyle w:val="Hyperlink"/>
              </w:rPr>
              <w:t>A.</w:t>
            </w:r>
            <w:r w:rsidR="00AE1CB5">
              <w:rPr>
                <w:rFonts w:asciiTheme="minorHAnsi" w:eastAsiaTheme="minorEastAsia" w:hAnsiTheme="minorHAnsi" w:cstheme="minorBidi"/>
                <w:sz w:val="22"/>
                <w:szCs w:val="22"/>
                <w:lang w:val="en-US"/>
              </w:rPr>
              <w:tab/>
            </w:r>
            <w:r w:rsidR="00AE1CB5" w:rsidRPr="00EF7C9D">
              <w:rPr>
                <w:rStyle w:val="Hyperlink"/>
              </w:rPr>
              <w:t>Context</w:t>
            </w:r>
            <w:r w:rsidR="00AE1CB5">
              <w:rPr>
                <w:webHidden/>
              </w:rPr>
              <w:tab/>
            </w:r>
            <w:r w:rsidR="00AE1CB5">
              <w:rPr>
                <w:webHidden/>
              </w:rPr>
              <w:fldChar w:fldCharType="begin"/>
            </w:r>
            <w:r w:rsidR="00AE1CB5">
              <w:rPr>
                <w:webHidden/>
              </w:rPr>
              <w:instrText xml:space="preserve"> PAGEREF _Toc98606469 \h </w:instrText>
            </w:r>
            <w:r w:rsidR="00AE1CB5">
              <w:rPr>
                <w:webHidden/>
              </w:rPr>
            </w:r>
            <w:r w:rsidR="00AE1CB5">
              <w:rPr>
                <w:webHidden/>
              </w:rPr>
              <w:fldChar w:fldCharType="separate"/>
            </w:r>
            <w:r>
              <w:rPr>
                <w:webHidden/>
              </w:rPr>
              <w:t>34</w:t>
            </w:r>
            <w:r w:rsidR="00AE1CB5">
              <w:rPr>
                <w:webHidden/>
              </w:rPr>
              <w:fldChar w:fldCharType="end"/>
            </w:r>
          </w:hyperlink>
        </w:p>
        <w:p w14:paraId="02319206" w14:textId="3AB21416" w:rsidR="00AE1CB5" w:rsidRDefault="00D64AC4" w:rsidP="00AE14A4">
          <w:pPr>
            <w:pStyle w:val="TOC1"/>
            <w:rPr>
              <w:rFonts w:asciiTheme="minorHAnsi" w:eastAsiaTheme="minorEastAsia" w:hAnsiTheme="minorHAnsi" w:cstheme="minorBidi"/>
              <w:sz w:val="22"/>
              <w:szCs w:val="22"/>
              <w:lang w:val="en-US"/>
            </w:rPr>
          </w:pPr>
          <w:hyperlink w:anchor="_Toc98606470" w:history="1">
            <w:r w:rsidR="00AE1CB5" w:rsidRPr="00EF7C9D">
              <w:rPr>
                <w:rStyle w:val="Hyperlink"/>
              </w:rPr>
              <w:t>B.</w:t>
            </w:r>
            <w:r w:rsidR="00AE1CB5">
              <w:rPr>
                <w:rFonts w:asciiTheme="minorHAnsi" w:eastAsiaTheme="minorEastAsia" w:hAnsiTheme="minorHAnsi" w:cstheme="minorBidi"/>
                <w:sz w:val="22"/>
                <w:szCs w:val="22"/>
                <w:lang w:val="en-US"/>
              </w:rPr>
              <w:tab/>
            </w:r>
            <w:r w:rsidR="00AE1CB5" w:rsidRPr="00EF7C9D">
              <w:rPr>
                <w:rStyle w:val="Hyperlink"/>
              </w:rPr>
              <w:t>Accountability efforts</w:t>
            </w:r>
            <w:r w:rsidR="00AE1CB5">
              <w:rPr>
                <w:webHidden/>
              </w:rPr>
              <w:tab/>
            </w:r>
            <w:r w:rsidR="00AE1CB5">
              <w:rPr>
                <w:webHidden/>
              </w:rPr>
              <w:fldChar w:fldCharType="begin"/>
            </w:r>
            <w:r w:rsidR="00AE1CB5">
              <w:rPr>
                <w:webHidden/>
              </w:rPr>
              <w:instrText xml:space="preserve"> PAGEREF _Toc98606470 \h </w:instrText>
            </w:r>
            <w:r w:rsidR="00AE1CB5">
              <w:rPr>
                <w:webHidden/>
              </w:rPr>
            </w:r>
            <w:r w:rsidR="00AE1CB5">
              <w:rPr>
                <w:webHidden/>
              </w:rPr>
              <w:fldChar w:fldCharType="separate"/>
            </w:r>
            <w:r>
              <w:rPr>
                <w:webHidden/>
              </w:rPr>
              <w:t>36</w:t>
            </w:r>
            <w:r w:rsidR="00AE1CB5">
              <w:rPr>
                <w:webHidden/>
              </w:rPr>
              <w:fldChar w:fldCharType="end"/>
            </w:r>
          </w:hyperlink>
        </w:p>
        <w:p w14:paraId="42BBA60E" w14:textId="4C860B6F" w:rsidR="00AE1CB5" w:rsidRPr="00BA4AE2" w:rsidRDefault="00AE1CB5" w:rsidP="00AE14A4">
          <w:pPr>
            <w:pStyle w:val="TOC2"/>
            <w:rPr>
              <w:rFonts w:asciiTheme="minorHAnsi" w:eastAsiaTheme="minorEastAsia" w:hAnsiTheme="minorHAnsi" w:cstheme="minorBidi"/>
              <w:sz w:val="22"/>
              <w:szCs w:val="22"/>
              <w:lang w:val="en-US"/>
            </w:rPr>
          </w:pPr>
          <w:r>
            <w:rPr>
              <w:rStyle w:val="Hyperlink"/>
            </w:rPr>
            <w:t xml:space="preserve">         </w:t>
          </w:r>
          <w:hyperlink w:anchor="_Toc98606471" w:history="1">
            <w:r w:rsidRPr="00BA4AE2">
              <w:rPr>
                <w:rStyle w:val="Hyperlink"/>
              </w:rPr>
              <w:t>Judicial system in South Sudan</w:t>
            </w:r>
            <w:r w:rsidRPr="00BA4AE2">
              <w:rPr>
                <w:webHidden/>
              </w:rPr>
              <w:tab/>
            </w:r>
            <w:r w:rsidRPr="00BA4AE2">
              <w:rPr>
                <w:i w:val="0"/>
                <w:iCs w:val="0"/>
                <w:webHidden/>
              </w:rPr>
              <w:fldChar w:fldCharType="begin"/>
            </w:r>
            <w:r w:rsidRPr="00BA4AE2">
              <w:rPr>
                <w:i w:val="0"/>
                <w:iCs w:val="0"/>
                <w:webHidden/>
              </w:rPr>
              <w:instrText xml:space="preserve"> PAGEREF _Toc98606471 \h </w:instrText>
            </w:r>
            <w:r w:rsidRPr="00BA4AE2">
              <w:rPr>
                <w:i w:val="0"/>
                <w:iCs w:val="0"/>
                <w:webHidden/>
              </w:rPr>
            </w:r>
            <w:r w:rsidRPr="00BA4AE2">
              <w:rPr>
                <w:i w:val="0"/>
                <w:iCs w:val="0"/>
                <w:webHidden/>
              </w:rPr>
              <w:fldChar w:fldCharType="separate"/>
            </w:r>
            <w:r w:rsidR="00D64AC4">
              <w:rPr>
                <w:i w:val="0"/>
                <w:iCs w:val="0"/>
                <w:webHidden/>
              </w:rPr>
              <w:t>36</w:t>
            </w:r>
            <w:r w:rsidRPr="00BA4AE2">
              <w:rPr>
                <w:i w:val="0"/>
                <w:iCs w:val="0"/>
                <w:webHidden/>
              </w:rPr>
              <w:fldChar w:fldCharType="end"/>
            </w:r>
          </w:hyperlink>
        </w:p>
        <w:p w14:paraId="33DE3191" w14:textId="17A573E1" w:rsidR="00AE1CB5" w:rsidRPr="00BA4AE2" w:rsidRDefault="00AE1CB5" w:rsidP="00AE14A4">
          <w:pPr>
            <w:pStyle w:val="TOC2"/>
            <w:rPr>
              <w:rFonts w:asciiTheme="minorHAnsi" w:eastAsiaTheme="minorEastAsia" w:hAnsiTheme="minorHAnsi" w:cstheme="minorBidi"/>
              <w:sz w:val="22"/>
              <w:szCs w:val="22"/>
              <w:lang w:val="en-US"/>
            </w:rPr>
          </w:pPr>
          <w:r w:rsidRPr="00BA4AE2">
            <w:rPr>
              <w:rStyle w:val="Hyperlink"/>
            </w:rPr>
            <w:t xml:space="preserve">         </w:t>
          </w:r>
          <w:hyperlink w:anchor="_Toc98606472" w:history="1">
            <w:r w:rsidRPr="00BA4AE2">
              <w:rPr>
                <w:rStyle w:val="Hyperlink"/>
              </w:rPr>
              <w:t>Military justice</w:t>
            </w:r>
            <w:r w:rsidRPr="00BA4AE2">
              <w:rPr>
                <w:webHidden/>
              </w:rPr>
              <w:tab/>
            </w:r>
            <w:r w:rsidRPr="00BA4AE2">
              <w:rPr>
                <w:i w:val="0"/>
                <w:iCs w:val="0"/>
                <w:webHidden/>
              </w:rPr>
              <w:fldChar w:fldCharType="begin"/>
            </w:r>
            <w:r w:rsidRPr="00BA4AE2">
              <w:rPr>
                <w:i w:val="0"/>
                <w:iCs w:val="0"/>
                <w:webHidden/>
              </w:rPr>
              <w:instrText xml:space="preserve"> PAGEREF _Toc98606472 \h </w:instrText>
            </w:r>
            <w:r w:rsidRPr="00BA4AE2">
              <w:rPr>
                <w:i w:val="0"/>
                <w:iCs w:val="0"/>
                <w:webHidden/>
              </w:rPr>
            </w:r>
            <w:r w:rsidRPr="00BA4AE2">
              <w:rPr>
                <w:i w:val="0"/>
                <w:iCs w:val="0"/>
                <w:webHidden/>
              </w:rPr>
              <w:fldChar w:fldCharType="separate"/>
            </w:r>
            <w:r w:rsidR="00D64AC4">
              <w:rPr>
                <w:i w:val="0"/>
                <w:iCs w:val="0"/>
                <w:webHidden/>
              </w:rPr>
              <w:t>37</w:t>
            </w:r>
            <w:r w:rsidRPr="00BA4AE2">
              <w:rPr>
                <w:i w:val="0"/>
                <w:iCs w:val="0"/>
                <w:webHidden/>
              </w:rPr>
              <w:fldChar w:fldCharType="end"/>
            </w:r>
          </w:hyperlink>
        </w:p>
        <w:p w14:paraId="6E206748" w14:textId="62ADB922" w:rsidR="00AE1CB5" w:rsidRPr="00BA4AE2" w:rsidRDefault="00AE1CB5" w:rsidP="00AE14A4">
          <w:pPr>
            <w:pStyle w:val="TOC2"/>
            <w:rPr>
              <w:rFonts w:asciiTheme="minorHAnsi" w:eastAsiaTheme="minorEastAsia" w:hAnsiTheme="minorHAnsi" w:cstheme="minorBidi"/>
              <w:sz w:val="22"/>
              <w:szCs w:val="22"/>
              <w:lang w:val="en-US"/>
            </w:rPr>
          </w:pPr>
          <w:r w:rsidRPr="00BA4AE2">
            <w:rPr>
              <w:rStyle w:val="Hyperlink"/>
            </w:rPr>
            <w:t xml:space="preserve">         </w:t>
          </w:r>
          <w:hyperlink w:anchor="_Toc98606473" w:history="1">
            <w:r w:rsidRPr="00BA4AE2">
              <w:rPr>
                <w:rStyle w:val="Hyperlink"/>
              </w:rPr>
              <w:t>Traditional or customary justice systems</w:t>
            </w:r>
            <w:r w:rsidRPr="00BA4AE2">
              <w:rPr>
                <w:webHidden/>
              </w:rPr>
              <w:tab/>
            </w:r>
            <w:r w:rsidRPr="00BA4AE2">
              <w:rPr>
                <w:i w:val="0"/>
                <w:iCs w:val="0"/>
                <w:webHidden/>
              </w:rPr>
              <w:fldChar w:fldCharType="begin"/>
            </w:r>
            <w:r w:rsidRPr="00BA4AE2">
              <w:rPr>
                <w:i w:val="0"/>
                <w:iCs w:val="0"/>
                <w:webHidden/>
              </w:rPr>
              <w:instrText xml:space="preserve"> PAGEREF _Toc98606473 \h </w:instrText>
            </w:r>
            <w:r w:rsidRPr="00BA4AE2">
              <w:rPr>
                <w:i w:val="0"/>
                <w:iCs w:val="0"/>
                <w:webHidden/>
              </w:rPr>
            </w:r>
            <w:r w:rsidRPr="00BA4AE2">
              <w:rPr>
                <w:i w:val="0"/>
                <w:iCs w:val="0"/>
                <w:webHidden/>
              </w:rPr>
              <w:fldChar w:fldCharType="separate"/>
            </w:r>
            <w:r w:rsidR="00D64AC4">
              <w:rPr>
                <w:i w:val="0"/>
                <w:iCs w:val="0"/>
                <w:webHidden/>
              </w:rPr>
              <w:t>38</w:t>
            </w:r>
            <w:r w:rsidRPr="00BA4AE2">
              <w:rPr>
                <w:i w:val="0"/>
                <w:iCs w:val="0"/>
                <w:webHidden/>
              </w:rPr>
              <w:fldChar w:fldCharType="end"/>
            </w:r>
          </w:hyperlink>
        </w:p>
        <w:p w14:paraId="6C272CAA" w14:textId="60B66F7C" w:rsidR="00AE1CB5" w:rsidRDefault="00D64AC4" w:rsidP="00AE14A4">
          <w:pPr>
            <w:pStyle w:val="TOC1"/>
            <w:rPr>
              <w:rFonts w:asciiTheme="minorHAnsi" w:eastAsiaTheme="minorEastAsia" w:hAnsiTheme="minorHAnsi" w:cstheme="minorBidi"/>
              <w:sz w:val="22"/>
              <w:szCs w:val="22"/>
              <w:lang w:val="en-US"/>
            </w:rPr>
          </w:pPr>
          <w:hyperlink w:anchor="_Toc98606474" w:history="1">
            <w:r w:rsidR="00AE1CB5" w:rsidRPr="00EF7C9D">
              <w:rPr>
                <w:rStyle w:val="Hyperlink"/>
              </w:rPr>
              <w:t>C.</w:t>
            </w:r>
            <w:r w:rsidR="00AE1CB5">
              <w:rPr>
                <w:rFonts w:asciiTheme="minorHAnsi" w:eastAsiaTheme="minorEastAsia" w:hAnsiTheme="minorHAnsi" w:cstheme="minorBidi"/>
                <w:sz w:val="22"/>
                <w:szCs w:val="22"/>
                <w:lang w:val="en-US"/>
              </w:rPr>
              <w:tab/>
            </w:r>
            <w:r w:rsidR="00AE1CB5" w:rsidRPr="00EF7C9D">
              <w:rPr>
                <w:rStyle w:val="Hyperlink"/>
              </w:rPr>
              <w:t>Barriers to reporting sexual violence in conflict</w:t>
            </w:r>
            <w:r w:rsidR="00AE1CB5">
              <w:rPr>
                <w:webHidden/>
              </w:rPr>
              <w:tab/>
            </w:r>
            <w:r w:rsidR="00AE1CB5">
              <w:rPr>
                <w:webHidden/>
              </w:rPr>
              <w:fldChar w:fldCharType="begin"/>
            </w:r>
            <w:r w:rsidR="00AE1CB5">
              <w:rPr>
                <w:webHidden/>
              </w:rPr>
              <w:instrText xml:space="preserve"> PAGEREF _Toc98606474 \h </w:instrText>
            </w:r>
            <w:r w:rsidR="00AE1CB5">
              <w:rPr>
                <w:webHidden/>
              </w:rPr>
            </w:r>
            <w:r w:rsidR="00AE1CB5">
              <w:rPr>
                <w:webHidden/>
              </w:rPr>
              <w:fldChar w:fldCharType="separate"/>
            </w:r>
            <w:r>
              <w:rPr>
                <w:webHidden/>
              </w:rPr>
              <w:t>39</w:t>
            </w:r>
            <w:r w:rsidR="00AE1CB5">
              <w:rPr>
                <w:webHidden/>
              </w:rPr>
              <w:fldChar w:fldCharType="end"/>
            </w:r>
          </w:hyperlink>
        </w:p>
        <w:p w14:paraId="35E96B2C" w14:textId="11A4E18D" w:rsidR="00AE1CB5" w:rsidRDefault="00D64AC4" w:rsidP="00AE14A4">
          <w:pPr>
            <w:pStyle w:val="TOC1"/>
            <w:rPr>
              <w:rFonts w:asciiTheme="minorHAnsi" w:eastAsiaTheme="minorEastAsia" w:hAnsiTheme="minorHAnsi" w:cstheme="minorBidi"/>
              <w:sz w:val="22"/>
              <w:szCs w:val="22"/>
              <w:lang w:val="en-US"/>
            </w:rPr>
          </w:pPr>
          <w:hyperlink w:anchor="_Toc98606475" w:history="1">
            <w:r w:rsidR="00AE1CB5" w:rsidRPr="00EF7C9D">
              <w:rPr>
                <w:rStyle w:val="Hyperlink"/>
              </w:rPr>
              <w:t>D.</w:t>
            </w:r>
            <w:r w:rsidR="00AE1CB5">
              <w:rPr>
                <w:rFonts w:asciiTheme="minorHAnsi" w:eastAsiaTheme="minorEastAsia" w:hAnsiTheme="minorHAnsi" w:cstheme="minorBidi"/>
                <w:sz w:val="22"/>
                <w:szCs w:val="22"/>
                <w:lang w:val="en-US"/>
              </w:rPr>
              <w:tab/>
            </w:r>
            <w:r w:rsidR="00AE1CB5" w:rsidRPr="00EF7C9D">
              <w:rPr>
                <w:rStyle w:val="Hyperlink"/>
              </w:rPr>
              <w:t>Transitional justice</w:t>
            </w:r>
            <w:r w:rsidR="00AE1CB5">
              <w:rPr>
                <w:webHidden/>
              </w:rPr>
              <w:tab/>
            </w:r>
            <w:r w:rsidR="00AE1CB5">
              <w:rPr>
                <w:webHidden/>
              </w:rPr>
              <w:fldChar w:fldCharType="begin"/>
            </w:r>
            <w:r w:rsidR="00AE1CB5">
              <w:rPr>
                <w:webHidden/>
              </w:rPr>
              <w:instrText xml:space="preserve"> PAGEREF _Toc98606475 \h </w:instrText>
            </w:r>
            <w:r w:rsidR="00AE1CB5">
              <w:rPr>
                <w:webHidden/>
              </w:rPr>
            </w:r>
            <w:r w:rsidR="00AE1CB5">
              <w:rPr>
                <w:webHidden/>
              </w:rPr>
              <w:fldChar w:fldCharType="separate"/>
            </w:r>
            <w:r>
              <w:rPr>
                <w:webHidden/>
              </w:rPr>
              <w:t>41</w:t>
            </w:r>
            <w:r w:rsidR="00AE1CB5">
              <w:rPr>
                <w:webHidden/>
              </w:rPr>
              <w:fldChar w:fldCharType="end"/>
            </w:r>
          </w:hyperlink>
        </w:p>
        <w:p w14:paraId="56C142BC" w14:textId="71A8F89B" w:rsidR="00AE1CB5" w:rsidRDefault="00D64AC4" w:rsidP="00AE14A4">
          <w:pPr>
            <w:pStyle w:val="TOC1"/>
            <w:rPr>
              <w:rFonts w:asciiTheme="minorHAnsi" w:eastAsiaTheme="minorEastAsia" w:hAnsiTheme="minorHAnsi" w:cstheme="minorBidi"/>
              <w:sz w:val="22"/>
              <w:szCs w:val="22"/>
              <w:lang w:val="en-US"/>
            </w:rPr>
          </w:pPr>
          <w:hyperlink w:anchor="_Toc98606476" w:history="1">
            <w:r w:rsidR="00AE1CB5" w:rsidRPr="00EF7C9D">
              <w:rPr>
                <w:rStyle w:val="Hyperlink"/>
              </w:rPr>
              <w:t>VII.</w:t>
            </w:r>
            <w:r w:rsidR="00AE1CB5">
              <w:rPr>
                <w:rFonts w:asciiTheme="minorHAnsi" w:eastAsiaTheme="minorEastAsia" w:hAnsiTheme="minorHAnsi" w:cstheme="minorBidi"/>
                <w:sz w:val="22"/>
                <w:szCs w:val="22"/>
                <w:lang w:val="en-US"/>
              </w:rPr>
              <w:tab/>
            </w:r>
            <w:r w:rsidR="00AE1CB5" w:rsidRPr="00EF7C9D">
              <w:rPr>
                <w:rStyle w:val="Hyperlink"/>
              </w:rPr>
              <w:t>Conclusions and recommendations</w:t>
            </w:r>
            <w:r w:rsidR="00AE1CB5">
              <w:rPr>
                <w:webHidden/>
              </w:rPr>
              <w:tab/>
            </w:r>
            <w:r w:rsidR="00AE1CB5">
              <w:rPr>
                <w:webHidden/>
              </w:rPr>
              <w:fldChar w:fldCharType="begin"/>
            </w:r>
            <w:r w:rsidR="00AE1CB5">
              <w:rPr>
                <w:webHidden/>
              </w:rPr>
              <w:instrText xml:space="preserve"> PAGEREF _Toc98606476 \h </w:instrText>
            </w:r>
            <w:r w:rsidR="00AE1CB5">
              <w:rPr>
                <w:webHidden/>
              </w:rPr>
            </w:r>
            <w:r w:rsidR="00AE1CB5">
              <w:rPr>
                <w:webHidden/>
              </w:rPr>
              <w:fldChar w:fldCharType="separate"/>
            </w:r>
            <w:r>
              <w:rPr>
                <w:webHidden/>
              </w:rPr>
              <w:t>42</w:t>
            </w:r>
            <w:r w:rsidR="00AE1CB5">
              <w:rPr>
                <w:webHidden/>
              </w:rPr>
              <w:fldChar w:fldCharType="end"/>
            </w:r>
          </w:hyperlink>
        </w:p>
        <w:p w14:paraId="4F2A18A3" w14:textId="5D82B382" w:rsidR="00AE1CB5" w:rsidRPr="00AE14A4" w:rsidRDefault="00AE1CB5" w:rsidP="00AE14A4">
          <w:pPr>
            <w:pStyle w:val="TOC2"/>
            <w:rPr>
              <w:rFonts w:asciiTheme="minorHAnsi" w:eastAsiaTheme="minorEastAsia" w:hAnsiTheme="minorHAnsi" w:cstheme="minorBidi"/>
              <w:sz w:val="22"/>
              <w:szCs w:val="22"/>
              <w:lang w:val="en-US"/>
            </w:rPr>
          </w:pPr>
          <w:r>
            <w:rPr>
              <w:rStyle w:val="Hyperlink"/>
            </w:rPr>
            <w:t xml:space="preserve">         </w:t>
          </w:r>
          <w:hyperlink w:anchor="_Toc98606477" w:history="1">
            <w:r w:rsidRPr="00AE14A4">
              <w:rPr>
                <w:rStyle w:val="Hyperlink"/>
              </w:rPr>
              <w:t>Conclusions</w:t>
            </w:r>
            <w:r w:rsidRPr="00AE14A4">
              <w:rPr>
                <w:webHidden/>
              </w:rPr>
              <w:tab/>
            </w:r>
            <w:r w:rsidRPr="00AE14A4">
              <w:rPr>
                <w:i w:val="0"/>
                <w:iCs w:val="0"/>
                <w:webHidden/>
              </w:rPr>
              <w:fldChar w:fldCharType="begin"/>
            </w:r>
            <w:r w:rsidRPr="00AE14A4">
              <w:rPr>
                <w:i w:val="0"/>
                <w:iCs w:val="0"/>
                <w:webHidden/>
              </w:rPr>
              <w:instrText xml:space="preserve"> PAGEREF _Toc98606477 \h </w:instrText>
            </w:r>
            <w:r w:rsidRPr="00AE14A4">
              <w:rPr>
                <w:i w:val="0"/>
                <w:iCs w:val="0"/>
                <w:webHidden/>
              </w:rPr>
            </w:r>
            <w:r w:rsidRPr="00AE14A4">
              <w:rPr>
                <w:i w:val="0"/>
                <w:iCs w:val="0"/>
                <w:webHidden/>
              </w:rPr>
              <w:fldChar w:fldCharType="separate"/>
            </w:r>
            <w:r w:rsidR="00D64AC4">
              <w:rPr>
                <w:i w:val="0"/>
                <w:iCs w:val="0"/>
                <w:webHidden/>
              </w:rPr>
              <w:t>42</w:t>
            </w:r>
            <w:r w:rsidRPr="00AE14A4">
              <w:rPr>
                <w:i w:val="0"/>
                <w:iCs w:val="0"/>
                <w:webHidden/>
              </w:rPr>
              <w:fldChar w:fldCharType="end"/>
            </w:r>
          </w:hyperlink>
        </w:p>
        <w:p w14:paraId="1D000619" w14:textId="393D4955" w:rsidR="00AE1CB5" w:rsidRDefault="00AE1CB5" w:rsidP="00AE14A4">
          <w:pPr>
            <w:pStyle w:val="TOC2"/>
            <w:rPr>
              <w:rFonts w:asciiTheme="minorHAnsi" w:eastAsiaTheme="minorEastAsia" w:hAnsiTheme="minorHAnsi" w:cstheme="minorBidi"/>
              <w:sz w:val="22"/>
              <w:szCs w:val="22"/>
              <w:lang w:val="en-US"/>
            </w:rPr>
          </w:pPr>
          <w:r>
            <w:rPr>
              <w:rStyle w:val="Hyperlink"/>
            </w:rPr>
            <w:t xml:space="preserve">         </w:t>
          </w:r>
          <w:hyperlink w:anchor="_Toc98606478" w:history="1">
            <w:r w:rsidRPr="00EF7C9D">
              <w:rPr>
                <w:rStyle w:val="Hyperlink"/>
              </w:rPr>
              <w:t>Recommendations</w:t>
            </w:r>
            <w:r>
              <w:rPr>
                <w:webHidden/>
              </w:rPr>
              <w:tab/>
            </w:r>
            <w:r w:rsidRPr="00AE14A4">
              <w:rPr>
                <w:i w:val="0"/>
                <w:iCs w:val="0"/>
                <w:webHidden/>
              </w:rPr>
              <w:fldChar w:fldCharType="begin"/>
            </w:r>
            <w:r w:rsidRPr="00AE14A4">
              <w:rPr>
                <w:i w:val="0"/>
                <w:iCs w:val="0"/>
                <w:webHidden/>
              </w:rPr>
              <w:instrText xml:space="preserve"> PAGEREF _Toc98606478 \h </w:instrText>
            </w:r>
            <w:r w:rsidRPr="00AE14A4">
              <w:rPr>
                <w:i w:val="0"/>
                <w:iCs w:val="0"/>
                <w:webHidden/>
              </w:rPr>
            </w:r>
            <w:r w:rsidRPr="00AE14A4">
              <w:rPr>
                <w:i w:val="0"/>
                <w:iCs w:val="0"/>
                <w:webHidden/>
              </w:rPr>
              <w:fldChar w:fldCharType="separate"/>
            </w:r>
            <w:r w:rsidR="00D64AC4">
              <w:rPr>
                <w:i w:val="0"/>
                <w:iCs w:val="0"/>
                <w:webHidden/>
              </w:rPr>
              <w:t>44</w:t>
            </w:r>
            <w:r w:rsidRPr="00AE14A4">
              <w:rPr>
                <w:i w:val="0"/>
                <w:iCs w:val="0"/>
                <w:webHidden/>
              </w:rPr>
              <w:fldChar w:fldCharType="end"/>
            </w:r>
          </w:hyperlink>
        </w:p>
        <w:p w14:paraId="6FCE07ED" w14:textId="0C0D9085" w:rsidR="00AE1CB5" w:rsidRDefault="00AE1CB5">
          <w:r>
            <w:rPr>
              <w:b/>
              <w:bCs/>
              <w:noProof/>
            </w:rPr>
            <w:fldChar w:fldCharType="end"/>
          </w:r>
        </w:p>
      </w:sdtContent>
    </w:sdt>
    <w:p w14:paraId="137B88F7" w14:textId="0B934D68" w:rsidR="009E20FD" w:rsidRPr="00A307C6" w:rsidRDefault="009E20FD">
      <w:pPr>
        <w:rPr>
          <w:b/>
          <w:sz w:val="28"/>
        </w:rPr>
      </w:pPr>
      <w:r w:rsidRPr="00A307C6">
        <w:br w:type="page"/>
      </w:r>
    </w:p>
    <w:p w14:paraId="62469AB4" w14:textId="4D09FEA9" w:rsidR="00B059E3" w:rsidRPr="00A307C6" w:rsidRDefault="00D16D90" w:rsidP="00B8644C">
      <w:pPr>
        <w:pStyle w:val="HChG"/>
        <w:numPr>
          <w:ilvl w:val="0"/>
          <w:numId w:val="15"/>
        </w:numPr>
        <w:outlineLvl w:val="0"/>
      </w:pPr>
      <w:bookmarkStart w:id="2" w:name="_Toc98226798"/>
      <w:bookmarkStart w:id="3" w:name="_Toc98606439"/>
      <w:r w:rsidRPr="00A307C6">
        <w:lastRenderedPageBreak/>
        <w:t>Introduction</w:t>
      </w:r>
      <w:bookmarkEnd w:id="2"/>
      <w:bookmarkEnd w:id="3"/>
    </w:p>
    <w:p w14:paraId="58570640" w14:textId="3813955F" w:rsidR="00816CE8" w:rsidRPr="00A307C6" w:rsidRDefault="00816CE8" w:rsidP="00FF077A">
      <w:pPr>
        <w:pStyle w:val="Paragraph"/>
        <w:rPr>
          <w:lang w:val="en-GB"/>
        </w:rPr>
      </w:pPr>
      <w:r w:rsidRPr="00A307C6">
        <w:rPr>
          <w:lang w:val="en-GB"/>
        </w:rPr>
        <w:t xml:space="preserve">The magnitude of conflict-related sexual violence against women </w:t>
      </w:r>
      <w:r w:rsidR="00E53C41" w:rsidRPr="00A307C6">
        <w:rPr>
          <w:lang w:val="en-GB"/>
        </w:rPr>
        <w:t xml:space="preserve">and girls </w:t>
      </w:r>
      <w:r w:rsidRPr="00A307C6">
        <w:rPr>
          <w:lang w:val="en-GB"/>
        </w:rPr>
        <w:t xml:space="preserve">in South Sudan </w:t>
      </w:r>
      <w:r w:rsidR="00E53C41" w:rsidRPr="00A307C6">
        <w:rPr>
          <w:lang w:val="en-GB"/>
        </w:rPr>
        <w:t xml:space="preserve">and its gendered impact </w:t>
      </w:r>
      <w:r w:rsidRPr="00A307C6">
        <w:rPr>
          <w:lang w:val="en-GB"/>
        </w:rPr>
        <w:t>is yet to be fully understood</w:t>
      </w:r>
      <w:r w:rsidR="00E53C41" w:rsidRPr="00A307C6">
        <w:rPr>
          <w:lang w:val="en-GB"/>
        </w:rPr>
        <w:t xml:space="preserve">, as </w:t>
      </w:r>
      <w:r w:rsidR="00C86D69" w:rsidRPr="00A307C6">
        <w:rPr>
          <w:lang w:val="en-GB"/>
        </w:rPr>
        <w:t>these crimes are</w:t>
      </w:r>
      <w:r w:rsidRPr="00A307C6">
        <w:rPr>
          <w:lang w:val="en-GB"/>
        </w:rPr>
        <w:t xml:space="preserve"> massively underreported. Where </w:t>
      </w:r>
      <w:r w:rsidR="00E53C41" w:rsidRPr="00A307C6">
        <w:rPr>
          <w:lang w:val="en-GB"/>
        </w:rPr>
        <w:t xml:space="preserve">women have </w:t>
      </w:r>
      <w:r w:rsidRPr="00A307C6">
        <w:rPr>
          <w:lang w:val="en-GB"/>
        </w:rPr>
        <w:t xml:space="preserve">reported </w:t>
      </w:r>
      <w:r w:rsidR="00E53C41" w:rsidRPr="00A307C6">
        <w:rPr>
          <w:lang w:val="en-GB"/>
        </w:rPr>
        <w:t xml:space="preserve">these crimes, they </w:t>
      </w:r>
      <w:r w:rsidRPr="00A307C6">
        <w:rPr>
          <w:lang w:val="en-GB"/>
        </w:rPr>
        <w:t>encounter major obstacles to accessing the justice system</w:t>
      </w:r>
      <w:r w:rsidR="00E53C41" w:rsidRPr="00A307C6">
        <w:rPr>
          <w:lang w:val="en-GB"/>
        </w:rPr>
        <w:t xml:space="preserve"> </w:t>
      </w:r>
      <w:r w:rsidR="00EF03A6">
        <w:rPr>
          <w:lang w:val="en-GB"/>
        </w:rPr>
        <w:t xml:space="preserve">and </w:t>
      </w:r>
      <w:r w:rsidR="00E53C41" w:rsidRPr="00A307C6">
        <w:rPr>
          <w:lang w:val="en-GB"/>
        </w:rPr>
        <w:t>threats of retaliation</w:t>
      </w:r>
      <w:r w:rsidR="00EF03A6">
        <w:rPr>
          <w:lang w:val="en-GB"/>
        </w:rPr>
        <w:t>,</w:t>
      </w:r>
      <w:r w:rsidR="00E53C41" w:rsidRPr="00A307C6">
        <w:rPr>
          <w:lang w:val="en-GB"/>
        </w:rPr>
        <w:t xml:space="preserve"> given the </w:t>
      </w:r>
      <w:r w:rsidRPr="00A307C6">
        <w:rPr>
          <w:lang w:val="en-GB"/>
        </w:rPr>
        <w:t xml:space="preserve">extremely high levels of impunity. Yet despite these obstacles and at considerable personal cost, </w:t>
      </w:r>
      <w:r w:rsidR="002E57AA" w:rsidRPr="00A307C6">
        <w:rPr>
          <w:lang w:val="en-GB"/>
        </w:rPr>
        <w:t>S</w:t>
      </w:r>
      <w:r w:rsidRPr="00A307C6">
        <w:rPr>
          <w:lang w:val="en-GB"/>
        </w:rPr>
        <w:t>outh Sudanese women and girls are speaking out</w:t>
      </w:r>
      <w:r w:rsidR="00E53C41" w:rsidRPr="00A307C6">
        <w:rPr>
          <w:lang w:val="en-GB"/>
        </w:rPr>
        <w:t xml:space="preserve">, </w:t>
      </w:r>
      <w:r w:rsidRPr="00A307C6">
        <w:rPr>
          <w:lang w:val="en-GB"/>
        </w:rPr>
        <w:t>and demanding their rights to truth, justice</w:t>
      </w:r>
      <w:r w:rsidR="00C86D69" w:rsidRPr="00A307C6">
        <w:rPr>
          <w:lang w:val="en-GB"/>
        </w:rPr>
        <w:t xml:space="preserve">, </w:t>
      </w:r>
      <w:r w:rsidRPr="00A307C6">
        <w:rPr>
          <w:lang w:val="en-GB"/>
        </w:rPr>
        <w:t>reparation and guarantees of non-repetition. In speaking out they encounter threats and risks to their physical security and that of their families. These risks extend to</w:t>
      </w:r>
      <w:r w:rsidR="00E53C41" w:rsidRPr="00A307C6">
        <w:rPr>
          <w:lang w:val="en-GB"/>
        </w:rPr>
        <w:t xml:space="preserve"> </w:t>
      </w:r>
      <w:r w:rsidRPr="00A307C6">
        <w:rPr>
          <w:lang w:val="en-GB"/>
        </w:rPr>
        <w:t>women defenders and organisations who support survivors.</w:t>
      </w:r>
      <w:r w:rsidR="00E53C41" w:rsidRPr="00A307C6">
        <w:rPr>
          <w:lang w:val="en-GB"/>
        </w:rPr>
        <w:t xml:space="preserve"> </w:t>
      </w:r>
      <w:r w:rsidR="002E57AA" w:rsidRPr="00A307C6">
        <w:rPr>
          <w:lang w:val="en-GB"/>
        </w:rPr>
        <w:t>W</w:t>
      </w:r>
      <w:r w:rsidRPr="00A307C6">
        <w:rPr>
          <w:lang w:val="en-GB"/>
        </w:rPr>
        <w:t>ithout the</w:t>
      </w:r>
      <w:r w:rsidR="00E53C41" w:rsidRPr="00A307C6">
        <w:rPr>
          <w:lang w:val="en-GB"/>
        </w:rPr>
        <w:t xml:space="preserve"> courage of South </w:t>
      </w:r>
      <w:r w:rsidR="009F5BA6" w:rsidRPr="00A307C6">
        <w:rPr>
          <w:lang w:val="en-GB"/>
        </w:rPr>
        <w:t xml:space="preserve">Sudanese </w:t>
      </w:r>
      <w:r w:rsidR="00E53C41" w:rsidRPr="00A307C6">
        <w:rPr>
          <w:lang w:val="en-GB"/>
        </w:rPr>
        <w:t xml:space="preserve">survivors, and the </w:t>
      </w:r>
      <w:r w:rsidRPr="00A307C6">
        <w:rPr>
          <w:lang w:val="en-GB"/>
        </w:rPr>
        <w:t xml:space="preserve">support </w:t>
      </w:r>
      <w:r w:rsidR="00E53C41" w:rsidRPr="00A307C6">
        <w:rPr>
          <w:lang w:val="en-GB"/>
        </w:rPr>
        <w:t xml:space="preserve">from </w:t>
      </w:r>
      <w:r w:rsidR="006A06D3" w:rsidRPr="00A307C6">
        <w:rPr>
          <w:lang w:val="en-GB"/>
        </w:rPr>
        <w:t xml:space="preserve">the </w:t>
      </w:r>
      <w:r w:rsidRPr="00A307C6">
        <w:rPr>
          <w:lang w:val="en-GB"/>
        </w:rPr>
        <w:t>dedicated work of women defenders and organisations</w:t>
      </w:r>
      <w:r w:rsidR="00E53C41" w:rsidRPr="00A307C6">
        <w:rPr>
          <w:lang w:val="en-GB"/>
        </w:rPr>
        <w:t>,</w:t>
      </w:r>
      <w:r w:rsidRPr="00A307C6">
        <w:rPr>
          <w:lang w:val="en-GB"/>
        </w:rPr>
        <w:t xml:space="preserve"> none of these cases would ever come to the fore. </w:t>
      </w:r>
    </w:p>
    <w:p w14:paraId="78CFECBC" w14:textId="63AC3857" w:rsidR="004F272C" w:rsidRPr="00A307C6" w:rsidRDefault="00EA67AA" w:rsidP="00FF077A">
      <w:pPr>
        <w:pStyle w:val="Paragraph"/>
        <w:rPr>
          <w:lang w:val="en-GB"/>
        </w:rPr>
      </w:pPr>
      <w:r w:rsidRPr="00A307C6">
        <w:rPr>
          <w:lang w:val="en-GB"/>
        </w:rPr>
        <w:t xml:space="preserve">To </w:t>
      </w:r>
      <w:r w:rsidR="006A06D3" w:rsidRPr="00A307C6">
        <w:rPr>
          <w:lang w:val="en-GB"/>
        </w:rPr>
        <w:t xml:space="preserve">grasp </w:t>
      </w:r>
      <w:r w:rsidRPr="00A307C6">
        <w:rPr>
          <w:lang w:val="en-GB"/>
        </w:rPr>
        <w:t>the full impact of conflict-related sexual violence</w:t>
      </w:r>
      <w:r w:rsidR="00E53C41" w:rsidRPr="00A307C6">
        <w:rPr>
          <w:lang w:val="en-GB"/>
        </w:rPr>
        <w:t xml:space="preserve">, </w:t>
      </w:r>
      <w:r w:rsidRPr="00A307C6">
        <w:rPr>
          <w:lang w:val="en-GB"/>
        </w:rPr>
        <w:t xml:space="preserve">it is </w:t>
      </w:r>
      <w:r w:rsidR="002F1A19" w:rsidRPr="00A307C6">
        <w:rPr>
          <w:lang w:val="en-GB"/>
        </w:rPr>
        <w:t xml:space="preserve">necessary to </w:t>
      </w:r>
      <w:r w:rsidRPr="00A307C6">
        <w:rPr>
          <w:lang w:val="en-GB"/>
        </w:rPr>
        <w:t xml:space="preserve">understand the social and cultural context </w:t>
      </w:r>
      <w:r w:rsidR="002F1A19" w:rsidRPr="00A307C6">
        <w:rPr>
          <w:lang w:val="en-GB"/>
        </w:rPr>
        <w:t xml:space="preserve">in which sexual violence occurs, under </w:t>
      </w:r>
      <w:r w:rsidRPr="00A307C6">
        <w:rPr>
          <w:lang w:val="en-GB"/>
        </w:rPr>
        <w:t>patriarchal systems based on domination and</w:t>
      </w:r>
      <w:r w:rsidR="0003797E">
        <w:rPr>
          <w:lang w:val="en-GB"/>
        </w:rPr>
        <w:t xml:space="preserve"> </w:t>
      </w:r>
      <w:r w:rsidRPr="00A307C6">
        <w:rPr>
          <w:lang w:val="en-GB"/>
        </w:rPr>
        <w:t xml:space="preserve">gender discrimination, </w:t>
      </w:r>
      <w:r w:rsidR="002F1A19" w:rsidRPr="00A307C6">
        <w:rPr>
          <w:lang w:val="en-GB"/>
        </w:rPr>
        <w:t xml:space="preserve">as well as </w:t>
      </w:r>
      <w:r w:rsidRPr="00A307C6">
        <w:rPr>
          <w:lang w:val="en-GB"/>
        </w:rPr>
        <w:t>social, political</w:t>
      </w:r>
      <w:r w:rsidR="002F1A19" w:rsidRPr="00A307C6">
        <w:rPr>
          <w:lang w:val="en-GB"/>
        </w:rPr>
        <w:t>, legal</w:t>
      </w:r>
      <w:r w:rsidRPr="00A307C6">
        <w:rPr>
          <w:lang w:val="en-GB"/>
        </w:rPr>
        <w:t xml:space="preserve"> and economic</w:t>
      </w:r>
      <w:r w:rsidR="000A316C" w:rsidRPr="00A307C6">
        <w:rPr>
          <w:lang w:val="en-GB"/>
        </w:rPr>
        <w:t xml:space="preserve"> </w:t>
      </w:r>
      <w:r w:rsidR="002F1A19" w:rsidRPr="00A307C6">
        <w:rPr>
          <w:lang w:val="en-GB"/>
        </w:rPr>
        <w:t>marginalization.</w:t>
      </w:r>
      <w:r w:rsidRPr="00A307C6">
        <w:rPr>
          <w:lang w:val="en-GB"/>
        </w:rPr>
        <w:t xml:space="preserve"> For South Sudanese women these factors combine</w:t>
      </w:r>
      <w:r w:rsidR="002F1A19" w:rsidRPr="00A307C6">
        <w:rPr>
          <w:lang w:val="en-GB"/>
        </w:rPr>
        <w:t>d</w:t>
      </w:r>
      <w:r w:rsidRPr="00A307C6">
        <w:rPr>
          <w:lang w:val="en-GB"/>
        </w:rPr>
        <w:t xml:space="preserve"> with historical attitudes </w:t>
      </w:r>
      <w:r w:rsidR="002F1A19" w:rsidRPr="00A307C6">
        <w:rPr>
          <w:lang w:val="en-GB"/>
        </w:rPr>
        <w:t xml:space="preserve">of inequality, </w:t>
      </w:r>
      <w:r w:rsidR="00CE391E" w:rsidRPr="00A307C6">
        <w:rPr>
          <w:lang w:val="en-GB"/>
        </w:rPr>
        <w:t>gender discrimination</w:t>
      </w:r>
      <w:r w:rsidRPr="00A307C6">
        <w:rPr>
          <w:lang w:val="en-GB"/>
        </w:rPr>
        <w:t xml:space="preserve"> and the low status </w:t>
      </w:r>
      <w:r w:rsidR="002F1A19" w:rsidRPr="00A307C6">
        <w:rPr>
          <w:lang w:val="en-GB"/>
        </w:rPr>
        <w:t xml:space="preserve">of </w:t>
      </w:r>
      <w:r w:rsidRPr="00A307C6">
        <w:rPr>
          <w:lang w:val="en-GB"/>
        </w:rPr>
        <w:t xml:space="preserve">women </w:t>
      </w:r>
      <w:r w:rsidR="009B0506" w:rsidRPr="00A307C6">
        <w:rPr>
          <w:lang w:val="en-GB"/>
        </w:rPr>
        <w:t>at an in</w:t>
      </w:r>
      <w:r w:rsidR="00CE391E" w:rsidRPr="00A307C6">
        <w:rPr>
          <w:lang w:val="en-GB"/>
        </w:rPr>
        <w:t xml:space="preserve">dividual </w:t>
      </w:r>
      <w:r w:rsidR="009B0506" w:rsidRPr="00A307C6">
        <w:rPr>
          <w:lang w:val="en-GB"/>
        </w:rPr>
        <w:t>and systemic level</w:t>
      </w:r>
      <w:r w:rsidR="002F1A19" w:rsidRPr="00A307C6">
        <w:rPr>
          <w:lang w:val="en-GB"/>
        </w:rPr>
        <w:t>, contribute to an environment in which sexual and gender</w:t>
      </w:r>
      <w:r w:rsidR="00A876A8" w:rsidRPr="00A307C6">
        <w:rPr>
          <w:lang w:val="en-GB"/>
        </w:rPr>
        <w:t>-</w:t>
      </w:r>
      <w:r w:rsidR="002F1A19" w:rsidRPr="00A307C6">
        <w:rPr>
          <w:lang w:val="en-GB"/>
        </w:rPr>
        <w:t xml:space="preserve">based violence is widespread and pervasive. </w:t>
      </w:r>
      <w:r w:rsidR="006368A9" w:rsidRPr="00A307C6">
        <w:rPr>
          <w:lang w:val="en-GB"/>
        </w:rPr>
        <w:t>I</w:t>
      </w:r>
      <w:r w:rsidRPr="00A307C6">
        <w:rPr>
          <w:lang w:val="en-GB"/>
        </w:rPr>
        <w:t xml:space="preserve">mpunity </w:t>
      </w:r>
      <w:r w:rsidR="002F1A19" w:rsidRPr="00A307C6">
        <w:rPr>
          <w:lang w:val="en-GB"/>
        </w:rPr>
        <w:t xml:space="preserve">for </w:t>
      </w:r>
      <w:r w:rsidR="006368A9" w:rsidRPr="00A307C6">
        <w:rPr>
          <w:lang w:val="en-GB"/>
        </w:rPr>
        <w:t>sexual and gender</w:t>
      </w:r>
      <w:r w:rsidR="006A06D3" w:rsidRPr="00A307C6">
        <w:rPr>
          <w:lang w:val="en-GB"/>
        </w:rPr>
        <w:t>-</w:t>
      </w:r>
      <w:r w:rsidR="006368A9" w:rsidRPr="00A307C6">
        <w:rPr>
          <w:lang w:val="en-GB"/>
        </w:rPr>
        <w:t xml:space="preserve">based violence entrenched </w:t>
      </w:r>
      <w:r w:rsidRPr="00A307C6">
        <w:rPr>
          <w:lang w:val="en-GB"/>
        </w:rPr>
        <w:t>over decades has reinforced pre-existing norms and patterns of discrimination against women</w:t>
      </w:r>
      <w:r w:rsidR="006368A9" w:rsidRPr="00A307C6">
        <w:rPr>
          <w:lang w:val="en-GB"/>
        </w:rPr>
        <w:t xml:space="preserve"> and girls</w:t>
      </w:r>
      <w:r w:rsidRPr="00A307C6">
        <w:rPr>
          <w:lang w:val="en-GB"/>
        </w:rPr>
        <w:t xml:space="preserve">, both inside and outside of the conflict. </w:t>
      </w:r>
      <w:r w:rsidR="004F272C" w:rsidRPr="00A307C6">
        <w:rPr>
          <w:lang w:val="en-GB"/>
        </w:rPr>
        <w:t xml:space="preserve">These crimes are perpetrated by all armed actors. </w:t>
      </w:r>
    </w:p>
    <w:p w14:paraId="15379DD1" w14:textId="4F0DC2FF" w:rsidR="004F272C" w:rsidRPr="00A307C6" w:rsidRDefault="004F272C" w:rsidP="008C50EA">
      <w:pPr>
        <w:pStyle w:val="Paragraph"/>
        <w:rPr>
          <w:lang w:val="en-GB"/>
        </w:rPr>
      </w:pPr>
      <w:r w:rsidRPr="00A307C6">
        <w:rPr>
          <w:lang w:val="en-GB"/>
        </w:rPr>
        <w:t xml:space="preserve">Conflict in South Sudan </w:t>
      </w:r>
      <w:r w:rsidR="008C50EA" w:rsidRPr="00A307C6">
        <w:rPr>
          <w:lang w:val="en-GB"/>
        </w:rPr>
        <w:t xml:space="preserve">is characterized by the fragmentation of warring parties, the proliferation of small arms and </w:t>
      </w:r>
      <w:r w:rsidR="009218C2" w:rsidRPr="00BF0171">
        <w:rPr>
          <w:lang w:val="en-GB"/>
        </w:rPr>
        <w:t xml:space="preserve">military-grade </w:t>
      </w:r>
      <w:r w:rsidR="008C50EA" w:rsidRPr="00BF0171">
        <w:rPr>
          <w:lang w:val="en-GB"/>
        </w:rPr>
        <w:t>weapons</w:t>
      </w:r>
      <w:r w:rsidRPr="00A307C6">
        <w:rPr>
          <w:lang w:val="en-GB"/>
        </w:rPr>
        <w:t xml:space="preserve">, and political allegiances </w:t>
      </w:r>
      <w:r w:rsidR="00A307C6" w:rsidRPr="00A307C6">
        <w:rPr>
          <w:lang w:val="en-GB"/>
        </w:rPr>
        <w:t>centred</w:t>
      </w:r>
      <w:r w:rsidRPr="00A307C6">
        <w:rPr>
          <w:lang w:val="en-GB"/>
        </w:rPr>
        <w:t xml:space="preserve"> on ethnic</w:t>
      </w:r>
      <w:r w:rsidR="008C50EA" w:rsidRPr="00A307C6">
        <w:rPr>
          <w:lang w:val="en-GB"/>
        </w:rPr>
        <w:t>, regional and other group</w:t>
      </w:r>
      <w:r w:rsidRPr="00A307C6">
        <w:rPr>
          <w:lang w:val="en-GB"/>
        </w:rPr>
        <w:t xml:space="preserve"> </w:t>
      </w:r>
      <w:r w:rsidR="006A06D3" w:rsidRPr="00A307C6">
        <w:rPr>
          <w:lang w:val="en-GB"/>
        </w:rPr>
        <w:t>identities</w:t>
      </w:r>
      <w:r w:rsidR="008C50EA" w:rsidRPr="00A307C6">
        <w:rPr>
          <w:lang w:val="en-GB"/>
        </w:rPr>
        <w:t>.</w:t>
      </w:r>
      <w:r w:rsidR="006A06D3" w:rsidRPr="00A307C6">
        <w:rPr>
          <w:lang w:val="en-GB"/>
        </w:rPr>
        <w:t xml:space="preserve"> </w:t>
      </w:r>
      <w:r w:rsidRPr="00A307C6">
        <w:rPr>
          <w:lang w:val="en-GB"/>
        </w:rPr>
        <w:t>In this context, humanitarian aid workers, women</w:t>
      </w:r>
      <w:r w:rsidR="00EF03A6">
        <w:rPr>
          <w:lang w:val="en-GB"/>
        </w:rPr>
        <w:t>’s rights</w:t>
      </w:r>
      <w:r w:rsidRPr="00A307C6">
        <w:rPr>
          <w:lang w:val="en-GB"/>
        </w:rPr>
        <w:t xml:space="preserve"> defenders, and civil society organizations supporting survivors of sexual and gender</w:t>
      </w:r>
      <w:r w:rsidR="006A06D3" w:rsidRPr="00A307C6">
        <w:rPr>
          <w:lang w:val="en-GB"/>
        </w:rPr>
        <w:t>-</w:t>
      </w:r>
      <w:r w:rsidRPr="00A307C6">
        <w:rPr>
          <w:lang w:val="en-GB"/>
        </w:rPr>
        <w:t xml:space="preserve">based violence, consistently find themselves targeted by armed actors as well. The funding of conflict at a national and sub-national level is linked to political elites and to the shadow parallel economy, </w:t>
      </w:r>
      <w:r w:rsidR="006A06D3" w:rsidRPr="00A307C6">
        <w:rPr>
          <w:lang w:val="en-GB"/>
        </w:rPr>
        <w:t xml:space="preserve">from which </w:t>
      </w:r>
      <w:r w:rsidRPr="00A307C6">
        <w:rPr>
          <w:lang w:val="en-GB"/>
        </w:rPr>
        <w:t xml:space="preserve">they </w:t>
      </w:r>
      <w:r w:rsidR="006A06D3" w:rsidRPr="00A307C6">
        <w:rPr>
          <w:lang w:val="en-GB"/>
        </w:rPr>
        <w:t>benefit</w:t>
      </w:r>
      <w:r w:rsidRPr="00A307C6">
        <w:rPr>
          <w:lang w:val="en-GB"/>
        </w:rPr>
        <w:t>. The conflict involves the deliberate expulsion of local populations from their territory</w:t>
      </w:r>
      <w:r w:rsidR="006A06D3" w:rsidRPr="00A307C6">
        <w:rPr>
          <w:lang w:val="en-GB"/>
        </w:rPr>
        <w:t>, often</w:t>
      </w:r>
      <w:r w:rsidRPr="00A307C6">
        <w:rPr>
          <w:lang w:val="en-GB"/>
        </w:rPr>
        <w:t xml:space="preserve"> with the intention of </w:t>
      </w:r>
      <w:r w:rsidR="006A06D3" w:rsidRPr="00A307C6">
        <w:rPr>
          <w:lang w:val="en-GB"/>
        </w:rPr>
        <w:t xml:space="preserve">changing the ethnic composition and political </w:t>
      </w:r>
      <w:r w:rsidRPr="00A307C6">
        <w:rPr>
          <w:lang w:val="en-GB"/>
        </w:rPr>
        <w:t xml:space="preserve">control </w:t>
      </w:r>
      <w:r w:rsidR="006A06D3" w:rsidRPr="00A307C6">
        <w:rPr>
          <w:lang w:val="en-GB"/>
        </w:rPr>
        <w:t xml:space="preserve">of </w:t>
      </w:r>
      <w:r w:rsidRPr="00A307C6">
        <w:rPr>
          <w:lang w:val="en-GB"/>
        </w:rPr>
        <w:t xml:space="preserve">the territory. Strategies have included terrorizing local populations, killing, burning of villages and the looting and control of local resources as well as rape </w:t>
      </w:r>
      <w:r w:rsidRPr="00A307C6">
        <w:rPr>
          <w:lang w:val="en-GB"/>
        </w:rPr>
        <w:lastRenderedPageBreak/>
        <w:t xml:space="preserve">and sexual violence. Women and girls in South Sudan face diverse forms of oppression including targeted killings, rape and sexual violence, slavery, forced marriage, forced procreation, forced </w:t>
      </w:r>
      <w:r w:rsidR="00A307C6" w:rsidRPr="00A307C6">
        <w:rPr>
          <w:lang w:val="en-GB"/>
        </w:rPr>
        <w:t>labour</w:t>
      </w:r>
      <w:r w:rsidRPr="00A307C6">
        <w:rPr>
          <w:lang w:val="en-GB"/>
        </w:rPr>
        <w:t xml:space="preserve">, </w:t>
      </w:r>
      <w:r w:rsidR="00804BF5" w:rsidRPr="00A307C6">
        <w:rPr>
          <w:lang w:val="en-GB"/>
        </w:rPr>
        <w:t xml:space="preserve">and other forms of </w:t>
      </w:r>
      <w:r w:rsidRPr="00A307C6">
        <w:rPr>
          <w:lang w:val="en-GB"/>
        </w:rPr>
        <w:t xml:space="preserve">sexual violence </w:t>
      </w:r>
      <w:r w:rsidR="00804BF5" w:rsidRPr="00A307C6">
        <w:rPr>
          <w:lang w:val="en-GB"/>
        </w:rPr>
        <w:t xml:space="preserve">and </w:t>
      </w:r>
      <w:r w:rsidRPr="00A307C6">
        <w:rPr>
          <w:lang w:val="en-GB"/>
        </w:rPr>
        <w:t xml:space="preserve">inequality. Widespread violence against civilian populations has also led to large numbers of internally displaced persons, and refugee populations. </w:t>
      </w:r>
    </w:p>
    <w:p w14:paraId="01878373" w14:textId="282FA5A1" w:rsidR="00637383" w:rsidRPr="00A307C6" w:rsidRDefault="0036784C" w:rsidP="00FF077A">
      <w:pPr>
        <w:pStyle w:val="Paragraph"/>
        <w:rPr>
          <w:lang w:val="en-GB"/>
        </w:rPr>
      </w:pPr>
      <w:r w:rsidRPr="00A307C6">
        <w:rPr>
          <w:lang w:val="en-GB"/>
        </w:rPr>
        <w:t xml:space="preserve">The causes of sexual violence in armed </w:t>
      </w:r>
      <w:r w:rsidR="000A316C" w:rsidRPr="00A307C6">
        <w:rPr>
          <w:lang w:val="en-GB"/>
        </w:rPr>
        <w:t>conflict</w:t>
      </w:r>
      <w:r w:rsidRPr="00A307C6">
        <w:rPr>
          <w:lang w:val="en-GB"/>
        </w:rPr>
        <w:t xml:space="preserve"> are multiple and complex. </w:t>
      </w:r>
      <w:r w:rsidR="00637383" w:rsidRPr="00A307C6">
        <w:rPr>
          <w:lang w:val="en-GB"/>
        </w:rPr>
        <w:t xml:space="preserve">Sexual and </w:t>
      </w:r>
      <w:r w:rsidR="00C86D69" w:rsidRPr="00A307C6">
        <w:rPr>
          <w:lang w:val="en-GB"/>
        </w:rPr>
        <w:t>g</w:t>
      </w:r>
      <w:r w:rsidR="00637383" w:rsidRPr="00A307C6">
        <w:rPr>
          <w:lang w:val="en-GB"/>
        </w:rPr>
        <w:t>ender</w:t>
      </w:r>
      <w:r w:rsidR="00046246" w:rsidRPr="00A307C6">
        <w:rPr>
          <w:lang w:val="en-GB"/>
        </w:rPr>
        <w:t>-</w:t>
      </w:r>
      <w:r w:rsidR="00637383" w:rsidRPr="00A307C6">
        <w:rPr>
          <w:lang w:val="en-GB"/>
        </w:rPr>
        <w:t xml:space="preserve">based </w:t>
      </w:r>
      <w:r w:rsidRPr="00A307C6">
        <w:rPr>
          <w:lang w:val="en-GB"/>
        </w:rPr>
        <w:t xml:space="preserve">violence against women and girls in South Sudan is also structural in nature, </w:t>
      </w:r>
      <w:r w:rsidR="00944585" w:rsidRPr="00A307C6">
        <w:rPr>
          <w:lang w:val="en-GB"/>
        </w:rPr>
        <w:t xml:space="preserve">and </w:t>
      </w:r>
      <w:r w:rsidRPr="00A307C6">
        <w:rPr>
          <w:lang w:val="en-GB"/>
        </w:rPr>
        <w:t>rang</w:t>
      </w:r>
      <w:r w:rsidR="00944585" w:rsidRPr="00A307C6">
        <w:rPr>
          <w:lang w:val="en-GB"/>
        </w:rPr>
        <w:t>es</w:t>
      </w:r>
      <w:r w:rsidRPr="00A307C6">
        <w:rPr>
          <w:lang w:val="en-GB"/>
        </w:rPr>
        <w:t xml:space="preserve"> from domestic violence to sexual violence in conflict. </w:t>
      </w:r>
      <w:r w:rsidR="00637383" w:rsidRPr="00A307C6">
        <w:rPr>
          <w:lang w:val="en-GB"/>
        </w:rPr>
        <w:t xml:space="preserve">Patterns of violence are historically based on </w:t>
      </w:r>
      <w:r w:rsidR="00944585" w:rsidRPr="00A307C6">
        <w:rPr>
          <w:lang w:val="en-GB"/>
        </w:rPr>
        <w:t xml:space="preserve">entrenched </w:t>
      </w:r>
      <w:r w:rsidR="00637383" w:rsidRPr="00A307C6">
        <w:rPr>
          <w:lang w:val="en-GB"/>
        </w:rPr>
        <w:t xml:space="preserve">patriarchy, </w:t>
      </w:r>
      <w:r w:rsidR="00A307C6" w:rsidRPr="00A307C6">
        <w:rPr>
          <w:lang w:val="en-GB"/>
        </w:rPr>
        <w:t>centring</w:t>
      </w:r>
      <w:r w:rsidR="00637383" w:rsidRPr="00A307C6">
        <w:rPr>
          <w:lang w:val="en-GB"/>
        </w:rPr>
        <w:t xml:space="preserve"> on male dominance and control of resources, which also encompasses the exploitation of women</w:t>
      </w:r>
      <w:r w:rsidR="00944585" w:rsidRPr="00A307C6">
        <w:rPr>
          <w:lang w:val="en-GB"/>
        </w:rPr>
        <w:t xml:space="preserve">, </w:t>
      </w:r>
      <w:r w:rsidRPr="00A307C6">
        <w:rPr>
          <w:lang w:val="en-GB"/>
        </w:rPr>
        <w:t xml:space="preserve">where the female body is </w:t>
      </w:r>
      <w:r w:rsidR="00C86492" w:rsidRPr="00A307C6">
        <w:rPr>
          <w:lang w:val="en-GB"/>
        </w:rPr>
        <w:t xml:space="preserve">perceived as </w:t>
      </w:r>
      <w:r w:rsidRPr="00A307C6">
        <w:rPr>
          <w:lang w:val="en-GB"/>
        </w:rPr>
        <w:t>'territory' to be owned and controlled by</w:t>
      </w:r>
      <w:r w:rsidR="00C86492" w:rsidRPr="00A307C6">
        <w:rPr>
          <w:lang w:val="en-GB"/>
        </w:rPr>
        <w:t xml:space="preserve"> </w:t>
      </w:r>
      <w:r w:rsidRPr="00A307C6">
        <w:rPr>
          <w:lang w:val="en-GB"/>
        </w:rPr>
        <w:t>male</w:t>
      </w:r>
      <w:r w:rsidR="00C86492" w:rsidRPr="00A307C6">
        <w:rPr>
          <w:lang w:val="en-GB"/>
        </w:rPr>
        <w:t>s</w:t>
      </w:r>
      <w:r w:rsidRPr="00A307C6">
        <w:rPr>
          <w:lang w:val="en-GB"/>
        </w:rPr>
        <w:t>.</w:t>
      </w:r>
      <w:r w:rsidR="008764F9" w:rsidRPr="00A307C6">
        <w:rPr>
          <w:lang w:val="en-GB"/>
        </w:rPr>
        <w:t xml:space="preserve"> </w:t>
      </w:r>
      <w:r w:rsidRPr="00A307C6">
        <w:rPr>
          <w:lang w:val="en-GB"/>
        </w:rPr>
        <w:t xml:space="preserve">Rape and </w:t>
      </w:r>
      <w:r w:rsidR="008764F9" w:rsidRPr="00A307C6">
        <w:rPr>
          <w:lang w:val="en-GB"/>
        </w:rPr>
        <w:t>s</w:t>
      </w:r>
      <w:r w:rsidRPr="00A307C6">
        <w:rPr>
          <w:lang w:val="en-GB"/>
        </w:rPr>
        <w:t xml:space="preserve">exual violence in South Sudan </w:t>
      </w:r>
      <w:r w:rsidR="0003797E">
        <w:rPr>
          <w:lang w:val="en-GB"/>
        </w:rPr>
        <w:t xml:space="preserve">is </w:t>
      </w:r>
      <w:r w:rsidR="008764F9" w:rsidRPr="00A307C6">
        <w:rPr>
          <w:lang w:val="en-GB"/>
        </w:rPr>
        <w:t>underpinned by</w:t>
      </w:r>
      <w:r w:rsidRPr="00A307C6">
        <w:rPr>
          <w:lang w:val="en-GB"/>
        </w:rPr>
        <w:t xml:space="preserve"> </w:t>
      </w:r>
      <w:r w:rsidR="008764F9" w:rsidRPr="00A307C6">
        <w:rPr>
          <w:lang w:val="en-GB"/>
        </w:rPr>
        <w:t xml:space="preserve">male </w:t>
      </w:r>
      <w:r w:rsidR="00944585" w:rsidRPr="00A307C6">
        <w:rPr>
          <w:lang w:val="en-GB"/>
        </w:rPr>
        <w:t xml:space="preserve">dominance and </w:t>
      </w:r>
      <w:r w:rsidRPr="00A307C6">
        <w:rPr>
          <w:lang w:val="en-GB"/>
        </w:rPr>
        <w:t>privilege that construct</w:t>
      </w:r>
      <w:r w:rsidR="008764F9" w:rsidRPr="00A307C6">
        <w:rPr>
          <w:lang w:val="en-GB"/>
        </w:rPr>
        <w:t>s</w:t>
      </w:r>
      <w:r w:rsidRPr="00A307C6">
        <w:rPr>
          <w:lang w:val="en-GB"/>
        </w:rPr>
        <w:t xml:space="preserve"> violence against women as permissible, along with other forms of violence. This </w:t>
      </w:r>
      <w:r w:rsidR="00944585" w:rsidRPr="00A307C6">
        <w:rPr>
          <w:lang w:val="en-GB"/>
        </w:rPr>
        <w:t>fuels</w:t>
      </w:r>
      <w:r w:rsidRPr="00A307C6">
        <w:rPr>
          <w:lang w:val="en-GB"/>
        </w:rPr>
        <w:t xml:space="preserve"> impunity for rape and sexual violence </w:t>
      </w:r>
      <w:r w:rsidR="00944585" w:rsidRPr="00A307C6">
        <w:rPr>
          <w:lang w:val="en-GB"/>
        </w:rPr>
        <w:t xml:space="preserve">crimes </w:t>
      </w:r>
      <w:r w:rsidR="00C86D69" w:rsidRPr="00A307C6">
        <w:rPr>
          <w:lang w:val="en-GB"/>
        </w:rPr>
        <w:t xml:space="preserve">and is </w:t>
      </w:r>
      <w:r w:rsidR="00944585" w:rsidRPr="00A307C6">
        <w:rPr>
          <w:lang w:val="en-GB"/>
        </w:rPr>
        <w:t>compounded by</w:t>
      </w:r>
      <w:r w:rsidRPr="00A307C6">
        <w:rPr>
          <w:lang w:val="en-GB"/>
        </w:rPr>
        <w:t xml:space="preserve"> the weakness </w:t>
      </w:r>
      <w:r w:rsidR="00944585" w:rsidRPr="00A307C6">
        <w:rPr>
          <w:lang w:val="en-GB"/>
        </w:rPr>
        <w:t>or complete</w:t>
      </w:r>
      <w:r w:rsidR="00C86492" w:rsidRPr="00A307C6">
        <w:rPr>
          <w:lang w:val="en-GB"/>
        </w:rPr>
        <w:t xml:space="preserve"> </w:t>
      </w:r>
      <w:r w:rsidRPr="00A307C6">
        <w:rPr>
          <w:lang w:val="en-GB"/>
        </w:rPr>
        <w:t xml:space="preserve">absence of state </w:t>
      </w:r>
      <w:r w:rsidR="00C86492" w:rsidRPr="00A307C6">
        <w:rPr>
          <w:lang w:val="en-GB"/>
        </w:rPr>
        <w:t>institutions</w:t>
      </w:r>
      <w:r w:rsidR="00944585" w:rsidRPr="00A307C6">
        <w:rPr>
          <w:lang w:val="en-GB"/>
        </w:rPr>
        <w:t>,</w:t>
      </w:r>
      <w:r w:rsidR="00C86492" w:rsidRPr="00A307C6">
        <w:rPr>
          <w:lang w:val="en-GB"/>
        </w:rPr>
        <w:t xml:space="preserve"> including judicial authorities</w:t>
      </w:r>
      <w:r w:rsidR="00944585" w:rsidRPr="00A307C6">
        <w:rPr>
          <w:lang w:val="en-GB"/>
        </w:rPr>
        <w:t>,</w:t>
      </w:r>
      <w:r w:rsidR="00C86492" w:rsidRPr="00A307C6">
        <w:rPr>
          <w:lang w:val="en-GB"/>
        </w:rPr>
        <w:t xml:space="preserve"> </w:t>
      </w:r>
      <w:r w:rsidRPr="00A307C6">
        <w:rPr>
          <w:lang w:val="en-GB"/>
        </w:rPr>
        <w:t>particularly at local level</w:t>
      </w:r>
      <w:r w:rsidR="00944585" w:rsidRPr="00A307C6">
        <w:rPr>
          <w:lang w:val="en-GB"/>
        </w:rPr>
        <w:t>s</w:t>
      </w:r>
      <w:r w:rsidR="008764F9" w:rsidRPr="00A307C6">
        <w:rPr>
          <w:lang w:val="en-GB"/>
        </w:rPr>
        <w:t xml:space="preserve">. </w:t>
      </w:r>
    </w:p>
    <w:p w14:paraId="22C5EAB6" w14:textId="26934CEA" w:rsidR="00EA67AA" w:rsidRPr="00A307C6" w:rsidRDefault="00944585" w:rsidP="00FF077A">
      <w:pPr>
        <w:pStyle w:val="Paragraph"/>
        <w:rPr>
          <w:lang w:val="en-GB"/>
        </w:rPr>
      </w:pPr>
      <w:r w:rsidRPr="00A307C6">
        <w:rPr>
          <w:lang w:val="en-GB"/>
        </w:rPr>
        <w:t>I</w:t>
      </w:r>
      <w:r w:rsidR="00C86492" w:rsidRPr="00A307C6">
        <w:rPr>
          <w:lang w:val="en-GB"/>
        </w:rPr>
        <w:t xml:space="preserve">n conflict </w:t>
      </w:r>
      <w:r w:rsidRPr="00A307C6">
        <w:rPr>
          <w:lang w:val="en-GB"/>
        </w:rPr>
        <w:t>contexts</w:t>
      </w:r>
      <w:r w:rsidR="00C86492" w:rsidRPr="00A307C6">
        <w:rPr>
          <w:lang w:val="en-GB"/>
        </w:rPr>
        <w:t xml:space="preserve">, </w:t>
      </w:r>
      <w:r w:rsidR="0036784C" w:rsidRPr="00A307C6">
        <w:rPr>
          <w:lang w:val="en-GB"/>
        </w:rPr>
        <w:t xml:space="preserve">commanders of the army and </w:t>
      </w:r>
      <w:r w:rsidR="00210CE3" w:rsidRPr="00A307C6">
        <w:rPr>
          <w:lang w:val="en-GB"/>
        </w:rPr>
        <w:t xml:space="preserve">other </w:t>
      </w:r>
      <w:r w:rsidR="0036784C" w:rsidRPr="00A307C6">
        <w:rPr>
          <w:lang w:val="en-GB"/>
        </w:rPr>
        <w:t xml:space="preserve">armed actors </w:t>
      </w:r>
      <w:r w:rsidR="00210CE3" w:rsidRPr="00A307C6">
        <w:rPr>
          <w:lang w:val="en-GB"/>
        </w:rPr>
        <w:t>condone rape and sexual violence</w:t>
      </w:r>
      <w:r w:rsidR="0003797E">
        <w:rPr>
          <w:lang w:val="en-GB"/>
        </w:rPr>
        <w:t>,</w:t>
      </w:r>
      <w:r w:rsidR="00210CE3" w:rsidRPr="00A307C6">
        <w:rPr>
          <w:lang w:val="en-GB"/>
        </w:rPr>
        <w:t xml:space="preserve"> </w:t>
      </w:r>
      <w:r w:rsidRPr="00A307C6">
        <w:rPr>
          <w:lang w:val="en-GB"/>
        </w:rPr>
        <w:t>understand</w:t>
      </w:r>
      <w:r w:rsidR="00210CE3" w:rsidRPr="00A307C6">
        <w:rPr>
          <w:lang w:val="en-GB"/>
        </w:rPr>
        <w:t>ing</w:t>
      </w:r>
      <w:r w:rsidRPr="00A307C6">
        <w:rPr>
          <w:lang w:val="en-GB"/>
        </w:rPr>
        <w:t xml:space="preserve"> </w:t>
      </w:r>
      <w:r w:rsidR="0036784C" w:rsidRPr="00A307C6">
        <w:rPr>
          <w:lang w:val="en-GB"/>
        </w:rPr>
        <w:t xml:space="preserve">that it is </w:t>
      </w:r>
      <w:r w:rsidR="00C86492" w:rsidRPr="00A307C6">
        <w:rPr>
          <w:lang w:val="en-GB"/>
        </w:rPr>
        <w:t xml:space="preserve">highly </w:t>
      </w:r>
      <w:r w:rsidR="0036784C" w:rsidRPr="00A307C6">
        <w:rPr>
          <w:lang w:val="en-GB"/>
        </w:rPr>
        <w:t xml:space="preserve">unlikely that </w:t>
      </w:r>
      <w:r w:rsidR="00C86492" w:rsidRPr="00A307C6">
        <w:rPr>
          <w:lang w:val="en-GB"/>
        </w:rPr>
        <w:t xml:space="preserve">perpetrators of </w:t>
      </w:r>
      <w:r w:rsidRPr="00A307C6">
        <w:rPr>
          <w:lang w:val="en-GB"/>
        </w:rPr>
        <w:t>rape and sexual violence</w:t>
      </w:r>
      <w:r w:rsidR="00C86492" w:rsidRPr="00A307C6">
        <w:rPr>
          <w:lang w:val="en-GB"/>
        </w:rPr>
        <w:t xml:space="preserve"> crimes </w:t>
      </w:r>
      <w:r w:rsidR="0036784C" w:rsidRPr="00A307C6">
        <w:rPr>
          <w:lang w:val="en-GB"/>
        </w:rPr>
        <w:t xml:space="preserve">will ever be held accountable. </w:t>
      </w:r>
      <w:r w:rsidR="00210CE3" w:rsidRPr="00A307C6">
        <w:rPr>
          <w:lang w:val="en-GB"/>
        </w:rPr>
        <w:t>While t</w:t>
      </w:r>
      <w:r w:rsidR="004B6005" w:rsidRPr="00A307C6">
        <w:rPr>
          <w:lang w:val="en-GB"/>
        </w:rPr>
        <w:t xml:space="preserve">his </w:t>
      </w:r>
      <w:r w:rsidR="006E297A">
        <w:rPr>
          <w:lang w:val="en-GB"/>
        </w:rPr>
        <w:t>paper</w:t>
      </w:r>
      <w:r w:rsidR="006E297A" w:rsidRPr="00A307C6">
        <w:rPr>
          <w:lang w:val="en-GB"/>
        </w:rPr>
        <w:t xml:space="preserve"> </w:t>
      </w:r>
      <w:r w:rsidR="00EA67AA" w:rsidRPr="00A307C6">
        <w:rPr>
          <w:lang w:val="en-GB"/>
        </w:rPr>
        <w:t xml:space="preserve">focuses primarily on conflict-related sexual violence, </w:t>
      </w:r>
      <w:r w:rsidR="00210CE3" w:rsidRPr="00A307C6">
        <w:rPr>
          <w:lang w:val="en-GB"/>
        </w:rPr>
        <w:t xml:space="preserve">it </w:t>
      </w:r>
      <w:r w:rsidR="004B6005" w:rsidRPr="00A307C6">
        <w:rPr>
          <w:lang w:val="en-GB"/>
        </w:rPr>
        <w:t xml:space="preserve">also </w:t>
      </w:r>
      <w:r w:rsidR="00EA67AA" w:rsidRPr="00A307C6">
        <w:rPr>
          <w:lang w:val="en-GB"/>
        </w:rPr>
        <w:t>recogni</w:t>
      </w:r>
      <w:r w:rsidR="00046246" w:rsidRPr="00A307C6">
        <w:rPr>
          <w:lang w:val="en-GB"/>
        </w:rPr>
        <w:t>z</w:t>
      </w:r>
      <w:r w:rsidR="00EA67AA" w:rsidRPr="00A307C6">
        <w:rPr>
          <w:lang w:val="en-GB"/>
        </w:rPr>
        <w:t xml:space="preserve">es </w:t>
      </w:r>
      <w:r w:rsidR="00210CE3" w:rsidRPr="00A307C6">
        <w:rPr>
          <w:lang w:val="en-GB"/>
        </w:rPr>
        <w:t xml:space="preserve">that </w:t>
      </w:r>
      <w:r w:rsidR="00EA67AA" w:rsidRPr="00A307C6">
        <w:rPr>
          <w:lang w:val="en-GB"/>
        </w:rPr>
        <w:t xml:space="preserve">pervasive forms of </w:t>
      </w:r>
      <w:r w:rsidR="00B603EB" w:rsidRPr="00A307C6">
        <w:rPr>
          <w:lang w:val="en-GB"/>
        </w:rPr>
        <w:t xml:space="preserve">discrimination and </w:t>
      </w:r>
      <w:r w:rsidR="00EA67AA" w:rsidRPr="00A307C6">
        <w:rPr>
          <w:lang w:val="en-GB"/>
        </w:rPr>
        <w:t xml:space="preserve">violence against women and girls in South Sudan </w:t>
      </w:r>
      <w:r w:rsidR="00EF03A6">
        <w:rPr>
          <w:lang w:val="en-GB"/>
        </w:rPr>
        <w:t xml:space="preserve">are </w:t>
      </w:r>
      <w:r w:rsidR="00210CE3" w:rsidRPr="00A307C6">
        <w:rPr>
          <w:lang w:val="en-GB"/>
        </w:rPr>
        <w:t>underpinned by</w:t>
      </w:r>
      <w:r w:rsidR="00EA67AA" w:rsidRPr="00A307C6">
        <w:rPr>
          <w:lang w:val="en-GB"/>
        </w:rPr>
        <w:t xml:space="preserve"> </w:t>
      </w:r>
      <w:r w:rsidR="00B603EB" w:rsidRPr="00A307C6">
        <w:rPr>
          <w:lang w:val="en-GB"/>
        </w:rPr>
        <w:t xml:space="preserve">patriarchal systems and cultural </w:t>
      </w:r>
      <w:r w:rsidR="00B67C5E" w:rsidRPr="00A307C6">
        <w:rPr>
          <w:lang w:val="en-GB"/>
        </w:rPr>
        <w:t xml:space="preserve">norms, </w:t>
      </w:r>
      <w:r w:rsidR="00B603EB" w:rsidRPr="00A307C6">
        <w:rPr>
          <w:lang w:val="en-GB"/>
        </w:rPr>
        <w:t xml:space="preserve">beliefs and attitudes </w:t>
      </w:r>
      <w:r w:rsidR="0003797E">
        <w:rPr>
          <w:lang w:val="en-GB"/>
        </w:rPr>
        <w:t xml:space="preserve">which </w:t>
      </w:r>
      <w:r w:rsidR="00210CE3" w:rsidRPr="00A307C6">
        <w:rPr>
          <w:lang w:val="en-GB"/>
        </w:rPr>
        <w:t xml:space="preserve">also </w:t>
      </w:r>
      <w:r w:rsidR="00EA67AA" w:rsidRPr="00A307C6">
        <w:rPr>
          <w:lang w:val="en-GB"/>
        </w:rPr>
        <w:t>driv</w:t>
      </w:r>
      <w:r w:rsidR="00210CE3" w:rsidRPr="00A307C6">
        <w:rPr>
          <w:lang w:val="en-GB"/>
        </w:rPr>
        <w:t>e</w:t>
      </w:r>
      <w:r w:rsidR="00EA67AA" w:rsidRPr="00A307C6">
        <w:rPr>
          <w:lang w:val="en-GB"/>
        </w:rPr>
        <w:t xml:space="preserve"> sexual violence against women</w:t>
      </w:r>
      <w:r w:rsidR="000A316C" w:rsidRPr="00A307C6">
        <w:rPr>
          <w:lang w:val="en-GB"/>
        </w:rPr>
        <w:t xml:space="preserve"> </w:t>
      </w:r>
      <w:r w:rsidR="00EA67AA" w:rsidRPr="00A307C6">
        <w:rPr>
          <w:lang w:val="en-GB"/>
        </w:rPr>
        <w:t>in domestic life</w:t>
      </w:r>
      <w:r w:rsidR="00210CE3" w:rsidRPr="00A307C6">
        <w:rPr>
          <w:lang w:val="en-GB"/>
        </w:rPr>
        <w:t xml:space="preserve"> and </w:t>
      </w:r>
      <w:r w:rsidR="00C86D69" w:rsidRPr="00A307C6">
        <w:rPr>
          <w:lang w:val="en-GB"/>
        </w:rPr>
        <w:t xml:space="preserve">multiple </w:t>
      </w:r>
      <w:r w:rsidR="00210CE3" w:rsidRPr="00A307C6">
        <w:rPr>
          <w:lang w:val="en-GB"/>
        </w:rPr>
        <w:t>settings</w:t>
      </w:r>
      <w:r w:rsidR="00EA67AA" w:rsidRPr="00A307C6">
        <w:rPr>
          <w:lang w:val="en-GB"/>
        </w:rPr>
        <w:t xml:space="preserve">. </w:t>
      </w:r>
    </w:p>
    <w:p w14:paraId="63FCBAD3" w14:textId="3831D637" w:rsidR="004F272C" w:rsidRPr="00A307C6" w:rsidRDefault="00EA67AA" w:rsidP="00FF077A">
      <w:pPr>
        <w:pStyle w:val="Paragraph"/>
        <w:rPr>
          <w:lang w:val="en-GB"/>
        </w:rPr>
      </w:pPr>
      <w:r w:rsidRPr="00A307C6">
        <w:rPr>
          <w:lang w:val="en-GB"/>
        </w:rPr>
        <w:t>All armed actors engage in sexual violence against women</w:t>
      </w:r>
      <w:r w:rsidR="00210CE3" w:rsidRPr="00A307C6">
        <w:rPr>
          <w:lang w:val="en-GB"/>
        </w:rPr>
        <w:t>,</w:t>
      </w:r>
      <w:r w:rsidRPr="00A307C6">
        <w:rPr>
          <w:lang w:val="en-GB"/>
        </w:rPr>
        <w:t xml:space="preserve"> but there are some distinctive </w:t>
      </w:r>
      <w:r w:rsidR="00210CE3" w:rsidRPr="00A307C6">
        <w:rPr>
          <w:lang w:val="en-GB"/>
        </w:rPr>
        <w:t xml:space="preserve">manifestations </w:t>
      </w:r>
      <w:r w:rsidR="008332DB" w:rsidRPr="00A307C6">
        <w:rPr>
          <w:lang w:val="en-GB"/>
        </w:rPr>
        <w:t xml:space="preserve">and patterns </w:t>
      </w:r>
      <w:r w:rsidRPr="00A307C6">
        <w:rPr>
          <w:lang w:val="en-GB"/>
        </w:rPr>
        <w:t>which are</w:t>
      </w:r>
      <w:r w:rsidR="00825281" w:rsidRPr="00A307C6">
        <w:rPr>
          <w:lang w:val="en-GB"/>
        </w:rPr>
        <w:t xml:space="preserve"> </w:t>
      </w:r>
      <w:r w:rsidRPr="00A307C6">
        <w:rPr>
          <w:lang w:val="en-GB"/>
        </w:rPr>
        <w:t xml:space="preserve">explored in this report. Women’s bodies have been </w:t>
      </w:r>
      <w:r w:rsidR="008332DB" w:rsidRPr="00A307C6">
        <w:rPr>
          <w:lang w:val="en-GB"/>
        </w:rPr>
        <w:t xml:space="preserve">systematically </w:t>
      </w:r>
      <w:r w:rsidRPr="00A307C6">
        <w:rPr>
          <w:lang w:val="en-GB"/>
        </w:rPr>
        <w:t xml:space="preserve">used to achieve military </w:t>
      </w:r>
      <w:r w:rsidR="009F5BA6" w:rsidRPr="00A307C6">
        <w:rPr>
          <w:lang w:val="en-GB"/>
        </w:rPr>
        <w:t xml:space="preserve">or political </w:t>
      </w:r>
      <w:r w:rsidRPr="00A307C6">
        <w:rPr>
          <w:lang w:val="en-GB"/>
        </w:rPr>
        <w:t xml:space="preserve">objectives and </w:t>
      </w:r>
      <w:r w:rsidR="00C86D69" w:rsidRPr="00A307C6">
        <w:rPr>
          <w:lang w:val="en-GB"/>
        </w:rPr>
        <w:t xml:space="preserve">are considered </w:t>
      </w:r>
      <w:r w:rsidRPr="00A307C6">
        <w:rPr>
          <w:lang w:val="en-GB"/>
        </w:rPr>
        <w:t xml:space="preserve">as </w:t>
      </w:r>
      <w:r w:rsidR="00C86D69" w:rsidRPr="00A307C6">
        <w:rPr>
          <w:lang w:val="en-GB"/>
        </w:rPr>
        <w:t xml:space="preserve">the </w:t>
      </w:r>
      <w:r w:rsidRPr="00A307C6">
        <w:rPr>
          <w:lang w:val="en-GB"/>
        </w:rPr>
        <w:t>spoils of war</w:t>
      </w:r>
      <w:r w:rsidR="004F272C" w:rsidRPr="00A307C6">
        <w:rPr>
          <w:lang w:val="en-GB"/>
        </w:rPr>
        <w:t>.</w:t>
      </w:r>
    </w:p>
    <w:p w14:paraId="6CE24415" w14:textId="4FC461AD" w:rsidR="008D3431" w:rsidRPr="00A307C6" w:rsidRDefault="009F3132" w:rsidP="00FF077A">
      <w:pPr>
        <w:pStyle w:val="Paragraph"/>
        <w:rPr>
          <w:lang w:val="en-GB"/>
        </w:rPr>
      </w:pPr>
      <w:r w:rsidRPr="00A307C6">
        <w:rPr>
          <w:lang w:val="en-GB"/>
        </w:rPr>
        <w:t xml:space="preserve">This </w:t>
      </w:r>
      <w:r w:rsidR="00763E62" w:rsidRPr="00A307C6">
        <w:rPr>
          <w:lang w:val="en-GB"/>
        </w:rPr>
        <w:t>C</w:t>
      </w:r>
      <w:r w:rsidR="00CC70C2" w:rsidRPr="00A307C6">
        <w:rPr>
          <w:lang w:val="en-GB"/>
        </w:rPr>
        <w:t xml:space="preserve">onference </w:t>
      </w:r>
      <w:r w:rsidR="00763E62" w:rsidRPr="00A307C6">
        <w:rPr>
          <w:lang w:val="en-GB"/>
        </w:rPr>
        <w:t>R</w:t>
      </w:r>
      <w:r w:rsidR="00CC70C2" w:rsidRPr="00A307C6">
        <w:rPr>
          <w:lang w:val="en-GB"/>
        </w:rPr>
        <w:t xml:space="preserve">oom </w:t>
      </w:r>
      <w:r w:rsidR="00763E62" w:rsidRPr="00A307C6">
        <w:rPr>
          <w:lang w:val="en-GB"/>
        </w:rPr>
        <w:t>P</w:t>
      </w:r>
      <w:r w:rsidR="008332DB" w:rsidRPr="00A307C6">
        <w:rPr>
          <w:lang w:val="en-GB"/>
        </w:rPr>
        <w:t xml:space="preserve">aper </w:t>
      </w:r>
      <w:r w:rsidR="00CC70C2" w:rsidRPr="00A307C6">
        <w:rPr>
          <w:lang w:val="en-GB"/>
        </w:rPr>
        <w:t xml:space="preserve">reveals </w:t>
      </w:r>
      <w:r w:rsidRPr="00A307C6">
        <w:rPr>
          <w:lang w:val="en-GB"/>
        </w:rPr>
        <w:t xml:space="preserve">the pervasiveness of conflict-related sexual violence against women and girls in South Sudan </w:t>
      </w:r>
      <w:r w:rsidR="00CC70C2" w:rsidRPr="00A307C6">
        <w:rPr>
          <w:lang w:val="en-GB"/>
        </w:rPr>
        <w:t xml:space="preserve">and </w:t>
      </w:r>
      <w:r w:rsidRPr="00A307C6">
        <w:rPr>
          <w:lang w:val="en-GB"/>
        </w:rPr>
        <w:t>identif</w:t>
      </w:r>
      <w:r w:rsidR="00CC70C2" w:rsidRPr="00A307C6">
        <w:rPr>
          <w:lang w:val="en-GB"/>
        </w:rPr>
        <w:t xml:space="preserve">ies </w:t>
      </w:r>
      <w:r w:rsidRPr="00A307C6">
        <w:rPr>
          <w:lang w:val="en-GB"/>
        </w:rPr>
        <w:t xml:space="preserve">patterns which characterize and drive </w:t>
      </w:r>
      <w:r w:rsidR="008332DB" w:rsidRPr="00A307C6">
        <w:rPr>
          <w:lang w:val="en-GB"/>
        </w:rPr>
        <w:t xml:space="preserve">its </w:t>
      </w:r>
      <w:r w:rsidRPr="00A307C6">
        <w:rPr>
          <w:lang w:val="en-GB"/>
        </w:rPr>
        <w:t>perpetration</w:t>
      </w:r>
      <w:r w:rsidR="00CC70C2" w:rsidRPr="00A307C6">
        <w:rPr>
          <w:lang w:val="en-GB"/>
        </w:rPr>
        <w:t xml:space="preserve">. The purpose of </w:t>
      </w:r>
      <w:r w:rsidR="00CC70C2" w:rsidRPr="007261EE">
        <w:rPr>
          <w:lang w:val="en-GB"/>
        </w:rPr>
        <w:t>th</w:t>
      </w:r>
      <w:r w:rsidR="008332DB" w:rsidRPr="005C2A9C">
        <w:rPr>
          <w:lang w:val="en-GB"/>
        </w:rPr>
        <w:t>e</w:t>
      </w:r>
      <w:r w:rsidR="00CC70C2" w:rsidRPr="00303846">
        <w:rPr>
          <w:lang w:val="en-GB"/>
        </w:rPr>
        <w:t xml:space="preserve"> </w:t>
      </w:r>
      <w:r w:rsidR="00AD141F" w:rsidRPr="00303846">
        <w:rPr>
          <w:lang w:val="en-GB"/>
        </w:rPr>
        <w:t>paper</w:t>
      </w:r>
      <w:r w:rsidR="00AD141F" w:rsidRPr="007261EE">
        <w:rPr>
          <w:lang w:val="en-GB"/>
        </w:rPr>
        <w:t xml:space="preserve"> </w:t>
      </w:r>
      <w:r w:rsidR="00CC70C2" w:rsidRPr="005C2A9C">
        <w:rPr>
          <w:lang w:val="en-GB"/>
        </w:rPr>
        <w:t>is to</w:t>
      </w:r>
      <w:r w:rsidR="00CC70C2" w:rsidRPr="00A307C6">
        <w:rPr>
          <w:lang w:val="en-GB"/>
        </w:rPr>
        <w:t xml:space="preserve"> </w:t>
      </w:r>
      <w:r w:rsidR="0003797E">
        <w:rPr>
          <w:lang w:val="en-GB"/>
        </w:rPr>
        <w:t>draw attention to the pervasive and destructive impact</w:t>
      </w:r>
      <w:r w:rsidR="00EF03A6">
        <w:rPr>
          <w:lang w:val="en-GB"/>
        </w:rPr>
        <w:t>s</w:t>
      </w:r>
      <w:r w:rsidR="0003797E">
        <w:rPr>
          <w:lang w:val="en-GB"/>
        </w:rPr>
        <w:t xml:space="preserve"> of conflict</w:t>
      </w:r>
      <w:r w:rsidR="00EF03A6">
        <w:rPr>
          <w:lang w:val="en-GB"/>
        </w:rPr>
        <w:t>-</w:t>
      </w:r>
      <w:r w:rsidR="0003797E">
        <w:rPr>
          <w:lang w:val="en-GB"/>
        </w:rPr>
        <w:t xml:space="preserve">related sexual violence in South Sudan so as to </w:t>
      </w:r>
      <w:r w:rsidR="00CC70C2" w:rsidRPr="00A307C6">
        <w:rPr>
          <w:lang w:val="en-GB"/>
        </w:rPr>
        <w:t xml:space="preserve">assist and support </w:t>
      </w:r>
      <w:r w:rsidRPr="00A307C6">
        <w:rPr>
          <w:lang w:val="en-GB"/>
        </w:rPr>
        <w:t xml:space="preserve">the Government of South Sudan and its international partners </w:t>
      </w:r>
      <w:r w:rsidR="00CC70C2" w:rsidRPr="00A307C6">
        <w:rPr>
          <w:lang w:val="en-GB"/>
        </w:rPr>
        <w:t xml:space="preserve">in addressing </w:t>
      </w:r>
      <w:r w:rsidRPr="00A307C6">
        <w:rPr>
          <w:lang w:val="en-GB"/>
        </w:rPr>
        <w:t>th</w:t>
      </w:r>
      <w:r w:rsidR="00CC70C2" w:rsidRPr="00A307C6">
        <w:rPr>
          <w:lang w:val="en-GB"/>
        </w:rPr>
        <w:t xml:space="preserve">ese egregious violations </w:t>
      </w:r>
      <w:r w:rsidR="0003797E">
        <w:rPr>
          <w:lang w:val="en-GB"/>
        </w:rPr>
        <w:t xml:space="preserve">and </w:t>
      </w:r>
      <w:r w:rsidR="00CC70C2" w:rsidRPr="00A307C6">
        <w:rPr>
          <w:lang w:val="en-GB"/>
        </w:rPr>
        <w:t xml:space="preserve">support strategies for prevention. </w:t>
      </w:r>
      <w:r w:rsidR="008332DB" w:rsidRPr="00A307C6">
        <w:rPr>
          <w:lang w:val="en-GB"/>
        </w:rPr>
        <w:t>Urgent and effective m</w:t>
      </w:r>
      <w:r w:rsidR="002E57AA" w:rsidRPr="00A307C6">
        <w:rPr>
          <w:lang w:val="en-GB"/>
        </w:rPr>
        <w:t xml:space="preserve">easures </w:t>
      </w:r>
      <w:r w:rsidR="008332DB" w:rsidRPr="00A307C6">
        <w:rPr>
          <w:lang w:val="en-GB"/>
        </w:rPr>
        <w:t>are required</w:t>
      </w:r>
      <w:r w:rsidR="008D3431" w:rsidRPr="00A307C6">
        <w:rPr>
          <w:lang w:val="en-GB"/>
        </w:rPr>
        <w:t xml:space="preserve"> to </w:t>
      </w:r>
      <w:r w:rsidR="002E57AA" w:rsidRPr="00A307C6">
        <w:rPr>
          <w:lang w:val="en-GB"/>
        </w:rPr>
        <w:t>combat impunity</w:t>
      </w:r>
      <w:r w:rsidR="008D3431" w:rsidRPr="00A307C6">
        <w:rPr>
          <w:lang w:val="en-GB"/>
        </w:rPr>
        <w:t xml:space="preserve"> for sexual and gender</w:t>
      </w:r>
      <w:r w:rsidR="008332DB" w:rsidRPr="00A307C6">
        <w:rPr>
          <w:lang w:val="en-GB"/>
        </w:rPr>
        <w:t>-</w:t>
      </w:r>
      <w:r w:rsidR="008D3431" w:rsidRPr="00A307C6">
        <w:rPr>
          <w:lang w:val="en-GB"/>
        </w:rPr>
        <w:t xml:space="preserve">based violence, </w:t>
      </w:r>
      <w:r w:rsidR="008332DB" w:rsidRPr="00A307C6">
        <w:rPr>
          <w:lang w:val="en-GB"/>
        </w:rPr>
        <w:t>and to</w:t>
      </w:r>
      <w:r w:rsidR="008D3431" w:rsidRPr="00A307C6">
        <w:rPr>
          <w:lang w:val="en-GB"/>
        </w:rPr>
        <w:t xml:space="preserve"> ensur</w:t>
      </w:r>
      <w:r w:rsidR="008332DB" w:rsidRPr="00A307C6">
        <w:rPr>
          <w:lang w:val="en-GB"/>
        </w:rPr>
        <w:t>e</w:t>
      </w:r>
      <w:r w:rsidR="008D3431" w:rsidRPr="00A307C6">
        <w:rPr>
          <w:lang w:val="en-GB"/>
        </w:rPr>
        <w:t xml:space="preserve"> that </w:t>
      </w:r>
      <w:r w:rsidR="004F272C" w:rsidRPr="00A307C6">
        <w:rPr>
          <w:lang w:val="en-GB"/>
        </w:rPr>
        <w:t>survivors</w:t>
      </w:r>
      <w:r w:rsidR="008D3431" w:rsidRPr="00A307C6">
        <w:rPr>
          <w:lang w:val="en-GB"/>
        </w:rPr>
        <w:t xml:space="preserve"> are able to access justice and reparations</w:t>
      </w:r>
      <w:r w:rsidR="008332DB" w:rsidRPr="00A307C6">
        <w:rPr>
          <w:lang w:val="en-GB"/>
        </w:rPr>
        <w:t>, especially</w:t>
      </w:r>
      <w:r w:rsidR="002E57AA" w:rsidRPr="00A307C6">
        <w:rPr>
          <w:lang w:val="en-GB"/>
        </w:rPr>
        <w:t xml:space="preserve"> </w:t>
      </w:r>
      <w:r w:rsidR="008332DB" w:rsidRPr="00A307C6">
        <w:rPr>
          <w:lang w:val="en-GB"/>
        </w:rPr>
        <w:t xml:space="preserve">as envisaged </w:t>
      </w:r>
      <w:r w:rsidR="00046246" w:rsidRPr="00A307C6">
        <w:rPr>
          <w:lang w:val="en-GB"/>
        </w:rPr>
        <w:t xml:space="preserve">under the </w:t>
      </w:r>
      <w:r w:rsidR="00046246" w:rsidRPr="00A307C6">
        <w:rPr>
          <w:lang w:val="en-GB"/>
        </w:rPr>
        <w:lastRenderedPageBreak/>
        <w:t>2018 Revitalized Agreement on the Resolution of the Conflict in the Republic of South Sudan (the Revitalized Agreement)</w:t>
      </w:r>
      <w:r w:rsidR="008D3431" w:rsidRPr="00A307C6">
        <w:rPr>
          <w:lang w:val="en-GB"/>
        </w:rPr>
        <w:t>.</w:t>
      </w:r>
    </w:p>
    <w:p w14:paraId="6CA797B5" w14:textId="45195507" w:rsidR="00AD586A" w:rsidRPr="00A307C6" w:rsidRDefault="007369BE" w:rsidP="00AB30E6">
      <w:pPr>
        <w:pStyle w:val="HChG"/>
        <w:outlineLvl w:val="0"/>
      </w:pPr>
      <w:bookmarkStart w:id="4" w:name="_Toc98226799"/>
      <w:bookmarkStart w:id="5" w:name="_Toc98606440"/>
      <w:r w:rsidRPr="00A307C6">
        <w:t>Mandate</w:t>
      </w:r>
      <w:r w:rsidR="004E1D92" w:rsidRPr="00A307C6">
        <w:t xml:space="preserve"> and </w:t>
      </w:r>
      <w:r w:rsidRPr="00A307C6">
        <w:t>methodology</w:t>
      </w:r>
      <w:bookmarkEnd w:id="4"/>
      <w:bookmarkEnd w:id="5"/>
    </w:p>
    <w:p w14:paraId="056A2963" w14:textId="5782C9D5" w:rsidR="00301A32" w:rsidRPr="00A307C6" w:rsidRDefault="00301A32" w:rsidP="009E6E96">
      <w:pPr>
        <w:pStyle w:val="H1G"/>
      </w:pPr>
      <w:bookmarkStart w:id="6" w:name="_Toc98226800"/>
      <w:bookmarkStart w:id="7" w:name="_Toc98606441"/>
      <w:r w:rsidRPr="00A307C6">
        <w:t>Mandate</w:t>
      </w:r>
      <w:bookmarkEnd w:id="6"/>
      <w:bookmarkEnd w:id="7"/>
    </w:p>
    <w:p w14:paraId="5C603EE3" w14:textId="02228752" w:rsidR="00BB5669" w:rsidRPr="00A307C6" w:rsidRDefault="00DE3C0A" w:rsidP="00FF077A">
      <w:pPr>
        <w:pStyle w:val="Paragraph"/>
        <w:rPr>
          <w:lang w:val="en-GB"/>
        </w:rPr>
      </w:pPr>
      <w:r w:rsidRPr="00A307C6">
        <w:rPr>
          <w:lang w:val="en-GB"/>
        </w:rPr>
        <w:t xml:space="preserve">The </w:t>
      </w:r>
      <w:r w:rsidR="002404AF" w:rsidRPr="00A307C6">
        <w:rPr>
          <w:lang w:val="en-GB"/>
        </w:rPr>
        <w:t>Commission</w:t>
      </w:r>
      <w:r w:rsidRPr="00A307C6">
        <w:rPr>
          <w:lang w:val="en-GB"/>
        </w:rPr>
        <w:t xml:space="preserve"> on Human Rights in South Sudan was established by the Human Right Council in 2016 for an initial period of one year by its resolution 31/20</w:t>
      </w:r>
      <w:r w:rsidR="005A68CF" w:rsidRPr="00A307C6">
        <w:rPr>
          <w:lang w:val="en-GB"/>
        </w:rPr>
        <w:t>, and t</w:t>
      </w:r>
      <w:r w:rsidRPr="00A307C6">
        <w:rPr>
          <w:lang w:val="en-GB"/>
        </w:rPr>
        <w:t xml:space="preserve">he mandate </w:t>
      </w:r>
      <w:r w:rsidR="005A68CF" w:rsidRPr="00A307C6">
        <w:rPr>
          <w:lang w:val="en-GB"/>
        </w:rPr>
        <w:t xml:space="preserve">was </w:t>
      </w:r>
      <w:r w:rsidRPr="00A307C6">
        <w:rPr>
          <w:lang w:val="en-GB"/>
        </w:rPr>
        <w:t>subsequently extended in resolutions 34/25, 37/31, 40/19, 43/27 and 46/</w:t>
      </w:r>
      <w:r w:rsidR="005A68CF" w:rsidRPr="00A307C6">
        <w:rPr>
          <w:lang w:val="en-GB"/>
        </w:rPr>
        <w:t xml:space="preserve">23. </w:t>
      </w:r>
    </w:p>
    <w:p w14:paraId="7D91CD2D" w14:textId="3E4E114E" w:rsidR="008D3431" w:rsidRPr="00A307C6" w:rsidRDefault="00BB5669" w:rsidP="00FF077A">
      <w:pPr>
        <w:pStyle w:val="Paragraph"/>
        <w:rPr>
          <w:lang w:val="en-GB"/>
        </w:rPr>
      </w:pPr>
      <w:r w:rsidRPr="00A307C6">
        <w:rPr>
          <w:lang w:val="en-GB"/>
        </w:rPr>
        <w:t xml:space="preserve">The current members of the Commission, appointed by the President of the Council, are Yasmin Sooka (Chair), Andrew Clapham and Barney Afako. The Commission is supported by a </w:t>
      </w:r>
      <w:r w:rsidR="00651E8E">
        <w:rPr>
          <w:lang w:val="en-GB"/>
        </w:rPr>
        <w:t>S</w:t>
      </w:r>
      <w:r w:rsidRPr="00A307C6">
        <w:rPr>
          <w:lang w:val="en-GB"/>
        </w:rPr>
        <w:t>ecretariat based in Juba, South Sudan</w:t>
      </w:r>
      <w:r w:rsidR="00A876A8" w:rsidRPr="00A307C6">
        <w:rPr>
          <w:lang w:val="en-GB"/>
        </w:rPr>
        <w:t>.</w:t>
      </w:r>
    </w:p>
    <w:p w14:paraId="25446CCF" w14:textId="2B8CFD1A" w:rsidR="002A6323" w:rsidRPr="00A307C6" w:rsidRDefault="002A6323" w:rsidP="00FF077A">
      <w:pPr>
        <w:pStyle w:val="Paragraph"/>
        <w:rPr>
          <w:lang w:val="en-GB"/>
        </w:rPr>
      </w:pPr>
      <w:r w:rsidRPr="00A307C6">
        <w:rPr>
          <w:lang w:val="en-GB"/>
        </w:rPr>
        <w:t xml:space="preserve">The Commission is mandated to monitor and report on the situation of human rights in South Sudan, to make recommendations to prevent further deterioration of the situation, as well as to report and provide guidance on transitional justice. The Human Rights Council has also requested the Commission to collect and preserve evidence of and to clarify responsibility for alleged gross violations and abuses of human rights and related crimes, with a view to ending impunity and providing accountability, and to make such information available to transitional justice mechanisms including the Hybrid Court for South Sudan, to be established with the African Union as set out in chapter V of the 2018 Revitalized Agreement on the </w:t>
      </w:r>
      <w:r w:rsidR="002404AF" w:rsidRPr="00A307C6">
        <w:rPr>
          <w:lang w:val="en-GB"/>
        </w:rPr>
        <w:t>Resolution</w:t>
      </w:r>
      <w:r w:rsidRPr="00A307C6">
        <w:rPr>
          <w:lang w:val="en-GB"/>
        </w:rPr>
        <w:t xml:space="preserve"> of the Conflict in the Republic of South Sudan.</w:t>
      </w:r>
      <w:r w:rsidR="006614C7" w:rsidRPr="00A307C6">
        <w:rPr>
          <w:rStyle w:val="FootnoteReference"/>
          <w:lang w:val="en-GB"/>
        </w:rPr>
        <w:footnoteReference w:id="2"/>
      </w:r>
    </w:p>
    <w:p w14:paraId="1E5C9382" w14:textId="7E9BFA5D" w:rsidR="00EF2168" w:rsidRPr="00A307C6" w:rsidRDefault="009C0705" w:rsidP="00FF077A">
      <w:pPr>
        <w:pStyle w:val="Paragraph"/>
        <w:rPr>
          <w:lang w:val="en-GB"/>
        </w:rPr>
      </w:pPr>
      <w:r w:rsidRPr="00A307C6">
        <w:rPr>
          <w:lang w:val="en-GB"/>
        </w:rPr>
        <w:t>T</w:t>
      </w:r>
      <w:r w:rsidR="00FB346D" w:rsidRPr="00A307C6">
        <w:rPr>
          <w:lang w:val="en-GB"/>
        </w:rPr>
        <w:t xml:space="preserve">he </w:t>
      </w:r>
      <w:r w:rsidR="00AE4C95" w:rsidRPr="00A307C6">
        <w:rPr>
          <w:lang w:val="en-GB"/>
        </w:rPr>
        <w:t xml:space="preserve">Commission </w:t>
      </w:r>
      <w:r w:rsidRPr="00A307C6">
        <w:rPr>
          <w:lang w:val="en-GB"/>
        </w:rPr>
        <w:t xml:space="preserve">is mandated </w:t>
      </w:r>
      <w:r w:rsidR="00FB346D" w:rsidRPr="00A307C6">
        <w:rPr>
          <w:lang w:val="en-GB"/>
        </w:rPr>
        <w:t xml:space="preserve">by the Human Rights Council to pay particular attention to sexual and gender-based violence, including alleged crimes carried out in the context of conflict in South Sudan, and to report on the situation and make recommendations to address violence as well as to preserve </w:t>
      </w:r>
      <w:r w:rsidR="00FB346D" w:rsidRPr="00A307C6">
        <w:rPr>
          <w:lang w:val="en-GB"/>
        </w:rPr>
        <w:lastRenderedPageBreak/>
        <w:t>related evidence for the purposes of transitional justice, including for criminal accountability.</w:t>
      </w:r>
      <w:r w:rsidR="009F2675" w:rsidRPr="00A307C6">
        <w:rPr>
          <w:lang w:val="en-GB"/>
        </w:rPr>
        <w:t xml:space="preserve"> </w:t>
      </w:r>
      <w:r w:rsidR="00AE4C95" w:rsidRPr="00A307C6">
        <w:rPr>
          <w:lang w:val="en-GB"/>
        </w:rPr>
        <w:t>The Commission</w:t>
      </w:r>
      <w:r w:rsidRPr="00A307C6">
        <w:rPr>
          <w:lang w:val="en-GB"/>
        </w:rPr>
        <w:t xml:space="preserve">’s investigation and research has been </w:t>
      </w:r>
      <w:r w:rsidR="00AE4C95" w:rsidRPr="00A307C6">
        <w:rPr>
          <w:lang w:val="en-GB"/>
        </w:rPr>
        <w:t>undertaken in the implementation of its mandate</w:t>
      </w:r>
      <w:r w:rsidRPr="00A307C6">
        <w:rPr>
          <w:lang w:val="en-GB"/>
        </w:rPr>
        <w:t xml:space="preserve">, </w:t>
      </w:r>
      <w:r w:rsidR="00EF2168" w:rsidRPr="00A307C6">
        <w:rPr>
          <w:lang w:val="en-GB"/>
        </w:rPr>
        <w:t xml:space="preserve">in </w:t>
      </w:r>
      <w:r w:rsidRPr="00A307C6">
        <w:rPr>
          <w:lang w:val="en-GB"/>
        </w:rPr>
        <w:t>various parts of the country</w:t>
      </w:r>
      <w:r w:rsidR="00EF2168" w:rsidRPr="00A307C6">
        <w:rPr>
          <w:lang w:val="en-GB"/>
        </w:rPr>
        <w:t>, engulfed in conflict</w:t>
      </w:r>
      <w:r w:rsidRPr="00A307C6">
        <w:rPr>
          <w:lang w:val="en-GB"/>
        </w:rPr>
        <w:t xml:space="preserve">, and to </w:t>
      </w:r>
      <w:r w:rsidR="00A307C6" w:rsidRPr="00A307C6">
        <w:rPr>
          <w:lang w:val="en-GB"/>
        </w:rPr>
        <w:t>neighbouring</w:t>
      </w:r>
      <w:r w:rsidRPr="00A307C6">
        <w:rPr>
          <w:lang w:val="en-GB"/>
        </w:rPr>
        <w:t xml:space="preserve"> States which host refugee populations from South Sudan.</w:t>
      </w:r>
      <w:r w:rsidRPr="00A307C6">
        <w:rPr>
          <w:rStyle w:val="FootnoteReference"/>
          <w:lang w:val="en-GB"/>
        </w:rPr>
        <w:footnoteReference w:id="3"/>
      </w:r>
    </w:p>
    <w:p w14:paraId="205E3152" w14:textId="5A80C0C4" w:rsidR="00AD586A" w:rsidRPr="00A307C6" w:rsidRDefault="00AD586A" w:rsidP="009E6E96">
      <w:pPr>
        <w:pStyle w:val="H1G"/>
      </w:pPr>
      <w:bookmarkStart w:id="8" w:name="_Toc98226801"/>
      <w:bookmarkStart w:id="9" w:name="_Toc98606442"/>
      <w:r w:rsidRPr="00A307C6">
        <w:t>Methodology</w:t>
      </w:r>
      <w:bookmarkEnd w:id="8"/>
      <w:bookmarkEnd w:id="9"/>
    </w:p>
    <w:p w14:paraId="2D13D581" w14:textId="1FEF5FF7" w:rsidR="00CA4B39" w:rsidRPr="00A307C6" w:rsidRDefault="004355EA" w:rsidP="00FF077A">
      <w:pPr>
        <w:pStyle w:val="Paragraph"/>
        <w:rPr>
          <w:lang w:val="en-GB"/>
        </w:rPr>
      </w:pPr>
      <w:r w:rsidRPr="00A307C6">
        <w:rPr>
          <w:lang w:val="en-GB"/>
        </w:rPr>
        <w:t>T</w:t>
      </w:r>
      <w:r w:rsidR="00101EEE" w:rsidRPr="00A307C6">
        <w:rPr>
          <w:lang w:val="en-GB"/>
        </w:rPr>
        <w:t xml:space="preserve">his </w:t>
      </w:r>
      <w:r w:rsidR="00763E62" w:rsidRPr="00A307C6">
        <w:rPr>
          <w:lang w:val="en-GB"/>
        </w:rPr>
        <w:t>Conference Room P</w:t>
      </w:r>
      <w:r w:rsidR="00101EEE" w:rsidRPr="00A307C6">
        <w:rPr>
          <w:lang w:val="en-GB"/>
        </w:rPr>
        <w:t>aper is</w:t>
      </w:r>
      <w:r w:rsidR="00ED6B39" w:rsidRPr="00A307C6">
        <w:rPr>
          <w:lang w:val="en-GB"/>
        </w:rPr>
        <w:t xml:space="preserve"> </w:t>
      </w:r>
      <w:r w:rsidR="00595FC4">
        <w:rPr>
          <w:lang w:val="en-GB"/>
        </w:rPr>
        <w:t xml:space="preserve">informed by </w:t>
      </w:r>
      <w:r w:rsidR="00761EC6" w:rsidRPr="00A307C6">
        <w:rPr>
          <w:lang w:val="en-GB"/>
        </w:rPr>
        <w:t xml:space="preserve">incidents of conflict-related sexual violence documented by the Commission and is </w:t>
      </w:r>
      <w:r w:rsidR="00ED6B39" w:rsidRPr="00A307C6">
        <w:rPr>
          <w:lang w:val="en-GB"/>
        </w:rPr>
        <w:t>primarily based upon interviews conducted with victims/survivors of conflict-related sexual violence,</w:t>
      </w:r>
      <w:r w:rsidR="00E75208" w:rsidRPr="00A307C6">
        <w:rPr>
          <w:rStyle w:val="FootnoteReference"/>
          <w:lang w:val="en-GB"/>
        </w:rPr>
        <w:footnoteReference w:id="4"/>
      </w:r>
      <w:r w:rsidR="00ED6B39" w:rsidRPr="00A307C6">
        <w:rPr>
          <w:lang w:val="en-GB"/>
        </w:rPr>
        <w:t xml:space="preserve"> as well as with witnesses, clinicians</w:t>
      </w:r>
      <w:r w:rsidR="00EF2168" w:rsidRPr="00A307C6">
        <w:rPr>
          <w:lang w:val="en-GB"/>
        </w:rPr>
        <w:t xml:space="preserve">, </w:t>
      </w:r>
      <w:r w:rsidR="00ED6B39" w:rsidRPr="00A307C6">
        <w:rPr>
          <w:lang w:val="en-GB"/>
        </w:rPr>
        <w:t xml:space="preserve">service providers, </w:t>
      </w:r>
      <w:r w:rsidR="00B20828" w:rsidRPr="00A307C6">
        <w:rPr>
          <w:lang w:val="en-GB"/>
        </w:rPr>
        <w:t xml:space="preserve">humanitarian actors </w:t>
      </w:r>
      <w:r w:rsidR="00ED6B39" w:rsidRPr="00A307C6">
        <w:rPr>
          <w:lang w:val="en-GB"/>
        </w:rPr>
        <w:t>and related experts and stakeholders</w:t>
      </w:r>
      <w:r w:rsidR="00691CD2" w:rsidRPr="00A307C6">
        <w:rPr>
          <w:lang w:val="en-GB"/>
        </w:rPr>
        <w:t xml:space="preserve"> including United Nations entities</w:t>
      </w:r>
      <w:r w:rsidR="00E75208" w:rsidRPr="00A307C6">
        <w:rPr>
          <w:lang w:val="en-GB"/>
        </w:rPr>
        <w:t>. These were conducted</w:t>
      </w:r>
      <w:r w:rsidR="00761EC6" w:rsidRPr="00A307C6">
        <w:rPr>
          <w:lang w:val="en-GB"/>
        </w:rPr>
        <w:t xml:space="preserve"> during the period </w:t>
      </w:r>
      <w:r w:rsidR="00301449" w:rsidRPr="00A307C6">
        <w:rPr>
          <w:lang w:val="en-GB"/>
        </w:rPr>
        <w:t xml:space="preserve">February 2020 </w:t>
      </w:r>
      <w:r w:rsidR="006332D0" w:rsidRPr="00A307C6">
        <w:rPr>
          <w:lang w:val="en-GB"/>
        </w:rPr>
        <w:t xml:space="preserve">to </w:t>
      </w:r>
      <w:r w:rsidR="00301449" w:rsidRPr="00A307C6">
        <w:rPr>
          <w:lang w:val="en-GB"/>
        </w:rPr>
        <w:t>February 2022</w:t>
      </w:r>
      <w:r w:rsidR="00684402" w:rsidRPr="00A307C6">
        <w:rPr>
          <w:lang w:val="en-GB"/>
        </w:rPr>
        <w:t>.</w:t>
      </w:r>
      <w:r w:rsidR="00D0454F" w:rsidRPr="00A307C6">
        <w:rPr>
          <w:lang w:val="en-GB"/>
        </w:rPr>
        <w:t xml:space="preserve"> </w:t>
      </w:r>
      <w:r w:rsidR="008A4FAB" w:rsidRPr="00A307C6">
        <w:rPr>
          <w:lang w:val="en-GB"/>
        </w:rPr>
        <w:t xml:space="preserve">This paper </w:t>
      </w:r>
      <w:r w:rsidR="008D3431" w:rsidRPr="00A307C6">
        <w:rPr>
          <w:lang w:val="en-GB"/>
        </w:rPr>
        <w:t xml:space="preserve">does not </w:t>
      </w:r>
      <w:r w:rsidR="008A4FAB" w:rsidRPr="00A307C6">
        <w:rPr>
          <w:lang w:val="en-GB"/>
        </w:rPr>
        <w:t>purport to reflect the country-wide scale and prevalence of conflict-related sexual violence</w:t>
      </w:r>
      <w:r w:rsidR="00BF0171">
        <w:rPr>
          <w:lang w:val="en-GB"/>
        </w:rPr>
        <w:t>,</w:t>
      </w:r>
      <w:r w:rsidR="007261EE">
        <w:rPr>
          <w:lang w:val="en-GB"/>
        </w:rPr>
        <w:t xml:space="preserve"> and</w:t>
      </w:r>
      <w:r w:rsidR="00BF0171">
        <w:rPr>
          <w:lang w:val="en-GB"/>
        </w:rPr>
        <w:t xml:space="preserve"> it</w:t>
      </w:r>
      <w:r w:rsidR="007261EE">
        <w:rPr>
          <w:lang w:val="en-GB"/>
        </w:rPr>
        <w:t xml:space="preserve"> does not deal with Sexual Exploitation and Abuse</w:t>
      </w:r>
      <w:r w:rsidR="00BF0171">
        <w:rPr>
          <w:lang w:val="en-GB"/>
        </w:rPr>
        <w:t xml:space="preserve"> </w:t>
      </w:r>
      <w:r w:rsidR="007261EE">
        <w:rPr>
          <w:lang w:val="en-GB"/>
        </w:rPr>
        <w:t>(SEA) by peacekeepers</w:t>
      </w:r>
      <w:r w:rsidR="008A4FAB" w:rsidRPr="00A307C6">
        <w:rPr>
          <w:lang w:val="en-GB"/>
        </w:rPr>
        <w:t>.</w:t>
      </w:r>
      <w:r w:rsidR="00680D7D">
        <w:rPr>
          <w:rStyle w:val="FootnoteReference"/>
        </w:rPr>
        <w:footnoteReference w:id="5"/>
      </w:r>
      <w:r w:rsidR="008A4FAB" w:rsidRPr="00A307C6">
        <w:rPr>
          <w:lang w:val="en-GB"/>
        </w:rPr>
        <w:t xml:space="preserve"> It</w:t>
      </w:r>
      <w:r w:rsidR="00EC4695" w:rsidRPr="00A307C6">
        <w:rPr>
          <w:lang w:val="en-GB"/>
        </w:rPr>
        <w:t xml:space="preserve"> </w:t>
      </w:r>
      <w:r w:rsidR="00562F89" w:rsidRPr="00A307C6">
        <w:rPr>
          <w:lang w:val="en-GB"/>
        </w:rPr>
        <w:t xml:space="preserve">represents </w:t>
      </w:r>
      <w:r w:rsidR="008332DB" w:rsidRPr="00A307C6">
        <w:rPr>
          <w:lang w:val="en-GB"/>
        </w:rPr>
        <w:t xml:space="preserve">instead </w:t>
      </w:r>
      <w:r w:rsidR="00A37281" w:rsidRPr="00A307C6">
        <w:rPr>
          <w:lang w:val="en-GB"/>
        </w:rPr>
        <w:t xml:space="preserve">a </w:t>
      </w:r>
      <w:r w:rsidR="002404AF" w:rsidRPr="00A307C6">
        <w:rPr>
          <w:lang w:val="en-GB"/>
        </w:rPr>
        <w:t>compilation</w:t>
      </w:r>
      <w:r w:rsidR="00A37281" w:rsidRPr="00A307C6">
        <w:rPr>
          <w:lang w:val="en-GB"/>
        </w:rPr>
        <w:t xml:space="preserve"> of illustrative </w:t>
      </w:r>
      <w:r w:rsidR="00562F89" w:rsidRPr="00A307C6">
        <w:rPr>
          <w:lang w:val="en-GB"/>
        </w:rPr>
        <w:t xml:space="preserve">incidents </w:t>
      </w:r>
      <w:r w:rsidR="00A37281" w:rsidRPr="00A307C6">
        <w:rPr>
          <w:lang w:val="en-GB"/>
        </w:rPr>
        <w:t>of con</w:t>
      </w:r>
      <w:r w:rsidR="00A37281" w:rsidRPr="00A307C6">
        <w:rPr>
          <w:lang w:val="en-GB"/>
        </w:rPr>
        <w:lastRenderedPageBreak/>
        <w:t xml:space="preserve">flict-related sexual violence occurring in South Sudan, </w:t>
      </w:r>
      <w:r w:rsidR="00562F89" w:rsidRPr="00A307C6">
        <w:rPr>
          <w:lang w:val="en-GB"/>
        </w:rPr>
        <w:t xml:space="preserve">noting distinct patterns and </w:t>
      </w:r>
      <w:r w:rsidR="008162C3" w:rsidRPr="00A307C6">
        <w:rPr>
          <w:lang w:val="en-GB"/>
        </w:rPr>
        <w:t>trends</w:t>
      </w:r>
      <w:r w:rsidR="00562F89" w:rsidRPr="00A307C6">
        <w:rPr>
          <w:lang w:val="en-GB"/>
        </w:rPr>
        <w:t xml:space="preserve">, </w:t>
      </w:r>
      <w:r w:rsidR="008D3431" w:rsidRPr="00A307C6">
        <w:rPr>
          <w:lang w:val="en-GB"/>
        </w:rPr>
        <w:t xml:space="preserve">also </w:t>
      </w:r>
      <w:r w:rsidR="008162C3" w:rsidRPr="00A307C6">
        <w:rPr>
          <w:lang w:val="en-GB"/>
        </w:rPr>
        <w:t>demonstrat</w:t>
      </w:r>
      <w:r w:rsidR="008D3431" w:rsidRPr="00A307C6">
        <w:rPr>
          <w:lang w:val="en-GB"/>
        </w:rPr>
        <w:t xml:space="preserve">ing </w:t>
      </w:r>
      <w:r w:rsidR="008162C3" w:rsidRPr="00A307C6">
        <w:rPr>
          <w:lang w:val="en-GB"/>
        </w:rPr>
        <w:t>the pervasiveness</w:t>
      </w:r>
      <w:r w:rsidR="00964143" w:rsidRPr="00A307C6">
        <w:rPr>
          <w:lang w:val="en-GB"/>
        </w:rPr>
        <w:t xml:space="preserve"> of </w:t>
      </w:r>
      <w:r w:rsidR="008D3431" w:rsidRPr="00A307C6">
        <w:rPr>
          <w:lang w:val="en-GB"/>
        </w:rPr>
        <w:t>ongoing incidents of sexual and gender</w:t>
      </w:r>
      <w:r w:rsidR="008332DB" w:rsidRPr="00A307C6">
        <w:rPr>
          <w:lang w:val="en-GB"/>
        </w:rPr>
        <w:t>-</w:t>
      </w:r>
      <w:r w:rsidR="008D3431" w:rsidRPr="00A307C6">
        <w:rPr>
          <w:lang w:val="en-GB"/>
        </w:rPr>
        <w:t xml:space="preserve">based </w:t>
      </w:r>
      <w:r w:rsidR="008162C3" w:rsidRPr="00A307C6">
        <w:rPr>
          <w:lang w:val="en-GB"/>
        </w:rPr>
        <w:t>violations and abuses</w:t>
      </w:r>
      <w:r w:rsidR="00365A4A" w:rsidRPr="00A307C6">
        <w:rPr>
          <w:lang w:val="en-GB"/>
        </w:rPr>
        <w:t xml:space="preserve"> </w:t>
      </w:r>
      <w:r w:rsidR="00964143" w:rsidRPr="00A307C6">
        <w:rPr>
          <w:lang w:val="en-GB"/>
        </w:rPr>
        <w:t xml:space="preserve">over time and </w:t>
      </w:r>
      <w:r w:rsidR="00365A4A" w:rsidRPr="00A307C6">
        <w:rPr>
          <w:lang w:val="en-GB"/>
        </w:rPr>
        <w:t>previously reported by the Commission</w:t>
      </w:r>
      <w:r w:rsidR="00964143" w:rsidRPr="00A307C6">
        <w:rPr>
          <w:lang w:val="en-GB"/>
        </w:rPr>
        <w:t>.</w:t>
      </w:r>
      <w:r w:rsidR="00365A4A" w:rsidRPr="00A307C6">
        <w:rPr>
          <w:rStyle w:val="FootnoteReference"/>
          <w:lang w:val="en-GB"/>
        </w:rPr>
        <w:footnoteReference w:id="6"/>
      </w:r>
      <w:r w:rsidR="00EC4695" w:rsidRPr="00A307C6">
        <w:rPr>
          <w:lang w:val="en-GB"/>
        </w:rPr>
        <w:t xml:space="preserve"> </w:t>
      </w:r>
      <w:r w:rsidR="00CA4B39" w:rsidRPr="00A307C6">
        <w:rPr>
          <w:lang w:val="en-GB"/>
        </w:rPr>
        <w:t xml:space="preserve"> </w:t>
      </w:r>
    </w:p>
    <w:p w14:paraId="3F6D3629" w14:textId="0F3E0A47" w:rsidR="007A00EC" w:rsidRPr="00A307C6" w:rsidRDefault="00DB02EF" w:rsidP="00FF077A">
      <w:pPr>
        <w:pStyle w:val="Paragraph"/>
        <w:rPr>
          <w:lang w:val="en-GB"/>
        </w:rPr>
      </w:pPr>
      <w:r w:rsidRPr="00A307C6">
        <w:rPr>
          <w:lang w:val="en-GB"/>
        </w:rPr>
        <w:t xml:space="preserve">The </w:t>
      </w:r>
      <w:r w:rsidR="00964143" w:rsidRPr="00A307C6">
        <w:rPr>
          <w:lang w:val="en-GB"/>
        </w:rPr>
        <w:t xml:space="preserve">Commission undertook field visits to </w:t>
      </w:r>
      <w:r w:rsidR="00EC4695" w:rsidRPr="00A307C6">
        <w:rPr>
          <w:lang w:val="en-GB"/>
        </w:rPr>
        <w:t xml:space="preserve">a number of conflict-affected areas </w:t>
      </w:r>
      <w:r w:rsidR="00964143" w:rsidRPr="00A307C6">
        <w:rPr>
          <w:lang w:val="en-GB"/>
        </w:rPr>
        <w:t xml:space="preserve">including </w:t>
      </w:r>
      <w:r w:rsidR="00EC4695" w:rsidRPr="00A307C6">
        <w:rPr>
          <w:lang w:val="en-GB"/>
        </w:rPr>
        <w:t xml:space="preserve">Central Equatoria, Western Equatoria, </w:t>
      </w:r>
      <w:r w:rsidR="00684402" w:rsidRPr="00A307C6">
        <w:rPr>
          <w:lang w:val="en-GB"/>
        </w:rPr>
        <w:t xml:space="preserve">and </w:t>
      </w:r>
      <w:r w:rsidR="00EC4695" w:rsidRPr="00A307C6">
        <w:rPr>
          <w:lang w:val="en-GB"/>
        </w:rPr>
        <w:t xml:space="preserve">Unity State, </w:t>
      </w:r>
      <w:r w:rsidR="00964143" w:rsidRPr="00A307C6">
        <w:rPr>
          <w:lang w:val="en-GB"/>
        </w:rPr>
        <w:t xml:space="preserve">where </w:t>
      </w:r>
      <w:r w:rsidR="00EC4695" w:rsidRPr="00A307C6">
        <w:rPr>
          <w:lang w:val="en-GB"/>
        </w:rPr>
        <w:t xml:space="preserve">it mainly interviewed women and girls who had been displaced by the </w:t>
      </w:r>
      <w:r w:rsidR="008332DB" w:rsidRPr="00A307C6">
        <w:rPr>
          <w:lang w:val="en-GB"/>
        </w:rPr>
        <w:t xml:space="preserve">civil </w:t>
      </w:r>
      <w:r w:rsidR="00EC4695" w:rsidRPr="00A307C6">
        <w:rPr>
          <w:lang w:val="en-GB"/>
        </w:rPr>
        <w:t xml:space="preserve">conflict </w:t>
      </w:r>
      <w:r w:rsidR="006332D0" w:rsidRPr="00A307C6">
        <w:rPr>
          <w:lang w:val="en-GB"/>
        </w:rPr>
        <w:t xml:space="preserve">and </w:t>
      </w:r>
      <w:r w:rsidR="008332DB" w:rsidRPr="00A307C6">
        <w:rPr>
          <w:lang w:val="en-GB"/>
        </w:rPr>
        <w:t>sub-national violence</w:t>
      </w:r>
      <w:r w:rsidR="007261EE">
        <w:rPr>
          <w:lang w:val="en-GB"/>
        </w:rPr>
        <w:t>.</w:t>
      </w:r>
      <w:r w:rsidR="00EC4695" w:rsidRPr="00A307C6">
        <w:rPr>
          <w:lang w:val="en-GB"/>
        </w:rPr>
        <w:t xml:space="preserve"> </w:t>
      </w:r>
      <w:r w:rsidR="00964143" w:rsidRPr="00A307C6">
        <w:rPr>
          <w:lang w:val="en-GB"/>
        </w:rPr>
        <w:t xml:space="preserve">The Commission </w:t>
      </w:r>
      <w:r w:rsidR="008332DB" w:rsidRPr="00A307C6">
        <w:rPr>
          <w:lang w:val="en-GB"/>
        </w:rPr>
        <w:t xml:space="preserve">also </w:t>
      </w:r>
      <w:r w:rsidR="007A00EC" w:rsidRPr="00A307C6">
        <w:rPr>
          <w:lang w:val="en-GB"/>
        </w:rPr>
        <w:t xml:space="preserve">conducted </w:t>
      </w:r>
      <w:r w:rsidR="00964143" w:rsidRPr="00A307C6">
        <w:rPr>
          <w:lang w:val="en-GB"/>
        </w:rPr>
        <w:t xml:space="preserve">individual </w:t>
      </w:r>
      <w:r w:rsidR="007A00EC" w:rsidRPr="00A307C6">
        <w:rPr>
          <w:lang w:val="en-GB"/>
        </w:rPr>
        <w:t xml:space="preserve">interviews </w:t>
      </w:r>
      <w:r w:rsidRPr="00A307C6">
        <w:rPr>
          <w:lang w:val="en-GB"/>
        </w:rPr>
        <w:t xml:space="preserve">and group discussions </w:t>
      </w:r>
      <w:r w:rsidR="007261EE">
        <w:rPr>
          <w:lang w:val="en-GB"/>
        </w:rPr>
        <w:t xml:space="preserve">with </w:t>
      </w:r>
      <w:r w:rsidR="00964143" w:rsidRPr="00A307C6">
        <w:rPr>
          <w:lang w:val="en-GB"/>
        </w:rPr>
        <w:t>refugee</w:t>
      </w:r>
      <w:r w:rsidR="007261EE">
        <w:rPr>
          <w:lang w:val="en-GB"/>
        </w:rPr>
        <w:t>s</w:t>
      </w:r>
      <w:r w:rsidR="00081268">
        <w:rPr>
          <w:lang w:val="en-GB"/>
        </w:rPr>
        <w:t xml:space="preserve"> </w:t>
      </w:r>
      <w:r w:rsidR="00964143" w:rsidRPr="00A307C6">
        <w:rPr>
          <w:lang w:val="en-GB"/>
        </w:rPr>
        <w:t>in neighbouring countries</w:t>
      </w:r>
      <w:r w:rsidRPr="00A307C6">
        <w:rPr>
          <w:lang w:val="en-GB"/>
        </w:rPr>
        <w:t xml:space="preserve">. </w:t>
      </w:r>
      <w:r w:rsidR="007E0220" w:rsidRPr="00A307C6">
        <w:rPr>
          <w:lang w:val="en-GB"/>
        </w:rPr>
        <w:t xml:space="preserve">Women and girls </w:t>
      </w:r>
      <w:r w:rsidR="00964143" w:rsidRPr="00A307C6">
        <w:rPr>
          <w:lang w:val="en-GB"/>
        </w:rPr>
        <w:t>told the Comm</w:t>
      </w:r>
      <w:r w:rsidR="00684402" w:rsidRPr="00A307C6">
        <w:rPr>
          <w:lang w:val="en-GB"/>
        </w:rPr>
        <w:t>i</w:t>
      </w:r>
      <w:r w:rsidR="00964143" w:rsidRPr="00A307C6">
        <w:rPr>
          <w:lang w:val="en-GB"/>
        </w:rPr>
        <w:t xml:space="preserve">ssion </w:t>
      </w:r>
      <w:r w:rsidR="002556F4" w:rsidRPr="00A307C6">
        <w:rPr>
          <w:lang w:val="en-GB"/>
        </w:rPr>
        <w:t>of</w:t>
      </w:r>
      <w:r w:rsidR="007E0220" w:rsidRPr="00A307C6">
        <w:rPr>
          <w:lang w:val="en-GB"/>
        </w:rPr>
        <w:t xml:space="preserve"> their experiences of conflict</w:t>
      </w:r>
      <w:r w:rsidR="00EC4695" w:rsidRPr="00A307C6">
        <w:rPr>
          <w:lang w:val="en-GB"/>
        </w:rPr>
        <w:t>-</w:t>
      </w:r>
      <w:r w:rsidR="007E0220" w:rsidRPr="00A307C6">
        <w:rPr>
          <w:lang w:val="en-GB"/>
        </w:rPr>
        <w:t xml:space="preserve">related </w:t>
      </w:r>
      <w:r w:rsidRPr="00A307C6">
        <w:rPr>
          <w:lang w:val="en-GB"/>
        </w:rPr>
        <w:t>sexual violence</w:t>
      </w:r>
      <w:r w:rsidR="007E0220" w:rsidRPr="00A307C6">
        <w:rPr>
          <w:lang w:val="en-GB"/>
        </w:rPr>
        <w:t xml:space="preserve">, as well as </w:t>
      </w:r>
      <w:r w:rsidRPr="00A307C6">
        <w:rPr>
          <w:lang w:val="en-GB"/>
        </w:rPr>
        <w:t xml:space="preserve">other forms of </w:t>
      </w:r>
      <w:r w:rsidR="00CE391E" w:rsidRPr="00A307C6">
        <w:rPr>
          <w:lang w:val="en-GB"/>
        </w:rPr>
        <w:t xml:space="preserve">sexual and </w:t>
      </w:r>
      <w:r w:rsidRPr="00A307C6">
        <w:rPr>
          <w:lang w:val="en-GB"/>
        </w:rPr>
        <w:t>gender-based violence</w:t>
      </w:r>
      <w:r w:rsidR="00CA4B39" w:rsidRPr="00A307C6">
        <w:rPr>
          <w:lang w:val="en-GB"/>
        </w:rPr>
        <w:t xml:space="preserve"> </w:t>
      </w:r>
      <w:r w:rsidR="00964143" w:rsidRPr="00A307C6">
        <w:rPr>
          <w:lang w:val="en-GB"/>
        </w:rPr>
        <w:t xml:space="preserve">amidst the </w:t>
      </w:r>
      <w:r w:rsidR="00EC4695" w:rsidRPr="00A307C6">
        <w:rPr>
          <w:lang w:val="en-GB"/>
        </w:rPr>
        <w:t xml:space="preserve">persistent </w:t>
      </w:r>
      <w:r w:rsidR="00CA4B39" w:rsidRPr="00A307C6">
        <w:rPr>
          <w:lang w:val="en-GB"/>
        </w:rPr>
        <w:t xml:space="preserve">insecurity. </w:t>
      </w:r>
      <w:r w:rsidR="00964143" w:rsidRPr="00A307C6">
        <w:rPr>
          <w:lang w:val="en-GB"/>
        </w:rPr>
        <w:t xml:space="preserve">Victims also </w:t>
      </w:r>
      <w:r w:rsidR="00CA4B39" w:rsidRPr="00A307C6">
        <w:rPr>
          <w:lang w:val="en-GB"/>
        </w:rPr>
        <w:t xml:space="preserve">testified to </w:t>
      </w:r>
      <w:r w:rsidRPr="00A307C6">
        <w:rPr>
          <w:lang w:val="en-GB"/>
        </w:rPr>
        <w:t>the overall impact of the conflict on their livelihoods,</w:t>
      </w:r>
      <w:r w:rsidR="007E0220" w:rsidRPr="00A307C6">
        <w:rPr>
          <w:lang w:val="en-GB"/>
        </w:rPr>
        <w:t xml:space="preserve"> </w:t>
      </w:r>
      <w:r w:rsidR="00CA4B39" w:rsidRPr="00A307C6">
        <w:rPr>
          <w:lang w:val="en-GB"/>
        </w:rPr>
        <w:t xml:space="preserve">the personal impact on </w:t>
      </w:r>
      <w:r w:rsidR="00763E62" w:rsidRPr="00A307C6">
        <w:rPr>
          <w:lang w:val="en-GB"/>
        </w:rPr>
        <w:t xml:space="preserve">their </w:t>
      </w:r>
      <w:r w:rsidR="00CA4B39" w:rsidRPr="00A307C6">
        <w:rPr>
          <w:lang w:val="en-GB"/>
        </w:rPr>
        <w:t xml:space="preserve">sexual and reproductive health, </w:t>
      </w:r>
      <w:r w:rsidR="00763E62" w:rsidRPr="00A307C6">
        <w:rPr>
          <w:lang w:val="en-GB"/>
        </w:rPr>
        <w:t xml:space="preserve">generating </w:t>
      </w:r>
      <w:r w:rsidR="00CA4B39" w:rsidRPr="00A307C6">
        <w:rPr>
          <w:lang w:val="en-GB"/>
        </w:rPr>
        <w:t>medical needs and mental trauma</w:t>
      </w:r>
      <w:r w:rsidR="00763E62" w:rsidRPr="00A307C6">
        <w:rPr>
          <w:lang w:val="en-GB"/>
        </w:rPr>
        <w:t>,</w:t>
      </w:r>
      <w:r w:rsidR="00CA4B39" w:rsidRPr="00A307C6">
        <w:rPr>
          <w:lang w:val="en-GB"/>
        </w:rPr>
        <w:t xml:space="preserve"> and </w:t>
      </w:r>
      <w:r w:rsidR="006332D0" w:rsidRPr="00A307C6">
        <w:rPr>
          <w:lang w:val="en-GB"/>
        </w:rPr>
        <w:t xml:space="preserve">recounted </w:t>
      </w:r>
      <w:r w:rsidR="00763E62" w:rsidRPr="00A307C6">
        <w:rPr>
          <w:lang w:val="en-GB"/>
        </w:rPr>
        <w:t xml:space="preserve">other adverse </w:t>
      </w:r>
      <w:r w:rsidR="00CA4B39" w:rsidRPr="00A307C6">
        <w:rPr>
          <w:lang w:val="en-GB"/>
        </w:rPr>
        <w:t xml:space="preserve">consequences </w:t>
      </w:r>
      <w:r w:rsidR="00763E62" w:rsidRPr="00A307C6">
        <w:rPr>
          <w:lang w:val="en-GB"/>
        </w:rPr>
        <w:t>for</w:t>
      </w:r>
      <w:r w:rsidR="007E0220" w:rsidRPr="00A307C6">
        <w:rPr>
          <w:lang w:val="en-GB"/>
        </w:rPr>
        <w:t xml:space="preserve"> their </w:t>
      </w:r>
      <w:r w:rsidRPr="00A307C6">
        <w:rPr>
          <w:lang w:val="en-GB"/>
        </w:rPr>
        <w:t>famil</w:t>
      </w:r>
      <w:r w:rsidR="00763E62" w:rsidRPr="00A307C6">
        <w:rPr>
          <w:lang w:val="en-GB"/>
        </w:rPr>
        <w:t>ies</w:t>
      </w:r>
      <w:r w:rsidR="007E0220" w:rsidRPr="00A307C6">
        <w:rPr>
          <w:lang w:val="en-GB"/>
        </w:rPr>
        <w:t xml:space="preserve"> and communit</w:t>
      </w:r>
      <w:r w:rsidR="00763E62" w:rsidRPr="00A307C6">
        <w:rPr>
          <w:lang w:val="en-GB"/>
        </w:rPr>
        <w:t>ies</w:t>
      </w:r>
      <w:r w:rsidR="00234B27" w:rsidRPr="00A307C6">
        <w:rPr>
          <w:lang w:val="en-GB"/>
        </w:rPr>
        <w:t>.</w:t>
      </w:r>
      <w:r w:rsidR="007E0220" w:rsidRPr="00A307C6">
        <w:rPr>
          <w:lang w:val="en-GB"/>
        </w:rPr>
        <w:t xml:space="preserve"> </w:t>
      </w:r>
      <w:r w:rsidR="00CA4B39" w:rsidRPr="00A307C6">
        <w:rPr>
          <w:lang w:val="en-GB"/>
        </w:rPr>
        <w:t xml:space="preserve">Extracts from testimonies </w:t>
      </w:r>
      <w:r w:rsidR="007A00EC" w:rsidRPr="00A307C6">
        <w:rPr>
          <w:lang w:val="en-GB"/>
        </w:rPr>
        <w:t xml:space="preserve">and </w:t>
      </w:r>
      <w:r w:rsidR="00CA4B39" w:rsidRPr="00A307C6">
        <w:rPr>
          <w:lang w:val="en-GB"/>
        </w:rPr>
        <w:t xml:space="preserve">the </w:t>
      </w:r>
      <w:r w:rsidR="007A00EC" w:rsidRPr="00A307C6">
        <w:rPr>
          <w:lang w:val="en-GB"/>
        </w:rPr>
        <w:t xml:space="preserve">case studies illustrate </w:t>
      </w:r>
      <w:r w:rsidR="00CA4B39" w:rsidRPr="00A307C6">
        <w:rPr>
          <w:lang w:val="en-GB"/>
        </w:rPr>
        <w:t xml:space="preserve">the </w:t>
      </w:r>
      <w:r w:rsidR="007A00EC" w:rsidRPr="00A307C6">
        <w:rPr>
          <w:lang w:val="en-GB"/>
        </w:rPr>
        <w:t xml:space="preserve">lived experiences of South Sudanese women and girls. </w:t>
      </w:r>
    </w:p>
    <w:p w14:paraId="4DF4CB72" w14:textId="63B186A2" w:rsidR="00342B41" w:rsidRPr="00A307C6" w:rsidRDefault="00D112C8" w:rsidP="00FF077A">
      <w:pPr>
        <w:pStyle w:val="Paragraph"/>
        <w:rPr>
          <w:lang w:val="en-GB"/>
        </w:rPr>
      </w:pPr>
      <w:r w:rsidRPr="00A307C6">
        <w:rPr>
          <w:lang w:val="en-GB"/>
        </w:rPr>
        <w:t>Th</w:t>
      </w:r>
      <w:r w:rsidR="00763E62" w:rsidRPr="00A307C6">
        <w:rPr>
          <w:lang w:val="en-GB"/>
        </w:rPr>
        <w:t>e</w:t>
      </w:r>
      <w:r w:rsidRPr="00A307C6">
        <w:rPr>
          <w:lang w:val="en-GB"/>
        </w:rPr>
        <w:t xml:space="preserve"> paper</w:t>
      </w:r>
      <w:r w:rsidR="00684402" w:rsidRPr="00A307C6">
        <w:rPr>
          <w:lang w:val="en-GB"/>
        </w:rPr>
        <w:t xml:space="preserve"> </w:t>
      </w:r>
      <w:r w:rsidRPr="00A307C6">
        <w:rPr>
          <w:lang w:val="en-GB"/>
        </w:rPr>
        <w:t xml:space="preserve">is primarily </w:t>
      </w:r>
      <w:r w:rsidR="00AF37E6" w:rsidRPr="00A307C6">
        <w:rPr>
          <w:lang w:val="en-GB"/>
        </w:rPr>
        <w:t xml:space="preserve">focused </w:t>
      </w:r>
      <w:r w:rsidR="00342B41" w:rsidRPr="00A307C6">
        <w:rPr>
          <w:lang w:val="en-GB"/>
        </w:rPr>
        <w:t xml:space="preserve">on </w:t>
      </w:r>
      <w:r w:rsidR="00AF37E6" w:rsidRPr="00A307C6">
        <w:rPr>
          <w:lang w:val="en-GB"/>
        </w:rPr>
        <w:t xml:space="preserve">conflict-related sexual violence </w:t>
      </w:r>
      <w:r w:rsidR="00342B41" w:rsidRPr="00A307C6">
        <w:rPr>
          <w:lang w:val="en-GB"/>
        </w:rPr>
        <w:t xml:space="preserve">as </w:t>
      </w:r>
      <w:r w:rsidR="00AF37E6" w:rsidRPr="00A307C6">
        <w:rPr>
          <w:lang w:val="en-GB"/>
        </w:rPr>
        <w:t>experienced by women and girls</w:t>
      </w:r>
      <w:r w:rsidR="00342B41" w:rsidRPr="00A307C6">
        <w:rPr>
          <w:lang w:val="en-GB"/>
        </w:rPr>
        <w:t xml:space="preserve">. The Commission notes the constraints imposed on its work by </w:t>
      </w:r>
      <w:r w:rsidR="008A4FAB" w:rsidRPr="00A307C6">
        <w:rPr>
          <w:lang w:val="en-GB"/>
        </w:rPr>
        <w:t xml:space="preserve">the COVID-19 pandemic and </w:t>
      </w:r>
      <w:r w:rsidR="00342B41" w:rsidRPr="00A307C6">
        <w:rPr>
          <w:lang w:val="en-GB"/>
        </w:rPr>
        <w:t xml:space="preserve">the </w:t>
      </w:r>
      <w:r w:rsidR="001B21A6" w:rsidRPr="00A307C6">
        <w:rPr>
          <w:lang w:val="en-GB"/>
        </w:rPr>
        <w:t xml:space="preserve">subsequent </w:t>
      </w:r>
      <w:r w:rsidR="008A4FAB" w:rsidRPr="00A307C6">
        <w:rPr>
          <w:lang w:val="en-GB"/>
        </w:rPr>
        <w:t>lockdown restrictions</w:t>
      </w:r>
      <w:r w:rsidR="00342B41" w:rsidRPr="00A307C6">
        <w:rPr>
          <w:lang w:val="en-GB"/>
        </w:rPr>
        <w:t xml:space="preserve">, which included travel restrictions and access to conflict areas and witnesses. </w:t>
      </w:r>
    </w:p>
    <w:p w14:paraId="7468E906" w14:textId="17A9C135" w:rsidR="008B2364" w:rsidRPr="00A307C6" w:rsidRDefault="008B2364" w:rsidP="00FF077A">
      <w:pPr>
        <w:pStyle w:val="Paragraph"/>
        <w:rPr>
          <w:lang w:val="en-GB"/>
        </w:rPr>
      </w:pPr>
      <w:r w:rsidRPr="00A307C6">
        <w:rPr>
          <w:lang w:val="en-GB"/>
        </w:rPr>
        <w:t>Conflict-related sexual violence refers to rape, sexual slavery, forced prostitution, forced pregnancy, forced abortion, enforced sterilization, forced marriage and any other form of sexual violence of comparable gravity perpetrated against women, men, girls or boys that is directly or indirectly linked to a conflict.</w:t>
      </w:r>
      <w:r w:rsidR="00296A09" w:rsidRPr="00A307C6">
        <w:rPr>
          <w:rStyle w:val="FootnoteReference"/>
          <w:lang w:val="en-GB"/>
        </w:rPr>
        <w:footnoteReference w:id="7"/>
      </w:r>
      <w:r w:rsidRPr="00A307C6">
        <w:rPr>
          <w:lang w:val="en-GB"/>
        </w:rPr>
        <w:t xml:space="preserve"> The acts cannot be viewed in isolation from the immediate and lasting impacts they carry for the victims as well as their family members, social groups including ethnic or gender identities, and society as a whole.</w:t>
      </w:r>
    </w:p>
    <w:p w14:paraId="6B29C380" w14:textId="664AE8E2" w:rsidR="00681298" w:rsidRPr="00A307C6" w:rsidRDefault="00124BFA" w:rsidP="00FF077A">
      <w:pPr>
        <w:pStyle w:val="Paragraph"/>
        <w:rPr>
          <w:lang w:val="en-GB"/>
        </w:rPr>
      </w:pPr>
      <w:r w:rsidRPr="00A307C6">
        <w:rPr>
          <w:lang w:val="en-GB"/>
        </w:rPr>
        <w:lastRenderedPageBreak/>
        <w:t xml:space="preserve">The Commission has </w:t>
      </w:r>
      <w:r w:rsidR="00EC4695" w:rsidRPr="00A307C6">
        <w:rPr>
          <w:lang w:val="en-GB"/>
        </w:rPr>
        <w:t>interpreted</w:t>
      </w:r>
      <w:r w:rsidRPr="00A307C6">
        <w:rPr>
          <w:lang w:val="en-GB"/>
        </w:rPr>
        <w:t xml:space="preserve"> conflict</w:t>
      </w:r>
      <w:r w:rsidR="00EC4695" w:rsidRPr="00A307C6">
        <w:rPr>
          <w:lang w:val="en-GB"/>
        </w:rPr>
        <w:t>-</w:t>
      </w:r>
      <w:r w:rsidRPr="00A307C6">
        <w:rPr>
          <w:lang w:val="en-GB"/>
        </w:rPr>
        <w:t>related sexual violence</w:t>
      </w:r>
      <w:r w:rsidR="007A6194" w:rsidRPr="00A307C6">
        <w:rPr>
          <w:lang w:val="en-GB"/>
        </w:rPr>
        <w:t xml:space="preserve"> </w:t>
      </w:r>
      <w:r w:rsidRPr="00A307C6">
        <w:rPr>
          <w:lang w:val="en-GB"/>
        </w:rPr>
        <w:t>to include</w:t>
      </w:r>
      <w:r w:rsidR="002556F4" w:rsidRPr="00A307C6">
        <w:rPr>
          <w:lang w:val="en-GB"/>
        </w:rPr>
        <w:t xml:space="preserve"> </w:t>
      </w:r>
      <w:r w:rsidRPr="00A307C6">
        <w:rPr>
          <w:lang w:val="en-GB"/>
        </w:rPr>
        <w:t xml:space="preserve">conflict at a national level, as well as </w:t>
      </w:r>
      <w:r w:rsidR="00BC7BE0" w:rsidRPr="00A307C6">
        <w:rPr>
          <w:lang w:val="en-GB"/>
        </w:rPr>
        <w:t>at a sub-national level</w:t>
      </w:r>
      <w:r w:rsidR="00763E62" w:rsidRPr="00A307C6">
        <w:rPr>
          <w:lang w:val="en-GB"/>
        </w:rPr>
        <w:t>,</w:t>
      </w:r>
      <w:r w:rsidR="00BC7BE0" w:rsidRPr="00A307C6">
        <w:rPr>
          <w:lang w:val="en-GB"/>
        </w:rPr>
        <w:t xml:space="preserve"> including what is sometimes </w:t>
      </w:r>
      <w:r w:rsidR="004A238E" w:rsidRPr="00A307C6">
        <w:rPr>
          <w:lang w:val="en-GB"/>
        </w:rPr>
        <w:t xml:space="preserve">described as inter-communal violence </w:t>
      </w:r>
      <w:r w:rsidR="00BC7BE0" w:rsidRPr="00A307C6">
        <w:rPr>
          <w:lang w:val="en-GB"/>
        </w:rPr>
        <w:t xml:space="preserve">or </w:t>
      </w:r>
      <w:r w:rsidR="004A238E" w:rsidRPr="00A307C6">
        <w:rPr>
          <w:lang w:val="en-GB"/>
        </w:rPr>
        <w:t xml:space="preserve">localised-conflict </w:t>
      </w:r>
      <w:r w:rsidRPr="00A307C6">
        <w:rPr>
          <w:lang w:val="en-GB"/>
        </w:rPr>
        <w:t>in South Sudan</w:t>
      </w:r>
      <w:r w:rsidR="00681298" w:rsidRPr="00A307C6">
        <w:rPr>
          <w:lang w:val="en-GB"/>
        </w:rPr>
        <w:t xml:space="preserve">. </w:t>
      </w:r>
      <w:r w:rsidR="00BC7BE0" w:rsidRPr="00A307C6">
        <w:rPr>
          <w:lang w:val="en-GB"/>
        </w:rPr>
        <w:t>Th</w:t>
      </w:r>
      <w:r w:rsidR="00763E62" w:rsidRPr="00A307C6">
        <w:rPr>
          <w:lang w:val="en-GB"/>
        </w:rPr>
        <w:t>e paper</w:t>
      </w:r>
      <w:r w:rsidR="00994C8E" w:rsidRPr="00A307C6">
        <w:rPr>
          <w:lang w:val="en-GB"/>
        </w:rPr>
        <w:t xml:space="preserve"> has </w:t>
      </w:r>
      <w:r w:rsidR="00BC7BE0" w:rsidRPr="00A307C6">
        <w:rPr>
          <w:lang w:val="en-GB"/>
        </w:rPr>
        <w:t xml:space="preserve">also </w:t>
      </w:r>
      <w:r w:rsidR="00681298" w:rsidRPr="00A307C6">
        <w:rPr>
          <w:lang w:val="en-GB"/>
        </w:rPr>
        <w:t>focus</w:t>
      </w:r>
      <w:r w:rsidR="00994C8E" w:rsidRPr="00A307C6">
        <w:rPr>
          <w:lang w:val="en-GB"/>
        </w:rPr>
        <w:t>ed</w:t>
      </w:r>
      <w:r w:rsidR="00681298" w:rsidRPr="00A307C6">
        <w:rPr>
          <w:lang w:val="en-GB"/>
        </w:rPr>
        <w:t xml:space="preserve"> on areas where </w:t>
      </w:r>
      <w:r w:rsidR="00994C8E" w:rsidRPr="00A307C6">
        <w:rPr>
          <w:lang w:val="en-GB"/>
        </w:rPr>
        <w:t>the army</w:t>
      </w:r>
      <w:r w:rsidR="00763E62" w:rsidRPr="00A307C6">
        <w:rPr>
          <w:lang w:val="en-GB"/>
        </w:rPr>
        <w:t>,</w:t>
      </w:r>
      <w:r w:rsidR="00994C8E" w:rsidRPr="00A307C6">
        <w:rPr>
          <w:lang w:val="en-GB"/>
        </w:rPr>
        <w:t xml:space="preserve"> </w:t>
      </w:r>
      <w:r w:rsidR="00763E62" w:rsidRPr="00A307C6">
        <w:rPr>
          <w:lang w:val="en-GB"/>
        </w:rPr>
        <w:t>other</w:t>
      </w:r>
      <w:r w:rsidR="00994C8E" w:rsidRPr="00A307C6">
        <w:rPr>
          <w:lang w:val="en-GB"/>
        </w:rPr>
        <w:t xml:space="preserve"> armed groups linked to the state</w:t>
      </w:r>
      <w:r w:rsidR="00763E62" w:rsidRPr="00A307C6">
        <w:rPr>
          <w:lang w:val="en-GB"/>
        </w:rPr>
        <w:t>,</w:t>
      </w:r>
      <w:r w:rsidR="00994C8E" w:rsidRPr="00A307C6">
        <w:rPr>
          <w:lang w:val="en-GB"/>
        </w:rPr>
        <w:t xml:space="preserve"> and </w:t>
      </w:r>
      <w:r w:rsidR="00763E62" w:rsidRPr="00A307C6">
        <w:rPr>
          <w:lang w:val="en-GB"/>
        </w:rPr>
        <w:t xml:space="preserve">armed actors, </w:t>
      </w:r>
      <w:r w:rsidR="00DF04D7" w:rsidRPr="00A307C6">
        <w:rPr>
          <w:lang w:val="en-GB"/>
        </w:rPr>
        <w:t xml:space="preserve">including </w:t>
      </w:r>
      <w:r w:rsidR="00994C8E" w:rsidRPr="00A307C6">
        <w:rPr>
          <w:lang w:val="en-GB"/>
        </w:rPr>
        <w:t>hold</w:t>
      </w:r>
      <w:r w:rsidR="00DF04D7" w:rsidRPr="00A307C6">
        <w:rPr>
          <w:lang w:val="en-GB"/>
        </w:rPr>
        <w:t>-</w:t>
      </w:r>
      <w:r w:rsidR="00994C8E" w:rsidRPr="00A307C6">
        <w:rPr>
          <w:lang w:val="en-GB"/>
        </w:rPr>
        <w:t xml:space="preserve">out groups </w:t>
      </w:r>
      <w:r w:rsidR="00EC4695" w:rsidRPr="00A307C6">
        <w:rPr>
          <w:lang w:val="en-GB"/>
        </w:rPr>
        <w:t>not party to the 2018 Revitalized Peace Agreement,</w:t>
      </w:r>
      <w:r w:rsidR="00684402" w:rsidRPr="00A307C6">
        <w:rPr>
          <w:lang w:val="en-GB"/>
        </w:rPr>
        <w:t xml:space="preserve"> </w:t>
      </w:r>
      <w:r w:rsidR="00681298" w:rsidRPr="00A307C6">
        <w:rPr>
          <w:lang w:val="en-GB"/>
        </w:rPr>
        <w:t>have been operating</w:t>
      </w:r>
      <w:r w:rsidR="00994C8E" w:rsidRPr="00A307C6">
        <w:rPr>
          <w:lang w:val="en-GB"/>
        </w:rPr>
        <w:t>.</w:t>
      </w:r>
      <w:r w:rsidR="00681298" w:rsidRPr="00A307C6">
        <w:rPr>
          <w:lang w:val="en-GB"/>
        </w:rPr>
        <w:t xml:space="preserve"> </w:t>
      </w:r>
    </w:p>
    <w:p w14:paraId="3967ED9E" w14:textId="011F1F24" w:rsidR="00EF2168" w:rsidRPr="00A307C6" w:rsidRDefault="00F929E6" w:rsidP="00E76E17">
      <w:pPr>
        <w:pStyle w:val="Paragraph"/>
        <w:rPr>
          <w:lang w:val="en-GB"/>
        </w:rPr>
      </w:pPr>
      <w:r w:rsidRPr="00A307C6">
        <w:rPr>
          <w:lang w:val="en-GB"/>
        </w:rPr>
        <w:t xml:space="preserve">The </w:t>
      </w:r>
      <w:r w:rsidR="00681298" w:rsidRPr="00A307C6">
        <w:rPr>
          <w:lang w:val="en-GB"/>
        </w:rPr>
        <w:t xml:space="preserve">Commission has </w:t>
      </w:r>
      <w:r w:rsidR="00E76E17" w:rsidRPr="00A307C6">
        <w:rPr>
          <w:lang w:val="en-GB"/>
        </w:rPr>
        <w:t xml:space="preserve">previously </w:t>
      </w:r>
      <w:r w:rsidR="00681298" w:rsidRPr="00A307C6">
        <w:rPr>
          <w:lang w:val="en-GB"/>
        </w:rPr>
        <w:t xml:space="preserve">documented </w:t>
      </w:r>
      <w:r w:rsidR="007261EE">
        <w:rPr>
          <w:lang w:val="en-GB"/>
        </w:rPr>
        <w:t>incidents of</w:t>
      </w:r>
      <w:r w:rsidR="00681298" w:rsidRPr="00A307C6">
        <w:rPr>
          <w:lang w:val="en-GB"/>
        </w:rPr>
        <w:t xml:space="preserve"> conflict-related sexual violence perpetrated against men and boys, </w:t>
      </w:r>
      <w:r w:rsidR="00EF2168" w:rsidRPr="00A307C6">
        <w:rPr>
          <w:lang w:val="en-GB"/>
        </w:rPr>
        <w:t xml:space="preserve">including </w:t>
      </w:r>
      <w:r w:rsidR="00681298" w:rsidRPr="00A307C6">
        <w:rPr>
          <w:lang w:val="en-GB"/>
        </w:rPr>
        <w:t xml:space="preserve">the prevalence of sexual violence against men and boys in detention sites </w:t>
      </w:r>
      <w:r w:rsidR="00EF2168" w:rsidRPr="00A307C6">
        <w:rPr>
          <w:lang w:val="en-GB"/>
        </w:rPr>
        <w:t xml:space="preserve">mainly </w:t>
      </w:r>
      <w:r w:rsidR="00681298" w:rsidRPr="00A307C6">
        <w:rPr>
          <w:lang w:val="en-GB"/>
        </w:rPr>
        <w:t>managed by the National Security Services, including but not limited to contexts associated with conflict and armed groups.</w:t>
      </w:r>
      <w:r w:rsidR="00681298" w:rsidRPr="00A307C6">
        <w:rPr>
          <w:rStyle w:val="FootnoteReference"/>
          <w:lang w:val="en-GB"/>
        </w:rPr>
        <w:footnoteReference w:id="8"/>
      </w:r>
      <w:r w:rsidR="00681298" w:rsidRPr="00A307C6">
        <w:rPr>
          <w:lang w:val="en-GB"/>
        </w:rPr>
        <w:t xml:space="preserve"> The sexual violence that men and boys have been subjected to</w:t>
      </w:r>
      <w:r w:rsidR="00DF04D7" w:rsidRPr="00A307C6">
        <w:rPr>
          <w:lang w:val="en-GB"/>
        </w:rPr>
        <w:t xml:space="preserve"> </w:t>
      </w:r>
      <w:r w:rsidR="00681298" w:rsidRPr="00A307C6">
        <w:rPr>
          <w:lang w:val="en-GB"/>
        </w:rPr>
        <w:t>include</w:t>
      </w:r>
      <w:r w:rsidR="00DF04D7" w:rsidRPr="00A307C6">
        <w:rPr>
          <w:lang w:val="en-GB"/>
        </w:rPr>
        <w:t>s</w:t>
      </w:r>
      <w:r w:rsidR="00681298" w:rsidRPr="00A307C6">
        <w:rPr>
          <w:lang w:val="en-GB"/>
        </w:rPr>
        <w:t xml:space="preserve"> rape, </w:t>
      </w:r>
      <w:r w:rsidR="007261EE">
        <w:rPr>
          <w:lang w:val="en-GB"/>
        </w:rPr>
        <w:t xml:space="preserve">sexual assaults, </w:t>
      </w:r>
      <w:r w:rsidR="00681298" w:rsidRPr="00A307C6">
        <w:rPr>
          <w:lang w:val="en-GB"/>
        </w:rPr>
        <w:t>sexual humiliation and torture, and genital mutilation; often causing serious injury and disability, and sometimes directly causing or leading to death.</w:t>
      </w:r>
      <w:r w:rsidR="00E76E17">
        <w:rPr>
          <w:rStyle w:val="FootnoteReference"/>
        </w:rPr>
        <w:footnoteReference w:id="9"/>
      </w:r>
      <w:r w:rsidR="00681298" w:rsidRPr="00A307C6">
        <w:rPr>
          <w:lang w:val="en-GB"/>
        </w:rPr>
        <w:t xml:space="preserve"> </w:t>
      </w:r>
      <w:r w:rsidR="00DF04D7" w:rsidRPr="00A307C6">
        <w:rPr>
          <w:lang w:val="en-GB"/>
        </w:rPr>
        <w:t>However, t</w:t>
      </w:r>
      <w:r w:rsidR="00681298" w:rsidRPr="00A307C6">
        <w:rPr>
          <w:lang w:val="en-GB"/>
        </w:rPr>
        <w:t xml:space="preserve">he extent to which these </w:t>
      </w:r>
      <w:r w:rsidRPr="00A307C6">
        <w:rPr>
          <w:lang w:val="en-GB"/>
        </w:rPr>
        <w:t>violations</w:t>
      </w:r>
      <w:r w:rsidR="00296A09" w:rsidRPr="00A307C6">
        <w:rPr>
          <w:lang w:val="en-GB"/>
        </w:rPr>
        <w:t xml:space="preserve"> and abuses</w:t>
      </w:r>
      <w:r w:rsidRPr="00A307C6">
        <w:rPr>
          <w:lang w:val="en-GB"/>
        </w:rPr>
        <w:t xml:space="preserve"> </w:t>
      </w:r>
      <w:r w:rsidR="00681298" w:rsidRPr="00A307C6">
        <w:rPr>
          <w:lang w:val="en-GB"/>
        </w:rPr>
        <w:t xml:space="preserve">are occurring and </w:t>
      </w:r>
      <w:r w:rsidRPr="00A307C6">
        <w:rPr>
          <w:lang w:val="en-GB"/>
        </w:rPr>
        <w:t xml:space="preserve">the </w:t>
      </w:r>
      <w:r w:rsidR="00681298" w:rsidRPr="00A307C6">
        <w:rPr>
          <w:lang w:val="en-GB"/>
        </w:rPr>
        <w:t xml:space="preserve">impact on victims </w:t>
      </w:r>
      <w:r w:rsidRPr="00A307C6">
        <w:rPr>
          <w:lang w:val="en-GB"/>
        </w:rPr>
        <w:t xml:space="preserve">including physical and mental health as well as on </w:t>
      </w:r>
      <w:r w:rsidR="00681298" w:rsidRPr="00A307C6">
        <w:rPr>
          <w:lang w:val="en-GB"/>
        </w:rPr>
        <w:t xml:space="preserve">their family members in South Sudan </w:t>
      </w:r>
      <w:r w:rsidR="00DF04D7" w:rsidRPr="00A307C6">
        <w:rPr>
          <w:lang w:val="en-GB"/>
        </w:rPr>
        <w:t>has</w:t>
      </w:r>
      <w:r w:rsidR="00681298" w:rsidRPr="00A307C6">
        <w:rPr>
          <w:lang w:val="en-GB"/>
        </w:rPr>
        <w:t xml:space="preserve"> not </w:t>
      </w:r>
      <w:r w:rsidR="00DF04D7" w:rsidRPr="00A307C6">
        <w:rPr>
          <w:lang w:val="en-GB"/>
        </w:rPr>
        <w:t xml:space="preserve">been </w:t>
      </w:r>
      <w:r w:rsidR="00681298" w:rsidRPr="00A307C6">
        <w:rPr>
          <w:lang w:val="en-GB"/>
        </w:rPr>
        <w:t>well understood, and warrants further investigation</w:t>
      </w:r>
      <w:r w:rsidRPr="00A307C6">
        <w:rPr>
          <w:lang w:val="en-GB"/>
        </w:rPr>
        <w:t xml:space="preserve">s. </w:t>
      </w:r>
    </w:p>
    <w:p w14:paraId="33F60073" w14:textId="7D884FA3" w:rsidR="00681298" w:rsidRPr="00A307C6" w:rsidRDefault="00F929E6" w:rsidP="00FF077A">
      <w:pPr>
        <w:pStyle w:val="Paragraph"/>
        <w:rPr>
          <w:lang w:val="en-GB"/>
        </w:rPr>
      </w:pPr>
      <w:r w:rsidRPr="00A307C6">
        <w:rPr>
          <w:lang w:val="en-GB"/>
        </w:rPr>
        <w:t>Despite the lack of empirical data</w:t>
      </w:r>
      <w:r w:rsidR="00151A81" w:rsidRPr="00A307C6">
        <w:rPr>
          <w:lang w:val="en-GB"/>
        </w:rPr>
        <w:t xml:space="preserve"> and the </w:t>
      </w:r>
      <w:r w:rsidR="00BC7BE0" w:rsidRPr="00A307C6">
        <w:rPr>
          <w:lang w:val="en-GB"/>
        </w:rPr>
        <w:t>underreporting by victims of conflict</w:t>
      </w:r>
      <w:r w:rsidR="00DF04D7" w:rsidRPr="00A307C6">
        <w:rPr>
          <w:lang w:val="en-GB"/>
        </w:rPr>
        <w:t>-</w:t>
      </w:r>
      <w:r w:rsidR="00BC7BE0" w:rsidRPr="00A307C6">
        <w:rPr>
          <w:lang w:val="en-GB"/>
        </w:rPr>
        <w:t xml:space="preserve">related sexual violence, including men and boys, </w:t>
      </w:r>
      <w:r w:rsidR="00681298" w:rsidRPr="00A307C6">
        <w:rPr>
          <w:lang w:val="en-GB"/>
        </w:rPr>
        <w:t>the</w:t>
      </w:r>
      <w:r w:rsidRPr="00A307C6">
        <w:rPr>
          <w:lang w:val="en-GB"/>
        </w:rPr>
        <w:t xml:space="preserve"> Commis</w:t>
      </w:r>
      <w:r w:rsidR="00296A09" w:rsidRPr="00A307C6">
        <w:rPr>
          <w:lang w:val="en-GB"/>
        </w:rPr>
        <w:t>s</w:t>
      </w:r>
      <w:r w:rsidRPr="00A307C6">
        <w:rPr>
          <w:lang w:val="en-GB"/>
        </w:rPr>
        <w:t xml:space="preserve">ion notes from its work </w:t>
      </w:r>
      <w:r w:rsidR="00151A81" w:rsidRPr="00A307C6">
        <w:rPr>
          <w:lang w:val="en-GB"/>
        </w:rPr>
        <w:t xml:space="preserve">in </w:t>
      </w:r>
      <w:r w:rsidR="00BC7BE0" w:rsidRPr="00A307C6">
        <w:rPr>
          <w:lang w:val="en-GB"/>
        </w:rPr>
        <w:t xml:space="preserve">internally displaced centres and </w:t>
      </w:r>
      <w:r w:rsidR="00151A81" w:rsidRPr="00A307C6">
        <w:rPr>
          <w:lang w:val="en-GB"/>
        </w:rPr>
        <w:t xml:space="preserve">refugee settlements, the </w:t>
      </w:r>
      <w:r w:rsidR="00681298" w:rsidRPr="00A307C6">
        <w:rPr>
          <w:lang w:val="en-GB"/>
        </w:rPr>
        <w:t xml:space="preserve">greater </w:t>
      </w:r>
      <w:r w:rsidR="00151A81" w:rsidRPr="00A307C6">
        <w:rPr>
          <w:lang w:val="en-GB"/>
        </w:rPr>
        <w:t xml:space="preserve">awareness and </w:t>
      </w:r>
      <w:r w:rsidR="00681298" w:rsidRPr="00A307C6">
        <w:rPr>
          <w:lang w:val="en-GB"/>
        </w:rPr>
        <w:t>acknowledgement that men and boys form a significant proportion of victims of sexual violence, including in conflict-related situations, than has been recognised previously.</w:t>
      </w:r>
      <w:r w:rsidR="00681298" w:rsidRPr="00A307C6">
        <w:rPr>
          <w:rStyle w:val="FootnoteReference"/>
          <w:lang w:val="en-GB"/>
        </w:rPr>
        <w:footnoteReference w:id="10"/>
      </w:r>
      <w:r w:rsidR="00681298" w:rsidRPr="00A307C6">
        <w:rPr>
          <w:lang w:val="en-GB"/>
        </w:rPr>
        <w:t xml:space="preserve"> </w:t>
      </w:r>
      <w:r w:rsidR="00151A81" w:rsidRPr="00A307C6">
        <w:rPr>
          <w:lang w:val="en-GB"/>
        </w:rPr>
        <w:t xml:space="preserve">In addition, the </w:t>
      </w:r>
      <w:r w:rsidR="00BC7BE0" w:rsidRPr="00A307C6">
        <w:rPr>
          <w:lang w:val="en-GB"/>
        </w:rPr>
        <w:t xml:space="preserve">Commission was not able to document or investigate the </w:t>
      </w:r>
      <w:r w:rsidR="00681298" w:rsidRPr="00A307C6">
        <w:rPr>
          <w:lang w:val="en-GB"/>
        </w:rPr>
        <w:t xml:space="preserve">extent of conflict-related and other gender-based forms of sexual violence against </w:t>
      </w:r>
      <w:r w:rsidR="00CE391E" w:rsidRPr="00A307C6">
        <w:rPr>
          <w:lang w:val="en-GB"/>
        </w:rPr>
        <w:t>members of the LGBTI Q+ communities</w:t>
      </w:r>
      <w:r w:rsidR="001B21A6" w:rsidRPr="00A307C6">
        <w:rPr>
          <w:lang w:val="en-GB"/>
        </w:rPr>
        <w:t xml:space="preserve">, </w:t>
      </w:r>
      <w:r w:rsidR="00BC7BE0" w:rsidRPr="00A307C6">
        <w:rPr>
          <w:lang w:val="en-GB"/>
        </w:rPr>
        <w:t xml:space="preserve">distinct </w:t>
      </w:r>
      <w:r w:rsidR="001B21A6" w:rsidRPr="00A307C6">
        <w:rPr>
          <w:lang w:val="en-GB"/>
        </w:rPr>
        <w:t>group</w:t>
      </w:r>
      <w:r w:rsidR="00BC7BE0" w:rsidRPr="00A307C6">
        <w:rPr>
          <w:lang w:val="en-GB"/>
        </w:rPr>
        <w:t>s</w:t>
      </w:r>
      <w:r w:rsidR="001B21A6" w:rsidRPr="00A307C6">
        <w:rPr>
          <w:lang w:val="en-GB"/>
        </w:rPr>
        <w:t xml:space="preserve"> that </w:t>
      </w:r>
      <w:r w:rsidR="00BC7BE0" w:rsidRPr="00A307C6">
        <w:rPr>
          <w:lang w:val="en-GB"/>
        </w:rPr>
        <w:t xml:space="preserve">are </w:t>
      </w:r>
      <w:r w:rsidR="00CE391E" w:rsidRPr="00A307C6">
        <w:rPr>
          <w:lang w:val="en-GB"/>
        </w:rPr>
        <w:t xml:space="preserve">not </w:t>
      </w:r>
      <w:r w:rsidR="00BC7BE0" w:rsidRPr="00A307C6">
        <w:rPr>
          <w:lang w:val="en-GB"/>
        </w:rPr>
        <w:t>r</w:t>
      </w:r>
      <w:r w:rsidR="00681298" w:rsidRPr="00A307C6">
        <w:rPr>
          <w:lang w:val="en-GB"/>
        </w:rPr>
        <w:t xml:space="preserve">ecognised </w:t>
      </w:r>
      <w:r w:rsidR="00CE391E" w:rsidRPr="00A307C6">
        <w:rPr>
          <w:lang w:val="en-GB"/>
        </w:rPr>
        <w:t xml:space="preserve">or acknowledged </w:t>
      </w:r>
      <w:r w:rsidR="00681298" w:rsidRPr="00A307C6">
        <w:rPr>
          <w:lang w:val="en-GB"/>
        </w:rPr>
        <w:t xml:space="preserve">in South </w:t>
      </w:r>
      <w:r w:rsidR="002404AF" w:rsidRPr="00A307C6">
        <w:rPr>
          <w:lang w:val="en-GB"/>
        </w:rPr>
        <w:t>Sudanese</w:t>
      </w:r>
      <w:r w:rsidR="00681298" w:rsidRPr="00A307C6">
        <w:rPr>
          <w:lang w:val="en-GB"/>
        </w:rPr>
        <w:t xml:space="preserve"> society, </w:t>
      </w:r>
      <w:r w:rsidR="00C20568" w:rsidRPr="00A307C6">
        <w:rPr>
          <w:lang w:val="en-GB"/>
        </w:rPr>
        <w:t xml:space="preserve">given </w:t>
      </w:r>
      <w:r w:rsidR="00681298" w:rsidRPr="00A307C6">
        <w:rPr>
          <w:lang w:val="en-GB"/>
        </w:rPr>
        <w:t xml:space="preserve">limitations of time and resources, and </w:t>
      </w:r>
      <w:r w:rsidR="001B21A6" w:rsidRPr="00A307C6">
        <w:rPr>
          <w:lang w:val="en-GB"/>
        </w:rPr>
        <w:t xml:space="preserve">the </w:t>
      </w:r>
      <w:r w:rsidR="00681298" w:rsidRPr="00A307C6">
        <w:rPr>
          <w:lang w:val="en-GB"/>
        </w:rPr>
        <w:t xml:space="preserve">difficulties encountered when seeking to interview victims and witnesses. Further investigative </w:t>
      </w:r>
      <w:r w:rsidR="002404AF" w:rsidRPr="00A307C6">
        <w:rPr>
          <w:lang w:val="en-GB"/>
        </w:rPr>
        <w:t>activities</w:t>
      </w:r>
      <w:r w:rsidR="00681298" w:rsidRPr="00A307C6">
        <w:rPr>
          <w:lang w:val="en-GB"/>
        </w:rPr>
        <w:t xml:space="preserve"> and related interventions are thereby warranted. </w:t>
      </w:r>
    </w:p>
    <w:p w14:paraId="5268A5F3" w14:textId="6AB1BCE2" w:rsidR="00681298" w:rsidRPr="00A307C6" w:rsidRDefault="00681298" w:rsidP="00FF077A">
      <w:pPr>
        <w:pStyle w:val="Paragraph"/>
        <w:rPr>
          <w:lang w:val="en-GB"/>
        </w:rPr>
      </w:pPr>
      <w:r w:rsidRPr="00A307C6">
        <w:rPr>
          <w:lang w:val="en-GB"/>
        </w:rPr>
        <w:t xml:space="preserve">The Commission employed best practices for fact-finding, thereby ensuring the safety, security, confidentiality and </w:t>
      </w:r>
      <w:r w:rsidR="008E06E0" w:rsidRPr="00A307C6">
        <w:rPr>
          <w:lang w:val="en-GB"/>
        </w:rPr>
        <w:t xml:space="preserve">the </w:t>
      </w:r>
      <w:r w:rsidRPr="00A307C6">
        <w:rPr>
          <w:lang w:val="en-GB"/>
        </w:rPr>
        <w:t xml:space="preserve">well-being of witnesses. </w:t>
      </w:r>
      <w:r w:rsidR="008E53D0" w:rsidRPr="00A307C6">
        <w:rPr>
          <w:lang w:val="en-GB"/>
        </w:rPr>
        <w:t xml:space="preserve">The Commission only used information where </w:t>
      </w:r>
      <w:r w:rsidRPr="00A307C6">
        <w:rPr>
          <w:lang w:val="en-GB"/>
        </w:rPr>
        <w:t>sources had granted their informed consent</w:t>
      </w:r>
      <w:r w:rsidR="008E53D0" w:rsidRPr="00A307C6">
        <w:rPr>
          <w:lang w:val="en-GB"/>
        </w:rPr>
        <w:t xml:space="preserve">, </w:t>
      </w:r>
      <w:r w:rsidRPr="00A307C6">
        <w:rPr>
          <w:lang w:val="en-GB"/>
        </w:rPr>
        <w:t xml:space="preserve">the disclosure of which would not lead to the identification of sources </w:t>
      </w:r>
      <w:r w:rsidRPr="00A307C6">
        <w:rPr>
          <w:lang w:val="en-GB"/>
        </w:rPr>
        <w:lastRenderedPageBreak/>
        <w:t>or result in harm</w:t>
      </w:r>
      <w:r w:rsidR="008E53D0" w:rsidRPr="00A307C6">
        <w:rPr>
          <w:lang w:val="en-GB"/>
        </w:rPr>
        <w:t>.</w:t>
      </w:r>
      <w:r w:rsidRPr="00A307C6">
        <w:rPr>
          <w:lang w:val="en-GB"/>
        </w:rPr>
        <w:t xml:space="preserve"> The Commission thanks those victims and witnesses who shared their experiences. The Commission was at all times guided by the principles of confidentiality and “do no harm”.</w:t>
      </w:r>
    </w:p>
    <w:p w14:paraId="5C5FE368" w14:textId="27429162" w:rsidR="003E698C" w:rsidRPr="00A307C6" w:rsidRDefault="008E53D0" w:rsidP="00FF077A">
      <w:pPr>
        <w:pStyle w:val="Paragraph"/>
        <w:rPr>
          <w:lang w:val="en-GB"/>
        </w:rPr>
      </w:pPr>
      <w:r w:rsidRPr="00A307C6">
        <w:rPr>
          <w:lang w:val="en-GB"/>
        </w:rPr>
        <w:t xml:space="preserve">The </w:t>
      </w:r>
      <w:r w:rsidR="003E698C" w:rsidRPr="00A307C6">
        <w:rPr>
          <w:lang w:val="en-GB"/>
        </w:rPr>
        <w:t xml:space="preserve">examples </w:t>
      </w:r>
      <w:r w:rsidRPr="00A307C6">
        <w:rPr>
          <w:lang w:val="en-GB"/>
        </w:rPr>
        <w:t xml:space="preserve">and case studies </w:t>
      </w:r>
      <w:r w:rsidR="003E698C" w:rsidRPr="00A307C6">
        <w:rPr>
          <w:lang w:val="en-GB"/>
        </w:rPr>
        <w:t xml:space="preserve">used in this </w:t>
      </w:r>
      <w:r w:rsidR="000C3A73" w:rsidRPr="00A307C6">
        <w:rPr>
          <w:lang w:val="en-GB"/>
        </w:rPr>
        <w:t>paper</w:t>
      </w:r>
      <w:r w:rsidR="003E698C" w:rsidRPr="00A307C6">
        <w:rPr>
          <w:lang w:val="en-GB"/>
        </w:rPr>
        <w:t xml:space="preserve"> </w:t>
      </w:r>
      <w:r w:rsidRPr="00A307C6">
        <w:rPr>
          <w:lang w:val="en-GB"/>
        </w:rPr>
        <w:t xml:space="preserve">deliberately </w:t>
      </w:r>
      <w:r w:rsidR="00E46F32" w:rsidRPr="00A307C6">
        <w:rPr>
          <w:lang w:val="en-GB"/>
        </w:rPr>
        <w:t xml:space="preserve">do not </w:t>
      </w:r>
      <w:r w:rsidR="003E698C" w:rsidRPr="00A307C6">
        <w:rPr>
          <w:lang w:val="en-GB"/>
        </w:rPr>
        <w:t>specify dates and locations</w:t>
      </w:r>
      <w:r w:rsidR="00E46F32" w:rsidRPr="00A307C6">
        <w:rPr>
          <w:lang w:val="en-GB"/>
        </w:rPr>
        <w:t>, in order to ensure the</w:t>
      </w:r>
      <w:r w:rsidR="003E698C" w:rsidRPr="00A307C6">
        <w:rPr>
          <w:lang w:val="en-GB"/>
        </w:rPr>
        <w:t xml:space="preserve"> protection </w:t>
      </w:r>
      <w:r w:rsidR="00E46F32" w:rsidRPr="00A307C6">
        <w:rPr>
          <w:lang w:val="en-GB"/>
        </w:rPr>
        <w:t xml:space="preserve">of </w:t>
      </w:r>
      <w:r w:rsidR="003E698C" w:rsidRPr="00A307C6">
        <w:rPr>
          <w:lang w:val="en-GB"/>
        </w:rPr>
        <w:t>victims and their families</w:t>
      </w:r>
      <w:r w:rsidR="00E46F32" w:rsidRPr="00A307C6">
        <w:rPr>
          <w:lang w:val="en-GB"/>
        </w:rPr>
        <w:t xml:space="preserve"> as well as witnesses</w:t>
      </w:r>
      <w:r w:rsidR="003E698C" w:rsidRPr="00A307C6">
        <w:rPr>
          <w:lang w:val="en-GB"/>
        </w:rPr>
        <w:t xml:space="preserve">. The details are stored on file in the Commission’s confidential archives, with the intention of being made available for formal accountability processes, subject to consent and </w:t>
      </w:r>
      <w:r w:rsidR="00E46F32" w:rsidRPr="00A307C6">
        <w:rPr>
          <w:lang w:val="en-GB"/>
        </w:rPr>
        <w:t xml:space="preserve">witness protection </w:t>
      </w:r>
      <w:r w:rsidR="003E698C" w:rsidRPr="00A307C6">
        <w:rPr>
          <w:lang w:val="en-GB"/>
        </w:rPr>
        <w:t xml:space="preserve">issues. This </w:t>
      </w:r>
      <w:r w:rsidR="00402666" w:rsidRPr="00A307C6">
        <w:rPr>
          <w:lang w:val="en-GB"/>
        </w:rPr>
        <w:t xml:space="preserve">also applies to </w:t>
      </w:r>
      <w:r w:rsidR="00F6757D" w:rsidRPr="00A307C6">
        <w:rPr>
          <w:lang w:val="en-GB"/>
        </w:rPr>
        <w:t xml:space="preserve">information </w:t>
      </w:r>
      <w:r w:rsidR="00402666" w:rsidRPr="00A307C6">
        <w:rPr>
          <w:lang w:val="en-GB"/>
        </w:rPr>
        <w:t xml:space="preserve">gathered </w:t>
      </w:r>
      <w:r w:rsidR="00F6757D" w:rsidRPr="00A307C6">
        <w:rPr>
          <w:lang w:val="en-GB"/>
        </w:rPr>
        <w:t xml:space="preserve">by the </w:t>
      </w:r>
      <w:r w:rsidR="002404AF" w:rsidRPr="00A307C6">
        <w:rPr>
          <w:lang w:val="en-GB"/>
        </w:rPr>
        <w:t>Commissions</w:t>
      </w:r>
      <w:r w:rsidR="00F6757D" w:rsidRPr="00A307C6">
        <w:rPr>
          <w:lang w:val="en-GB"/>
        </w:rPr>
        <w:t xml:space="preserve"> </w:t>
      </w:r>
      <w:r w:rsidR="00402666" w:rsidRPr="00A307C6">
        <w:rPr>
          <w:lang w:val="en-GB"/>
        </w:rPr>
        <w:t xml:space="preserve">on </w:t>
      </w:r>
      <w:r w:rsidR="003E698C" w:rsidRPr="00A307C6">
        <w:rPr>
          <w:lang w:val="en-GB"/>
        </w:rPr>
        <w:t>other forms of violations and abuses experienced by South Sudanese</w:t>
      </w:r>
      <w:r w:rsidR="008E06E0" w:rsidRPr="00A307C6">
        <w:rPr>
          <w:lang w:val="en-GB"/>
        </w:rPr>
        <w:t>.</w:t>
      </w:r>
    </w:p>
    <w:p w14:paraId="4A5C3FF2" w14:textId="7A52AADF" w:rsidR="00AD586A" w:rsidRPr="00A307C6" w:rsidRDefault="00AD586A" w:rsidP="009E6E96">
      <w:pPr>
        <w:pStyle w:val="H1G"/>
      </w:pPr>
      <w:bookmarkStart w:id="10" w:name="_Toc98226802"/>
      <w:bookmarkStart w:id="11" w:name="_Toc98606443"/>
      <w:r w:rsidRPr="00A307C6">
        <w:t>Legal framework</w:t>
      </w:r>
      <w:bookmarkEnd w:id="10"/>
      <w:bookmarkEnd w:id="11"/>
    </w:p>
    <w:p w14:paraId="75BB056A" w14:textId="58242380" w:rsidR="00605231" w:rsidRPr="00A307C6" w:rsidRDefault="00605231" w:rsidP="00FF077A">
      <w:pPr>
        <w:pStyle w:val="Paragraph"/>
        <w:rPr>
          <w:lang w:val="en-GB"/>
        </w:rPr>
      </w:pPr>
      <w:r w:rsidRPr="00A307C6">
        <w:rPr>
          <w:lang w:val="en-GB"/>
        </w:rPr>
        <w:t>The Commission conducted its work while taking into account the domestic law of South Sudan, international human rights law</w:t>
      </w:r>
      <w:r w:rsidR="008E06E0" w:rsidRPr="00A307C6">
        <w:rPr>
          <w:lang w:val="en-GB"/>
        </w:rPr>
        <w:t>, international humanitarian law</w:t>
      </w:r>
      <w:r w:rsidRPr="00A307C6">
        <w:rPr>
          <w:lang w:val="en-GB"/>
        </w:rPr>
        <w:t xml:space="preserve"> and relevant criminal law. Factual determinations on specific incidents and patterns of conduct provide the basis for the legal qualification of human rights violations, crimes under the law of South Sudan and crimes under international law.</w:t>
      </w:r>
      <w:r w:rsidR="00731128" w:rsidRPr="00A307C6">
        <w:rPr>
          <w:lang w:val="en-GB"/>
        </w:rPr>
        <w:t xml:space="preserve"> </w:t>
      </w:r>
    </w:p>
    <w:p w14:paraId="22CB978A" w14:textId="1DD7D2D7" w:rsidR="00605231" w:rsidRPr="00A307C6" w:rsidRDefault="00605231" w:rsidP="00FF077A">
      <w:pPr>
        <w:pStyle w:val="Paragraph"/>
        <w:rPr>
          <w:lang w:val="en-GB"/>
        </w:rPr>
      </w:pPr>
      <w:r w:rsidRPr="00A307C6">
        <w:rPr>
          <w:lang w:val="en-GB"/>
        </w:rPr>
        <w:t xml:space="preserve">The Commission’s mandate emphasizes accountability, ensuring a focus on establishing responsibility for violations and identifying individuals and entities bearing responsibility for violations and crimes. The Commission has adopted a “reasonable grounds to believe” evidentiary standard. Its work is guided by the requirement to collect and preserve evidence to a standard that would support future accountability mechanisms, including criminal accountability. </w:t>
      </w:r>
    </w:p>
    <w:p w14:paraId="77814F7D" w14:textId="3839E639" w:rsidR="00605231" w:rsidRPr="00A307C6" w:rsidRDefault="00605231" w:rsidP="00FF077A">
      <w:pPr>
        <w:pStyle w:val="Paragraph"/>
        <w:rPr>
          <w:lang w:val="en-GB"/>
        </w:rPr>
      </w:pPr>
      <w:r w:rsidRPr="00A307C6">
        <w:rPr>
          <w:lang w:val="en-GB"/>
        </w:rPr>
        <w:t xml:space="preserve">Where the Commission found information linking alleged perpetrators to specific violations that would be sufficient to warrant future criminal investigations or prosecutions, such evidence was collected and preserved on a strictly confidential basis. Where insufficient information was available to identify the individuals responsible for violations and the acts or omissions </w:t>
      </w:r>
      <w:r w:rsidR="00FC0A49" w:rsidRPr="00A307C6">
        <w:rPr>
          <w:lang w:val="en-GB"/>
        </w:rPr>
        <w:t xml:space="preserve">were attributed to </w:t>
      </w:r>
      <w:r w:rsidRPr="00A307C6">
        <w:rPr>
          <w:lang w:val="en-GB"/>
        </w:rPr>
        <w:t>organs or offices of the Government of South Sudan, the State was identified as responsible. Where the acts point to the responsibility of an armed group or security force, that group or institution was also identified.</w:t>
      </w:r>
    </w:p>
    <w:p w14:paraId="668455E5" w14:textId="13FF11DF" w:rsidR="00D11F87" w:rsidRPr="00A307C6" w:rsidRDefault="00D11F87" w:rsidP="00FF077A">
      <w:pPr>
        <w:pStyle w:val="Paragraph"/>
        <w:rPr>
          <w:lang w:val="en-GB"/>
        </w:rPr>
      </w:pPr>
      <w:r w:rsidRPr="00A307C6">
        <w:rPr>
          <w:lang w:val="en-GB"/>
        </w:rPr>
        <w:t>In South Sudan, conflict-related sexual violence takes place in the context of a variety of situations involving armed individuals and armed groups, and criminals taking advantage of conflict and insecurity to perpetrate violence with impunity. This includes situations that clearly constitute a non-interna</w:t>
      </w:r>
      <w:r w:rsidRPr="00A307C6">
        <w:rPr>
          <w:lang w:val="en-GB"/>
        </w:rPr>
        <w:lastRenderedPageBreak/>
        <w:t xml:space="preserve">tional armed conflict, such as in Central Equatoria where the non-State armed group </w:t>
      </w:r>
      <w:r w:rsidR="0097108A">
        <w:rPr>
          <w:lang w:val="en-GB"/>
        </w:rPr>
        <w:t>the National Salvation Front (</w:t>
      </w:r>
      <w:r w:rsidRPr="00A307C6">
        <w:rPr>
          <w:lang w:val="en-GB"/>
        </w:rPr>
        <w:t>NAS</w:t>
      </w:r>
      <w:r w:rsidR="0097108A">
        <w:rPr>
          <w:lang w:val="en-GB"/>
        </w:rPr>
        <w:t>)</w:t>
      </w:r>
      <w:r w:rsidR="0097108A">
        <w:rPr>
          <w:rStyle w:val="FootnoteReference"/>
        </w:rPr>
        <w:footnoteReference w:id="11"/>
      </w:r>
      <w:r w:rsidRPr="00A307C6">
        <w:rPr>
          <w:lang w:val="en-GB"/>
        </w:rPr>
        <w:t xml:space="preserve"> is active and Government forces are involved in related counter-insurgency operations. This also includes situations of significant armed violence where armed groups and their command structures may be less clearly identifiable in military terms, including armed militias aligned to military forces. </w:t>
      </w:r>
      <w:r w:rsidR="00FC0A49" w:rsidRPr="00A307C6">
        <w:rPr>
          <w:lang w:val="en-GB"/>
        </w:rPr>
        <w:t>C</w:t>
      </w:r>
      <w:r w:rsidRPr="00A307C6">
        <w:rPr>
          <w:lang w:val="en-GB"/>
        </w:rPr>
        <w:t xml:space="preserve">onflict-related sexual violence can </w:t>
      </w:r>
      <w:r w:rsidR="00FC0A49" w:rsidRPr="00A307C6">
        <w:rPr>
          <w:lang w:val="en-GB"/>
        </w:rPr>
        <w:t xml:space="preserve">also </w:t>
      </w:r>
      <w:r w:rsidRPr="00A307C6">
        <w:rPr>
          <w:lang w:val="en-GB"/>
        </w:rPr>
        <w:t xml:space="preserve">involve acts taking place in the context of </w:t>
      </w:r>
      <w:r w:rsidR="0074231C" w:rsidRPr="00A307C6">
        <w:rPr>
          <w:lang w:val="en-GB"/>
        </w:rPr>
        <w:t xml:space="preserve">armed </w:t>
      </w:r>
      <w:r w:rsidRPr="00A307C6">
        <w:rPr>
          <w:lang w:val="en-GB"/>
        </w:rPr>
        <w:t>communit</w:t>
      </w:r>
      <w:r w:rsidR="0074231C" w:rsidRPr="00A307C6">
        <w:rPr>
          <w:lang w:val="en-GB"/>
        </w:rPr>
        <w:t>ies</w:t>
      </w:r>
      <w:r w:rsidRPr="00A307C6">
        <w:rPr>
          <w:lang w:val="en-GB"/>
        </w:rPr>
        <w:t xml:space="preserve"> attacking other communities, such as in cattle-rustling. </w:t>
      </w:r>
    </w:p>
    <w:p w14:paraId="6F04FB66" w14:textId="2D721199" w:rsidR="00D11F87" w:rsidRPr="00A307C6" w:rsidRDefault="00D11F87" w:rsidP="00CF2F72">
      <w:pPr>
        <w:pStyle w:val="Paragraph"/>
        <w:rPr>
          <w:lang w:val="en-GB"/>
        </w:rPr>
      </w:pPr>
      <w:r w:rsidRPr="00A307C6">
        <w:rPr>
          <w:lang w:val="en-GB"/>
        </w:rPr>
        <w:t xml:space="preserve">While applicable international law may differ depending on the context in which conflict-related sexual violence is occurring, </w:t>
      </w:r>
      <w:r w:rsidR="003A0BFF" w:rsidRPr="00A307C6">
        <w:rPr>
          <w:lang w:val="en-GB"/>
        </w:rPr>
        <w:t xml:space="preserve">for example whether or not a situation meets the criteria for </w:t>
      </w:r>
      <w:r w:rsidR="00FC0A49" w:rsidRPr="00A307C6">
        <w:rPr>
          <w:lang w:val="en-GB"/>
        </w:rPr>
        <w:t xml:space="preserve">the application of international humanitarian law to </w:t>
      </w:r>
      <w:r w:rsidR="003A0BFF" w:rsidRPr="00A307C6">
        <w:rPr>
          <w:lang w:val="en-GB"/>
        </w:rPr>
        <w:t xml:space="preserve">a non-international armed conflict, </w:t>
      </w:r>
      <w:r w:rsidRPr="00A307C6">
        <w:rPr>
          <w:lang w:val="en-GB"/>
        </w:rPr>
        <w:t xml:space="preserve">most acts </w:t>
      </w:r>
      <w:r w:rsidR="00CF2F72" w:rsidRPr="00A307C6">
        <w:rPr>
          <w:lang w:val="en-GB"/>
        </w:rPr>
        <w:t xml:space="preserve">of a criminal nature </w:t>
      </w:r>
      <w:r w:rsidRPr="00A307C6">
        <w:rPr>
          <w:lang w:val="en-GB"/>
        </w:rPr>
        <w:t>are prohibited under the international human rights law binding on South Sudan, and generally also constitute crimes under national law</w:t>
      </w:r>
      <w:r w:rsidR="00FC0A49" w:rsidRPr="00A307C6">
        <w:rPr>
          <w:lang w:val="en-GB"/>
        </w:rPr>
        <w:t xml:space="preserve"> and the offence of torture as defined in the U</w:t>
      </w:r>
      <w:r w:rsidR="0009290A">
        <w:rPr>
          <w:lang w:val="en-GB"/>
        </w:rPr>
        <w:t xml:space="preserve">nited </w:t>
      </w:r>
      <w:r w:rsidR="00FC0A49" w:rsidRPr="00A307C6">
        <w:rPr>
          <w:lang w:val="en-GB"/>
        </w:rPr>
        <w:t>N</w:t>
      </w:r>
      <w:r w:rsidR="0009290A">
        <w:rPr>
          <w:lang w:val="en-GB"/>
        </w:rPr>
        <w:t>ations</w:t>
      </w:r>
      <w:r w:rsidR="00FC0A49" w:rsidRPr="00A307C6">
        <w:rPr>
          <w:lang w:val="en-GB"/>
        </w:rPr>
        <w:t xml:space="preserve"> Convention Against Torture</w:t>
      </w:r>
      <w:r w:rsidR="00FC74E3" w:rsidRPr="00A307C6">
        <w:rPr>
          <w:lang w:val="en-GB"/>
        </w:rPr>
        <w:t xml:space="preserve">, </w:t>
      </w:r>
      <w:r w:rsidR="00554F84">
        <w:rPr>
          <w:lang w:val="en-GB"/>
        </w:rPr>
        <w:t xml:space="preserve">to </w:t>
      </w:r>
      <w:r w:rsidR="00FC74E3" w:rsidRPr="00A307C6">
        <w:rPr>
          <w:lang w:val="en-GB"/>
        </w:rPr>
        <w:t>which</w:t>
      </w:r>
      <w:r w:rsidR="00FC0A49" w:rsidRPr="00A307C6">
        <w:rPr>
          <w:lang w:val="en-GB"/>
        </w:rPr>
        <w:t xml:space="preserve"> South Sudan acceded to on 30 April 2015.</w:t>
      </w:r>
    </w:p>
    <w:p w14:paraId="10CE3E04" w14:textId="5A750866" w:rsidR="00731128" w:rsidRPr="00A307C6" w:rsidRDefault="00731128" w:rsidP="00FF077A">
      <w:pPr>
        <w:pStyle w:val="Paragraph"/>
        <w:rPr>
          <w:lang w:val="en-GB"/>
        </w:rPr>
      </w:pPr>
      <w:r w:rsidRPr="00A307C6">
        <w:rPr>
          <w:lang w:val="en-GB"/>
        </w:rPr>
        <w:t>The Commission is mandated to make information available for the Hybrid Court for South Sudan</w:t>
      </w:r>
      <w:r w:rsidR="00554F84">
        <w:rPr>
          <w:lang w:val="en-GB"/>
        </w:rPr>
        <w:t>,</w:t>
      </w:r>
      <w:r w:rsidRPr="00A307C6">
        <w:rPr>
          <w:rStyle w:val="FootnoteReference"/>
          <w:lang w:val="en-GB"/>
        </w:rPr>
        <w:footnoteReference w:id="12"/>
      </w:r>
      <w:r w:rsidRPr="00A307C6">
        <w:rPr>
          <w:lang w:val="en-GB"/>
        </w:rPr>
        <w:t xml:space="preserve"> the Commission on Truth, Healing and Reconciliation and the Reparations and Compensation Authority, set out in </w:t>
      </w:r>
      <w:r w:rsidR="00115D1A">
        <w:rPr>
          <w:lang w:val="en-GB"/>
        </w:rPr>
        <w:t>C</w:t>
      </w:r>
      <w:r w:rsidRPr="00A307C6">
        <w:rPr>
          <w:lang w:val="en-GB"/>
        </w:rPr>
        <w:t>hapter V of the Peace Agreement, which the Government has committed to establishing</w:t>
      </w:r>
      <w:r w:rsidR="003A0BFF" w:rsidRPr="00A307C6">
        <w:rPr>
          <w:lang w:val="en-GB"/>
        </w:rPr>
        <w:t>.</w:t>
      </w:r>
    </w:p>
    <w:p w14:paraId="1A24D204" w14:textId="75A71909" w:rsidR="001B217A" w:rsidRPr="00A307C6" w:rsidRDefault="00E310DE" w:rsidP="00834BBF">
      <w:pPr>
        <w:pStyle w:val="HChG"/>
        <w:outlineLvl w:val="0"/>
      </w:pPr>
      <w:bookmarkStart w:id="12" w:name="_Toc98226803"/>
      <w:bookmarkStart w:id="13" w:name="_Toc98606444"/>
      <w:bookmarkStart w:id="14" w:name="_Hlk97822418"/>
      <w:r w:rsidRPr="00A307C6">
        <w:t xml:space="preserve">Gender inequality and its links to </w:t>
      </w:r>
      <w:r w:rsidR="005A326D" w:rsidRPr="00A307C6">
        <w:t>conflict-related sexual violence</w:t>
      </w:r>
      <w:bookmarkEnd w:id="12"/>
      <w:bookmarkEnd w:id="13"/>
    </w:p>
    <w:bookmarkEnd w:id="14"/>
    <w:p w14:paraId="4795C7DB" w14:textId="31E7A1A8" w:rsidR="00E5678A" w:rsidRPr="00A307C6" w:rsidRDefault="00E5678A" w:rsidP="00FF077A">
      <w:pPr>
        <w:pStyle w:val="Paragraph"/>
        <w:rPr>
          <w:lang w:val="en-GB"/>
        </w:rPr>
      </w:pPr>
      <w:r w:rsidRPr="00A307C6">
        <w:rPr>
          <w:lang w:val="en-GB"/>
        </w:rPr>
        <w:t xml:space="preserve">The widespread use of sexual </w:t>
      </w:r>
      <w:r w:rsidR="005C6AEC" w:rsidRPr="00A307C6">
        <w:rPr>
          <w:lang w:val="en-GB"/>
        </w:rPr>
        <w:t>and gender</w:t>
      </w:r>
      <w:r w:rsidR="0074231C" w:rsidRPr="00A307C6">
        <w:rPr>
          <w:lang w:val="en-GB"/>
        </w:rPr>
        <w:t>-</w:t>
      </w:r>
      <w:r w:rsidR="005C6AEC" w:rsidRPr="00A307C6">
        <w:rPr>
          <w:lang w:val="en-GB"/>
        </w:rPr>
        <w:t xml:space="preserve">based </w:t>
      </w:r>
      <w:r w:rsidRPr="00A307C6">
        <w:rPr>
          <w:lang w:val="en-GB"/>
        </w:rPr>
        <w:t xml:space="preserve">violence against women and girls in South Sudan’s conflicts must be framed </w:t>
      </w:r>
      <w:r w:rsidR="005C6AEC" w:rsidRPr="00A307C6">
        <w:rPr>
          <w:lang w:val="en-GB"/>
        </w:rPr>
        <w:t>with</w:t>
      </w:r>
      <w:r w:rsidRPr="00A307C6">
        <w:rPr>
          <w:lang w:val="en-GB"/>
        </w:rPr>
        <w:t xml:space="preserve">in </w:t>
      </w:r>
      <w:r w:rsidR="005C6AEC" w:rsidRPr="00A307C6">
        <w:rPr>
          <w:lang w:val="en-GB"/>
        </w:rPr>
        <w:t xml:space="preserve">the context of the current legal framework and the </w:t>
      </w:r>
      <w:r w:rsidRPr="00A307C6">
        <w:rPr>
          <w:lang w:val="en-GB"/>
        </w:rPr>
        <w:t>broader socio-economic and political restrictions imposed on them</w:t>
      </w:r>
      <w:r w:rsidR="005C6AEC" w:rsidRPr="00A307C6">
        <w:rPr>
          <w:lang w:val="en-GB"/>
        </w:rPr>
        <w:t>.</w:t>
      </w:r>
      <w:r w:rsidRPr="00A307C6">
        <w:rPr>
          <w:lang w:val="en-GB"/>
        </w:rPr>
        <w:t xml:space="preserve"> </w:t>
      </w:r>
    </w:p>
    <w:p w14:paraId="26822C01" w14:textId="42784795" w:rsidR="00292948" w:rsidRDefault="00292948" w:rsidP="00FF077A">
      <w:pPr>
        <w:pStyle w:val="Paragraph"/>
        <w:rPr>
          <w:lang w:val="en-GB"/>
        </w:rPr>
      </w:pPr>
      <w:r w:rsidRPr="00292948">
        <w:rPr>
          <w:lang w:val="en-GB"/>
        </w:rPr>
        <w:t xml:space="preserve">Conflict-related sexual violence in the context of South Sudan </w:t>
      </w:r>
      <w:r w:rsidR="00554F84">
        <w:rPr>
          <w:lang w:val="en-GB"/>
        </w:rPr>
        <w:t>can only</w:t>
      </w:r>
      <w:r w:rsidRPr="00292948">
        <w:rPr>
          <w:lang w:val="en-GB"/>
        </w:rPr>
        <w:t xml:space="preserve"> be understood in the context of both historical and modern patriarchal systems, which inform the social and cultural relationships. While the Constitution guarantees equality for women, substantive equality remains elusive for South Sudanese women who remain marginalized and subject to tradition and patriarchal constraints.</w:t>
      </w:r>
      <w:r>
        <w:rPr>
          <w:lang w:val="en-GB"/>
        </w:rPr>
        <w:t xml:space="preserve"> </w:t>
      </w:r>
      <w:r w:rsidRPr="00292948">
        <w:rPr>
          <w:lang w:val="en-GB"/>
        </w:rPr>
        <w:t xml:space="preserve">Coupled with other structural risk factors, such as social, legal, political and economic marginalization, these create a context for violence against women and girls. Gender inequality and impunity—which are not </w:t>
      </w:r>
      <w:r w:rsidRPr="00292948">
        <w:rPr>
          <w:lang w:val="en-GB"/>
        </w:rPr>
        <w:lastRenderedPageBreak/>
        <w:t>unique to South Sudan—contribute to exacerbating the conditions in which sexual and gender-based violence is perpetrated against women and girls. Impunity for these crimes reinforces, rather than challenges, these pre-existing norms and patterns.</w:t>
      </w:r>
    </w:p>
    <w:p w14:paraId="582101C9" w14:textId="690228B2" w:rsidR="00E5678A" w:rsidRPr="00A307C6" w:rsidRDefault="00E5678A" w:rsidP="00FF077A">
      <w:pPr>
        <w:pStyle w:val="Paragraph"/>
        <w:rPr>
          <w:lang w:val="en-GB"/>
        </w:rPr>
      </w:pPr>
      <w:r w:rsidRPr="00A307C6">
        <w:rPr>
          <w:lang w:val="en-GB"/>
        </w:rPr>
        <w:t xml:space="preserve">South Sudan is one of few </w:t>
      </w:r>
      <w:r w:rsidR="009E51FF" w:rsidRPr="00A307C6">
        <w:rPr>
          <w:lang w:val="en-GB"/>
        </w:rPr>
        <w:t>States</w:t>
      </w:r>
      <w:r w:rsidRPr="00A307C6">
        <w:rPr>
          <w:lang w:val="en-GB"/>
        </w:rPr>
        <w:t xml:space="preserve"> </w:t>
      </w:r>
      <w:r w:rsidR="008E2889" w:rsidRPr="00A307C6">
        <w:rPr>
          <w:lang w:val="en-GB"/>
        </w:rPr>
        <w:t>where the Un</w:t>
      </w:r>
      <w:r w:rsidR="00B506E2" w:rsidRPr="00A307C6">
        <w:rPr>
          <w:lang w:val="en-GB"/>
        </w:rPr>
        <w:t>i</w:t>
      </w:r>
      <w:r w:rsidR="008E2889" w:rsidRPr="00A307C6">
        <w:rPr>
          <w:lang w:val="en-GB"/>
        </w:rPr>
        <w:t xml:space="preserve">ted Nations </w:t>
      </w:r>
      <w:r w:rsidR="0074231C" w:rsidRPr="00A307C6">
        <w:rPr>
          <w:lang w:val="en-GB"/>
        </w:rPr>
        <w:t>G</w:t>
      </w:r>
      <w:r w:rsidR="008E2889" w:rsidRPr="00A307C6">
        <w:rPr>
          <w:lang w:val="en-GB"/>
        </w:rPr>
        <w:t xml:space="preserve">ender Inequality Index has not quantified </w:t>
      </w:r>
      <w:r w:rsidRPr="00A307C6">
        <w:rPr>
          <w:lang w:val="en-GB"/>
        </w:rPr>
        <w:t>the extent of gender inequality</w:t>
      </w:r>
      <w:r w:rsidR="008E2889" w:rsidRPr="00A307C6">
        <w:rPr>
          <w:lang w:val="en-GB"/>
        </w:rPr>
        <w:t xml:space="preserve">, due to the </w:t>
      </w:r>
      <w:r w:rsidRPr="00A307C6">
        <w:rPr>
          <w:lang w:val="en-GB"/>
        </w:rPr>
        <w:t>lack of available data</w:t>
      </w:r>
      <w:r w:rsidR="0074231C" w:rsidRPr="00A307C6">
        <w:rPr>
          <w:lang w:val="en-GB"/>
        </w:rPr>
        <w:t>.</w:t>
      </w:r>
      <w:r w:rsidRPr="00A307C6">
        <w:rPr>
          <w:rStyle w:val="FootnoteReference"/>
          <w:lang w:val="en-GB"/>
        </w:rPr>
        <w:footnoteReference w:id="13"/>
      </w:r>
      <w:r w:rsidRPr="00A307C6">
        <w:rPr>
          <w:lang w:val="en-GB"/>
        </w:rPr>
        <w:t xml:space="preserve"> </w:t>
      </w:r>
      <w:r w:rsidR="008E2889" w:rsidRPr="00A307C6">
        <w:rPr>
          <w:lang w:val="en-GB"/>
        </w:rPr>
        <w:t xml:space="preserve"> </w:t>
      </w:r>
      <w:r w:rsidR="0074231C" w:rsidRPr="00A307C6">
        <w:rPr>
          <w:lang w:val="en-GB"/>
        </w:rPr>
        <w:t xml:space="preserve">However, </w:t>
      </w:r>
      <w:r w:rsidR="008E2889" w:rsidRPr="00A307C6">
        <w:rPr>
          <w:lang w:val="en-GB"/>
        </w:rPr>
        <w:t xml:space="preserve">South Sudan </w:t>
      </w:r>
      <w:r w:rsidR="00595FC4">
        <w:rPr>
          <w:lang w:val="en-GB"/>
        </w:rPr>
        <w:t xml:space="preserve">has been ranked </w:t>
      </w:r>
      <w:r w:rsidRPr="00A307C6">
        <w:rPr>
          <w:lang w:val="en-GB"/>
        </w:rPr>
        <w:t xml:space="preserve">185 of 189 States on the Human Development Index, </w:t>
      </w:r>
      <w:r w:rsidR="0074231C" w:rsidRPr="00A307C6">
        <w:rPr>
          <w:lang w:val="en-GB"/>
        </w:rPr>
        <w:t>which,</w:t>
      </w:r>
      <w:r w:rsidRPr="00A307C6">
        <w:rPr>
          <w:lang w:val="en-GB"/>
        </w:rPr>
        <w:t xml:space="preserve"> </w:t>
      </w:r>
      <w:r w:rsidR="00595FC4">
        <w:rPr>
          <w:lang w:val="en-GB"/>
        </w:rPr>
        <w:t xml:space="preserve">taken </w:t>
      </w:r>
      <w:r w:rsidR="008E2889" w:rsidRPr="00A307C6">
        <w:rPr>
          <w:lang w:val="en-GB"/>
        </w:rPr>
        <w:t xml:space="preserve">together with </w:t>
      </w:r>
      <w:r w:rsidRPr="00A307C6">
        <w:rPr>
          <w:lang w:val="en-GB"/>
        </w:rPr>
        <w:t>other data</w:t>
      </w:r>
      <w:r w:rsidR="0074231C" w:rsidRPr="00A307C6">
        <w:rPr>
          <w:lang w:val="en-GB"/>
        </w:rPr>
        <w:t>,</w:t>
      </w:r>
      <w:r w:rsidRPr="00A307C6">
        <w:rPr>
          <w:lang w:val="en-GB"/>
        </w:rPr>
        <w:t xml:space="preserve"> indicates the extent of gender inequality. </w:t>
      </w:r>
    </w:p>
    <w:p w14:paraId="054E6513" w14:textId="01DF62A0" w:rsidR="00E5678A" w:rsidRPr="00A307C6" w:rsidRDefault="00E5678A" w:rsidP="00FF077A">
      <w:pPr>
        <w:pStyle w:val="Paragraph"/>
        <w:rPr>
          <w:lang w:val="en-GB"/>
        </w:rPr>
      </w:pPr>
      <w:r w:rsidRPr="00A307C6">
        <w:rPr>
          <w:lang w:val="en-GB"/>
        </w:rPr>
        <w:t xml:space="preserve">Women are </w:t>
      </w:r>
      <w:r w:rsidR="008E2889" w:rsidRPr="00A307C6">
        <w:rPr>
          <w:lang w:val="en-GB"/>
        </w:rPr>
        <w:t xml:space="preserve">also </w:t>
      </w:r>
      <w:r w:rsidRPr="00A307C6">
        <w:rPr>
          <w:lang w:val="en-GB"/>
        </w:rPr>
        <w:t xml:space="preserve">dramatically underrepresented in positions of political and cultural authority, </w:t>
      </w:r>
      <w:r w:rsidR="0074231C" w:rsidRPr="00A307C6">
        <w:rPr>
          <w:lang w:val="en-GB"/>
        </w:rPr>
        <w:t>despite</w:t>
      </w:r>
      <w:r w:rsidRPr="00A307C6">
        <w:rPr>
          <w:lang w:val="en-GB"/>
        </w:rPr>
        <w:t xml:space="preserve"> their participation </w:t>
      </w:r>
      <w:r w:rsidR="00554F84">
        <w:rPr>
          <w:lang w:val="en-GB"/>
        </w:rPr>
        <w:t>in</w:t>
      </w:r>
      <w:r w:rsidRPr="00A307C6">
        <w:rPr>
          <w:lang w:val="en-GB"/>
        </w:rPr>
        <w:t xml:space="preserve"> political and public life being both recognised and protected by law. </w:t>
      </w:r>
      <w:r w:rsidR="00536EC0" w:rsidRPr="00A307C6">
        <w:rPr>
          <w:lang w:val="en-GB"/>
        </w:rPr>
        <w:t>Although</w:t>
      </w:r>
      <w:r w:rsidRPr="00A307C6">
        <w:rPr>
          <w:lang w:val="en-GB"/>
        </w:rPr>
        <w:t xml:space="preserve"> the Transitional Constitution of South Sudan requires that </w:t>
      </w:r>
      <w:r w:rsidR="009E51FF" w:rsidRPr="00A307C6">
        <w:rPr>
          <w:lang w:val="en-GB"/>
        </w:rPr>
        <w:t xml:space="preserve">the </w:t>
      </w:r>
      <w:r w:rsidRPr="00A307C6">
        <w:rPr>
          <w:lang w:val="en-GB"/>
        </w:rPr>
        <w:t xml:space="preserve">Government should promote women´s participation in public life and their representation in the legislative and executive organs by at least </w:t>
      </w:r>
      <w:r w:rsidR="00AF3512" w:rsidRPr="00A307C6">
        <w:rPr>
          <w:lang w:val="en-GB"/>
        </w:rPr>
        <w:t>3</w:t>
      </w:r>
      <w:r w:rsidRPr="00A307C6">
        <w:rPr>
          <w:lang w:val="en-GB"/>
        </w:rPr>
        <w:t>5 per</w:t>
      </w:r>
      <w:r w:rsidR="009E51FF" w:rsidRPr="00A307C6">
        <w:rPr>
          <w:lang w:val="en-GB"/>
        </w:rPr>
        <w:t xml:space="preserve"> </w:t>
      </w:r>
      <w:r w:rsidRPr="00A307C6">
        <w:rPr>
          <w:lang w:val="en-GB"/>
        </w:rPr>
        <w:t>cent as a positive measure to redress the imbalances of the past,</w:t>
      </w:r>
      <w:r w:rsidR="00536EC0" w:rsidRPr="00A307C6">
        <w:rPr>
          <w:lang w:val="en-GB"/>
        </w:rPr>
        <w:t xml:space="preserve"> this has not been applied, and</w:t>
      </w:r>
      <w:r w:rsidRPr="00A307C6">
        <w:rPr>
          <w:lang w:val="en-GB"/>
        </w:rPr>
        <w:t xml:space="preserve"> </w:t>
      </w:r>
      <w:r w:rsidR="00536EC0" w:rsidRPr="00A307C6">
        <w:rPr>
          <w:lang w:val="en-GB"/>
        </w:rPr>
        <w:t xml:space="preserve">women still fill very </w:t>
      </w:r>
      <w:r w:rsidRPr="00A307C6">
        <w:rPr>
          <w:lang w:val="en-GB"/>
        </w:rPr>
        <w:t>few positions</w:t>
      </w:r>
      <w:r w:rsidR="00684402" w:rsidRPr="00A307C6">
        <w:rPr>
          <w:lang w:val="en-GB"/>
        </w:rPr>
        <w:t xml:space="preserve"> </w:t>
      </w:r>
      <w:r w:rsidR="00051FB4" w:rsidRPr="00A307C6">
        <w:rPr>
          <w:lang w:val="en-GB"/>
        </w:rPr>
        <w:t xml:space="preserve">at national level, and even less at </w:t>
      </w:r>
      <w:r w:rsidR="002B00D0">
        <w:rPr>
          <w:lang w:val="en-GB"/>
        </w:rPr>
        <w:t>s</w:t>
      </w:r>
      <w:r w:rsidR="00051FB4" w:rsidRPr="00A307C6">
        <w:rPr>
          <w:lang w:val="en-GB"/>
        </w:rPr>
        <w:t xml:space="preserve">tate and </w:t>
      </w:r>
      <w:r w:rsidR="002B00D0">
        <w:rPr>
          <w:lang w:val="en-GB"/>
        </w:rPr>
        <w:t>c</w:t>
      </w:r>
      <w:r w:rsidR="00051FB4" w:rsidRPr="00A307C6">
        <w:rPr>
          <w:lang w:val="en-GB"/>
        </w:rPr>
        <w:t>ounty level.</w:t>
      </w:r>
      <w:r w:rsidR="00B506E2" w:rsidRPr="00A307C6">
        <w:rPr>
          <w:rStyle w:val="FootnoteReference"/>
          <w:lang w:val="en-GB"/>
        </w:rPr>
        <w:footnoteReference w:id="14"/>
      </w:r>
    </w:p>
    <w:p w14:paraId="2B883058" w14:textId="15B537ED" w:rsidR="00E5678A" w:rsidRPr="00A307C6" w:rsidRDefault="00E5678A" w:rsidP="00FF077A">
      <w:pPr>
        <w:pStyle w:val="Paragraph"/>
        <w:rPr>
          <w:lang w:val="en-GB"/>
        </w:rPr>
      </w:pPr>
      <w:r w:rsidRPr="00A307C6">
        <w:rPr>
          <w:lang w:val="en-GB"/>
        </w:rPr>
        <w:t xml:space="preserve">South Sudan has the highest maternal mortality ratio globally, </w:t>
      </w:r>
      <w:r w:rsidR="003874EC" w:rsidRPr="00A307C6">
        <w:rPr>
          <w:lang w:val="en-GB"/>
        </w:rPr>
        <w:t>with</w:t>
      </w:r>
      <w:r w:rsidRPr="00A307C6">
        <w:rPr>
          <w:lang w:val="en-GB"/>
        </w:rPr>
        <w:t xml:space="preserve"> a woman more likely to die from causes related to pregnancy than in any other country, according to data compiled by the World Health</w:t>
      </w:r>
      <w:r w:rsidR="00B506E2" w:rsidRPr="00A307C6">
        <w:rPr>
          <w:lang w:val="en-GB"/>
        </w:rPr>
        <w:t xml:space="preserve"> </w:t>
      </w:r>
      <w:r w:rsidRPr="00A307C6">
        <w:rPr>
          <w:lang w:val="en-GB"/>
        </w:rPr>
        <w:t>Organisation.</w:t>
      </w:r>
      <w:r w:rsidRPr="00A307C6">
        <w:rPr>
          <w:rStyle w:val="FootnoteReference"/>
          <w:lang w:val="en-GB"/>
        </w:rPr>
        <w:footnoteReference w:id="15"/>
      </w:r>
      <w:r w:rsidRPr="00A307C6">
        <w:rPr>
          <w:lang w:val="en-GB"/>
        </w:rPr>
        <w:t xml:space="preserve"> This is just one example of the outcomes of severe gender inequality.</w:t>
      </w:r>
    </w:p>
    <w:p w14:paraId="22B35A6A" w14:textId="382932C0" w:rsidR="00E5678A" w:rsidRPr="00A307C6" w:rsidRDefault="00E5678A" w:rsidP="00FF077A">
      <w:pPr>
        <w:pStyle w:val="Paragraph"/>
        <w:rPr>
          <w:lang w:val="en-GB"/>
        </w:rPr>
      </w:pPr>
      <w:r w:rsidRPr="00A307C6">
        <w:rPr>
          <w:lang w:val="en-GB"/>
        </w:rPr>
        <w:t>UNICEF</w:t>
      </w:r>
      <w:r w:rsidR="003874EC" w:rsidRPr="00A307C6">
        <w:rPr>
          <w:lang w:val="en-GB"/>
        </w:rPr>
        <w:t xml:space="preserve">’s </w:t>
      </w:r>
      <w:r w:rsidRPr="00A307C6">
        <w:rPr>
          <w:lang w:val="en-GB"/>
        </w:rPr>
        <w:t>“Child Marriage Country Profile” estimate</w:t>
      </w:r>
      <w:r w:rsidR="003874EC" w:rsidRPr="00A307C6">
        <w:rPr>
          <w:lang w:val="en-GB"/>
        </w:rPr>
        <w:t>s</w:t>
      </w:r>
      <w:r w:rsidRPr="00A307C6">
        <w:rPr>
          <w:lang w:val="en-GB"/>
        </w:rPr>
        <w:t xml:space="preserve"> that 1 in 2 young women in South Sudan </w:t>
      </w:r>
      <w:r w:rsidR="003061C0" w:rsidRPr="00A307C6">
        <w:rPr>
          <w:lang w:val="en-GB"/>
        </w:rPr>
        <w:t>were</w:t>
      </w:r>
      <w:r w:rsidRPr="00A307C6">
        <w:rPr>
          <w:lang w:val="en-GB"/>
        </w:rPr>
        <w:t xml:space="preserve"> married </w:t>
      </w:r>
      <w:r w:rsidR="003874EC" w:rsidRPr="00A307C6">
        <w:rPr>
          <w:lang w:val="en-GB"/>
        </w:rPr>
        <w:t xml:space="preserve">off </w:t>
      </w:r>
      <w:r w:rsidRPr="00A307C6">
        <w:rPr>
          <w:lang w:val="en-GB"/>
        </w:rPr>
        <w:t>before the age of 18</w:t>
      </w:r>
      <w:r w:rsidR="00536EC0" w:rsidRPr="00A307C6">
        <w:rPr>
          <w:lang w:val="en-GB"/>
        </w:rPr>
        <w:t>.</w:t>
      </w:r>
      <w:r w:rsidRPr="00A307C6">
        <w:rPr>
          <w:rStyle w:val="FootnoteReference"/>
          <w:lang w:val="en-GB"/>
        </w:rPr>
        <w:footnoteReference w:id="16"/>
      </w:r>
      <w:r w:rsidR="003874EC" w:rsidRPr="00A307C6">
        <w:rPr>
          <w:lang w:val="en-GB"/>
        </w:rPr>
        <w:t xml:space="preserve"> </w:t>
      </w:r>
      <w:r w:rsidRPr="00A307C6">
        <w:rPr>
          <w:lang w:val="en-GB"/>
        </w:rPr>
        <w:t xml:space="preserve">Early marriages have </w:t>
      </w:r>
      <w:r w:rsidR="00536EC0" w:rsidRPr="00A307C6">
        <w:rPr>
          <w:lang w:val="en-GB"/>
        </w:rPr>
        <w:t xml:space="preserve">emerged </w:t>
      </w:r>
      <w:r w:rsidRPr="00A307C6">
        <w:rPr>
          <w:lang w:val="en-GB"/>
        </w:rPr>
        <w:t xml:space="preserve">as a </w:t>
      </w:r>
      <w:r w:rsidR="00536EC0" w:rsidRPr="00A307C6">
        <w:rPr>
          <w:lang w:val="en-GB"/>
        </w:rPr>
        <w:t xml:space="preserve">harmful and exploitative </w:t>
      </w:r>
      <w:r w:rsidRPr="00A307C6">
        <w:rPr>
          <w:lang w:val="en-GB"/>
        </w:rPr>
        <w:t xml:space="preserve">strategy </w:t>
      </w:r>
      <w:r w:rsidR="00536EC0" w:rsidRPr="00A307C6">
        <w:rPr>
          <w:lang w:val="en-GB"/>
        </w:rPr>
        <w:lastRenderedPageBreak/>
        <w:t xml:space="preserve">employed </w:t>
      </w:r>
      <w:r w:rsidR="003061C0" w:rsidRPr="00A307C6">
        <w:rPr>
          <w:lang w:val="en-GB"/>
        </w:rPr>
        <w:t xml:space="preserve">particularly </w:t>
      </w:r>
      <w:r w:rsidR="00536EC0" w:rsidRPr="00A307C6">
        <w:rPr>
          <w:lang w:val="en-GB"/>
        </w:rPr>
        <w:t>by</w:t>
      </w:r>
      <w:r w:rsidRPr="00A307C6">
        <w:rPr>
          <w:lang w:val="en-GB"/>
        </w:rPr>
        <w:t xml:space="preserve"> families </w:t>
      </w:r>
      <w:r w:rsidR="00F9116E" w:rsidRPr="00A307C6">
        <w:rPr>
          <w:lang w:val="en-GB"/>
        </w:rPr>
        <w:t xml:space="preserve">and communities </w:t>
      </w:r>
      <w:r w:rsidR="00536EC0" w:rsidRPr="00A307C6">
        <w:rPr>
          <w:lang w:val="en-GB"/>
        </w:rPr>
        <w:t>with regard to</w:t>
      </w:r>
      <w:r w:rsidRPr="00A307C6">
        <w:rPr>
          <w:lang w:val="en-GB"/>
        </w:rPr>
        <w:t xml:space="preserve"> girls </w:t>
      </w:r>
      <w:r w:rsidR="00536EC0" w:rsidRPr="00A307C6">
        <w:rPr>
          <w:lang w:val="en-GB"/>
        </w:rPr>
        <w:t>who are</w:t>
      </w:r>
      <w:r w:rsidRPr="00A307C6">
        <w:rPr>
          <w:lang w:val="en-GB"/>
        </w:rPr>
        <w:t xml:space="preserve"> separated from their biological parents, and</w:t>
      </w:r>
      <w:r w:rsidR="00F9116E" w:rsidRPr="00A307C6">
        <w:rPr>
          <w:lang w:val="en-GB"/>
        </w:rPr>
        <w:t xml:space="preserve"> </w:t>
      </w:r>
      <w:r w:rsidR="00171625" w:rsidRPr="00A307C6">
        <w:rPr>
          <w:lang w:val="en-GB"/>
        </w:rPr>
        <w:t xml:space="preserve">who </w:t>
      </w:r>
      <w:r w:rsidRPr="00A307C6">
        <w:rPr>
          <w:lang w:val="en-GB"/>
        </w:rPr>
        <w:t>liv</w:t>
      </w:r>
      <w:r w:rsidR="00F9116E" w:rsidRPr="00A307C6">
        <w:rPr>
          <w:lang w:val="en-GB"/>
        </w:rPr>
        <w:t xml:space="preserve">e </w:t>
      </w:r>
      <w:r w:rsidRPr="00A307C6">
        <w:rPr>
          <w:lang w:val="en-GB"/>
        </w:rPr>
        <w:t>with host communities</w:t>
      </w:r>
      <w:r w:rsidR="00536EC0" w:rsidRPr="00A307C6">
        <w:rPr>
          <w:lang w:val="en-GB"/>
        </w:rPr>
        <w:t>.</w:t>
      </w:r>
      <w:r w:rsidRPr="00A307C6">
        <w:rPr>
          <w:rStyle w:val="FootnoteReference"/>
          <w:lang w:val="en-GB"/>
        </w:rPr>
        <w:footnoteReference w:id="17"/>
      </w:r>
      <w:r w:rsidRPr="00A307C6">
        <w:rPr>
          <w:lang w:val="en-GB"/>
        </w:rPr>
        <w:t xml:space="preserve"> </w:t>
      </w:r>
    </w:p>
    <w:p w14:paraId="55A0620F" w14:textId="1F8CAB5F" w:rsidR="00E5678A" w:rsidRPr="00A307C6" w:rsidRDefault="00E5678A" w:rsidP="00FF077A">
      <w:pPr>
        <w:pStyle w:val="Paragraph"/>
        <w:rPr>
          <w:lang w:val="en-GB"/>
        </w:rPr>
      </w:pPr>
      <w:r w:rsidRPr="00A307C6">
        <w:rPr>
          <w:lang w:val="en-GB"/>
        </w:rPr>
        <w:t xml:space="preserve">Women </w:t>
      </w:r>
      <w:r w:rsidR="00F9116E" w:rsidRPr="00A307C6">
        <w:rPr>
          <w:lang w:val="en-GB"/>
        </w:rPr>
        <w:t>experience great insecurity</w:t>
      </w:r>
      <w:r w:rsidR="00E156F2" w:rsidRPr="00A307C6">
        <w:rPr>
          <w:lang w:val="en-GB"/>
        </w:rPr>
        <w:t>, and are at risk of sexual violence, including rape,</w:t>
      </w:r>
      <w:r w:rsidR="00F9116E" w:rsidRPr="00A307C6">
        <w:rPr>
          <w:lang w:val="en-GB"/>
        </w:rPr>
        <w:t xml:space="preserve"> when </w:t>
      </w:r>
      <w:r w:rsidR="00E156F2" w:rsidRPr="00A307C6">
        <w:rPr>
          <w:lang w:val="en-GB"/>
        </w:rPr>
        <w:t xml:space="preserve">they leave their homes, often walking long distances, in search of </w:t>
      </w:r>
      <w:r w:rsidR="00F9116E" w:rsidRPr="00A307C6">
        <w:rPr>
          <w:lang w:val="en-GB"/>
        </w:rPr>
        <w:t>food</w:t>
      </w:r>
      <w:r w:rsidR="00E156F2" w:rsidRPr="00A307C6">
        <w:rPr>
          <w:lang w:val="en-GB"/>
        </w:rPr>
        <w:t>,</w:t>
      </w:r>
      <w:r w:rsidR="00F9116E" w:rsidRPr="00A307C6">
        <w:rPr>
          <w:lang w:val="en-GB"/>
        </w:rPr>
        <w:t xml:space="preserve"> water, </w:t>
      </w:r>
      <w:r w:rsidR="00E156F2" w:rsidRPr="00A307C6">
        <w:rPr>
          <w:lang w:val="en-GB"/>
        </w:rPr>
        <w:t>fire</w:t>
      </w:r>
      <w:r w:rsidR="00F9116E" w:rsidRPr="00A307C6">
        <w:rPr>
          <w:lang w:val="en-GB"/>
        </w:rPr>
        <w:t>wo</w:t>
      </w:r>
      <w:r w:rsidR="00E156F2" w:rsidRPr="00A307C6">
        <w:rPr>
          <w:lang w:val="en-GB"/>
        </w:rPr>
        <w:t>o</w:t>
      </w:r>
      <w:r w:rsidR="00F9116E" w:rsidRPr="00A307C6">
        <w:rPr>
          <w:lang w:val="en-GB"/>
        </w:rPr>
        <w:t xml:space="preserve">d, </w:t>
      </w:r>
      <w:r w:rsidR="00E156F2" w:rsidRPr="00A307C6">
        <w:rPr>
          <w:lang w:val="en-GB"/>
        </w:rPr>
        <w:t xml:space="preserve">and </w:t>
      </w:r>
      <w:r w:rsidR="00F9116E" w:rsidRPr="00A307C6">
        <w:rPr>
          <w:lang w:val="en-GB"/>
        </w:rPr>
        <w:t>other livelihood options</w:t>
      </w:r>
      <w:r w:rsidRPr="00A307C6">
        <w:rPr>
          <w:lang w:val="en-GB"/>
        </w:rPr>
        <w:t>.</w:t>
      </w:r>
      <w:r w:rsidRPr="00A307C6">
        <w:rPr>
          <w:rStyle w:val="FootnoteReference"/>
          <w:lang w:val="en-GB"/>
        </w:rPr>
        <w:footnoteReference w:id="18"/>
      </w:r>
      <w:r w:rsidRPr="00A307C6">
        <w:rPr>
          <w:lang w:val="en-GB"/>
        </w:rPr>
        <w:t xml:space="preserve"> </w:t>
      </w:r>
      <w:r w:rsidR="00F9116E" w:rsidRPr="00A307C6">
        <w:rPr>
          <w:lang w:val="en-GB"/>
        </w:rPr>
        <w:t>W</w:t>
      </w:r>
      <w:r w:rsidRPr="00A307C6">
        <w:rPr>
          <w:lang w:val="en-GB"/>
        </w:rPr>
        <w:t xml:space="preserve">omen and girls </w:t>
      </w:r>
      <w:r w:rsidR="00F9116E" w:rsidRPr="00A307C6">
        <w:rPr>
          <w:lang w:val="en-GB"/>
        </w:rPr>
        <w:t xml:space="preserve">also </w:t>
      </w:r>
      <w:r w:rsidRPr="00A307C6">
        <w:rPr>
          <w:lang w:val="en-GB"/>
        </w:rPr>
        <w:t xml:space="preserve">face protection concerns </w:t>
      </w:r>
      <w:r w:rsidR="00E156F2" w:rsidRPr="00A307C6">
        <w:rPr>
          <w:lang w:val="en-GB"/>
        </w:rPr>
        <w:t>when seeking to access</w:t>
      </w:r>
      <w:r w:rsidRPr="00A307C6">
        <w:rPr>
          <w:lang w:val="en-GB"/>
        </w:rPr>
        <w:t xml:space="preserve"> water or sanitation facilities</w:t>
      </w:r>
      <w:r w:rsidR="00E156F2" w:rsidRPr="00A307C6">
        <w:rPr>
          <w:lang w:val="en-GB"/>
        </w:rPr>
        <w:t>. T</w:t>
      </w:r>
      <w:r w:rsidRPr="00A307C6">
        <w:rPr>
          <w:lang w:val="en-GB"/>
        </w:rPr>
        <w:t xml:space="preserve">his </w:t>
      </w:r>
      <w:r w:rsidR="008D3942" w:rsidRPr="00A307C6">
        <w:rPr>
          <w:lang w:val="en-GB"/>
        </w:rPr>
        <w:t>invariably</w:t>
      </w:r>
      <w:r w:rsidRPr="00A307C6">
        <w:rPr>
          <w:lang w:val="en-GB"/>
        </w:rPr>
        <w:t xml:space="preserve"> impacts on their health outcomes </w:t>
      </w:r>
      <w:r w:rsidR="00E156F2" w:rsidRPr="00A307C6">
        <w:rPr>
          <w:lang w:val="en-GB"/>
        </w:rPr>
        <w:t xml:space="preserve">and </w:t>
      </w:r>
      <w:r w:rsidRPr="00A307C6">
        <w:rPr>
          <w:lang w:val="en-GB"/>
        </w:rPr>
        <w:t>demonstrat</w:t>
      </w:r>
      <w:r w:rsidR="00E156F2" w:rsidRPr="00A307C6">
        <w:rPr>
          <w:lang w:val="en-GB"/>
        </w:rPr>
        <w:t>es</w:t>
      </w:r>
      <w:r w:rsidRPr="00A307C6">
        <w:rPr>
          <w:lang w:val="en-GB"/>
        </w:rPr>
        <w:t xml:space="preserve"> the intersectionality of violence and women’s health. Where a woman or girl is placed at risk of sexual violence including rape, they may </w:t>
      </w:r>
      <w:r w:rsidR="00E156F2" w:rsidRPr="00A307C6">
        <w:rPr>
          <w:lang w:val="en-GB"/>
        </w:rPr>
        <w:t xml:space="preserve">still </w:t>
      </w:r>
      <w:r w:rsidRPr="00A307C6">
        <w:rPr>
          <w:lang w:val="en-GB"/>
        </w:rPr>
        <w:t xml:space="preserve">be </w:t>
      </w:r>
      <w:r w:rsidR="00E156F2" w:rsidRPr="00A307C6">
        <w:rPr>
          <w:lang w:val="en-GB"/>
        </w:rPr>
        <w:t xml:space="preserve">further </w:t>
      </w:r>
      <w:r w:rsidRPr="00A307C6">
        <w:rPr>
          <w:lang w:val="en-GB"/>
        </w:rPr>
        <w:t>punished or blamed by family members including through violence, as rape may affect the family’s prospects for receiving a dowry price.</w:t>
      </w:r>
      <w:r w:rsidRPr="00A307C6">
        <w:rPr>
          <w:rStyle w:val="FootnoteReference"/>
          <w:lang w:val="en-GB"/>
        </w:rPr>
        <w:footnoteReference w:id="19"/>
      </w:r>
      <w:r w:rsidRPr="00A307C6">
        <w:rPr>
          <w:lang w:val="en-GB"/>
        </w:rPr>
        <w:t xml:space="preserve"> This existing prejudice underscores and compounds the extreme and lasting effects of rape and sexual violence in conflict.</w:t>
      </w:r>
    </w:p>
    <w:p w14:paraId="04DEB338" w14:textId="77777777" w:rsidR="00E5678A" w:rsidRPr="00A307C6" w:rsidRDefault="00E5678A" w:rsidP="00FF077A">
      <w:pPr>
        <w:pStyle w:val="Paragraph"/>
        <w:rPr>
          <w:lang w:val="en-GB"/>
        </w:rPr>
      </w:pPr>
      <w:r w:rsidRPr="00A307C6">
        <w:rPr>
          <w:lang w:val="en-GB"/>
        </w:rPr>
        <w:t>Sexual violence and gender-based violence against women and girls are not confined to situations of conflict, although they are in all instances taking place against a backdrop of endemic impunity for such crimes. They reflect the State’s failures or absence in providing protection from violence through preventing and punishing gender-based crimes.</w:t>
      </w:r>
    </w:p>
    <w:p w14:paraId="11E22857" w14:textId="77179158" w:rsidR="006F008B" w:rsidRPr="00A307C6" w:rsidRDefault="007014A7" w:rsidP="00B337C0">
      <w:pPr>
        <w:pStyle w:val="HChG"/>
        <w:outlineLvl w:val="0"/>
      </w:pPr>
      <w:bookmarkStart w:id="15" w:name="_Toc98226804"/>
      <w:bookmarkStart w:id="16" w:name="_Toc98606445"/>
      <w:r w:rsidRPr="00A307C6">
        <w:t>C</w:t>
      </w:r>
      <w:r w:rsidR="006F008B" w:rsidRPr="00A307C6">
        <w:t>onflict-</w:t>
      </w:r>
      <w:r w:rsidR="00115D1A">
        <w:t xml:space="preserve">related </w:t>
      </w:r>
      <w:r w:rsidR="006F008B" w:rsidRPr="00A307C6">
        <w:t>sexual violence against women and girls in South Sudan</w:t>
      </w:r>
      <w:bookmarkEnd w:id="15"/>
      <w:bookmarkEnd w:id="16"/>
    </w:p>
    <w:p w14:paraId="7560842C" w14:textId="68F77589" w:rsidR="007014A7" w:rsidRPr="00A307C6" w:rsidRDefault="007014A7" w:rsidP="00FF077A">
      <w:pPr>
        <w:pStyle w:val="Paragraph"/>
        <w:rPr>
          <w:lang w:val="en-GB"/>
        </w:rPr>
      </w:pPr>
      <w:r w:rsidRPr="00A307C6">
        <w:rPr>
          <w:lang w:val="en-GB"/>
        </w:rPr>
        <w:t xml:space="preserve">There is no official </w:t>
      </w:r>
      <w:r w:rsidR="00777976" w:rsidRPr="00A307C6">
        <w:rPr>
          <w:lang w:val="en-GB"/>
        </w:rPr>
        <w:t xml:space="preserve">State </w:t>
      </w:r>
      <w:r w:rsidRPr="00A307C6">
        <w:rPr>
          <w:lang w:val="en-GB"/>
        </w:rPr>
        <w:t xml:space="preserve">body in South Sudan that collates </w:t>
      </w:r>
      <w:r w:rsidR="00672CD0" w:rsidRPr="00A307C6">
        <w:rPr>
          <w:lang w:val="en-GB"/>
        </w:rPr>
        <w:t xml:space="preserve">disaggregated </w:t>
      </w:r>
      <w:r w:rsidRPr="00A307C6">
        <w:rPr>
          <w:lang w:val="en-GB"/>
        </w:rPr>
        <w:t xml:space="preserve">data on the number of women and children who have been victims of sexual violence in the context of the conflict in South Sudan. </w:t>
      </w:r>
      <w:r w:rsidR="00AE66D3" w:rsidRPr="00A307C6">
        <w:rPr>
          <w:lang w:val="en-GB"/>
        </w:rPr>
        <w:t xml:space="preserve">The </w:t>
      </w:r>
      <w:r w:rsidR="00961DFA" w:rsidRPr="00A307C6">
        <w:rPr>
          <w:lang w:val="en-GB"/>
        </w:rPr>
        <w:t xml:space="preserve">most </w:t>
      </w:r>
      <w:r w:rsidR="00AE66D3" w:rsidRPr="00A307C6">
        <w:rPr>
          <w:lang w:val="en-GB"/>
        </w:rPr>
        <w:t>recent report of the Secretary</w:t>
      </w:r>
      <w:r w:rsidR="00065C15" w:rsidRPr="00A307C6">
        <w:rPr>
          <w:lang w:val="en-GB"/>
        </w:rPr>
        <w:t>-</w:t>
      </w:r>
      <w:r w:rsidR="00AE66D3" w:rsidRPr="00A307C6">
        <w:rPr>
          <w:lang w:val="en-GB"/>
        </w:rPr>
        <w:t xml:space="preserve">General’s </w:t>
      </w:r>
      <w:r w:rsidR="00A8228E" w:rsidRPr="00A307C6">
        <w:rPr>
          <w:lang w:val="en-GB"/>
        </w:rPr>
        <w:t xml:space="preserve">Special Representative </w:t>
      </w:r>
      <w:r w:rsidR="00AE66D3" w:rsidRPr="00A307C6">
        <w:rPr>
          <w:lang w:val="en-GB"/>
        </w:rPr>
        <w:t xml:space="preserve">on </w:t>
      </w:r>
      <w:r w:rsidR="00A8228E" w:rsidRPr="00A307C6">
        <w:rPr>
          <w:lang w:val="en-GB"/>
        </w:rPr>
        <w:t xml:space="preserve">Sexual Violence in </w:t>
      </w:r>
      <w:r w:rsidR="00AE66D3" w:rsidRPr="00A307C6">
        <w:rPr>
          <w:lang w:val="en-GB"/>
        </w:rPr>
        <w:t>Conflict notes that</w:t>
      </w:r>
      <w:r w:rsidR="00E220D7" w:rsidRPr="00A307C6">
        <w:rPr>
          <w:lang w:val="en-GB"/>
        </w:rPr>
        <w:t xml:space="preserve"> sexual violence is used as a tactic to displace and terrorize rival communities, that forced </w:t>
      </w:r>
      <w:r w:rsidR="00E220D7" w:rsidRPr="00A307C6">
        <w:rPr>
          <w:lang w:val="en-GB"/>
        </w:rPr>
        <w:lastRenderedPageBreak/>
        <w:t>marriage and sexual slavery are chronic features of conflict, that access to services for survivors remains extremely challenging, and that impunity needs to be tackled including through prosecuting perpetrators of sexual violence, regardless of rank.</w:t>
      </w:r>
      <w:r w:rsidR="00E220D7" w:rsidRPr="00A307C6">
        <w:rPr>
          <w:rStyle w:val="FootnoteReference"/>
          <w:lang w:val="en-GB"/>
        </w:rPr>
        <w:footnoteReference w:id="20"/>
      </w:r>
    </w:p>
    <w:p w14:paraId="18B7FA6C" w14:textId="6016F250" w:rsidR="00A8228E" w:rsidRPr="00A307C6" w:rsidRDefault="00CE3D85" w:rsidP="00FF077A">
      <w:pPr>
        <w:pStyle w:val="Paragraph"/>
        <w:rPr>
          <w:lang w:val="en-GB"/>
        </w:rPr>
      </w:pPr>
      <w:r w:rsidRPr="00A307C6">
        <w:rPr>
          <w:lang w:val="en-GB"/>
        </w:rPr>
        <w:t xml:space="preserve">The Commission </w:t>
      </w:r>
      <w:r w:rsidR="00AE66D3" w:rsidRPr="00A307C6">
        <w:rPr>
          <w:lang w:val="en-GB"/>
        </w:rPr>
        <w:t xml:space="preserve">through its documentation </w:t>
      </w:r>
      <w:r w:rsidRPr="00A307C6">
        <w:rPr>
          <w:lang w:val="en-GB"/>
        </w:rPr>
        <w:t>has amassed a</w:t>
      </w:r>
      <w:r w:rsidR="00966F2B" w:rsidRPr="00A307C6">
        <w:rPr>
          <w:lang w:val="en-GB"/>
        </w:rPr>
        <w:t xml:space="preserve"> </w:t>
      </w:r>
      <w:r w:rsidR="00AE66D3" w:rsidRPr="00A307C6">
        <w:rPr>
          <w:lang w:val="en-GB"/>
        </w:rPr>
        <w:t xml:space="preserve">considerable archive on </w:t>
      </w:r>
      <w:r w:rsidR="00966F2B" w:rsidRPr="00A307C6">
        <w:rPr>
          <w:lang w:val="en-GB"/>
        </w:rPr>
        <w:t xml:space="preserve">incidents of </w:t>
      </w:r>
      <w:r w:rsidRPr="00A307C6">
        <w:rPr>
          <w:lang w:val="en-GB"/>
        </w:rPr>
        <w:t xml:space="preserve">conflict-related violence, </w:t>
      </w:r>
      <w:r w:rsidR="00AE66D3" w:rsidRPr="00A307C6">
        <w:rPr>
          <w:lang w:val="en-GB"/>
        </w:rPr>
        <w:t xml:space="preserve">focusing on </w:t>
      </w:r>
      <w:r w:rsidR="00966F2B" w:rsidRPr="00A307C6">
        <w:rPr>
          <w:lang w:val="en-GB"/>
        </w:rPr>
        <w:t>rape,</w:t>
      </w:r>
      <w:r w:rsidR="008B3BBF" w:rsidRPr="00A307C6">
        <w:rPr>
          <w:lang w:val="en-GB"/>
        </w:rPr>
        <w:t xml:space="preserve"> including gang rape,</w:t>
      </w:r>
      <w:r w:rsidR="00966F2B" w:rsidRPr="00A307C6">
        <w:rPr>
          <w:lang w:val="en-GB"/>
        </w:rPr>
        <w:t xml:space="preserve"> </w:t>
      </w:r>
      <w:r w:rsidR="00AE66D3" w:rsidRPr="00A307C6">
        <w:rPr>
          <w:lang w:val="en-GB"/>
        </w:rPr>
        <w:t>sexual violence, sexual slavery, forced marriage</w:t>
      </w:r>
      <w:r w:rsidR="00731128" w:rsidRPr="00A307C6">
        <w:rPr>
          <w:lang w:val="en-GB"/>
        </w:rPr>
        <w:t>, torture</w:t>
      </w:r>
      <w:r w:rsidR="00AE66D3" w:rsidRPr="00A307C6">
        <w:rPr>
          <w:lang w:val="en-GB"/>
        </w:rPr>
        <w:t xml:space="preserve"> and a range of </w:t>
      </w:r>
      <w:r w:rsidR="00966F2B" w:rsidRPr="00A307C6">
        <w:rPr>
          <w:lang w:val="en-GB"/>
        </w:rPr>
        <w:t xml:space="preserve">sexually </w:t>
      </w:r>
      <w:r w:rsidR="00731128" w:rsidRPr="00A307C6">
        <w:rPr>
          <w:lang w:val="en-GB"/>
        </w:rPr>
        <w:t xml:space="preserve">degrading cruel and inhuman </w:t>
      </w:r>
      <w:r w:rsidR="00966F2B" w:rsidRPr="00A307C6">
        <w:rPr>
          <w:lang w:val="en-GB"/>
        </w:rPr>
        <w:t>acts</w:t>
      </w:r>
      <w:r w:rsidR="00731128" w:rsidRPr="00A307C6">
        <w:rPr>
          <w:lang w:val="en-GB"/>
        </w:rPr>
        <w:t xml:space="preserve"> and </w:t>
      </w:r>
      <w:r w:rsidR="00966F2B" w:rsidRPr="00A307C6">
        <w:rPr>
          <w:lang w:val="en-GB"/>
        </w:rPr>
        <w:t>beatings</w:t>
      </w:r>
      <w:r w:rsidR="00731128" w:rsidRPr="00A307C6">
        <w:rPr>
          <w:lang w:val="en-GB"/>
        </w:rPr>
        <w:t>.</w:t>
      </w:r>
    </w:p>
    <w:p w14:paraId="6D27A26F" w14:textId="6E52DD06" w:rsidR="0047790B" w:rsidRPr="00A307C6" w:rsidRDefault="00731128" w:rsidP="0027112E">
      <w:pPr>
        <w:pStyle w:val="Paragraph"/>
        <w:rPr>
          <w:lang w:val="en-GB" w:eastAsia="fr-FR"/>
        </w:rPr>
      </w:pPr>
      <w:r w:rsidRPr="00A307C6">
        <w:rPr>
          <w:lang w:val="en-GB"/>
        </w:rPr>
        <w:t>Incidents of r</w:t>
      </w:r>
      <w:r w:rsidR="008B3BBF" w:rsidRPr="00A307C6">
        <w:rPr>
          <w:lang w:val="en-GB"/>
        </w:rPr>
        <w:t>ape and sexual violence</w:t>
      </w:r>
      <w:r w:rsidR="001158F0" w:rsidRPr="00A307C6">
        <w:rPr>
          <w:lang w:val="en-GB"/>
        </w:rPr>
        <w:t xml:space="preserve"> documented by the Commission indicate that adolescent </w:t>
      </w:r>
      <w:r w:rsidR="0047790B" w:rsidRPr="00A307C6">
        <w:rPr>
          <w:lang w:val="en-GB"/>
        </w:rPr>
        <w:t xml:space="preserve">and underage </w:t>
      </w:r>
      <w:r w:rsidR="001158F0" w:rsidRPr="00A307C6">
        <w:rPr>
          <w:lang w:val="en-GB"/>
        </w:rPr>
        <w:t>girls</w:t>
      </w:r>
      <w:r w:rsidR="000151E6">
        <w:rPr>
          <w:lang w:val="en-GB"/>
        </w:rPr>
        <w:t>,</w:t>
      </w:r>
      <w:r w:rsidR="001158F0" w:rsidRPr="00A307C6">
        <w:rPr>
          <w:lang w:val="en-GB"/>
        </w:rPr>
        <w:t xml:space="preserve"> and young women</w:t>
      </w:r>
      <w:r w:rsidR="0047790B" w:rsidRPr="00A307C6">
        <w:rPr>
          <w:lang w:val="en-GB"/>
        </w:rPr>
        <w:t xml:space="preserve"> </w:t>
      </w:r>
      <w:r w:rsidR="001158F0" w:rsidRPr="00A307C6">
        <w:rPr>
          <w:lang w:val="en-GB"/>
        </w:rPr>
        <w:t>below the age of 30 years old</w:t>
      </w:r>
      <w:r w:rsidR="000151E6">
        <w:rPr>
          <w:lang w:val="en-GB"/>
        </w:rPr>
        <w:t>,</w:t>
      </w:r>
      <w:r w:rsidR="001158F0" w:rsidRPr="00A307C6">
        <w:rPr>
          <w:lang w:val="en-GB"/>
        </w:rPr>
        <w:t xml:space="preserve"> are</w:t>
      </w:r>
      <w:r w:rsidR="00672CD0" w:rsidRPr="00A307C6">
        <w:rPr>
          <w:lang w:val="en-GB"/>
        </w:rPr>
        <w:t xml:space="preserve"> specifically </w:t>
      </w:r>
      <w:r w:rsidR="001158F0" w:rsidRPr="00A307C6">
        <w:rPr>
          <w:lang w:val="en-GB"/>
        </w:rPr>
        <w:t xml:space="preserve">targeted </w:t>
      </w:r>
      <w:r w:rsidR="0047790B" w:rsidRPr="00A307C6">
        <w:rPr>
          <w:lang w:val="en-GB"/>
        </w:rPr>
        <w:t xml:space="preserve">by armed </w:t>
      </w:r>
      <w:r w:rsidR="00D936C7" w:rsidRPr="00A307C6">
        <w:rPr>
          <w:lang w:val="en-GB"/>
        </w:rPr>
        <w:t xml:space="preserve">men </w:t>
      </w:r>
      <w:r w:rsidR="001158F0" w:rsidRPr="00A307C6">
        <w:rPr>
          <w:lang w:val="en-GB"/>
        </w:rPr>
        <w:t>and are disproportionately affected</w:t>
      </w:r>
      <w:r w:rsidR="0047790B" w:rsidRPr="00A307C6">
        <w:rPr>
          <w:lang w:val="en-GB"/>
        </w:rPr>
        <w:t xml:space="preserve"> as a group</w:t>
      </w:r>
      <w:r w:rsidR="001158F0" w:rsidRPr="00A307C6">
        <w:rPr>
          <w:lang w:val="en-GB"/>
        </w:rPr>
        <w:t>.</w:t>
      </w:r>
      <w:r w:rsidR="001158F0" w:rsidRPr="00A307C6" w:rsidDel="001158F0">
        <w:rPr>
          <w:lang w:val="en-GB"/>
        </w:rPr>
        <w:t xml:space="preserve"> </w:t>
      </w:r>
      <w:r w:rsidR="001158F0" w:rsidRPr="00A307C6">
        <w:rPr>
          <w:lang w:val="en-GB"/>
        </w:rPr>
        <w:t xml:space="preserve"> </w:t>
      </w:r>
      <w:r w:rsidR="00966F2B" w:rsidRPr="00A307C6">
        <w:rPr>
          <w:lang w:val="en-GB"/>
        </w:rPr>
        <w:t xml:space="preserve">Perpetrators </w:t>
      </w:r>
      <w:r w:rsidR="008B3BBF" w:rsidRPr="00A307C6">
        <w:rPr>
          <w:lang w:val="en-GB"/>
        </w:rPr>
        <w:t xml:space="preserve">include </w:t>
      </w:r>
      <w:r w:rsidR="00966F2B" w:rsidRPr="00A307C6">
        <w:rPr>
          <w:lang w:val="en-GB"/>
        </w:rPr>
        <w:t xml:space="preserve">armed men, uniformed </w:t>
      </w:r>
      <w:r w:rsidR="00D936C7" w:rsidRPr="00A307C6">
        <w:rPr>
          <w:lang w:val="en-GB"/>
        </w:rPr>
        <w:t>and non-</w:t>
      </w:r>
      <w:r w:rsidR="00966F2B" w:rsidRPr="00A307C6">
        <w:rPr>
          <w:lang w:val="en-GB"/>
        </w:rPr>
        <w:t xml:space="preserve">uniformed, </w:t>
      </w:r>
      <w:r w:rsidR="008B3BBF" w:rsidRPr="00A307C6">
        <w:rPr>
          <w:lang w:val="en-GB"/>
        </w:rPr>
        <w:t xml:space="preserve">who have been identified as </w:t>
      </w:r>
      <w:r w:rsidR="00966F2B" w:rsidRPr="00A307C6">
        <w:rPr>
          <w:lang w:val="en-GB"/>
        </w:rPr>
        <w:t xml:space="preserve">part of regular or </w:t>
      </w:r>
      <w:r w:rsidR="008D3942" w:rsidRPr="00A307C6">
        <w:rPr>
          <w:lang w:val="en-GB"/>
        </w:rPr>
        <w:t xml:space="preserve">of </w:t>
      </w:r>
      <w:r w:rsidR="00966F2B" w:rsidRPr="00A307C6">
        <w:rPr>
          <w:lang w:val="en-GB"/>
        </w:rPr>
        <w:t>non-State armed forces</w:t>
      </w:r>
      <w:r w:rsidR="00D936C7" w:rsidRPr="00A307C6">
        <w:rPr>
          <w:lang w:val="en-GB"/>
        </w:rPr>
        <w:t xml:space="preserve">, including from </w:t>
      </w:r>
      <w:r w:rsidR="00DE7C63" w:rsidRPr="00A307C6">
        <w:rPr>
          <w:lang w:val="en-GB"/>
        </w:rPr>
        <w:t xml:space="preserve">different </w:t>
      </w:r>
      <w:r w:rsidR="00D936C7" w:rsidRPr="00A307C6">
        <w:rPr>
          <w:lang w:val="en-GB"/>
        </w:rPr>
        <w:t xml:space="preserve">units </w:t>
      </w:r>
      <w:r w:rsidR="00DE7C63" w:rsidRPr="00A307C6">
        <w:rPr>
          <w:lang w:val="en-GB"/>
        </w:rPr>
        <w:t xml:space="preserve">of the </w:t>
      </w:r>
      <w:r w:rsidR="0027112E" w:rsidRPr="00A307C6">
        <w:rPr>
          <w:lang w:val="en-GB"/>
        </w:rPr>
        <w:t>South Sudan People’s Defence Forces</w:t>
      </w:r>
      <w:r w:rsidR="0027112E" w:rsidRPr="00A307C6">
        <w:rPr>
          <w:rStyle w:val="FootnoteReference"/>
          <w:lang w:val="en-GB"/>
        </w:rPr>
        <w:t xml:space="preserve"> </w:t>
      </w:r>
      <w:r w:rsidR="0027112E" w:rsidRPr="00A307C6">
        <w:rPr>
          <w:lang w:val="en-GB"/>
        </w:rPr>
        <w:t>(SSPDF)</w:t>
      </w:r>
      <w:r w:rsidR="00DE7C63" w:rsidRPr="00A307C6">
        <w:rPr>
          <w:lang w:val="en-GB"/>
        </w:rPr>
        <w:t xml:space="preserve"> and the </w:t>
      </w:r>
      <w:r w:rsidR="0027112E" w:rsidRPr="00A307C6">
        <w:rPr>
          <w:lang w:val="en-GB"/>
        </w:rPr>
        <w:t xml:space="preserve">South (Sudan People’s Liberation Movement/Army-In Opposition) </w:t>
      </w:r>
      <w:r w:rsidR="00DE7C63" w:rsidRPr="00A307C6">
        <w:rPr>
          <w:lang w:val="en-GB"/>
        </w:rPr>
        <w:t>SPLM/A-IO</w:t>
      </w:r>
      <w:r w:rsidR="008D3942" w:rsidRPr="00A307C6">
        <w:rPr>
          <w:lang w:val="en-GB"/>
        </w:rPr>
        <w:t>. M</w:t>
      </w:r>
      <w:r w:rsidR="00DE7C63" w:rsidRPr="00A307C6">
        <w:rPr>
          <w:lang w:val="en-GB"/>
        </w:rPr>
        <w:t>ilitias with links to powerful individuals or institutions, a</w:t>
      </w:r>
      <w:r w:rsidR="00D936C7" w:rsidRPr="00A307C6">
        <w:rPr>
          <w:lang w:val="en-GB"/>
        </w:rPr>
        <w:t xml:space="preserve">s well as </w:t>
      </w:r>
      <w:r w:rsidR="00DE7C63" w:rsidRPr="00A307C6">
        <w:rPr>
          <w:lang w:val="en-GB"/>
        </w:rPr>
        <w:t>groups involved in organized armed violence between communities in the context of cattle-r</w:t>
      </w:r>
      <w:r w:rsidR="00D936C7" w:rsidRPr="00A307C6">
        <w:rPr>
          <w:lang w:val="en-GB"/>
        </w:rPr>
        <w:t>aiding</w:t>
      </w:r>
      <w:r w:rsidR="008D3942" w:rsidRPr="00A307C6">
        <w:rPr>
          <w:lang w:val="en-GB"/>
        </w:rPr>
        <w:t>, are also among the perpetrators</w:t>
      </w:r>
      <w:r w:rsidR="00D936C7" w:rsidRPr="00A307C6">
        <w:rPr>
          <w:lang w:val="en-GB"/>
        </w:rPr>
        <w:t xml:space="preserve">. </w:t>
      </w:r>
      <w:r w:rsidR="0047790B" w:rsidRPr="00A307C6">
        <w:rPr>
          <w:lang w:val="en-GB" w:eastAsia="fr-FR"/>
        </w:rPr>
        <w:t xml:space="preserve">Incidents of rape and sexual violence often take place in the presence of family members, </w:t>
      </w:r>
      <w:r w:rsidR="00292948">
        <w:rPr>
          <w:lang w:val="en-GB" w:eastAsia="fr-FR"/>
        </w:rPr>
        <w:t xml:space="preserve">which </w:t>
      </w:r>
      <w:r w:rsidR="008D3942" w:rsidRPr="00A307C6">
        <w:rPr>
          <w:lang w:val="en-GB" w:eastAsia="fr-FR"/>
        </w:rPr>
        <w:t xml:space="preserve">is intended to </w:t>
      </w:r>
      <w:r w:rsidR="00292948">
        <w:rPr>
          <w:lang w:val="en-GB" w:eastAsia="fr-FR"/>
        </w:rPr>
        <w:t xml:space="preserve">destroy </w:t>
      </w:r>
      <w:r w:rsidR="0047790B" w:rsidRPr="00A307C6">
        <w:rPr>
          <w:lang w:val="en-GB" w:eastAsia="fr-FR"/>
        </w:rPr>
        <w:t xml:space="preserve">families and communities, </w:t>
      </w:r>
      <w:r w:rsidR="00292948">
        <w:rPr>
          <w:lang w:val="en-GB" w:eastAsia="fr-FR"/>
        </w:rPr>
        <w:t xml:space="preserve">as </w:t>
      </w:r>
      <w:r w:rsidR="008D3942" w:rsidRPr="00A307C6">
        <w:rPr>
          <w:lang w:val="en-GB" w:eastAsia="fr-FR"/>
        </w:rPr>
        <w:t>family members are</w:t>
      </w:r>
      <w:r w:rsidR="0047790B" w:rsidRPr="00A307C6">
        <w:rPr>
          <w:lang w:val="en-GB" w:eastAsia="fr-FR"/>
        </w:rPr>
        <w:t xml:space="preserve"> forced to witness their wives, sister or mother raped and gang raped</w:t>
      </w:r>
      <w:r w:rsidR="008D3942" w:rsidRPr="00A307C6">
        <w:rPr>
          <w:lang w:val="en-GB" w:eastAsia="fr-FR"/>
        </w:rPr>
        <w:t>. P</w:t>
      </w:r>
      <w:r w:rsidR="0047790B" w:rsidRPr="00A307C6">
        <w:rPr>
          <w:lang w:val="en-GB" w:eastAsia="fr-FR"/>
        </w:rPr>
        <w:t>arent</w:t>
      </w:r>
      <w:r w:rsidR="008D3942" w:rsidRPr="00A307C6">
        <w:rPr>
          <w:lang w:val="en-GB" w:eastAsia="fr-FR"/>
        </w:rPr>
        <w:t xml:space="preserve">s have been forced to </w:t>
      </w:r>
      <w:r w:rsidR="00292948">
        <w:rPr>
          <w:lang w:val="en-GB" w:eastAsia="fr-FR"/>
        </w:rPr>
        <w:t xml:space="preserve">watch </w:t>
      </w:r>
      <w:r w:rsidR="008D3942" w:rsidRPr="00A307C6">
        <w:rPr>
          <w:lang w:val="en-GB" w:eastAsia="fr-FR"/>
        </w:rPr>
        <w:t>as their</w:t>
      </w:r>
      <w:r w:rsidR="0047790B" w:rsidRPr="00A307C6">
        <w:rPr>
          <w:lang w:val="en-GB" w:eastAsia="fr-FR"/>
        </w:rPr>
        <w:t xml:space="preserve"> children or babies </w:t>
      </w:r>
      <w:r w:rsidR="008D3942" w:rsidRPr="00A307C6">
        <w:rPr>
          <w:lang w:val="en-GB" w:eastAsia="fr-FR"/>
        </w:rPr>
        <w:t xml:space="preserve">are </w:t>
      </w:r>
      <w:r w:rsidR="0047790B" w:rsidRPr="00A307C6">
        <w:rPr>
          <w:lang w:val="en-GB" w:eastAsia="fr-FR"/>
        </w:rPr>
        <w:t>murdered</w:t>
      </w:r>
      <w:r w:rsidR="008D3942" w:rsidRPr="00A307C6">
        <w:rPr>
          <w:lang w:val="en-GB" w:eastAsia="fr-FR"/>
        </w:rPr>
        <w:t xml:space="preserve">, some have been </w:t>
      </w:r>
      <w:r w:rsidR="0047790B" w:rsidRPr="00A307C6">
        <w:rPr>
          <w:lang w:val="en-GB" w:eastAsia="fr-FR"/>
        </w:rPr>
        <w:t>forced to rape and violate loved one</w:t>
      </w:r>
      <w:r w:rsidR="008D3942" w:rsidRPr="00A307C6">
        <w:rPr>
          <w:lang w:val="en-GB" w:eastAsia="fr-FR"/>
        </w:rPr>
        <w:t>s</w:t>
      </w:r>
      <w:r w:rsidR="0047790B" w:rsidRPr="00A307C6">
        <w:rPr>
          <w:lang w:val="en-GB" w:eastAsia="fr-FR"/>
        </w:rPr>
        <w:t xml:space="preserve">.  </w:t>
      </w:r>
    </w:p>
    <w:p w14:paraId="731D07A1" w14:textId="4C2B1870" w:rsidR="00CF2F72" w:rsidRPr="00A307C6" w:rsidRDefault="00D402A4" w:rsidP="000151E6">
      <w:pPr>
        <w:pStyle w:val="Paragraph"/>
        <w:rPr>
          <w:lang w:val="en-GB" w:eastAsia="fr-FR"/>
        </w:rPr>
      </w:pPr>
      <w:r w:rsidRPr="00A307C6">
        <w:rPr>
          <w:lang w:val="en-GB"/>
        </w:rPr>
        <w:t xml:space="preserve">Establishing the patterns and trends of conflict-related sexual violence is critical to understanding the structural </w:t>
      </w:r>
      <w:r w:rsidR="00C77EAE" w:rsidRPr="00A307C6">
        <w:rPr>
          <w:lang w:val="en-GB"/>
        </w:rPr>
        <w:t>drivers of</w:t>
      </w:r>
      <w:r w:rsidRPr="00A307C6">
        <w:rPr>
          <w:lang w:val="en-GB"/>
        </w:rPr>
        <w:t xml:space="preserve"> </w:t>
      </w:r>
      <w:r w:rsidR="00D40FD9" w:rsidRPr="00A307C6">
        <w:rPr>
          <w:lang w:val="en-GB"/>
        </w:rPr>
        <w:t xml:space="preserve">violence against women and girls, in order to address accountability and prevention in the long term. </w:t>
      </w:r>
      <w:r w:rsidR="00CE391E" w:rsidRPr="00A307C6">
        <w:rPr>
          <w:lang w:val="en-GB"/>
        </w:rPr>
        <w:t>The p</w:t>
      </w:r>
      <w:r w:rsidR="00D832A8" w:rsidRPr="00A307C6">
        <w:rPr>
          <w:lang w:val="en-GB"/>
        </w:rPr>
        <w:t xml:space="preserve">atterns </w:t>
      </w:r>
      <w:r w:rsidR="00CE391E" w:rsidRPr="00A307C6">
        <w:rPr>
          <w:lang w:val="en-GB"/>
        </w:rPr>
        <w:t xml:space="preserve">documented </w:t>
      </w:r>
      <w:r w:rsidR="00D832A8" w:rsidRPr="00A307C6">
        <w:rPr>
          <w:lang w:val="en-GB"/>
        </w:rPr>
        <w:t xml:space="preserve">include the link between sexual violence and economic interests, ethnic displacement of populations linked to control of territory and the </w:t>
      </w:r>
      <w:r w:rsidR="00D832A8" w:rsidRPr="000151E6">
        <w:t>characterization</w:t>
      </w:r>
      <w:r w:rsidR="00D832A8" w:rsidRPr="00A307C6">
        <w:rPr>
          <w:lang w:val="en-GB"/>
        </w:rPr>
        <w:t xml:space="preserve"> of women and girls as property, </w:t>
      </w:r>
      <w:r w:rsidR="00226265" w:rsidRPr="00A307C6">
        <w:rPr>
          <w:lang w:val="en-GB"/>
        </w:rPr>
        <w:t xml:space="preserve">and </w:t>
      </w:r>
      <w:r w:rsidR="00D832A8" w:rsidRPr="00A307C6">
        <w:rPr>
          <w:lang w:val="en-GB"/>
        </w:rPr>
        <w:t>spoils for the taking</w:t>
      </w:r>
      <w:r w:rsidR="00226265" w:rsidRPr="00A307C6">
        <w:rPr>
          <w:lang w:val="en-GB"/>
        </w:rPr>
        <w:t xml:space="preserve">. In addition, </w:t>
      </w:r>
      <w:r w:rsidR="00D832A8" w:rsidRPr="00A307C6">
        <w:rPr>
          <w:lang w:val="en-GB"/>
        </w:rPr>
        <w:t>poverty and widespread insecurity</w:t>
      </w:r>
      <w:r w:rsidR="00226265" w:rsidRPr="00A307C6">
        <w:rPr>
          <w:lang w:val="en-GB"/>
        </w:rPr>
        <w:t xml:space="preserve">, political elite interests and the failure to pay the </w:t>
      </w:r>
      <w:r w:rsidR="00D832A8" w:rsidRPr="00A307C6">
        <w:rPr>
          <w:lang w:val="en-GB"/>
        </w:rPr>
        <w:t>armed forces</w:t>
      </w:r>
      <w:r w:rsidR="00226265" w:rsidRPr="00A307C6">
        <w:rPr>
          <w:lang w:val="en-GB"/>
        </w:rPr>
        <w:t xml:space="preserve"> on all sides as well </w:t>
      </w:r>
      <w:r w:rsidR="00065C15" w:rsidRPr="00A307C6">
        <w:rPr>
          <w:lang w:val="en-GB"/>
        </w:rPr>
        <w:t xml:space="preserve">the existence of </w:t>
      </w:r>
      <w:r w:rsidR="00013ED3" w:rsidRPr="00A307C6">
        <w:rPr>
          <w:lang w:val="en-GB"/>
        </w:rPr>
        <w:t xml:space="preserve">militias and armed groups </w:t>
      </w:r>
      <w:r w:rsidR="00226265" w:rsidRPr="00A307C6">
        <w:rPr>
          <w:lang w:val="en-GB"/>
        </w:rPr>
        <w:t xml:space="preserve">creates a permissive environment in which </w:t>
      </w:r>
      <w:r w:rsidR="00D60819" w:rsidRPr="00A307C6">
        <w:rPr>
          <w:lang w:val="en-GB"/>
        </w:rPr>
        <w:t xml:space="preserve">women </w:t>
      </w:r>
      <w:r w:rsidR="00065C15" w:rsidRPr="00A307C6">
        <w:rPr>
          <w:lang w:val="en-GB"/>
        </w:rPr>
        <w:t xml:space="preserve">are </w:t>
      </w:r>
      <w:r w:rsidR="00226265" w:rsidRPr="00A307C6">
        <w:rPr>
          <w:lang w:val="en-GB"/>
        </w:rPr>
        <w:t xml:space="preserve">regarded as </w:t>
      </w:r>
      <w:r w:rsidR="00D60819" w:rsidRPr="00A307C6">
        <w:rPr>
          <w:lang w:val="en-GB"/>
        </w:rPr>
        <w:t xml:space="preserve">currency. </w:t>
      </w:r>
      <w:r w:rsidR="00EF612F" w:rsidRPr="00A307C6">
        <w:rPr>
          <w:lang w:val="en-GB"/>
        </w:rPr>
        <w:t>The failure to implement the security sector arrangements set out in the 2018 Revitalized Agreement have profound repercussions on the ongoing conflict at a range of levels.</w:t>
      </w:r>
    </w:p>
    <w:p w14:paraId="42736461" w14:textId="727D1BF0" w:rsidR="00D40FD9" w:rsidRPr="00A307C6" w:rsidRDefault="00EF612F" w:rsidP="00EF612F">
      <w:pPr>
        <w:pStyle w:val="Paragraph"/>
        <w:rPr>
          <w:lang w:val="en-GB" w:eastAsia="fr-FR"/>
        </w:rPr>
      </w:pPr>
      <w:r w:rsidRPr="00A307C6">
        <w:rPr>
          <w:lang w:val="en-GB"/>
        </w:rPr>
        <w:lastRenderedPageBreak/>
        <w:t xml:space="preserve">Widespread sexual and gender-based violence in South Sudan </w:t>
      </w:r>
      <w:r w:rsidR="00C77EAE" w:rsidRPr="00A307C6">
        <w:rPr>
          <w:lang w:val="en-GB"/>
        </w:rPr>
        <w:t>reflects</w:t>
      </w:r>
      <w:r w:rsidRPr="00A307C6">
        <w:rPr>
          <w:lang w:val="en-GB"/>
        </w:rPr>
        <w:t xml:space="preserve"> the context of w</w:t>
      </w:r>
      <w:r w:rsidR="00CF2F72" w:rsidRPr="00A307C6">
        <w:rPr>
          <w:lang w:val="en-GB"/>
        </w:rPr>
        <w:t xml:space="preserve">idespread insecurity </w:t>
      </w:r>
      <w:r w:rsidRPr="00A307C6">
        <w:rPr>
          <w:lang w:val="en-GB"/>
        </w:rPr>
        <w:t>and impunity for crimes,</w:t>
      </w:r>
      <w:r w:rsidR="00CF2F72" w:rsidRPr="00A307C6">
        <w:rPr>
          <w:lang w:val="en-GB"/>
        </w:rPr>
        <w:t xml:space="preserve"> including counter-insurgency activities implicating the SSPDF and NAS in Central Equatoria, the ethnic dimension of </w:t>
      </w:r>
      <w:r w:rsidRPr="00A307C6">
        <w:rPr>
          <w:lang w:val="en-GB"/>
        </w:rPr>
        <w:t xml:space="preserve">violent </w:t>
      </w:r>
      <w:r w:rsidR="00CF2F72" w:rsidRPr="00A307C6">
        <w:rPr>
          <w:lang w:val="en-GB"/>
        </w:rPr>
        <w:t>political conflict in Western Equatoria, the ongoing conflict in Unity State and the proliferation of localized conflicts in many other parts of the country</w:t>
      </w:r>
      <w:r w:rsidRPr="00A307C6">
        <w:rPr>
          <w:lang w:val="en-GB"/>
        </w:rPr>
        <w:t>.</w:t>
      </w:r>
      <w:r w:rsidR="00CF2F72" w:rsidRPr="00A307C6">
        <w:rPr>
          <w:rStyle w:val="FootnoteReference"/>
          <w:lang w:val="en-GB"/>
        </w:rPr>
        <w:footnoteReference w:id="21"/>
      </w:r>
      <w:r w:rsidR="00CF2F72" w:rsidRPr="00A307C6">
        <w:rPr>
          <w:lang w:val="en-GB"/>
        </w:rPr>
        <w:t xml:space="preserve">  </w:t>
      </w:r>
    </w:p>
    <w:p w14:paraId="6AC2100D" w14:textId="597A64CA" w:rsidR="006F008B" w:rsidRPr="00A307C6" w:rsidRDefault="006F008B" w:rsidP="00B8644C">
      <w:pPr>
        <w:pStyle w:val="HChG"/>
        <w:numPr>
          <w:ilvl w:val="0"/>
          <w:numId w:val="10"/>
        </w:numPr>
        <w:outlineLvl w:val="0"/>
      </w:pPr>
      <w:bookmarkStart w:id="17" w:name="_Toc98226805"/>
      <w:bookmarkStart w:id="18" w:name="_Toc98606446"/>
      <w:r w:rsidRPr="00A307C6">
        <w:t>Rape and other forms of sexual violence</w:t>
      </w:r>
      <w:bookmarkEnd w:id="17"/>
      <w:bookmarkEnd w:id="18"/>
    </w:p>
    <w:p w14:paraId="78CA39F2" w14:textId="2E124AAD" w:rsidR="00171625" w:rsidRPr="00A307C6" w:rsidRDefault="00171625" w:rsidP="009E6E96">
      <w:pPr>
        <w:pStyle w:val="H1G"/>
      </w:pPr>
      <w:bookmarkStart w:id="19" w:name="_Toc98226806"/>
      <w:bookmarkStart w:id="20" w:name="_Toc98606447"/>
      <w:r w:rsidRPr="00A307C6">
        <w:t>Gang rape and mass rape</w:t>
      </w:r>
      <w:bookmarkEnd w:id="19"/>
      <w:bookmarkEnd w:id="20"/>
    </w:p>
    <w:p w14:paraId="7FF3ED47" w14:textId="7BF6312D" w:rsidR="007D2778" w:rsidRPr="00A307C6" w:rsidRDefault="0007438B" w:rsidP="00FF077A">
      <w:pPr>
        <w:pStyle w:val="Paragraph"/>
        <w:rPr>
          <w:lang w:val="en-GB"/>
        </w:rPr>
      </w:pPr>
      <w:r w:rsidRPr="00A307C6">
        <w:rPr>
          <w:lang w:val="en-GB"/>
        </w:rPr>
        <w:t xml:space="preserve">Rape </w:t>
      </w:r>
      <w:r w:rsidR="00C776EC" w:rsidRPr="00A307C6">
        <w:rPr>
          <w:lang w:val="en-GB"/>
        </w:rPr>
        <w:t xml:space="preserve">perpetrated by groups of armed men against women and girls comprised the majority of conflict-related </w:t>
      </w:r>
      <w:r w:rsidR="00D80324" w:rsidRPr="00A307C6">
        <w:rPr>
          <w:lang w:val="en-GB"/>
        </w:rPr>
        <w:t>incidents</w:t>
      </w:r>
      <w:r w:rsidR="00C776EC" w:rsidRPr="00A307C6">
        <w:rPr>
          <w:lang w:val="en-GB"/>
        </w:rPr>
        <w:t xml:space="preserve"> of sexual violence documented by the Commission.</w:t>
      </w:r>
      <w:r w:rsidR="00C776EC" w:rsidRPr="00A307C6">
        <w:rPr>
          <w:rStyle w:val="FootnoteReference"/>
          <w:lang w:val="en-GB"/>
        </w:rPr>
        <w:footnoteReference w:id="22"/>
      </w:r>
      <w:r w:rsidR="00D832A8" w:rsidRPr="00A307C6">
        <w:rPr>
          <w:lang w:val="en-GB"/>
        </w:rPr>
        <w:t xml:space="preserve"> I</w:t>
      </w:r>
      <w:r w:rsidR="00C776EC" w:rsidRPr="00A307C6">
        <w:rPr>
          <w:lang w:val="en-GB"/>
        </w:rPr>
        <w:t xml:space="preserve">ncidents involve multiple </w:t>
      </w:r>
      <w:r w:rsidR="004A6998" w:rsidRPr="00A307C6">
        <w:rPr>
          <w:lang w:val="en-GB"/>
        </w:rPr>
        <w:t xml:space="preserve">armed </w:t>
      </w:r>
      <w:r w:rsidR="00C776EC" w:rsidRPr="00A307C6">
        <w:rPr>
          <w:lang w:val="en-GB"/>
        </w:rPr>
        <w:t>perpetrators raping multiple women</w:t>
      </w:r>
      <w:r w:rsidR="00102F4B" w:rsidRPr="00A307C6">
        <w:rPr>
          <w:lang w:val="en-GB"/>
        </w:rPr>
        <w:t xml:space="preserve">, in incidents of mass rape, involving </w:t>
      </w:r>
      <w:r w:rsidR="00C776EC" w:rsidRPr="00A307C6">
        <w:rPr>
          <w:lang w:val="en-GB"/>
        </w:rPr>
        <w:t>individual women being gang-raped by multiple men.</w:t>
      </w:r>
      <w:r w:rsidR="00C776EC" w:rsidRPr="00A307C6">
        <w:rPr>
          <w:rStyle w:val="FootnoteReference"/>
          <w:lang w:val="en-GB"/>
        </w:rPr>
        <w:footnoteReference w:id="23"/>
      </w:r>
      <w:r w:rsidR="00C776EC" w:rsidRPr="00A307C6">
        <w:rPr>
          <w:lang w:val="en-GB"/>
        </w:rPr>
        <w:t xml:space="preserve"> </w:t>
      </w:r>
    </w:p>
    <w:p w14:paraId="111CB45F" w14:textId="1F355B08" w:rsidR="00C776EC" w:rsidRPr="00A307C6" w:rsidRDefault="00102F4B" w:rsidP="00FF077A">
      <w:pPr>
        <w:pStyle w:val="Paragraph"/>
        <w:rPr>
          <w:lang w:val="en-GB"/>
        </w:rPr>
      </w:pPr>
      <w:bookmarkStart w:id="21" w:name="_Hlk98292247"/>
      <w:r w:rsidRPr="00A307C6">
        <w:rPr>
          <w:lang w:val="en-GB"/>
        </w:rPr>
        <w:t>I</w:t>
      </w:r>
      <w:r w:rsidR="004A6998" w:rsidRPr="00A307C6">
        <w:rPr>
          <w:lang w:val="en-GB"/>
        </w:rPr>
        <w:t xml:space="preserve">ncidents </w:t>
      </w:r>
      <w:r w:rsidRPr="00A307C6">
        <w:rPr>
          <w:lang w:val="en-GB"/>
        </w:rPr>
        <w:t xml:space="preserve">documented by the Commission reveal </w:t>
      </w:r>
      <w:r w:rsidR="004A6998" w:rsidRPr="00A307C6">
        <w:rPr>
          <w:lang w:val="en-GB"/>
        </w:rPr>
        <w:t xml:space="preserve">the complicity of </w:t>
      </w:r>
      <w:r w:rsidR="00C776EC" w:rsidRPr="00A307C6">
        <w:rPr>
          <w:lang w:val="en-GB"/>
        </w:rPr>
        <w:t xml:space="preserve">perpetrators in carrying out the crime, </w:t>
      </w:r>
      <w:r w:rsidR="004A6998" w:rsidRPr="00A307C6">
        <w:rPr>
          <w:lang w:val="en-GB"/>
        </w:rPr>
        <w:t xml:space="preserve">through </w:t>
      </w:r>
      <w:r w:rsidR="00C776EC" w:rsidRPr="00A307C6">
        <w:rPr>
          <w:lang w:val="en-GB"/>
        </w:rPr>
        <w:t>holding down the victim while another man forcibly penetrates her sexually with his penis or other object</w:t>
      </w:r>
      <w:r w:rsidRPr="00A307C6">
        <w:rPr>
          <w:lang w:val="en-GB"/>
        </w:rPr>
        <w:t>, awaiting his turn</w:t>
      </w:r>
      <w:r w:rsidR="00C776EC" w:rsidRPr="00A307C6">
        <w:rPr>
          <w:lang w:val="en-GB"/>
        </w:rPr>
        <w:t xml:space="preserve">, and </w:t>
      </w:r>
      <w:r w:rsidRPr="00A307C6">
        <w:rPr>
          <w:lang w:val="en-GB"/>
        </w:rPr>
        <w:t xml:space="preserve">also through </w:t>
      </w:r>
      <w:r w:rsidR="00C776EC" w:rsidRPr="00A307C6">
        <w:rPr>
          <w:lang w:val="en-GB"/>
        </w:rPr>
        <w:t xml:space="preserve">guarding and threatening witnesses to prevent them intervening or seeking help. </w:t>
      </w:r>
    </w:p>
    <w:bookmarkEnd w:id="21"/>
    <w:p w14:paraId="385BD86C" w14:textId="77777777" w:rsidR="00171625" w:rsidRPr="00A307C6" w:rsidRDefault="00C776EC" w:rsidP="00171625">
      <w:pPr>
        <w:pStyle w:val="Paragraph"/>
        <w:numPr>
          <w:ilvl w:val="0"/>
          <w:numId w:val="0"/>
        </w:numPr>
        <w:ind w:left="1134"/>
        <w:rPr>
          <w:lang w:val="en-GB"/>
        </w:rPr>
      </w:pPr>
      <w:r w:rsidRPr="00A307C6">
        <w:rPr>
          <w:lang w:val="en-GB"/>
        </w:rPr>
        <w:lastRenderedPageBreak/>
        <w:t>“I was dragged into a nearby bush, where one of them raped me while the other held my arms and watched the other one. When the man finished, the other man attempted to rape me” – a woman in Western Equatoria.</w:t>
      </w:r>
      <w:r w:rsidRPr="00A307C6">
        <w:rPr>
          <w:rStyle w:val="FootnoteReference"/>
          <w:lang w:val="en-GB"/>
        </w:rPr>
        <w:footnoteReference w:id="24"/>
      </w:r>
      <w:r w:rsidR="00171625" w:rsidRPr="00A307C6">
        <w:rPr>
          <w:lang w:val="en-GB"/>
        </w:rPr>
        <w:t xml:space="preserve"> </w:t>
      </w:r>
    </w:p>
    <w:p w14:paraId="24198449" w14:textId="64DB1453" w:rsidR="00171625" w:rsidRPr="00A307C6" w:rsidRDefault="00171625" w:rsidP="00171625">
      <w:pPr>
        <w:pStyle w:val="Paragraph"/>
        <w:numPr>
          <w:ilvl w:val="0"/>
          <w:numId w:val="0"/>
        </w:numPr>
        <w:ind w:left="1134"/>
        <w:rPr>
          <w:lang w:val="en-GB"/>
        </w:rPr>
      </w:pPr>
      <w:r w:rsidRPr="00A307C6">
        <w:rPr>
          <w:lang w:val="en-GB"/>
        </w:rPr>
        <w:t>“Men armed with sticks… beat me and one raped me while the others watched” – a woman in Jonglei.</w:t>
      </w:r>
      <w:r w:rsidRPr="00A307C6">
        <w:rPr>
          <w:rStyle w:val="FootnoteReference"/>
          <w:lang w:val="en-GB"/>
        </w:rPr>
        <w:footnoteReference w:id="25"/>
      </w:r>
      <w:r w:rsidRPr="00A307C6">
        <w:rPr>
          <w:lang w:val="en-GB"/>
        </w:rPr>
        <w:t xml:space="preserve"> </w:t>
      </w:r>
    </w:p>
    <w:p w14:paraId="6380599D" w14:textId="6AED13B2" w:rsidR="00171625" w:rsidRPr="00A307C6" w:rsidRDefault="00171625" w:rsidP="00171625">
      <w:pPr>
        <w:pStyle w:val="Paragraph"/>
        <w:numPr>
          <w:ilvl w:val="0"/>
          <w:numId w:val="0"/>
        </w:numPr>
        <w:ind w:left="1134"/>
        <w:rPr>
          <w:lang w:val="en-GB"/>
        </w:rPr>
      </w:pPr>
      <w:r w:rsidRPr="00A307C6">
        <w:rPr>
          <w:lang w:val="en-GB"/>
        </w:rPr>
        <w:t>“They started biting me… They (four men) did not talk between themselves. Two of them held my hands down while others raped me. They ripped off my dress and raped me with without protection. They all ejaculated on me. I was screaming… but they put their hands over my mouth and punched me on my chest” – a woman in Central Equatoria.</w:t>
      </w:r>
      <w:r w:rsidRPr="00A307C6">
        <w:rPr>
          <w:rStyle w:val="FootnoteReference"/>
          <w:lang w:val="en-GB"/>
        </w:rPr>
        <w:footnoteReference w:id="26"/>
      </w:r>
    </w:p>
    <w:p w14:paraId="2243E8B9" w14:textId="2C4EBB9E" w:rsidR="00C776EC" w:rsidRPr="00A307C6" w:rsidRDefault="00C776EC" w:rsidP="00171625">
      <w:pPr>
        <w:pStyle w:val="Paragraph"/>
        <w:numPr>
          <w:ilvl w:val="0"/>
          <w:numId w:val="0"/>
        </w:numPr>
        <w:ind w:left="1134"/>
        <w:rPr>
          <w:lang w:val="en-GB"/>
        </w:rPr>
      </w:pPr>
      <w:r w:rsidRPr="00A307C6">
        <w:rPr>
          <w:lang w:val="en-GB"/>
        </w:rPr>
        <w:t>“One of them raped me while the other two held my legs and watched.  When he finished, another one raped me, while two pressed me to the ground, until each one of the four men raped me.  When they finished, they started smoking cigarettes, discussing how they would enjoy me the whole night” – a woman in Jonglei.</w:t>
      </w:r>
      <w:r w:rsidRPr="00A307C6">
        <w:rPr>
          <w:rStyle w:val="FootnoteReference"/>
          <w:lang w:val="en-GB"/>
        </w:rPr>
        <w:footnoteReference w:id="27"/>
      </w:r>
    </w:p>
    <w:p w14:paraId="2243CB2A" w14:textId="642F3F4F" w:rsidR="00C776EC" w:rsidRPr="00A307C6" w:rsidRDefault="00C776EC" w:rsidP="00FF077A">
      <w:pPr>
        <w:pStyle w:val="Paragraph"/>
        <w:rPr>
          <w:lang w:val="en-GB"/>
        </w:rPr>
      </w:pPr>
      <w:r w:rsidRPr="00A307C6">
        <w:rPr>
          <w:lang w:val="en-GB"/>
        </w:rPr>
        <w:t xml:space="preserve">Many women and girls </w:t>
      </w:r>
      <w:r w:rsidR="00607066" w:rsidRPr="00A307C6">
        <w:rPr>
          <w:lang w:val="en-GB"/>
        </w:rPr>
        <w:t xml:space="preserve">told </w:t>
      </w:r>
      <w:r w:rsidRPr="00A307C6">
        <w:rPr>
          <w:lang w:val="en-GB"/>
        </w:rPr>
        <w:t>the Commission that they were threatened</w:t>
      </w:r>
      <w:r w:rsidR="008928E2" w:rsidRPr="00A307C6">
        <w:rPr>
          <w:lang w:val="en-GB"/>
        </w:rPr>
        <w:t xml:space="preserve"> </w:t>
      </w:r>
      <w:r w:rsidRPr="00A307C6">
        <w:rPr>
          <w:lang w:val="en-GB"/>
        </w:rPr>
        <w:t>with being killed if they resisted being raped,</w:t>
      </w:r>
      <w:r w:rsidRPr="00A307C6">
        <w:rPr>
          <w:rStyle w:val="FootnoteReference"/>
          <w:lang w:val="en-GB"/>
        </w:rPr>
        <w:footnoteReference w:id="28"/>
      </w:r>
      <w:r w:rsidRPr="00A307C6">
        <w:rPr>
          <w:lang w:val="en-GB"/>
        </w:rPr>
        <w:t xml:space="preserve"> with many rapes taking place at gunpoint.</w:t>
      </w:r>
      <w:r w:rsidRPr="00A307C6">
        <w:rPr>
          <w:rStyle w:val="FootnoteReference"/>
          <w:lang w:val="en-GB"/>
        </w:rPr>
        <w:footnoteReference w:id="29"/>
      </w:r>
    </w:p>
    <w:p w14:paraId="1DD5C873" w14:textId="5830F25F" w:rsidR="00C776EC" w:rsidRPr="00A307C6" w:rsidRDefault="00C776EC" w:rsidP="00171625">
      <w:pPr>
        <w:pStyle w:val="Paragraph"/>
        <w:numPr>
          <w:ilvl w:val="0"/>
          <w:numId w:val="0"/>
        </w:numPr>
        <w:ind w:left="1134"/>
        <w:rPr>
          <w:lang w:val="en-GB"/>
        </w:rPr>
      </w:pPr>
      <w:r w:rsidRPr="00A307C6">
        <w:rPr>
          <w:lang w:val="en-GB"/>
        </w:rPr>
        <w:t xml:space="preserve">“They kept saying, we want to sleep with you, </w:t>
      </w:r>
      <w:r w:rsidR="002404AF" w:rsidRPr="00A307C6">
        <w:rPr>
          <w:lang w:val="en-GB"/>
        </w:rPr>
        <w:t>open</w:t>
      </w:r>
      <w:r w:rsidRPr="00A307C6">
        <w:rPr>
          <w:lang w:val="en-GB"/>
        </w:rPr>
        <w:t xml:space="preserve"> your legs. If you refuse, we are going to kill you,” – a teenage girl attacked in the context of conflict in Juba.</w:t>
      </w:r>
      <w:r w:rsidRPr="00A307C6">
        <w:rPr>
          <w:rStyle w:val="FootnoteReference"/>
          <w:lang w:val="en-GB"/>
        </w:rPr>
        <w:footnoteReference w:id="30"/>
      </w:r>
    </w:p>
    <w:p w14:paraId="2D77B47A" w14:textId="77777777" w:rsidR="00C776EC" w:rsidRPr="00A307C6" w:rsidRDefault="00C776EC" w:rsidP="00171625">
      <w:pPr>
        <w:pStyle w:val="Paragraph"/>
        <w:numPr>
          <w:ilvl w:val="0"/>
          <w:numId w:val="0"/>
        </w:numPr>
        <w:ind w:left="1134"/>
        <w:rPr>
          <w:lang w:val="en-GB"/>
        </w:rPr>
      </w:pPr>
      <w:r w:rsidRPr="00A307C6">
        <w:rPr>
          <w:lang w:val="en-GB"/>
        </w:rPr>
        <w:lastRenderedPageBreak/>
        <w:t>“After one man bit me, another pointed the gun directly on my chest and said if I don’t accept them then he will kill me” – a woman attacked in her home, with her children were nearby, during a raid of soldiers on her village in Central Equatoria.</w:t>
      </w:r>
      <w:r w:rsidRPr="00A307C6">
        <w:rPr>
          <w:rStyle w:val="FootnoteReference"/>
          <w:lang w:val="en-GB"/>
        </w:rPr>
        <w:footnoteReference w:id="31"/>
      </w:r>
    </w:p>
    <w:p w14:paraId="645377D9" w14:textId="3D463488" w:rsidR="00C776EC" w:rsidRPr="00A307C6" w:rsidRDefault="00C776EC" w:rsidP="00171625">
      <w:pPr>
        <w:pStyle w:val="Paragraph"/>
        <w:numPr>
          <w:ilvl w:val="0"/>
          <w:numId w:val="0"/>
        </w:numPr>
        <w:ind w:left="1134"/>
        <w:rPr>
          <w:lang w:val="en-GB"/>
        </w:rPr>
      </w:pPr>
      <w:r w:rsidRPr="00A307C6">
        <w:rPr>
          <w:lang w:val="en-GB"/>
        </w:rPr>
        <w:t>“He cocked his gun as though about to shoot me… he pinned me on the ground before pushing his thing in min</w:t>
      </w:r>
      <w:r w:rsidR="00171625" w:rsidRPr="00A307C6">
        <w:rPr>
          <w:lang w:val="en-GB"/>
        </w:rPr>
        <w:t>e</w:t>
      </w:r>
      <w:r w:rsidRPr="00A307C6">
        <w:rPr>
          <w:lang w:val="en-GB"/>
        </w:rPr>
        <w:t xml:space="preserve">… I started </w:t>
      </w:r>
      <w:r w:rsidR="002404AF" w:rsidRPr="00A307C6">
        <w:rPr>
          <w:lang w:val="en-GB"/>
        </w:rPr>
        <w:t>bleeding</w:t>
      </w:r>
      <w:r w:rsidRPr="00A307C6">
        <w:rPr>
          <w:lang w:val="en-GB"/>
        </w:rPr>
        <w:t xml:space="preserve"> and he just continued to rape me for a long time, also beating me with his gun in between” – a teenage girl attacked during a raid on her village by soldiers in Central Equatoria.</w:t>
      </w:r>
      <w:r w:rsidRPr="00A307C6">
        <w:rPr>
          <w:rStyle w:val="FootnoteReference"/>
          <w:lang w:val="en-GB"/>
        </w:rPr>
        <w:footnoteReference w:id="32"/>
      </w:r>
    </w:p>
    <w:p w14:paraId="50BF4CF5" w14:textId="039CAD18" w:rsidR="00410750" w:rsidRPr="00A307C6" w:rsidRDefault="00410750" w:rsidP="00FF077A">
      <w:pPr>
        <w:pStyle w:val="Paragraph"/>
        <w:rPr>
          <w:lang w:val="en-GB"/>
        </w:rPr>
      </w:pPr>
      <w:r w:rsidRPr="00A307C6">
        <w:rPr>
          <w:lang w:val="en-GB"/>
        </w:rPr>
        <w:t>Survivors recounted horrific stories of being raped multiple times by the same man,</w:t>
      </w:r>
      <w:r w:rsidR="008928E2" w:rsidRPr="00A307C6">
        <w:rPr>
          <w:lang w:val="en-GB"/>
        </w:rPr>
        <w:t xml:space="preserve"> </w:t>
      </w:r>
      <w:r w:rsidRPr="00A307C6">
        <w:rPr>
          <w:lang w:val="en-GB"/>
        </w:rPr>
        <w:t>in the context of mass rapes where other women were also being raped, or by multiple men.</w:t>
      </w:r>
    </w:p>
    <w:p w14:paraId="378F4452" w14:textId="77A88879" w:rsidR="00410750" w:rsidRPr="00A307C6" w:rsidRDefault="00410750" w:rsidP="00171625">
      <w:pPr>
        <w:pStyle w:val="Paragraph"/>
        <w:numPr>
          <w:ilvl w:val="0"/>
          <w:numId w:val="0"/>
        </w:numPr>
        <w:ind w:left="1134"/>
        <w:rPr>
          <w:lang w:val="en-GB"/>
        </w:rPr>
      </w:pPr>
      <w:r w:rsidRPr="00A307C6">
        <w:rPr>
          <w:lang w:val="en-GB"/>
        </w:rPr>
        <w:t>“He raped me 9 times, one round after the other, with some small breaks, until my private part started bleeding, and he stopped.  The soldier seriously assaulted me, he treated me like an animal.  He kept shouting in his language to me as I cried.  I heard cries coming from other women who were being raped” – a woman in Unity State.</w:t>
      </w:r>
      <w:r w:rsidRPr="00A307C6">
        <w:rPr>
          <w:rStyle w:val="FootnoteReference"/>
          <w:lang w:val="en-GB"/>
        </w:rPr>
        <w:footnoteReference w:id="33"/>
      </w:r>
      <w:r w:rsidRPr="00A307C6">
        <w:rPr>
          <w:lang w:val="en-GB"/>
        </w:rPr>
        <w:t xml:space="preserve">  </w:t>
      </w:r>
    </w:p>
    <w:p w14:paraId="7E46E218" w14:textId="1C1A3D1D" w:rsidR="00410750" w:rsidRPr="00A307C6" w:rsidRDefault="00410750" w:rsidP="00171625">
      <w:pPr>
        <w:pStyle w:val="Paragraph"/>
        <w:numPr>
          <w:ilvl w:val="0"/>
          <w:numId w:val="0"/>
        </w:numPr>
        <w:ind w:left="1134"/>
        <w:rPr>
          <w:lang w:val="en-GB"/>
        </w:rPr>
      </w:pPr>
      <w:r w:rsidRPr="00A307C6">
        <w:rPr>
          <w:lang w:val="en-GB"/>
        </w:rPr>
        <w:t>“The soldier slept with me for some time, and I do not know how long it was for, because it seemed to take very long. I was screaming begging him to stop because I was in pain, but he did not stop.  I could see the other ladies also getting raped, and they were screaming” – another woman in Unity State.</w:t>
      </w:r>
      <w:r w:rsidRPr="00A307C6">
        <w:rPr>
          <w:rStyle w:val="FootnoteReference"/>
          <w:lang w:val="en-GB"/>
        </w:rPr>
        <w:footnoteReference w:id="34"/>
      </w:r>
    </w:p>
    <w:p w14:paraId="71299D44" w14:textId="72B22DCF" w:rsidR="00C776EC" w:rsidRPr="00A307C6" w:rsidRDefault="008928E2" w:rsidP="00FF077A">
      <w:pPr>
        <w:pStyle w:val="Paragraph"/>
        <w:rPr>
          <w:lang w:val="en-GB"/>
        </w:rPr>
      </w:pPr>
      <w:r w:rsidRPr="00A307C6">
        <w:rPr>
          <w:lang w:val="en-GB"/>
        </w:rPr>
        <w:t xml:space="preserve">Incidents of </w:t>
      </w:r>
      <w:r w:rsidR="00C776EC" w:rsidRPr="00A307C6">
        <w:rPr>
          <w:lang w:val="en-GB"/>
        </w:rPr>
        <w:t xml:space="preserve">gang </w:t>
      </w:r>
      <w:r w:rsidRPr="00A307C6">
        <w:rPr>
          <w:lang w:val="en-GB"/>
        </w:rPr>
        <w:t xml:space="preserve">and </w:t>
      </w:r>
      <w:r w:rsidR="00410750" w:rsidRPr="00A307C6">
        <w:rPr>
          <w:lang w:val="en-GB"/>
        </w:rPr>
        <w:t xml:space="preserve">mass </w:t>
      </w:r>
      <w:r w:rsidR="00C776EC" w:rsidRPr="00A307C6">
        <w:rPr>
          <w:lang w:val="en-GB"/>
        </w:rPr>
        <w:t xml:space="preserve">rape documented by the Commission </w:t>
      </w:r>
      <w:r w:rsidRPr="00A307C6">
        <w:rPr>
          <w:lang w:val="en-GB"/>
        </w:rPr>
        <w:t xml:space="preserve">reveal a pattern in which </w:t>
      </w:r>
      <w:r w:rsidR="00C776EC" w:rsidRPr="00A307C6">
        <w:rPr>
          <w:lang w:val="en-GB"/>
        </w:rPr>
        <w:t xml:space="preserve">the </w:t>
      </w:r>
      <w:r w:rsidRPr="00A307C6">
        <w:rPr>
          <w:lang w:val="en-GB"/>
        </w:rPr>
        <w:t xml:space="preserve">rapes are </w:t>
      </w:r>
      <w:r w:rsidR="00C776EC" w:rsidRPr="00A307C6">
        <w:rPr>
          <w:lang w:val="en-GB"/>
        </w:rPr>
        <w:t xml:space="preserve">carried out </w:t>
      </w:r>
      <w:r w:rsidR="00410750" w:rsidRPr="00A307C6">
        <w:rPr>
          <w:lang w:val="en-GB"/>
        </w:rPr>
        <w:t xml:space="preserve">either </w:t>
      </w:r>
      <w:r w:rsidR="00C776EC" w:rsidRPr="00A307C6">
        <w:rPr>
          <w:lang w:val="en-GB"/>
        </w:rPr>
        <w:t>during attacks on villages or settlements</w:t>
      </w:r>
      <w:r w:rsidR="00410750" w:rsidRPr="00A307C6">
        <w:rPr>
          <w:lang w:val="en-GB"/>
        </w:rPr>
        <w:t xml:space="preserve">, </w:t>
      </w:r>
      <w:r w:rsidRPr="00A307C6">
        <w:rPr>
          <w:lang w:val="en-GB"/>
        </w:rPr>
        <w:t xml:space="preserve">and </w:t>
      </w:r>
      <w:r w:rsidR="00C776EC" w:rsidRPr="00A307C6">
        <w:rPr>
          <w:lang w:val="en-GB"/>
        </w:rPr>
        <w:t xml:space="preserve">while women and girls </w:t>
      </w:r>
      <w:r w:rsidRPr="00A307C6">
        <w:rPr>
          <w:lang w:val="en-GB"/>
        </w:rPr>
        <w:t xml:space="preserve">are engaged in </w:t>
      </w:r>
      <w:r w:rsidR="00C776EC" w:rsidRPr="00A307C6">
        <w:rPr>
          <w:lang w:val="en-GB"/>
        </w:rPr>
        <w:t xml:space="preserve">livelihood </w:t>
      </w:r>
      <w:r w:rsidR="001158F0" w:rsidRPr="00A307C6">
        <w:rPr>
          <w:lang w:val="en-GB"/>
        </w:rPr>
        <w:t>activities, typically</w:t>
      </w:r>
      <w:r w:rsidRPr="00A307C6">
        <w:rPr>
          <w:lang w:val="en-GB"/>
        </w:rPr>
        <w:t xml:space="preserve"> including </w:t>
      </w:r>
      <w:r w:rsidR="001158F0" w:rsidRPr="00A307C6">
        <w:rPr>
          <w:lang w:val="en-GB"/>
        </w:rPr>
        <w:t xml:space="preserve">gathering food or firewood </w:t>
      </w:r>
      <w:r w:rsidR="00C776EC" w:rsidRPr="00A307C6">
        <w:rPr>
          <w:lang w:val="en-GB"/>
        </w:rPr>
        <w:t xml:space="preserve">outside </w:t>
      </w:r>
      <w:r w:rsidR="001158F0" w:rsidRPr="00A307C6">
        <w:rPr>
          <w:lang w:val="en-GB"/>
        </w:rPr>
        <w:t xml:space="preserve">the </w:t>
      </w:r>
      <w:r w:rsidR="00C776EC" w:rsidRPr="00A307C6">
        <w:rPr>
          <w:lang w:val="en-GB"/>
        </w:rPr>
        <w:t>villages or settlements</w:t>
      </w:r>
      <w:r w:rsidR="001158F0" w:rsidRPr="00A307C6">
        <w:rPr>
          <w:lang w:val="en-GB"/>
        </w:rPr>
        <w:t xml:space="preserve"> in which they reside</w:t>
      </w:r>
      <w:r w:rsidR="00C776EC" w:rsidRPr="00A307C6">
        <w:rPr>
          <w:lang w:val="en-GB"/>
        </w:rPr>
        <w:t>.</w:t>
      </w:r>
      <w:r w:rsidR="00C776EC" w:rsidRPr="00A307C6">
        <w:rPr>
          <w:rStyle w:val="FootnoteReference"/>
          <w:lang w:val="en-GB"/>
        </w:rPr>
        <w:footnoteReference w:id="35"/>
      </w:r>
    </w:p>
    <w:p w14:paraId="77E7A2E1" w14:textId="2EC9913F" w:rsidR="00BB2FA3" w:rsidRPr="00A307C6" w:rsidRDefault="00C776EC" w:rsidP="00FF077A">
      <w:pPr>
        <w:pStyle w:val="Paragraph"/>
        <w:rPr>
          <w:lang w:val="en-GB"/>
        </w:rPr>
      </w:pPr>
      <w:r w:rsidRPr="00A307C6">
        <w:rPr>
          <w:rStyle w:val="FootnoteReference"/>
          <w:lang w:val="en-GB"/>
        </w:rPr>
        <w:t xml:space="preserve"> </w:t>
      </w:r>
      <w:r w:rsidRPr="00A307C6">
        <w:rPr>
          <w:lang w:val="en-GB"/>
        </w:rPr>
        <w:t xml:space="preserve">Gang </w:t>
      </w:r>
      <w:r w:rsidR="00410750" w:rsidRPr="00A307C6">
        <w:rPr>
          <w:lang w:val="en-GB"/>
        </w:rPr>
        <w:t xml:space="preserve">or mass </w:t>
      </w:r>
      <w:r w:rsidRPr="00A307C6">
        <w:rPr>
          <w:lang w:val="en-GB"/>
        </w:rPr>
        <w:t xml:space="preserve">rape carried out during attacks on villages or settlements appears to involve a </w:t>
      </w:r>
      <w:r w:rsidR="005837D5" w:rsidRPr="00A307C6">
        <w:rPr>
          <w:lang w:val="en-GB"/>
        </w:rPr>
        <w:t xml:space="preserve">high </w:t>
      </w:r>
      <w:r w:rsidRPr="00A307C6">
        <w:rPr>
          <w:lang w:val="en-GB"/>
        </w:rPr>
        <w:t xml:space="preserve">degree of planning </w:t>
      </w:r>
      <w:r w:rsidR="005837D5" w:rsidRPr="00A307C6">
        <w:rPr>
          <w:lang w:val="en-GB"/>
        </w:rPr>
        <w:t xml:space="preserve">and deliberate </w:t>
      </w:r>
      <w:r w:rsidRPr="00A307C6">
        <w:rPr>
          <w:lang w:val="en-GB"/>
        </w:rPr>
        <w:t xml:space="preserve">intention, as with </w:t>
      </w:r>
      <w:r w:rsidR="005837D5" w:rsidRPr="00A307C6">
        <w:rPr>
          <w:lang w:val="en-GB"/>
        </w:rPr>
        <w:t xml:space="preserve">incidents of </w:t>
      </w:r>
      <w:r w:rsidRPr="00A307C6">
        <w:rPr>
          <w:lang w:val="en-GB"/>
        </w:rPr>
        <w:t xml:space="preserve">killings and lootings carried out </w:t>
      </w:r>
      <w:r w:rsidR="005837D5" w:rsidRPr="00A307C6">
        <w:rPr>
          <w:lang w:val="en-GB"/>
        </w:rPr>
        <w:t xml:space="preserve">during these </w:t>
      </w:r>
      <w:r w:rsidRPr="00A307C6">
        <w:rPr>
          <w:lang w:val="en-GB"/>
        </w:rPr>
        <w:lastRenderedPageBreak/>
        <w:t>attacks.</w:t>
      </w:r>
      <w:r w:rsidRPr="00A307C6">
        <w:rPr>
          <w:rStyle w:val="FootnoteReference"/>
          <w:lang w:val="en-GB"/>
        </w:rPr>
        <w:footnoteReference w:id="36"/>
      </w:r>
      <w:r w:rsidRPr="00A307C6">
        <w:rPr>
          <w:lang w:val="en-GB"/>
        </w:rPr>
        <w:t xml:space="preserve"> A resident of Jonglei State, now living as a refugee, described how armed men who</w:t>
      </w:r>
      <w:r w:rsidR="00D375DE" w:rsidRPr="00A307C6">
        <w:rPr>
          <w:lang w:val="en-GB"/>
        </w:rPr>
        <w:t>m</w:t>
      </w:r>
      <w:r w:rsidRPr="00A307C6">
        <w:rPr>
          <w:lang w:val="en-GB"/>
        </w:rPr>
        <w:t xml:space="preserve"> she identified as Shil</w:t>
      </w:r>
      <w:r w:rsidR="00C77EAE" w:rsidRPr="00A307C6">
        <w:rPr>
          <w:lang w:val="en-GB"/>
        </w:rPr>
        <w:t>l</w:t>
      </w:r>
      <w:r w:rsidRPr="00A307C6">
        <w:rPr>
          <w:lang w:val="en-GB"/>
        </w:rPr>
        <w:t>uk soldiers arrived by boat and attacked her riverside village:</w:t>
      </w:r>
      <w:r w:rsidR="005837D5" w:rsidRPr="00A307C6">
        <w:rPr>
          <w:lang w:val="en-GB"/>
        </w:rPr>
        <w:t xml:space="preserve"> in the ensuing attack, </w:t>
      </w:r>
      <w:r w:rsidRPr="00A307C6">
        <w:rPr>
          <w:lang w:val="en-GB"/>
        </w:rPr>
        <w:t xml:space="preserve">five soldiers </w:t>
      </w:r>
      <w:r w:rsidR="005837D5" w:rsidRPr="00A307C6">
        <w:rPr>
          <w:lang w:val="en-GB"/>
        </w:rPr>
        <w:t xml:space="preserve">captured her, </w:t>
      </w:r>
      <w:r w:rsidRPr="00A307C6">
        <w:rPr>
          <w:lang w:val="en-GB"/>
        </w:rPr>
        <w:t xml:space="preserve">raped and </w:t>
      </w:r>
      <w:r w:rsidR="002404AF" w:rsidRPr="00A307C6">
        <w:rPr>
          <w:lang w:val="en-GB"/>
        </w:rPr>
        <w:t>tortured</w:t>
      </w:r>
      <w:r w:rsidRPr="00A307C6">
        <w:rPr>
          <w:lang w:val="en-GB"/>
        </w:rPr>
        <w:t xml:space="preserve"> her, while delivering a beating with the butts of their guns.</w:t>
      </w:r>
      <w:r w:rsidRPr="00A307C6">
        <w:rPr>
          <w:rStyle w:val="FootnoteReference"/>
          <w:lang w:val="en-GB"/>
        </w:rPr>
        <w:footnoteReference w:id="37"/>
      </w:r>
      <w:r w:rsidR="00410750" w:rsidRPr="00A307C6">
        <w:rPr>
          <w:lang w:val="en-GB"/>
        </w:rPr>
        <w:t xml:space="preserve"> </w:t>
      </w:r>
      <w:r w:rsidR="005837D5" w:rsidRPr="00A307C6">
        <w:rPr>
          <w:lang w:val="en-GB"/>
        </w:rPr>
        <w:t>This incident is similar to m</w:t>
      </w:r>
      <w:r w:rsidRPr="00A307C6">
        <w:rPr>
          <w:lang w:val="en-GB"/>
        </w:rPr>
        <w:t xml:space="preserve">any </w:t>
      </w:r>
      <w:r w:rsidR="005837D5" w:rsidRPr="00A307C6">
        <w:rPr>
          <w:lang w:val="en-GB"/>
        </w:rPr>
        <w:t xml:space="preserve">incidents </w:t>
      </w:r>
      <w:r w:rsidRPr="00A307C6">
        <w:rPr>
          <w:lang w:val="en-GB"/>
        </w:rPr>
        <w:t xml:space="preserve">of gang and mass rape </w:t>
      </w:r>
      <w:r w:rsidR="005837D5" w:rsidRPr="00A307C6">
        <w:rPr>
          <w:lang w:val="en-GB"/>
        </w:rPr>
        <w:t xml:space="preserve">perpetrated </w:t>
      </w:r>
      <w:r w:rsidRPr="00A307C6">
        <w:rPr>
          <w:lang w:val="en-GB"/>
        </w:rPr>
        <w:t>in Western Equatoria during 202</w:t>
      </w:r>
      <w:r w:rsidR="005837D5" w:rsidRPr="00A307C6">
        <w:rPr>
          <w:lang w:val="en-GB"/>
        </w:rPr>
        <w:t xml:space="preserve">1, where villages were </w:t>
      </w:r>
      <w:r w:rsidRPr="00A307C6">
        <w:rPr>
          <w:lang w:val="en-GB"/>
        </w:rPr>
        <w:t>attack</w:t>
      </w:r>
      <w:r w:rsidR="005837D5" w:rsidRPr="00A307C6">
        <w:rPr>
          <w:lang w:val="en-GB"/>
        </w:rPr>
        <w:t>ed</w:t>
      </w:r>
      <w:r w:rsidRPr="00A307C6">
        <w:rPr>
          <w:lang w:val="en-GB"/>
        </w:rPr>
        <w:t xml:space="preserve"> by armed men</w:t>
      </w:r>
      <w:r w:rsidR="005837D5" w:rsidRPr="00A307C6">
        <w:rPr>
          <w:lang w:val="en-GB"/>
        </w:rPr>
        <w:t xml:space="preserve"> </w:t>
      </w:r>
      <w:r w:rsidR="00C56F22" w:rsidRPr="00A307C6">
        <w:rPr>
          <w:lang w:val="en-GB"/>
        </w:rPr>
        <w:t xml:space="preserve"> (see </w:t>
      </w:r>
      <w:r w:rsidR="00A65414" w:rsidRPr="00A307C6">
        <w:rPr>
          <w:lang w:val="en-GB"/>
        </w:rPr>
        <w:t xml:space="preserve">case study, </w:t>
      </w:r>
      <w:r w:rsidR="00C56F22" w:rsidRPr="00A307C6">
        <w:rPr>
          <w:lang w:val="en-GB"/>
        </w:rPr>
        <w:t>below)</w:t>
      </w:r>
      <w:r w:rsidR="005837D5" w:rsidRPr="00A307C6">
        <w:rPr>
          <w:lang w:val="en-GB"/>
        </w:rPr>
        <w:t xml:space="preserve">. Similar </w:t>
      </w:r>
      <w:r w:rsidRPr="00A307C6">
        <w:rPr>
          <w:lang w:val="en-GB"/>
        </w:rPr>
        <w:t>pattern</w:t>
      </w:r>
      <w:r w:rsidR="005837D5" w:rsidRPr="00A307C6">
        <w:rPr>
          <w:lang w:val="en-GB"/>
        </w:rPr>
        <w:t>s</w:t>
      </w:r>
      <w:r w:rsidRPr="00A307C6">
        <w:rPr>
          <w:lang w:val="en-GB"/>
        </w:rPr>
        <w:t xml:space="preserve"> w</w:t>
      </w:r>
      <w:r w:rsidR="005837D5" w:rsidRPr="00A307C6">
        <w:rPr>
          <w:lang w:val="en-GB"/>
        </w:rPr>
        <w:t xml:space="preserve">ere </w:t>
      </w:r>
      <w:r w:rsidRPr="00A307C6">
        <w:rPr>
          <w:lang w:val="en-GB"/>
        </w:rPr>
        <w:t xml:space="preserve">established in </w:t>
      </w:r>
      <w:r w:rsidR="005837D5" w:rsidRPr="00A307C6">
        <w:rPr>
          <w:lang w:val="en-GB"/>
        </w:rPr>
        <w:t xml:space="preserve">numerous </w:t>
      </w:r>
      <w:r w:rsidRPr="00A307C6">
        <w:rPr>
          <w:lang w:val="en-GB"/>
        </w:rPr>
        <w:t xml:space="preserve">incidents documented by the Commission in Central Equatoria in 2020 and 2021. Outside villages and settlements, where women and girls reside with male relatives and </w:t>
      </w:r>
      <w:r w:rsidR="00A307C6" w:rsidRPr="00A307C6">
        <w:rPr>
          <w:lang w:val="en-GB"/>
        </w:rPr>
        <w:t>neighbours</w:t>
      </w:r>
      <w:r w:rsidRPr="00A307C6">
        <w:rPr>
          <w:lang w:val="en-GB"/>
        </w:rPr>
        <w:t xml:space="preserve">, victims of sexual violence </w:t>
      </w:r>
      <w:r w:rsidR="00607066" w:rsidRPr="00A307C6">
        <w:rPr>
          <w:lang w:val="en-GB"/>
        </w:rPr>
        <w:t xml:space="preserve">have been </w:t>
      </w:r>
      <w:r w:rsidRPr="00A307C6">
        <w:rPr>
          <w:lang w:val="en-GB"/>
        </w:rPr>
        <w:t xml:space="preserve">targeted while </w:t>
      </w:r>
      <w:r w:rsidR="00CA4F75" w:rsidRPr="00A307C6">
        <w:rPr>
          <w:lang w:val="en-GB"/>
        </w:rPr>
        <w:t>s</w:t>
      </w:r>
      <w:r w:rsidRPr="00A307C6">
        <w:rPr>
          <w:lang w:val="en-GB"/>
        </w:rPr>
        <w:t>earching for food, travelling to a farm or garden, or collecting charcoal or firewood</w:t>
      </w:r>
      <w:r w:rsidR="00CA4F75" w:rsidRPr="00A307C6">
        <w:rPr>
          <w:lang w:val="en-GB"/>
        </w:rPr>
        <w:t xml:space="preserve"> and going to collect their monthly rations</w:t>
      </w:r>
      <w:r w:rsidRPr="00A307C6">
        <w:rPr>
          <w:lang w:val="en-GB"/>
        </w:rPr>
        <w:t>.</w:t>
      </w:r>
      <w:r w:rsidRPr="00A307C6">
        <w:rPr>
          <w:rStyle w:val="FootnoteReference"/>
          <w:lang w:val="en-GB"/>
        </w:rPr>
        <w:footnoteReference w:id="38"/>
      </w:r>
      <w:r w:rsidRPr="00A307C6">
        <w:rPr>
          <w:lang w:val="en-GB"/>
        </w:rPr>
        <w:t xml:space="preserve"> These areas, including village paths and roads or streams, tend to be relatively remote</w:t>
      </w:r>
      <w:r w:rsidR="00CA4F75" w:rsidRPr="00A307C6">
        <w:rPr>
          <w:lang w:val="en-GB"/>
        </w:rPr>
        <w:t xml:space="preserve"> and </w:t>
      </w:r>
      <w:r w:rsidRPr="00A307C6">
        <w:rPr>
          <w:lang w:val="en-GB"/>
        </w:rPr>
        <w:t>isolated</w:t>
      </w:r>
      <w:r w:rsidR="00CA4F75" w:rsidRPr="00A307C6">
        <w:rPr>
          <w:lang w:val="en-GB"/>
        </w:rPr>
        <w:t>.</w:t>
      </w:r>
      <w:r w:rsidRPr="00A307C6">
        <w:rPr>
          <w:rFonts w:asciiTheme="majorBidi" w:hAnsiTheme="majorBidi" w:cstheme="majorBidi"/>
          <w:lang w:val="en-GB"/>
        </w:rPr>
        <w:t xml:space="preserve"> </w:t>
      </w:r>
      <w:r w:rsidRPr="00A307C6">
        <w:rPr>
          <w:lang w:val="en-GB"/>
        </w:rPr>
        <w:t xml:space="preserve">Women and girls </w:t>
      </w:r>
      <w:r w:rsidR="00CA4F75" w:rsidRPr="00A307C6">
        <w:rPr>
          <w:lang w:val="en-GB"/>
        </w:rPr>
        <w:t xml:space="preserve">usually </w:t>
      </w:r>
      <w:r w:rsidRPr="00A307C6">
        <w:rPr>
          <w:lang w:val="en-GB"/>
        </w:rPr>
        <w:t xml:space="preserve">travel in groups or pairs, as do armed male perpetrators, </w:t>
      </w:r>
      <w:r w:rsidR="00F85142" w:rsidRPr="00A307C6">
        <w:rPr>
          <w:lang w:val="en-GB"/>
        </w:rPr>
        <w:t xml:space="preserve">who prey on these groups of women and perpetrate </w:t>
      </w:r>
      <w:r w:rsidRPr="00A307C6">
        <w:rPr>
          <w:lang w:val="en-GB"/>
        </w:rPr>
        <w:t xml:space="preserve">gang rape </w:t>
      </w:r>
      <w:r w:rsidR="00F85142" w:rsidRPr="00A307C6">
        <w:rPr>
          <w:lang w:val="en-GB"/>
        </w:rPr>
        <w:t xml:space="preserve">and </w:t>
      </w:r>
      <w:r w:rsidRPr="00A307C6">
        <w:rPr>
          <w:lang w:val="en-GB"/>
        </w:rPr>
        <w:t>mass rape</w:t>
      </w:r>
      <w:r w:rsidR="00F85142" w:rsidRPr="00A307C6">
        <w:rPr>
          <w:lang w:val="en-GB"/>
        </w:rPr>
        <w:t xml:space="preserve">. The Commission also documented that these are not random opportunistic incidents but </w:t>
      </w:r>
      <w:r w:rsidR="00607066" w:rsidRPr="00A307C6">
        <w:rPr>
          <w:lang w:val="en-GB"/>
        </w:rPr>
        <w:t xml:space="preserve">usually </w:t>
      </w:r>
      <w:r w:rsidR="00F85142" w:rsidRPr="00A307C6">
        <w:rPr>
          <w:lang w:val="en-GB"/>
        </w:rPr>
        <w:t xml:space="preserve">involve armed </w:t>
      </w:r>
      <w:r w:rsidRPr="00A307C6">
        <w:rPr>
          <w:lang w:val="en-GB"/>
        </w:rPr>
        <w:t>soldiers actively</w:t>
      </w:r>
      <w:r w:rsidR="00F85142" w:rsidRPr="00A307C6">
        <w:rPr>
          <w:lang w:val="en-GB"/>
        </w:rPr>
        <w:t xml:space="preserve"> </w:t>
      </w:r>
      <w:r w:rsidRPr="00A307C6">
        <w:rPr>
          <w:lang w:val="en-GB"/>
        </w:rPr>
        <w:t xml:space="preserve">hunting </w:t>
      </w:r>
      <w:r w:rsidR="00F85142" w:rsidRPr="00A307C6">
        <w:rPr>
          <w:lang w:val="en-GB"/>
        </w:rPr>
        <w:t xml:space="preserve">down </w:t>
      </w:r>
      <w:r w:rsidRPr="00A307C6">
        <w:rPr>
          <w:lang w:val="en-GB"/>
        </w:rPr>
        <w:t>women and girls.</w:t>
      </w:r>
      <w:r w:rsidR="00BB2FA3" w:rsidRPr="00A307C6">
        <w:rPr>
          <w:lang w:val="en-GB"/>
        </w:rPr>
        <w:t xml:space="preserve"> </w:t>
      </w:r>
    </w:p>
    <w:p w14:paraId="6324656F" w14:textId="3A2DD4E3" w:rsidR="00C776EC" w:rsidRPr="00A307C6" w:rsidRDefault="00250A03" w:rsidP="00FF077A">
      <w:pPr>
        <w:pStyle w:val="Paragraph"/>
        <w:rPr>
          <w:lang w:val="en-GB"/>
        </w:rPr>
      </w:pPr>
      <w:r w:rsidRPr="00A307C6">
        <w:rPr>
          <w:lang w:val="en-GB"/>
        </w:rPr>
        <w:t xml:space="preserve">Witness </w:t>
      </w:r>
      <w:r w:rsidR="00BB2FA3" w:rsidRPr="00A307C6">
        <w:rPr>
          <w:lang w:val="en-GB"/>
        </w:rPr>
        <w:t>testimonies describ</w:t>
      </w:r>
      <w:r w:rsidRPr="00A307C6">
        <w:rPr>
          <w:lang w:val="en-GB"/>
        </w:rPr>
        <w:t>e</w:t>
      </w:r>
      <w:r w:rsidR="00BB2FA3" w:rsidRPr="00A307C6">
        <w:rPr>
          <w:lang w:val="en-GB"/>
        </w:rPr>
        <w:t xml:space="preserve"> </w:t>
      </w:r>
      <w:r w:rsidRPr="00A307C6">
        <w:rPr>
          <w:lang w:val="en-GB"/>
        </w:rPr>
        <w:t xml:space="preserve">being captured and taken to </w:t>
      </w:r>
      <w:r w:rsidR="00BB2FA3" w:rsidRPr="00A307C6">
        <w:rPr>
          <w:lang w:val="en-GB"/>
        </w:rPr>
        <w:t xml:space="preserve">encampments in forested areas where the perpetrators have set up temporary shelters.  </w:t>
      </w:r>
      <w:r w:rsidRPr="00A307C6">
        <w:rPr>
          <w:lang w:val="en-GB"/>
        </w:rPr>
        <w:t>M</w:t>
      </w:r>
      <w:r w:rsidR="00C56F22" w:rsidRPr="00A307C6">
        <w:rPr>
          <w:lang w:val="en-GB"/>
        </w:rPr>
        <w:t>any</w:t>
      </w:r>
      <w:r w:rsidRPr="00A307C6">
        <w:rPr>
          <w:lang w:val="en-GB"/>
        </w:rPr>
        <w:t xml:space="preserve"> </w:t>
      </w:r>
      <w:r w:rsidR="00BB2FA3" w:rsidRPr="00A307C6">
        <w:rPr>
          <w:lang w:val="en-GB"/>
        </w:rPr>
        <w:t xml:space="preserve">victims </w:t>
      </w:r>
      <w:r w:rsidRPr="00A307C6">
        <w:rPr>
          <w:lang w:val="en-GB"/>
        </w:rPr>
        <w:t xml:space="preserve">were not able to identify </w:t>
      </w:r>
      <w:r w:rsidR="00BB2FA3" w:rsidRPr="00A307C6">
        <w:rPr>
          <w:lang w:val="en-GB"/>
        </w:rPr>
        <w:t>the specific location of the</w:t>
      </w:r>
      <w:r w:rsidRPr="00A307C6">
        <w:rPr>
          <w:lang w:val="en-GB"/>
        </w:rPr>
        <w:t xml:space="preserve"> </w:t>
      </w:r>
      <w:r w:rsidR="00BB2FA3" w:rsidRPr="00A307C6">
        <w:rPr>
          <w:lang w:val="en-GB"/>
        </w:rPr>
        <w:t>places</w:t>
      </w:r>
      <w:r w:rsidRPr="00A307C6">
        <w:rPr>
          <w:lang w:val="en-GB"/>
        </w:rPr>
        <w:t xml:space="preserve"> they were taken to</w:t>
      </w:r>
      <w:r w:rsidR="00BB2FA3" w:rsidRPr="00A307C6">
        <w:rPr>
          <w:lang w:val="en-GB"/>
        </w:rPr>
        <w:t xml:space="preserve">, </w:t>
      </w:r>
      <w:r w:rsidR="00370A76">
        <w:rPr>
          <w:lang w:val="en-GB"/>
        </w:rPr>
        <w:t xml:space="preserve">detained </w:t>
      </w:r>
      <w:r w:rsidRPr="00A307C6">
        <w:rPr>
          <w:lang w:val="en-GB"/>
        </w:rPr>
        <w:t xml:space="preserve">and where they were </w:t>
      </w:r>
      <w:r w:rsidR="00370A76">
        <w:rPr>
          <w:lang w:val="en-GB"/>
        </w:rPr>
        <w:t xml:space="preserve">gang </w:t>
      </w:r>
      <w:r w:rsidRPr="00A307C6">
        <w:rPr>
          <w:lang w:val="en-GB"/>
        </w:rPr>
        <w:t>raped</w:t>
      </w:r>
      <w:r w:rsidR="00370A76">
        <w:rPr>
          <w:lang w:val="en-GB"/>
        </w:rPr>
        <w:t>.</w:t>
      </w:r>
      <w:r w:rsidRPr="00A307C6">
        <w:rPr>
          <w:lang w:val="en-GB"/>
        </w:rPr>
        <w:t xml:space="preserve"> Women and girls interviewed described how they were forced to </w:t>
      </w:r>
      <w:r w:rsidR="00BB2FA3" w:rsidRPr="00A307C6">
        <w:rPr>
          <w:lang w:val="en-GB"/>
        </w:rPr>
        <w:t>walk through bushes and forests for long periods</w:t>
      </w:r>
      <w:r w:rsidRPr="00A307C6">
        <w:rPr>
          <w:lang w:val="en-GB"/>
        </w:rPr>
        <w:t xml:space="preserve">, with the aim of </w:t>
      </w:r>
      <w:r w:rsidR="00BB2FA3" w:rsidRPr="00A307C6">
        <w:rPr>
          <w:lang w:val="en-GB"/>
        </w:rPr>
        <w:t>deliberately disorient</w:t>
      </w:r>
      <w:r w:rsidRPr="00A307C6">
        <w:rPr>
          <w:lang w:val="en-GB"/>
        </w:rPr>
        <w:t xml:space="preserve">ing </w:t>
      </w:r>
      <w:r w:rsidR="00BB2FA3" w:rsidRPr="00A307C6">
        <w:rPr>
          <w:lang w:val="en-GB"/>
        </w:rPr>
        <w:t>the</w:t>
      </w:r>
      <w:r w:rsidRPr="00A307C6">
        <w:rPr>
          <w:lang w:val="en-GB"/>
        </w:rPr>
        <w:t xml:space="preserve">m. </w:t>
      </w:r>
    </w:p>
    <w:p w14:paraId="6D702BB7" w14:textId="71D75157" w:rsidR="003E43D4" w:rsidRPr="00A307C6" w:rsidRDefault="00C776EC" w:rsidP="00FF077A">
      <w:pPr>
        <w:pStyle w:val="Paragraph"/>
        <w:rPr>
          <w:lang w:val="en-GB"/>
        </w:rPr>
      </w:pPr>
      <w:r w:rsidRPr="00A307C6">
        <w:rPr>
          <w:lang w:val="en-GB"/>
        </w:rPr>
        <w:t xml:space="preserve">A mother of four children from Unity State, from a family of six siblings, described how in 2017 she and three women friends were walking the six-hour round trip from an IDP camp to gather firewood, when they </w:t>
      </w:r>
      <w:r w:rsidR="00861ABC" w:rsidRPr="00A307C6">
        <w:rPr>
          <w:lang w:val="en-GB"/>
        </w:rPr>
        <w:t xml:space="preserve">ran into </w:t>
      </w:r>
      <w:r w:rsidRPr="00A307C6">
        <w:rPr>
          <w:lang w:val="en-GB"/>
        </w:rPr>
        <w:t xml:space="preserve">five armed men wearing military uniforms, </w:t>
      </w:r>
      <w:r w:rsidR="00861ABC" w:rsidRPr="00A307C6">
        <w:rPr>
          <w:lang w:val="en-GB"/>
        </w:rPr>
        <w:t xml:space="preserve">who then brutally raped </w:t>
      </w:r>
      <w:r w:rsidRPr="00A307C6">
        <w:rPr>
          <w:lang w:val="en-GB"/>
        </w:rPr>
        <w:t xml:space="preserve">each woman multiple times, </w:t>
      </w:r>
      <w:r w:rsidR="00861ABC" w:rsidRPr="00A307C6">
        <w:rPr>
          <w:lang w:val="en-GB"/>
        </w:rPr>
        <w:t xml:space="preserve">resulting in one of the women </w:t>
      </w:r>
      <w:r w:rsidRPr="00A307C6">
        <w:rPr>
          <w:lang w:val="en-GB"/>
        </w:rPr>
        <w:t>dying from her wounds that day.</w:t>
      </w:r>
      <w:r w:rsidRPr="00A307C6">
        <w:rPr>
          <w:rStyle w:val="FootnoteReference"/>
          <w:lang w:val="en-GB"/>
        </w:rPr>
        <w:footnoteReference w:id="39"/>
      </w:r>
      <w:r w:rsidRPr="00A307C6">
        <w:rPr>
          <w:lang w:val="en-GB"/>
        </w:rPr>
        <w:t xml:space="preserve"> </w:t>
      </w:r>
      <w:r w:rsidR="00861ABC" w:rsidRPr="00A307C6">
        <w:rPr>
          <w:lang w:val="en-GB"/>
        </w:rPr>
        <w:t xml:space="preserve">In another incident, </w:t>
      </w:r>
      <w:r w:rsidR="00DF354A" w:rsidRPr="00A307C6">
        <w:rPr>
          <w:lang w:val="en-GB"/>
        </w:rPr>
        <w:t xml:space="preserve">in </w:t>
      </w:r>
      <w:r w:rsidR="00DF354A" w:rsidRPr="00A307C6">
        <w:rPr>
          <w:lang w:val="en-GB"/>
        </w:rPr>
        <w:lastRenderedPageBreak/>
        <w:t xml:space="preserve">2021, </w:t>
      </w:r>
      <w:r w:rsidR="00861ABC" w:rsidRPr="00A307C6">
        <w:rPr>
          <w:lang w:val="en-GB"/>
        </w:rPr>
        <w:t>a</w:t>
      </w:r>
      <w:r w:rsidRPr="00A307C6">
        <w:rPr>
          <w:lang w:val="en-GB"/>
        </w:rPr>
        <w:t xml:space="preserve"> woman in Jonglei narrated how she was attacked and gang-raped by four armed men while she was in the bush </w:t>
      </w:r>
      <w:r w:rsidR="00370A76">
        <w:rPr>
          <w:lang w:val="en-GB"/>
        </w:rPr>
        <w:t xml:space="preserve">collecting </w:t>
      </w:r>
      <w:r w:rsidR="00D375DE" w:rsidRPr="00A307C6">
        <w:rPr>
          <w:lang w:val="en-GB"/>
        </w:rPr>
        <w:t>firewood</w:t>
      </w:r>
      <w:r w:rsidRPr="00A307C6">
        <w:rPr>
          <w:lang w:val="en-GB"/>
        </w:rPr>
        <w:t xml:space="preserve">, </w:t>
      </w:r>
      <w:r w:rsidR="00370A76">
        <w:rPr>
          <w:lang w:val="en-GB"/>
        </w:rPr>
        <w:t xml:space="preserve">rendered </w:t>
      </w:r>
      <w:r w:rsidRPr="00A307C6">
        <w:rPr>
          <w:lang w:val="en-GB"/>
        </w:rPr>
        <w:t xml:space="preserve">unconscious for the entire night, </w:t>
      </w:r>
      <w:r w:rsidR="00370A76">
        <w:rPr>
          <w:lang w:val="en-GB"/>
        </w:rPr>
        <w:t xml:space="preserve">and </w:t>
      </w:r>
      <w:r w:rsidRPr="00A307C6">
        <w:rPr>
          <w:lang w:val="en-GB"/>
        </w:rPr>
        <w:t>left for dead.</w:t>
      </w:r>
      <w:r w:rsidRPr="00A307C6">
        <w:rPr>
          <w:rStyle w:val="FootnoteReference"/>
          <w:lang w:val="en-GB"/>
        </w:rPr>
        <w:footnoteReference w:id="40"/>
      </w:r>
      <w:r w:rsidRPr="00A307C6">
        <w:rPr>
          <w:lang w:val="en-GB"/>
        </w:rPr>
        <w:t xml:space="preserve"> </w:t>
      </w:r>
    </w:p>
    <w:p w14:paraId="0D408033" w14:textId="1D8FFDC8" w:rsidR="00C776EC" w:rsidRPr="00A307C6" w:rsidRDefault="004426D3" w:rsidP="00171625">
      <w:pPr>
        <w:pStyle w:val="Paragraph"/>
        <w:rPr>
          <w:rFonts w:asciiTheme="majorBidi" w:hAnsiTheme="majorBidi" w:cstheme="majorBidi"/>
          <w:lang w:val="en-GB"/>
        </w:rPr>
      </w:pPr>
      <w:r w:rsidRPr="00A307C6">
        <w:rPr>
          <w:lang w:val="en-GB"/>
        </w:rPr>
        <w:t xml:space="preserve">The Commission also documented </w:t>
      </w:r>
      <w:r w:rsidR="00607066" w:rsidRPr="00A307C6">
        <w:rPr>
          <w:lang w:val="en-GB"/>
        </w:rPr>
        <w:t xml:space="preserve">how </w:t>
      </w:r>
      <w:r w:rsidRPr="00A307C6">
        <w:rPr>
          <w:lang w:val="en-GB"/>
        </w:rPr>
        <w:t>th</w:t>
      </w:r>
      <w:r w:rsidR="001E1A32" w:rsidRPr="00A307C6">
        <w:rPr>
          <w:lang w:val="en-GB"/>
        </w:rPr>
        <w:t>e</w:t>
      </w:r>
      <w:r w:rsidRPr="00A307C6">
        <w:rPr>
          <w:lang w:val="en-GB"/>
        </w:rPr>
        <w:t xml:space="preserve"> proximity of military barracks to civilian settlements and villages</w:t>
      </w:r>
      <w:r w:rsidR="001E1A32" w:rsidRPr="00A307C6">
        <w:rPr>
          <w:lang w:val="en-GB"/>
        </w:rPr>
        <w:t xml:space="preserve">, </w:t>
      </w:r>
      <w:r w:rsidR="00370A76">
        <w:rPr>
          <w:lang w:val="en-GB"/>
        </w:rPr>
        <w:t xml:space="preserve">while </w:t>
      </w:r>
      <w:r w:rsidR="00607066" w:rsidRPr="00A307C6">
        <w:rPr>
          <w:lang w:val="en-GB"/>
        </w:rPr>
        <w:t>facilitat</w:t>
      </w:r>
      <w:r w:rsidR="00370A76">
        <w:rPr>
          <w:lang w:val="en-GB"/>
        </w:rPr>
        <w:t xml:space="preserve">ing </w:t>
      </w:r>
      <w:r w:rsidR="001E1A32" w:rsidRPr="00A307C6">
        <w:rPr>
          <w:lang w:val="en-GB"/>
        </w:rPr>
        <w:t xml:space="preserve">the predatory </w:t>
      </w:r>
      <w:r w:rsidR="00A307C6" w:rsidRPr="00A307C6">
        <w:rPr>
          <w:lang w:val="en-GB"/>
        </w:rPr>
        <w:t>behaviour</w:t>
      </w:r>
      <w:r w:rsidR="001E1A32" w:rsidRPr="00A307C6">
        <w:rPr>
          <w:lang w:val="en-GB"/>
        </w:rPr>
        <w:t xml:space="preserve"> of soldiers against the local population</w:t>
      </w:r>
      <w:r w:rsidR="00C239C8" w:rsidRPr="00A307C6">
        <w:rPr>
          <w:lang w:val="en-GB"/>
        </w:rPr>
        <w:t xml:space="preserve">, </w:t>
      </w:r>
      <w:r w:rsidR="00C56F22" w:rsidRPr="00A307C6">
        <w:rPr>
          <w:lang w:val="en-GB"/>
        </w:rPr>
        <w:t xml:space="preserve">notes that </w:t>
      </w:r>
      <w:r w:rsidR="003D053E" w:rsidRPr="00A307C6">
        <w:rPr>
          <w:lang w:val="en-GB"/>
        </w:rPr>
        <w:t xml:space="preserve">some of </w:t>
      </w:r>
      <w:r w:rsidR="00C776EC" w:rsidRPr="00A307C6">
        <w:rPr>
          <w:lang w:val="en-GB"/>
        </w:rPr>
        <w:t xml:space="preserve">the attacks appear to have been </w:t>
      </w:r>
      <w:r w:rsidR="00C239C8" w:rsidRPr="00A307C6">
        <w:rPr>
          <w:lang w:val="en-GB"/>
        </w:rPr>
        <w:t xml:space="preserve">deliberately </w:t>
      </w:r>
      <w:r w:rsidR="00C776EC" w:rsidRPr="00A307C6">
        <w:rPr>
          <w:lang w:val="en-GB"/>
        </w:rPr>
        <w:t>planned</w:t>
      </w:r>
      <w:r w:rsidR="00C239C8" w:rsidRPr="00A307C6">
        <w:rPr>
          <w:lang w:val="en-GB"/>
        </w:rPr>
        <w:t xml:space="preserve">. </w:t>
      </w:r>
      <w:r w:rsidR="003D053E" w:rsidRPr="00A307C6">
        <w:rPr>
          <w:lang w:val="en-GB"/>
        </w:rPr>
        <w:t>I</w:t>
      </w:r>
      <w:r w:rsidR="00C776EC" w:rsidRPr="00A307C6">
        <w:rPr>
          <w:lang w:val="en-GB"/>
        </w:rPr>
        <w:t xml:space="preserve">n parts of </w:t>
      </w:r>
      <w:r w:rsidR="00875398" w:rsidRPr="00A307C6">
        <w:rPr>
          <w:lang w:val="en-GB"/>
        </w:rPr>
        <w:t xml:space="preserve">the country, such as in Unity and </w:t>
      </w:r>
      <w:r w:rsidR="00C776EC" w:rsidRPr="00A307C6">
        <w:rPr>
          <w:lang w:val="en-GB"/>
        </w:rPr>
        <w:t>Central Equatoria</w:t>
      </w:r>
      <w:r w:rsidR="0047168B" w:rsidRPr="00A307C6">
        <w:rPr>
          <w:lang w:val="en-GB"/>
        </w:rPr>
        <w:t>,</w:t>
      </w:r>
      <w:r w:rsidR="00C776EC" w:rsidRPr="00A307C6">
        <w:rPr>
          <w:lang w:val="en-GB"/>
        </w:rPr>
        <w:t xml:space="preserve"> women and girls travelling to pursue livelihood activities </w:t>
      </w:r>
      <w:r w:rsidR="00607066" w:rsidRPr="00A307C6">
        <w:rPr>
          <w:lang w:val="en-GB"/>
        </w:rPr>
        <w:t xml:space="preserve">are </w:t>
      </w:r>
      <w:r w:rsidR="00370A76">
        <w:rPr>
          <w:lang w:val="en-GB"/>
        </w:rPr>
        <w:t xml:space="preserve">usually </w:t>
      </w:r>
      <w:r w:rsidR="003D053E" w:rsidRPr="00A307C6">
        <w:rPr>
          <w:lang w:val="en-GB"/>
        </w:rPr>
        <w:t xml:space="preserve">not </w:t>
      </w:r>
      <w:r w:rsidR="00C776EC" w:rsidRPr="00A307C6">
        <w:rPr>
          <w:lang w:val="en-GB"/>
        </w:rPr>
        <w:t xml:space="preserve">accompanied by men or boys, </w:t>
      </w:r>
      <w:r w:rsidR="001A23B0" w:rsidRPr="00A307C6">
        <w:rPr>
          <w:lang w:val="en-GB"/>
        </w:rPr>
        <w:t xml:space="preserve">as the </w:t>
      </w:r>
      <w:r w:rsidR="00607066" w:rsidRPr="00A307C6">
        <w:rPr>
          <w:lang w:val="en-GB"/>
        </w:rPr>
        <w:t xml:space="preserve">men and boys </w:t>
      </w:r>
      <w:r w:rsidR="00C776EC" w:rsidRPr="00A307C6">
        <w:rPr>
          <w:lang w:val="en-GB"/>
        </w:rPr>
        <w:t xml:space="preserve">fear </w:t>
      </w:r>
      <w:r w:rsidR="003D053E" w:rsidRPr="00A307C6">
        <w:rPr>
          <w:lang w:val="en-GB"/>
        </w:rPr>
        <w:t xml:space="preserve">being detained, </w:t>
      </w:r>
      <w:r w:rsidR="00C776EC" w:rsidRPr="00A307C6">
        <w:rPr>
          <w:lang w:val="en-GB"/>
        </w:rPr>
        <w:t>or torture</w:t>
      </w:r>
      <w:r w:rsidR="003D053E" w:rsidRPr="00A307C6">
        <w:rPr>
          <w:lang w:val="en-GB"/>
        </w:rPr>
        <w:t>d,</w:t>
      </w:r>
      <w:r w:rsidR="00C776EC" w:rsidRPr="00A307C6">
        <w:rPr>
          <w:lang w:val="en-GB"/>
        </w:rPr>
        <w:t xml:space="preserve"> or </w:t>
      </w:r>
      <w:r w:rsidR="001A23B0" w:rsidRPr="00A307C6">
        <w:rPr>
          <w:lang w:val="en-GB"/>
        </w:rPr>
        <w:t>forc</w:t>
      </w:r>
      <w:r w:rsidR="003D053E" w:rsidRPr="00A307C6">
        <w:rPr>
          <w:lang w:val="en-GB"/>
        </w:rPr>
        <w:t xml:space="preserve">ibly </w:t>
      </w:r>
      <w:r w:rsidR="00C776EC" w:rsidRPr="00A307C6">
        <w:rPr>
          <w:lang w:val="en-GB"/>
        </w:rPr>
        <w:t>recruit</w:t>
      </w:r>
      <w:r w:rsidR="003D053E" w:rsidRPr="00A307C6">
        <w:rPr>
          <w:lang w:val="en-GB"/>
        </w:rPr>
        <w:t xml:space="preserve">ed if they </w:t>
      </w:r>
      <w:r w:rsidR="00C776EC" w:rsidRPr="00A307C6">
        <w:rPr>
          <w:lang w:val="en-GB"/>
        </w:rPr>
        <w:t>leav</w:t>
      </w:r>
      <w:r w:rsidR="003D053E" w:rsidRPr="00A307C6">
        <w:rPr>
          <w:lang w:val="en-GB"/>
        </w:rPr>
        <w:t xml:space="preserve">e the </w:t>
      </w:r>
      <w:r w:rsidR="00C776EC" w:rsidRPr="00A307C6">
        <w:rPr>
          <w:lang w:val="en-GB"/>
        </w:rPr>
        <w:t>camps</w:t>
      </w:r>
      <w:r w:rsidR="003D053E" w:rsidRPr="00A307C6">
        <w:rPr>
          <w:lang w:val="en-GB"/>
        </w:rPr>
        <w:t>. As a</w:t>
      </w:r>
      <w:r w:rsidR="001A23B0" w:rsidRPr="00A307C6">
        <w:rPr>
          <w:lang w:val="en-GB"/>
        </w:rPr>
        <w:t xml:space="preserve"> result</w:t>
      </w:r>
      <w:r w:rsidR="003D053E" w:rsidRPr="00A307C6">
        <w:rPr>
          <w:lang w:val="en-GB"/>
        </w:rPr>
        <w:t xml:space="preserve">, </w:t>
      </w:r>
      <w:r w:rsidR="001A23B0" w:rsidRPr="00A307C6">
        <w:rPr>
          <w:lang w:val="en-GB"/>
        </w:rPr>
        <w:t xml:space="preserve">women and girls </w:t>
      </w:r>
      <w:r w:rsidR="003D053E" w:rsidRPr="00A307C6">
        <w:rPr>
          <w:lang w:val="en-GB"/>
        </w:rPr>
        <w:t xml:space="preserve">are </w:t>
      </w:r>
      <w:r w:rsidR="001A23B0" w:rsidRPr="00A307C6">
        <w:rPr>
          <w:lang w:val="en-GB"/>
        </w:rPr>
        <w:t xml:space="preserve">much more </w:t>
      </w:r>
      <w:r w:rsidR="00C776EC" w:rsidRPr="00A307C6">
        <w:rPr>
          <w:lang w:val="en-GB"/>
        </w:rPr>
        <w:t xml:space="preserve">vulnerable </w:t>
      </w:r>
      <w:r w:rsidR="003D053E" w:rsidRPr="00A307C6">
        <w:rPr>
          <w:lang w:val="en-GB"/>
        </w:rPr>
        <w:t xml:space="preserve">and </w:t>
      </w:r>
      <w:r w:rsidR="00C776EC" w:rsidRPr="00A307C6">
        <w:rPr>
          <w:lang w:val="en-GB"/>
        </w:rPr>
        <w:t>easier prey for perpetrators</w:t>
      </w:r>
      <w:r w:rsidR="00607066" w:rsidRPr="00A307C6">
        <w:rPr>
          <w:lang w:val="en-GB"/>
        </w:rPr>
        <w:t>.</w:t>
      </w:r>
      <w:r w:rsidR="00C776EC" w:rsidRPr="00A307C6">
        <w:rPr>
          <w:lang w:val="en-GB"/>
        </w:rPr>
        <w:t xml:space="preserve"> </w:t>
      </w:r>
    </w:p>
    <w:p w14:paraId="7E82CEA2" w14:textId="7DD98696" w:rsidR="00C776EC" w:rsidRPr="00A307C6" w:rsidRDefault="0003180B" w:rsidP="00FF077A">
      <w:pPr>
        <w:pStyle w:val="Paragraph"/>
        <w:rPr>
          <w:rFonts w:asciiTheme="majorBidi" w:hAnsiTheme="majorBidi" w:cstheme="majorBidi"/>
          <w:lang w:val="en-GB"/>
        </w:rPr>
      </w:pPr>
      <w:r w:rsidRPr="00A307C6">
        <w:rPr>
          <w:lang w:val="en-GB"/>
        </w:rPr>
        <w:t xml:space="preserve">The </w:t>
      </w:r>
      <w:r w:rsidR="00C776EC" w:rsidRPr="00A307C6">
        <w:rPr>
          <w:lang w:val="en-GB"/>
        </w:rPr>
        <w:t>Commission</w:t>
      </w:r>
      <w:r w:rsidRPr="00A307C6">
        <w:rPr>
          <w:lang w:val="en-GB"/>
        </w:rPr>
        <w:t xml:space="preserve"> has also documented</w:t>
      </w:r>
      <w:r w:rsidR="00C776EC" w:rsidRPr="00A307C6">
        <w:rPr>
          <w:lang w:val="en-GB"/>
        </w:rPr>
        <w:t xml:space="preserve"> </w:t>
      </w:r>
      <w:r w:rsidRPr="00A307C6">
        <w:rPr>
          <w:lang w:val="en-GB"/>
        </w:rPr>
        <w:t xml:space="preserve">incidents of </w:t>
      </w:r>
      <w:r w:rsidR="00C776EC" w:rsidRPr="00A307C6">
        <w:rPr>
          <w:lang w:val="en-GB"/>
        </w:rPr>
        <w:t xml:space="preserve">sexual violence involving </w:t>
      </w:r>
      <w:r w:rsidRPr="00A307C6">
        <w:rPr>
          <w:lang w:val="en-GB"/>
        </w:rPr>
        <w:t xml:space="preserve">individual </w:t>
      </w:r>
      <w:r w:rsidR="00C776EC" w:rsidRPr="00A307C6">
        <w:rPr>
          <w:lang w:val="en-GB"/>
        </w:rPr>
        <w:t>perpetrator</w:t>
      </w:r>
      <w:r w:rsidRPr="00A307C6">
        <w:rPr>
          <w:lang w:val="en-GB"/>
        </w:rPr>
        <w:t>s</w:t>
      </w:r>
      <w:r w:rsidR="00C776EC" w:rsidRPr="00A307C6">
        <w:rPr>
          <w:lang w:val="en-GB"/>
        </w:rPr>
        <w:t xml:space="preserve"> and victim</w:t>
      </w:r>
      <w:r w:rsidRPr="00A307C6">
        <w:rPr>
          <w:lang w:val="en-GB"/>
        </w:rPr>
        <w:t>s</w:t>
      </w:r>
      <w:r w:rsidR="00C776EC" w:rsidRPr="00A307C6">
        <w:rPr>
          <w:lang w:val="en-GB"/>
        </w:rPr>
        <w:t xml:space="preserve"> </w:t>
      </w:r>
      <w:r w:rsidRPr="00A307C6">
        <w:rPr>
          <w:lang w:val="en-GB"/>
        </w:rPr>
        <w:t xml:space="preserve">occurring </w:t>
      </w:r>
      <w:r w:rsidR="00C776EC" w:rsidRPr="00A307C6">
        <w:rPr>
          <w:lang w:val="en-GB"/>
        </w:rPr>
        <w:t xml:space="preserve">in </w:t>
      </w:r>
      <w:r w:rsidRPr="00A307C6">
        <w:rPr>
          <w:lang w:val="en-GB"/>
        </w:rPr>
        <w:t xml:space="preserve">the context of </w:t>
      </w:r>
      <w:r w:rsidR="00C776EC" w:rsidRPr="00A307C6">
        <w:rPr>
          <w:lang w:val="en-GB"/>
        </w:rPr>
        <w:t>conflict, for instance when an armed man attacks a lone woman in an isolated location.</w:t>
      </w:r>
    </w:p>
    <w:p w14:paraId="0842B743" w14:textId="6E7252F0" w:rsidR="003816B2" w:rsidRPr="00A307C6" w:rsidRDefault="00C776EC" w:rsidP="00171625">
      <w:pPr>
        <w:pStyle w:val="Paragraph"/>
        <w:numPr>
          <w:ilvl w:val="0"/>
          <w:numId w:val="0"/>
        </w:numPr>
        <w:ind w:left="1134"/>
        <w:rPr>
          <w:lang w:val="en-GB"/>
        </w:rPr>
      </w:pPr>
      <w:r w:rsidRPr="00A307C6">
        <w:rPr>
          <w:lang w:val="en-GB"/>
        </w:rPr>
        <w:t xml:space="preserve">“We decided to separate so we could collect firewood from different places… a man carrying an AK47 approached me… He pushed me hard on the ground and told me to be quiet, otherwise he would shoot me…. (after) some time, he was finished, got dressed and left. I got dressed and picked up the </w:t>
      </w:r>
      <w:r w:rsidR="002404AF" w:rsidRPr="00A307C6">
        <w:rPr>
          <w:lang w:val="en-GB"/>
        </w:rPr>
        <w:t>firewood</w:t>
      </w:r>
      <w:r w:rsidRPr="00A307C6">
        <w:rPr>
          <w:lang w:val="en-GB"/>
        </w:rPr>
        <w:t xml:space="preserve"> I’d collected.” – a young mother in Unity State.</w:t>
      </w:r>
      <w:r w:rsidRPr="00A307C6">
        <w:rPr>
          <w:rStyle w:val="FootnoteReference"/>
          <w:lang w:val="en-GB"/>
        </w:rPr>
        <w:footnoteReference w:id="41"/>
      </w:r>
    </w:p>
    <w:p w14:paraId="605F912C" w14:textId="04A56083" w:rsidR="0027112E" w:rsidRPr="00A307C6" w:rsidRDefault="00C15329" w:rsidP="0027112E">
      <w:pPr>
        <w:pStyle w:val="Paragraph"/>
        <w:rPr>
          <w:lang w:val="en-GB"/>
        </w:rPr>
      </w:pPr>
      <w:r w:rsidRPr="00A307C6">
        <w:rPr>
          <w:lang w:val="en-GB"/>
        </w:rPr>
        <w:t xml:space="preserve">Numerous women and girls who </w:t>
      </w:r>
      <w:r w:rsidR="00607066" w:rsidRPr="00A307C6">
        <w:rPr>
          <w:lang w:val="en-GB"/>
        </w:rPr>
        <w:t xml:space="preserve">suffered </w:t>
      </w:r>
      <w:r w:rsidRPr="00A307C6">
        <w:rPr>
          <w:lang w:val="en-GB"/>
        </w:rPr>
        <w:t xml:space="preserve">gang and mass rapes described </w:t>
      </w:r>
      <w:r w:rsidR="00607066" w:rsidRPr="00A307C6">
        <w:rPr>
          <w:lang w:val="en-GB"/>
        </w:rPr>
        <w:t xml:space="preserve">how </w:t>
      </w:r>
      <w:r w:rsidRPr="00A307C6">
        <w:rPr>
          <w:lang w:val="en-GB"/>
        </w:rPr>
        <w:t xml:space="preserve">they were effectively left for dead by their perpetrators. </w:t>
      </w:r>
      <w:r w:rsidR="003816B2" w:rsidRPr="00A307C6">
        <w:rPr>
          <w:lang w:val="en-GB"/>
        </w:rPr>
        <w:t xml:space="preserve">A teenager raped in Juba said that after three men raped her, she heard them speaking among themselves, saying they </w:t>
      </w:r>
      <w:r w:rsidR="000151E6">
        <w:rPr>
          <w:lang w:val="en-GB"/>
        </w:rPr>
        <w:t>“</w:t>
      </w:r>
      <w:r w:rsidR="003816B2" w:rsidRPr="00A307C6">
        <w:rPr>
          <w:lang w:val="en-GB"/>
        </w:rPr>
        <w:t>should leave this girl who will die</w:t>
      </w:r>
      <w:r w:rsidR="000151E6">
        <w:rPr>
          <w:lang w:val="en-GB"/>
        </w:rPr>
        <w:t>”</w:t>
      </w:r>
      <w:r w:rsidR="003816B2" w:rsidRPr="00A307C6">
        <w:rPr>
          <w:lang w:val="en-GB"/>
        </w:rPr>
        <w:t>.</w:t>
      </w:r>
      <w:r w:rsidR="003816B2" w:rsidRPr="00A307C6">
        <w:rPr>
          <w:rStyle w:val="FootnoteReference"/>
          <w:lang w:val="en-GB"/>
        </w:rPr>
        <w:footnoteReference w:id="42"/>
      </w:r>
      <w:r w:rsidRPr="00A307C6">
        <w:rPr>
          <w:lang w:val="en-GB"/>
        </w:rPr>
        <w:t xml:space="preserve"> Many women and girls have died while trying to flee being raped. They </w:t>
      </w:r>
      <w:r w:rsidR="003D053E" w:rsidRPr="00A307C6">
        <w:rPr>
          <w:lang w:val="en-GB"/>
        </w:rPr>
        <w:t xml:space="preserve">have </w:t>
      </w:r>
      <w:r w:rsidRPr="00A307C6">
        <w:rPr>
          <w:lang w:val="en-GB"/>
        </w:rPr>
        <w:t xml:space="preserve">either </w:t>
      </w:r>
      <w:r w:rsidR="003D053E" w:rsidRPr="00A307C6">
        <w:rPr>
          <w:lang w:val="en-GB"/>
        </w:rPr>
        <w:t xml:space="preserve">been </w:t>
      </w:r>
      <w:r w:rsidR="00504461" w:rsidRPr="00A307C6">
        <w:rPr>
          <w:lang w:val="en-GB"/>
        </w:rPr>
        <w:t>killed during the attack</w:t>
      </w:r>
      <w:r w:rsidR="003D053E" w:rsidRPr="00A307C6">
        <w:rPr>
          <w:lang w:val="en-GB"/>
        </w:rPr>
        <w:t xml:space="preserve">, or </w:t>
      </w:r>
      <w:r w:rsidRPr="00A307C6">
        <w:rPr>
          <w:lang w:val="en-GB"/>
        </w:rPr>
        <w:t xml:space="preserve">in the course of escaping, </w:t>
      </w:r>
      <w:r w:rsidR="003D053E" w:rsidRPr="00A307C6">
        <w:rPr>
          <w:lang w:val="en-GB"/>
        </w:rPr>
        <w:t>some</w:t>
      </w:r>
      <w:r w:rsidRPr="00A307C6">
        <w:rPr>
          <w:lang w:val="en-GB"/>
        </w:rPr>
        <w:t xml:space="preserve"> drowning while seeking to cross </w:t>
      </w:r>
      <w:r w:rsidR="003D053E" w:rsidRPr="00A307C6">
        <w:rPr>
          <w:lang w:val="en-GB"/>
        </w:rPr>
        <w:t xml:space="preserve">dangerous </w:t>
      </w:r>
      <w:r w:rsidRPr="00A307C6">
        <w:rPr>
          <w:lang w:val="en-GB"/>
        </w:rPr>
        <w:t>watercourses.</w:t>
      </w:r>
    </w:p>
    <w:p w14:paraId="19662E67" w14:textId="44A5ADE3" w:rsidR="00C776EC" w:rsidRPr="00A307C6" w:rsidRDefault="00C776EC" w:rsidP="009E6E96">
      <w:pPr>
        <w:pStyle w:val="H1G"/>
      </w:pPr>
      <w:bookmarkStart w:id="22" w:name="_Toc98226807"/>
      <w:bookmarkStart w:id="23" w:name="_Toc98606448"/>
      <w:r w:rsidRPr="00A307C6">
        <w:lastRenderedPageBreak/>
        <w:t>Abductions</w:t>
      </w:r>
      <w:r w:rsidR="007C4FE8">
        <w:t xml:space="preserve">, detentions </w:t>
      </w:r>
      <w:r w:rsidR="005B06C8" w:rsidRPr="00A307C6">
        <w:t xml:space="preserve">and </w:t>
      </w:r>
      <w:r w:rsidRPr="00A307C6">
        <w:t xml:space="preserve">sexual </w:t>
      </w:r>
      <w:r w:rsidR="00A51ACA" w:rsidRPr="00A307C6">
        <w:t>slavery</w:t>
      </w:r>
      <w:bookmarkEnd w:id="22"/>
      <w:bookmarkEnd w:id="23"/>
      <w:r w:rsidR="00A51ACA" w:rsidRPr="00A307C6">
        <w:t xml:space="preserve"> </w:t>
      </w:r>
    </w:p>
    <w:p w14:paraId="586ED0C9" w14:textId="1F0EDE45" w:rsidR="001B7896" w:rsidRPr="00A307C6" w:rsidRDefault="00785D8D" w:rsidP="00FF077A">
      <w:pPr>
        <w:pStyle w:val="Paragraph"/>
        <w:rPr>
          <w:lang w:val="en-GB"/>
        </w:rPr>
      </w:pPr>
      <w:r w:rsidRPr="00A307C6">
        <w:rPr>
          <w:lang w:val="en-GB"/>
        </w:rPr>
        <w:t xml:space="preserve">The Commission </w:t>
      </w:r>
      <w:r w:rsidR="00A51ACA" w:rsidRPr="00A307C6">
        <w:rPr>
          <w:lang w:val="en-GB"/>
        </w:rPr>
        <w:t xml:space="preserve">documented the experiences of numerous </w:t>
      </w:r>
      <w:r w:rsidRPr="00A307C6">
        <w:rPr>
          <w:lang w:val="en-GB"/>
        </w:rPr>
        <w:t xml:space="preserve">women </w:t>
      </w:r>
      <w:r w:rsidR="00A51ACA" w:rsidRPr="00A307C6">
        <w:rPr>
          <w:lang w:val="en-GB"/>
        </w:rPr>
        <w:t xml:space="preserve">who had been </w:t>
      </w:r>
      <w:r w:rsidRPr="00A307C6">
        <w:rPr>
          <w:lang w:val="en-GB"/>
        </w:rPr>
        <w:t>abducted</w:t>
      </w:r>
      <w:r w:rsidR="00A51ACA" w:rsidRPr="00A307C6">
        <w:rPr>
          <w:lang w:val="en-GB"/>
        </w:rPr>
        <w:t xml:space="preserve"> and detained</w:t>
      </w:r>
      <w:r w:rsidRPr="00A307C6">
        <w:rPr>
          <w:lang w:val="en-GB"/>
        </w:rPr>
        <w:t xml:space="preserve"> against their will</w:t>
      </w:r>
      <w:r w:rsidR="00A51ACA" w:rsidRPr="00A307C6">
        <w:rPr>
          <w:lang w:val="en-GB"/>
        </w:rPr>
        <w:t xml:space="preserve">, for long periods of time and </w:t>
      </w:r>
      <w:r w:rsidRPr="00A307C6">
        <w:rPr>
          <w:lang w:val="en-GB"/>
        </w:rPr>
        <w:t xml:space="preserve">used </w:t>
      </w:r>
      <w:r w:rsidR="00A51ACA" w:rsidRPr="00A307C6">
        <w:rPr>
          <w:lang w:val="en-GB"/>
        </w:rPr>
        <w:t xml:space="preserve">as </w:t>
      </w:r>
      <w:r w:rsidRPr="00A307C6">
        <w:rPr>
          <w:lang w:val="en-GB"/>
        </w:rPr>
        <w:t xml:space="preserve">sexual </w:t>
      </w:r>
      <w:r w:rsidR="00A51ACA" w:rsidRPr="00A307C6">
        <w:rPr>
          <w:lang w:val="en-GB"/>
        </w:rPr>
        <w:t>slaves</w:t>
      </w:r>
      <w:r w:rsidR="003D053E" w:rsidRPr="00A307C6">
        <w:rPr>
          <w:lang w:val="en-GB"/>
        </w:rPr>
        <w:t xml:space="preserve"> by armed groups. They were also forced </w:t>
      </w:r>
      <w:r w:rsidR="00A51ACA" w:rsidRPr="00A307C6">
        <w:rPr>
          <w:lang w:val="en-GB"/>
        </w:rPr>
        <w:t xml:space="preserve">to carry out </w:t>
      </w:r>
      <w:r w:rsidRPr="00A307C6">
        <w:rPr>
          <w:lang w:val="en-GB"/>
        </w:rPr>
        <w:t xml:space="preserve">other tasks such as cooking, </w:t>
      </w:r>
      <w:r w:rsidR="00115D1A">
        <w:rPr>
          <w:lang w:val="en-GB"/>
        </w:rPr>
        <w:t xml:space="preserve">and the </w:t>
      </w:r>
      <w:r w:rsidRPr="00A307C6">
        <w:rPr>
          <w:lang w:val="en-GB"/>
        </w:rPr>
        <w:t xml:space="preserve">fetching </w:t>
      </w:r>
      <w:r w:rsidR="00115D1A">
        <w:rPr>
          <w:lang w:val="en-GB"/>
        </w:rPr>
        <w:t xml:space="preserve">of </w:t>
      </w:r>
      <w:r w:rsidRPr="00A307C6">
        <w:rPr>
          <w:lang w:val="en-GB"/>
        </w:rPr>
        <w:t>firewood and water.</w:t>
      </w:r>
      <w:r w:rsidR="004A7A1F" w:rsidRPr="00A307C6">
        <w:rPr>
          <w:lang w:val="en-GB"/>
        </w:rPr>
        <w:t xml:space="preserve"> </w:t>
      </w:r>
      <w:r w:rsidR="006B3E86" w:rsidRPr="00A307C6">
        <w:rPr>
          <w:lang w:val="en-GB"/>
        </w:rPr>
        <w:t>Service p</w:t>
      </w:r>
      <w:r w:rsidR="00A3371A" w:rsidRPr="00A307C6">
        <w:rPr>
          <w:lang w:val="en-GB"/>
        </w:rPr>
        <w:t xml:space="preserve">roviders </w:t>
      </w:r>
      <w:r w:rsidR="00343FEE" w:rsidRPr="00A307C6">
        <w:rPr>
          <w:lang w:val="en-GB"/>
        </w:rPr>
        <w:t>assisting</w:t>
      </w:r>
      <w:r w:rsidR="006B3E86" w:rsidRPr="00A307C6">
        <w:rPr>
          <w:lang w:val="en-GB"/>
        </w:rPr>
        <w:t xml:space="preserve"> victims of rape and sexual violence who have fled to </w:t>
      </w:r>
      <w:r w:rsidR="00A3371A" w:rsidRPr="00A307C6">
        <w:rPr>
          <w:lang w:val="en-GB"/>
        </w:rPr>
        <w:t xml:space="preserve">refugee </w:t>
      </w:r>
      <w:r w:rsidR="006B3E86" w:rsidRPr="00A307C6">
        <w:rPr>
          <w:lang w:val="en-GB"/>
        </w:rPr>
        <w:t xml:space="preserve">camps </w:t>
      </w:r>
      <w:r w:rsidR="00A3371A" w:rsidRPr="00A307C6">
        <w:rPr>
          <w:lang w:val="en-GB"/>
        </w:rPr>
        <w:t xml:space="preserve">from different parts of South Sudan have </w:t>
      </w:r>
      <w:r w:rsidR="00370A76">
        <w:rPr>
          <w:lang w:val="en-GB"/>
        </w:rPr>
        <w:t xml:space="preserve">confirmed </w:t>
      </w:r>
      <w:r w:rsidR="00A3371A" w:rsidRPr="00A307C6">
        <w:rPr>
          <w:lang w:val="en-GB"/>
        </w:rPr>
        <w:t xml:space="preserve">that </w:t>
      </w:r>
      <w:r w:rsidR="00343FEE" w:rsidRPr="00A307C6">
        <w:rPr>
          <w:lang w:val="en-GB"/>
        </w:rPr>
        <w:t>where women have been</w:t>
      </w:r>
      <w:r w:rsidR="00A3371A" w:rsidRPr="00A307C6">
        <w:rPr>
          <w:lang w:val="en-GB"/>
        </w:rPr>
        <w:t xml:space="preserve"> abduct</w:t>
      </w:r>
      <w:r w:rsidR="00343FEE" w:rsidRPr="00A307C6">
        <w:rPr>
          <w:lang w:val="en-GB"/>
        </w:rPr>
        <w:t xml:space="preserve">ed </w:t>
      </w:r>
      <w:r w:rsidR="00370A76">
        <w:rPr>
          <w:lang w:val="en-GB"/>
        </w:rPr>
        <w:t xml:space="preserve">and </w:t>
      </w:r>
      <w:r w:rsidR="00A3371A" w:rsidRPr="00A307C6">
        <w:rPr>
          <w:lang w:val="en-GB"/>
        </w:rPr>
        <w:t>det</w:t>
      </w:r>
      <w:r w:rsidR="00343FEE" w:rsidRPr="00A307C6">
        <w:rPr>
          <w:lang w:val="en-GB"/>
        </w:rPr>
        <w:t xml:space="preserve">ained by </w:t>
      </w:r>
      <w:r w:rsidR="00A3371A" w:rsidRPr="00A307C6">
        <w:rPr>
          <w:lang w:val="en-GB"/>
        </w:rPr>
        <w:t>State</w:t>
      </w:r>
      <w:r w:rsidR="00343FEE" w:rsidRPr="00A307C6">
        <w:rPr>
          <w:lang w:val="en-GB"/>
        </w:rPr>
        <w:t xml:space="preserve"> or</w:t>
      </w:r>
      <w:r w:rsidR="00A3371A" w:rsidRPr="00A307C6">
        <w:rPr>
          <w:lang w:val="en-GB"/>
        </w:rPr>
        <w:t xml:space="preserve"> non-State armed groups</w:t>
      </w:r>
      <w:r w:rsidR="00115D1A">
        <w:rPr>
          <w:lang w:val="en-GB"/>
        </w:rPr>
        <w:t>,</w:t>
      </w:r>
      <w:r w:rsidR="00A3371A" w:rsidRPr="00A307C6">
        <w:rPr>
          <w:lang w:val="en-GB"/>
        </w:rPr>
        <w:t xml:space="preserve"> </w:t>
      </w:r>
      <w:r w:rsidR="00343FEE" w:rsidRPr="00A307C6">
        <w:rPr>
          <w:lang w:val="en-GB"/>
        </w:rPr>
        <w:t>they</w:t>
      </w:r>
      <w:r w:rsidR="006B3E86" w:rsidRPr="00A307C6">
        <w:rPr>
          <w:lang w:val="en-GB"/>
        </w:rPr>
        <w:t xml:space="preserve"> have suffered </w:t>
      </w:r>
      <w:r w:rsidR="00A3371A" w:rsidRPr="00A307C6">
        <w:rPr>
          <w:lang w:val="en-GB"/>
        </w:rPr>
        <w:t>rape and other forms of sexual violence.</w:t>
      </w:r>
      <w:r w:rsidR="001B7896" w:rsidRPr="00A307C6">
        <w:rPr>
          <w:rStyle w:val="FootnoteReference"/>
          <w:lang w:val="en-GB"/>
        </w:rPr>
        <w:footnoteReference w:id="43"/>
      </w:r>
    </w:p>
    <w:p w14:paraId="2F4170B4" w14:textId="4978394A" w:rsidR="00526FF6" w:rsidRPr="00A307C6" w:rsidRDefault="00526FF6" w:rsidP="00171625">
      <w:pPr>
        <w:pStyle w:val="Paragraph"/>
        <w:numPr>
          <w:ilvl w:val="0"/>
          <w:numId w:val="0"/>
        </w:numPr>
        <w:ind w:left="1134"/>
        <w:rPr>
          <w:lang w:val="en-GB"/>
        </w:rPr>
      </w:pPr>
      <w:r w:rsidRPr="00A307C6">
        <w:rPr>
          <w:lang w:val="en-GB"/>
        </w:rPr>
        <w:t xml:space="preserve">“The most important things to know are: the soldiers kept me at the barracks for six months, I was sometimes beaten, and I conceived my last born there before I fled. I also saw more civilians being brought into the barracks, with soldiers killing some” – a young woman abducted and detained in a military </w:t>
      </w:r>
      <w:r w:rsidR="00857322" w:rsidRPr="00A307C6">
        <w:rPr>
          <w:lang w:val="en-GB"/>
        </w:rPr>
        <w:t>camp</w:t>
      </w:r>
      <w:r w:rsidRPr="00A307C6">
        <w:rPr>
          <w:lang w:val="en-GB"/>
        </w:rPr>
        <w:t xml:space="preserve"> in Central Equatoria.</w:t>
      </w:r>
      <w:r w:rsidR="00857322" w:rsidRPr="00A307C6">
        <w:rPr>
          <w:rStyle w:val="FootnoteReference"/>
          <w:lang w:val="en-GB"/>
        </w:rPr>
        <w:footnoteReference w:id="44"/>
      </w:r>
    </w:p>
    <w:p w14:paraId="000EF239" w14:textId="39BED5E1" w:rsidR="00C776EC" w:rsidRPr="00A307C6" w:rsidRDefault="00501FA5" w:rsidP="00FF077A">
      <w:pPr>
        <w:pStyle w:val="Paragraph"/>
        <w:rPr>
          <w:lang w:val="en-GB"/>
        </w:rPr>
      </w:pPr>
      <w:r w:rsidRPr="00A307C6">
        <w:rPr>
          <w:lang w:val="en-GB"/>
        </w:rPr>
        <w:t xml:space="preserve">Women abducted and </w:t>
      </w:r>
      <w:r w:rsidR="007C4FE8">
        <w:rPr>
          <w:lang w:val="en-GB"/>
        </w:rPr>
        <w:t xml:space="preserve">detained for long periods of time have been </w:t>
      </w:r>
      <w:r w:rsidRPr="00A307C6">
        <w:rPr>
          <w:lang w:val="en-GB"/>
        </w:rPr>
        <w:t xml:space="preserve">forced into sexual slavery </w:t>
      </w:r>
      <w:r w:rsidR="007C4FE8">
        <w:rPr>
          <w:lang w:val="en-GB"/>
        </w:rPr>
        <w:t>and also</w:t>
      </w:r>
      <w:r w:rsidR="006B3E86" w:rsidRPr="00A307C6">
        <w:rPr>
          <w:lang w:val="en-GB"/>
        </w:rPr>
        <w:t xml:space="preserve"> </w:t>
      </w:r>
      <w:r w:rsidRPr="00A307C6">
        <w:rPr>
          <w:lang w:val="en-GB"/>
        </w:rPr>
        <w:t xml:space="preserve">other forms of </w:t>
      </w:r>
      <w:r w:rsidR="00A3371A" w:rsidRPr="00A307C6">
        <w:rPr>
          <w:lang w:val="en-GB"/>
        </w:rPr>
        <w:t xml:space="preserve">exploitative </w:t>
      </w:r>
      <w:r w:rsidR="00343FEE" w:rsidRPr="00A307C6">
        <w:rPr>
          <w:lang w:val="en-GB"/>
        </w:rPr>
        <w:t xml:space="preserve">gendered </w:t>
      </w:r>
      <w:r w:rsidR="00A3371A" w:rsidRPr="00A307C6">
        <w:rPr>
          <w:lang w:val="en-GB"/>
        </w:rPr>
        <w:t xml:space="preserve">roles. </w:t>
      </w:r>
      <w:r w:rsidR="00C776EC" w:rsidRPr="00A307C6">
        <w:rPr>
          <w:lang w:val="en-GB"/>
        </w:rPr>
        <w:t xml:space="preserve">A woman recounted to the Commission how she was abducted in Upper Nile around 2015 by a group of men and then forced </w:t>
      </w:r>
      <w:r w:rsidRPr="00A307C6">
        <w:rPr>
          <w:lang w:val="en-GB"/>
        </w:rPr>
        <w:t xml:space="preserve">into sexual </w:t>
      </w:r>
      <w:r w:rsidR="00C776EC" w:rsidRPr="00A307C6">
        <w:rPr>
          <w:lang w:val="en-GB"/>
        </w:rPr>
        <w:t>slave</w:t>
      </w:r>
      <w:r w:rsidRPr="00A307C6">
        <w:rPr>
          <w:lang w:val="en-GB"/>
        </w:rPr>
        <w:t>ry and repeatedly raped</w:t>
      </w:r>
      <w:r w:rsidR="00C776EC" w:rsidRPr="00A307C6">
        <w:rPr>
          <w:lang w:val="en-GB"/>
        </w:rPr>
        <w:t xml:space="preserve">, </w:t>
      </w:r>
      <w:r w:rsidRPr="00A307C6">
        <w:rPr>
          <w:lang w:val="en-GB"/>
        </w:rPr>
        <w:t xml:space="preserve">while also being forced to </w:t>
      </w:r>
      <w:r w:rsidR="00C776EC" w:rsidRPr="00A307C6">
        <w:rPr>
          <w:lang w:val="en-GB"/>
        </w:rPr>
        <w:t>cook and wash clothes</w:t>
      </w:r>
      <w:r w:rsidR="00343FEE" w:rsidRPr="00A307C6">
        <w:rPr>
          <w:lang w:val="en-GB"/>
        </w:rPr>
        <w:t>. F</w:t>
      </w:r>
      <w:r w:rsidR="000A7D9F" w:rsidRPr="00A307C6">
        <w:rPr>
          <w:lang w:val="en-GB"/>
        </w:rPr>
        <w:t xml:space="preserve">ollowing the </w:t>
      </w:r>
      <w:r w:rsidR="00C776EC" w:rsidRPr="00A307C6">
        <w:rPr>
          <w:lang w:val="en-GB"/>
        </w:rPr>
        <w:t>repeate</w:t>
      </w:r>
      <w:r w:rsidR="000A7D9F" w:rsidRPr="00A307C6">
        <w:rPr>
          <w:lang w:val="en-GB"/>
        </w:rPr>
        <w:t>d</w:t>
      </w:r>
      <w:r w:rsidR="00C776EC" w:rsidRPr="00A307C6">
        <w:rPr>
          <w:lang w:val="en-GB"/>
        </w:rPr>
        <w:t xml:space="preserve"> rape</w:t>
      </w:r>
      <w:r w:rsidR="000A7D9F" w:rsidRPr="00A307C6">
        <w:rPr>
          <w:lang w:val="en-GB"/>
        </w:rPr>
        <w:t>s</w:t>
      </w:r>
      <w:r w:rsidR="00C776EC" w:rsidRPr="00A307C6">
        <w:rPr>
          <w:lang w:val="en-GB"/>
        </w:rPr>
        <w:t xml:space="preserve">, she </w:t>
      </w:r>
      <w:r w:rsidR="00370A76">
        <w:rPr>
          <w:lang w:val="en-GB"/>
        </w:rPr>
        <w:t xml:space="preserve">became pregnant and </w:t>
      </w:r>
      <w:r w:rsidR="00343FEE" w:rsidRPr="00A307C6">
        <w:rPr>
          <w:lang w:val="en-GB"/>
        </w:rPr>
        <w:t>conceived</w:t>
      </w:r>
      <w:r w:rsidR="00BF0171">
        <w:rPr>
          <w:lang w:val="en-GB"/>
        </w:rPr>
        <w:t>,</w:t>
      </w:r>
      <w:r w:rsidR="00343FEE" w:rsidRPr="00A307C6">
        <w:rPr>
          <w:lang w:val="en-GB"/>
        </w:rPr>
        <w:t xml:space="preserve"> </w:t>
      </w:r>
      <w:r w:rsidR="00370A76">
        <w:rPr>
          <w:lang w:val="en-GB"/>
        </w:rPr>
        <w:t xml:space="preserve">giving </w:t>
      </w:r>
      <w:r w:rsidR="00C776EC" w:rsidRPr="00A307C6">
        <w:rPr>
          <w:lang w:val="en-GB"/>
        </w:rPr>
        <w:t>birth to children.</w:t>
      </w:r>
      <w:r w:rsidR="00C776EC" w:rsidRPr="00A307C6">
        <w:rPr>
          <w:rStyle w:val="FootnoteReference"/>
          <w:lang w:val="en-GB"/>
        </w:rPr>
        <w:footnoteReference w:id="45"/>
      </w:r>
      <w:r w:rsidR="00C776EC" w:rsidRPr="00A307C6">
        <w:rPr>
          <w:lang w:val="en-GB"/>
        </w:rPr>
        <w:t xml:space="preserve"> </w:t>
      </w:r>
      <w:r w:rsidR="00343FEE" w:rsidRPr="00A307C6">
        <w:rPr>
          <w:lang w:val="en-GB"/>
        </w:rPr>
        <w:t>In circumstances amounting to sexual slavery and sexual violence, s</w:t>
      </w:r>
      <w:r w:rsidR="00C776EC" w:rsidRPr="00A307C6">
        <w:rPr>
          <w:lang w:val="en-GB"/>
        </w:rPr>
        <w:t xml:space="preserve">he explained </w:t>
      </w:r>
      <w:r w:rsidR="000A7D9F" w:rsidRPr="00A307C6">
        <w:rPr>
          <w:lang w:val="en-GB"/>
        </w:rPr>
        <w:t xml:space="preserve">that she </w:t>
      </w:r>
      <w:r w:rsidR="00F52864" w:rsidRPr="00A307C6">
        <w:rPr>
          <w:lang w:val="en-GB"/>
        </w:rPr>
        <w:t xml:space="preserve">has been compelled to remain </w:t>
      </w:r>
      <w:r w:rsidR="0029500B" w:rsidRPr="00A307C6">
        <w:rPr>
          <w:lang w:val="en-GB"/>
        </w:rPr>
        <w:t xml:space="preserve">with one of her abductees who </w:t>
      </w:r>
      <w:r w:rsidR="00C776EC" w:rsidRPr="00A307C6">
        <w:rPr>
          <w:lang w:val="en-GB"/>
        </w:rPr>
        <w:t>father</w:t>
      </w:r>
      <w:r w:rsidR="0029500B" w:rsidRPr="00A307C6">
        <w:rPr>
          <w:lang w:val="en-GB"/>
        </w:rPr>
        <w:t>ed</w:t>
      </w:r>
      <w:r w:rsidR="00C776EC" w:rsidRPr="00A307C6">
        <w:rPr>
          <w:lang w:val="en-GB"/>
        </w:rPr>
        <w:t xml:space="preserve"> two </w:t>
      </w:r>
      <w:r w:rsidR="0029500B" w:rsidRPr="00A307C6">
        <w:rPr>
          <w:lang w:val="en-GB"/>
        </w:rPr>
        <w:t xml:space="preserve">of her </w:t>
      </w:r>
      <w:r w:rsidR="00C776EC" w:rsidRPr="00A307C6">
        <w:rPr>
          <w:lang w:val="en-GB"/>
        </w:rPr>
        <w:t>girls.</w:t>
      </w:r>
      <w:r w:rsidR="00C776EC" w:rsidRPr="00A307C6">
        <w:rPr>
          <w:rStyle w:val="FootnoteReference"/>
          <w:lang w:val="en-GB"/>
        </w:rPr>
        <w:footnoteReference w:id="46"/>
      </w:r>
    </w:p>
    <w:p w14:paraId="18C7747D" w14:textId="04E175C0" w:rsidR="00A3371A" w:rsidRPr="00A307C6" w:rsidRDefault="008A4075" w:rsidP="00FF077A">
      <w:pPr>
        <w:pStyle w:val="Paragraph"/>
        <w:rPr>
          <w:lang w:val="en-GB"/>
        </w:rPr>
      </w:pPr>
      <w:r w:rsidRPr="00A307C6">
        <w:rPr>
          <w:lang w:val="en-GB"/>
        </w:rPr>
        <w:t>C</w:t>
      </w:r>
      <w:r w:rsidR="001B7896" w:rsidRPr="00A307C6">
        <w:rPr>
          <w:lang w:val="en-GB"/>
        </w:rPr>
        <w:t>onflict</w:t>
      </w:r>
      <w:r w:rsidR="0029500B" w:rsidRPr="00A307C6">
        <w:rPr>
          <w:lang w:val="en-GB"/>
        </w:rPr>
        <w:t>-</w:t>
      </w:r>
      <w:r w:rsidRPr="00A307C6">
        <w:rPr>
          <w:lang w:val="en-GB"/>
        </w:rPr>
        <w:t xml:space="preserve">related violence including sexual violence </w:t>
      </w:r>
      <w:r w:rsidR="00F52864" w:rsidRPr="00A307C6">
        <w:rPr>
          <w:lang w:val="en-GB"/>
        </w:rPr>
        <w:t xml:space="preserve">in South Sudan has an </w:t>
      </w:r>
      <w:r w:rsidR="001B7896" w:rsidRPr="00A307C6">
        <w:rPr>
          <w:lang w:val="en-GB"/>
        </w:rPr>
        <w:t xml:space="preserve">ethnic dimension, </w:t>
      </w:r>
      <w:r w:rsidR="00F52864" w:rsidRPr="00A307C6">
        <w:rPr>
          <w:lang w:val="en-GB"/>
        </w:rPr>
        <w:t xml:space="preserve">as </w:t>
      </w:r>
      <w:r w:rsidR="001B7896" w:rsidRPr="00A307C6">
        <w:rPr>
          <w:lang w:val="en-GB"/>
        </w:rPr>
        <w:t xml:space="preserve">the fate of abductees </w:t>
      </w:r>
      <w:r w:rsidR="00F52864" w:rsidRPr="00A307C6">
        <w:rPr>
          <w:lang w:val="en-GB"/>
        </w:rPr>
        <w:t xml:space="preserve">usually </w:t>
      </w:r>
      <w:r w:rsidR="001B7896" w:rsidRPr="00A307C6">
        <w:rPr>
          <w:lang w:val="en-GB"/>
        </w:rPr>
        <w:t>depend</w:t>
      </w:r>
      <w:r w:rsidR="0029500B" w:rsidRPr="00A307C6">
        <w:rPr>
          <w:lang w:val="en-GB"/>
        </w:rPr>
        <w:t>s</w:t>
      </w:r>
      <w:r w:rsidR="001B7896" w:rsidRPr="00A307C6">
        <w:rPr>
          <w:lang w:val="en-GB"/>
        </w:rPr>
        <w:t xml:space="preserve"> on their ethnic affiliation</w:t>
      </w:r>
      <w:r w:rsidR="00343FEE" w:rsidRPr="00A307C6">
        <w:rPr>
          <w:lang w:val="en-GB"/>
        </w:rPr>
        <w:t>, confirming that the attacks are often targeted</w:t>
      </w:r>
      <w:r w:rsidR="00F52864" w:rsidRPr="00A307C6">
        <w:rPr>
          <w:lang w:val="en-GB"/>
        </w:rPr>
        <w:t>. W</w:t>
      </w:r>
      <w:r w:rsidR="001B7896" w:rsidRPr="00A307C6">
        <w:rPr>
          <w:lang w:val="en-GB"/>
        </w:rPr>
        <w:t xml:space="preserve">omen and girls of the same </w:t>
      </w:r>
      <w:r w:rsidRPr="00A307C6">
        <w:rPr>
          <w:lang w:val="en-GB"/>
        </w:rPr>
        <w:t xml:space="preserve">ethnic </w:t>
      </w:r>
      <w:r w:rsidR="001B7896" w:rsidRPr="00A307C6">
        <w:rPr>
          <w:lang w:val="en-GB"/>
        </w:rPr>
        <w:t>origin as their captors report</w:t>
      </w:r>
      <w:r w:rsidR="00F52864" w:rsidRPr="00A307C6">
        <w:rPr>
          <w:lang w:val="en-GB"/>
        </w:rPr>
        <w:t xml:space="preserve">ed to the Commission </w:t>
      </w:r>
      <w:r w:rsidR="0029500B" w:rsidRPr="00A307C6">
        <w:rPr>
          <w:lang w:val="en-GB"/>
        </w:rPr>
        <w:t>that they have been</w:t>
      </w:r>
      <w:r w:rsidR="001B7896" w:rsidRPr="00A307C6">
        <w:rPr>
          <w:lang w:val="en-GB"/>
        </w:rPr>
        <w:t xml:space="preserve"> treat</w:t>
      </w:r>
      <w:r w:rsidRPr="00A307C6">
        <w:rPr>
          <w:lang w:val="en-GB"/>
        </w:rPr>
        <w:t xml:space="preserve">ed differently to women and girls </w:t>
      </w:r>
      <w:r w:rsidR="001B7896" w:rsidRPr="00A307C6">
        <w:rPr>
          <w:lang w:val="en-GB"/>
        </w:rPr>
        <w:t xml:space="preserve">from other ethnic groups. </w:t>
      </w:r>
      <w:r w:rsidR="001B7896" w:rsidRPr="00A307C6">
        <w:rPr>
          <w:rFonts w:eastAsia="Times New Roman"/>
          <w:lang w:val="en-GB"/>
        </w:rPr>
        <w:t xml:space="preserve">A young Azande woman in Western Equatoria abducted by teenage boys from the Azande </w:t>
      </w:r>
      <w:r w:rsidR="002404AF" w:rsidRPr="00A307C6">
        <w:rPr>
          <w:rFonts w:eastAsia="Times New Roman"/>
          <w:lang w:val="en-GB"/>
        </w:rPr>
        <w:t>militia</w:t>
      </w:r>
      <w:r w:rsidR="001B7896" w:rsidRPr="00A307C6">
        <w:rPr>
          <w:rFonts w:eastAsia="Times New Roman"/>
          <w:lang w:val="en-GB"/>
        </w:rPr>
        <w:t xml:space="preserve">, </w:t>
      </w:r>
      <w:r w:rsidRPr="00A307C6">
        <w:rPr>
          <w:rFonts w:eastAsia="Times New Roman"/>
          <w:lang w:val="en-GB"/>
        </w:rPr>
        <w:t xml:space="preserve">was abducted, detained and </w:t>
      </w:r>
      <w:r w:rsidR="001B7896" w:rsidRPr="00A307C6">
        <w:rPr>
          <w:rFonts w:eastAsia="Times New Roman"/>
          <w:lang w:val="en-GB"/>
        </w:rPr>
        <w:t xml:space="preserve">taken to military barracks where she </w:t>
      </w:r>
      <w:r w:rsidRPr="00A307C6">
        <w:rPr>
          <w:rFonts w:eastAsia="Times New Roman"/>
          <w:lang w:val="en-GB"/>
        </w:rPr>
        <w:t xml:space="preserve">witnessed </w:t>
      </w:r>
      <w:r w:rsidR="001B7896" w:rsidRPr="00A307C6">
        <w:rPr>
          <w:rFonts w:eastAsia="Times New Roman"/>
          <w:lang w:val="en-GB"/>
        </w:rPr>
        <w:t xml:space="preserve">detainees </w:t>
      </w:r>
      <w:r w:rsidRPr="00A307C6">
        <w:rPr>
          <w:rFonts w:eastAsia="Times New Roman"/>
          <w:lang w:val="en-GB"/>
        </w:rPr>
        <w:t xml:space="preserve">from other ethnic groups </w:t>
      </w:r>
      <w:r w:rsidR="001B7896" w:rsidRPr="00A307C6">
        <w:rPr>
          <w:rFonts w:eastAsia="Times New Roman"/>
          <w:lang w:val="en-GB"/>
        </w:rPr>
        <w:t xml:space="preserve">killed. After </w:t>
      </w:r>
      <w:r w:rsidR="00BE0F08" w:rsidRPr="00A307C6">
        <w:rPr>
          <w:rFonts w:eastAsia="Times New Roman"/>
          <w:lang w:val="en-GB"/>
        </w:rPr>
        <w:t xml:space="preserve">being </w:t>
      </w:r>
      <w:r w:rsidR="001B7896" w:rsidRPr="00A307C6">
        <w:rPr>
          <w:rFonts w:eastAsia="Times New Roman"/>
          <w:lang w:val="en-GB"/>
        </w:rPr>
        <w:t>mov</w:t>
      </w:r>
      <w:r w:rsidR="00BE0F08" w:rsidRPr="00A307C6">
        <w:rPr>
          <w:rFonts w:eastAsia="Times New Roman"/>
          <w:lang w:val="en-GB"/>
        </w:rPr>
        <w:t xml:space="preserve">ed </w:t>
      </w:r>
      <w:r w:rsidR="00BE0F08" w:rsidRPr="00A307C6">
        <w:rPr>
          <w:rFonts w:eastAsia="Times New Roman"/>
          <w:lang w:val="en-GB"/>
        </w:rPr>
        <w:lastRenderedPageBreak/>
        <w:t>back</w:t>
      </w:r>
      <w:r w:rsidR="001B7896" w:rsidRPr="00A307C6">
        <w:rPr>
          <w:rFonts w:eastAsia="Times New Roman"/>
          <w:lang w:val="en-GB"/>
        </w:rPr>
        <w:t xml:space="preserve"> to a bush camp, her captors told her </w:t>
      </w:r>
      <w:r w:rsidR="00BE0F08" w:rsidRPr="00A307C6">
        <w:rPr>
          <w:rFonts w:eastAsia="Times New Roman"/>
          <w:lang w:val="en-GB"/>
        </w:rPr>
        <w:t>that had she been ‘</w:t>
      </w:r>
      <w:r w:rsidR="001B7896" w:rsidRPr="00A307C6">
        <w:rPr>
          <w:rFonts w:eastAsia="Times New Roman"/>
          <w:lang w:val="en-GB"/>
        </w:rPr>
        <w:t>Balanda</w:t>
      </w:r>
      <w:r w:rsidR="00BE0F08" w:rsidRPr="00A307C6">
        <w:rPr>
          <w:rFonts w:eastAsia="Times New Roman"/>
          <w:lang w:val="en-GB"/>
        </w:rPr>
        <w:t>’</w:t>
      </w:r>
      <w:r w:rsidR="001B7896" w:rsidRPr="00A307C6">
        <w:rPr>
          <w:rFonts w:eastAsia="Times New Roman"/>
          <w:lang w:val="en-GB"/>
        </w:rPr>
        <w:t xml:space="preserve"> she </w:t>
      </w:r>
      <w:r w:rsidR="00BE0F08" w:rsidRPr="00A307C6">
        <w:rPr>
          <w:rFonts w:eastAsia="Times New Roman"/>
          <w:lang w:val="en-GB"/>
        </w:rPr>
        <w:t xml:space="preserve">too </w:t>
      </w:r>
      <w:r w:rsidR="001B7896" w:rsidRPr="00A307C6">
        <w:rPr>
          <w:rFonts w:eastAsia="Times New Roman"/>
          <w:lang w:val="en-GB"/>
        </w:rPr>
        <w:t>would’ve been kille</w:t>
      </w:r>
      <w:r w:rsidR="00BE0F08" w:rsidRPr="00A307C6">
        <w:rPr>
          <w:rFonts w:eastAsia="Times New Roman"/>
          <w:lang w:val="en-GB"/>
        </w:rPr>
        <w:t>d</w:t>
      </w:r>
      <w:r w:rsidR="001B7896" w:rsidRPr="00A307C6">
        <w:rPr>
          <w:rFonts w:eastAsia="Times New Roman"/>
          <w:lang w:val="en-GB"/>
        </w:rPr>
        <w:t>, rather than only being tasked with cooking duties.</w:t>
      </w:r>
      <w:r w:rsidR="001B7896" w:rsidRPr="00A307C6">
        <w:rPr>
          <w:rFonts w:eastAsia="Times New Roman"/>
          <w:sz w:val="18"/>
          <w:vertAlign w:val="superscript"/>
          <w:lang w:val="en-GB"/>
        </w:rPr>
        <w:footnoteReference w:id="47"/>
      </w:r>
    </w:p>
    <w:p w14:paraId="06490D87" w14:textId="301502A2" w:rsidR="00C32D30" w:rsidRPr="00A307C6" w:rsidRDefault="0029500B" w:rsidP="00504461">
      <w:pPr>
        <w:pStyle w:val="Paragraph"/>
        <w:rPr>
          <w:lang w:val="en-GB"/>
        </w:rPr>
      </w:pPr>
      <w:r w:rsidRPr="00A307C6">
        <w:rPr>
          <w:lang w:val="en-GB"/>
        </w:rPr>
        <w:t>In m</w:t>
      </w:r>
      <w:r w:rsidR="00F52864" w:rsidRPr="00A307C6">
        <w:rPr>
          <w:lang w:val="en-GB"/>
        </w:rPr>
        <w:t xml:space="preserve">ost </w:t>
      </w:r>
      <w:r w:rsidRPr="00A307C6">
        <w:rPr>
          <w:lang w:val="en-GB"/>
        </w:rPr>
        <w:t>instances</w:t>
      </w:r>
      <w:r w:rsidR="00C32D30" w:rsidRPr="00A307C6">
        <w:rPr>
          <w:lang w:val="en-GB"/>
        </w:rPr>
        <w:t xml:space="preserve"> of abductions in conflict areas</w:t>
      </w:r>
      <w:r w:rsidRPr="00A307C6">
        <w:rPr>
          <w:lang w:val="en-GB"/>
        </w:rPr>
        <w:t xml:space="preserve">, the </w:t>
      </w:r>
      <w:r w:rsidR="00C32D30" w:rsidRPr="00A307C6">
        <w:rPr>
          <w:lang w:val="en-GB"/>
        </w:rPr>
        <w:t xml:space="preserve">situation </w:t>
      </w:r>
      <w:r w:rsidR="000A4663" w:rsidRPr="00A307C6">
        <w:rPr>
          <w:lang w:val="en-GB"/>
        </w:rPr>
        <w:t xml:space="preserve">of </w:t>
      </w:r>
      <w:r w:rsidRPr="00A307C6">
        <w:rPr>
          <w:lang w:val="en-GB"/>
        </w:rPr>
        <w:t xml:space="preserve">abducted </w:t>
      </w:r>
      <w:r w:rsidR="000A4663" w:rsidRPr="00A307C6">
        <w:rPr>
          <w:lang w:val="en-GB"/>
        </w:rPr>
        <w:t xml:space="preserve">women and girls </w:t>
      </w:r>
      <w:r w:rsidRPr="00A307C6">
        <w:rPr>
          <w:lang w:val="en-GB"/>
        </w:rPr>
        <w:t xml:space="preserve">remains </w:t>
      </w:r>
      <w:r w:rsidR="000A4663" w:rsidRPr="00A307C6">
        <w:rPr>
          <w:lang w:val="en-GB"/>
        </w:rPr>
        <w:t xml:space="preserve">unknown </w:t>
      </w:r>
      <w:r w:rsidR="006E2A1C" w:rsidRPr="00A307C6">
        <w:rPr>
          <w:lang w:val="en-GB"/>
        </w:rPr>
        <w:t xml:space="preserve">to </w:t>
      </w:r>
      <w:r w:rsidR="000A4663" w:rsidRPr="00A307C6">
        <w:rPr>
          <w:lang w:val="en-GB"/>
        </w:rPr>
        <w:t xml:space="preserve">their family members, even years after their </w:t>
      </w:r>
      <w:r w:rsidR="006E2A1C" w:rsidRPr="00A307C6">
        <w:rPr>
          <w:lang w:val="en-GB"/>
        </w:rPr>
        <w:t xml:space="preserve">enforced </w:t>
      </w:r>
      <w:r w:rsidR="000A4663" w:rsidRPr="00A307C6">
        <w:rPr>
          <w:lang w:val="en-GB"/>
        </w:rPr>
        <w:t>disappearance</w:t>
      </w:r>
      <w:r w:rsidR="00497367" w:rsidRPr="00A307C6">
        <w:rPr>
          <w:lang w:val="en-GB"/>
        </w:rPr>
        <w:t>.</w:t>
      </w:r>
      <w:r w:rsidR="000A4663" w:rsidRPr="00A307C6">
        <w:rPr>
          <w:lang w:val="en-GB"/>
        </w:rPr>
        <w:t xml:space="preserve"> </w:t>
      </w:r>
      <w:r w:rsidR="00C32D30" w:rsidRPr="00A307C6">
        <w:rPr>
          <w:lang w:val="en-GB"/>
        </w:rPr>
        <w:t>Fathers, husbands, children and other relatives must live without knowing the fate or whereabouts of their loved ones.</w:t>
      </w:r>
    </w:p>
    <w:p w14:paraId="1CFFEBFB" w14:textId="77777777" w:rsidR="00C32D30" w:rsidRPr="00A307C6" w:rsidRDefault="000A4663" w:rsidP="00C32D30">
      <w:pPr>
        <w:pStyle w:val="Paragraph"/>
        <w:rPr>
          <w:rFonts w:eastAsia="Times New Roman"/>
          <w:lang w:val="en-GB"/>
        </w:rPr>
      </w:pPr>
      <w:r w:rsidRPr="00A307C6">
        <w:rPr>
          <w:lang w:val="en-GB"/>
        </w:rPr>
        <w:t xml:space="preserve">A father of two young girls and two young boys described to the Commission how after several years he still did not know </w:t>
      </w:r>
      <w:r w:rsidR="00497367" w:rsidRPr="00A307C6">
        <w:rPr>
          <w:lang w:val="en-GB"/>
        </w:rPr>
        <w:t xml:space="preserve">what had happened to </w:t>
      </w:r>
      <w:r w:rsidRPr="00A307C6">
        <w:rPr>
          <w:lang w:val="en-GB"/>
        </w:rPr>
        <w:t xml:space="preserve">his children and wife who </w:t>
      </w:r>
      <w:r w:rsidR="00497367" w:rsidRPr="00A307C6">
        <w:rPr>
          <w:lang w:val="en-GB"/>
        </w:rPr>
        <w:t xml:space="preserve">had been </w:t>
      </w:r>
      <w:r w:rsidRPr="00A307C6">
        <w:rPr>
          <w:lang w:val="en-GB"/>
        </w:rPr>
        <w:t xml:space="preserve">abducted from their village in Pibor County in 2017. Of </w:t>
      </w:r>
      <w:proofErr w:type="spellStart"/>
      <w:r w:rsidRPr="00A307C6">
        <w:rPr>
          <w:lang w:val="en-GB"/>
        </w:rPr>
        <w:t>Murle</w:t>
      </w:r>
      <w:proofErr w:type="spellEnd"/>
      <w:r w:rsidRPr="00A307C6">
        <w:rPr>
          <w:lang w:val="en-GB"/>
        </w:rPr>
        <w:t xml:space="preserve"> ethnicity, the man said they were among 100 people in his village abducted during </w:t>
      </w:r>
      <w:r w:rsidR="00497367" w:rsidRPr="00A307C6">
        <w:rPr>
          <w:lang w:val="en-GB"/>
        </w:rPr>
        <w:t xml:space="preserve">an </w:t>
      </w:r>
      <w:r w:rsidRPr="00A307C6">
        <w:rPr>
          <w:lang w:val="en-GB"/>
        </w:rPr>
        <w:t>attack by armed men</w:t>
      </w:r>
      <w:r w:rsidR="00497367" w:rsidRPr="00A307C6">
        <w:rPr>
          <w:lang w:val="en-GB"/>
        </w:rPr>
        <w:t>, alleged</w:t>
      </w:r>
      <w:r w:rsidR="002D3E6A" w:rsidRPr="00A307C6">
        <w:rPr>
          <w:lang w:val="en-GB"/>
        </w:rPr>
        <w:t>ly</w:t>
      </w:r>
      <w:r w:rsidR="004F3493" w:rsidRPr="00A307C6">
        <w:rPr>
          <w:lang w:val="en-GB"/>
        </w:rPr>
        <w:t xml:space="preserve"> by</w:t>
      </w:r>
      <w:r w:rsidR="002D3E6A" w:rsidRPr="00A307C6">
        <w:rPr>
          <w:lang w:val="en-GB"/>
        </w:rPr>
        <w:t xml:space="preserve"> </w:t>
      </w:r>
      <w:r w:rsidR="00497367" w:rsidRPr="00A307C6">
        <w:rPr>
          <w:lang w:val="en-GB"/>
        </w:rPr>
        <w:t>Dinka soldiers</w:t>
      </w:r>
      <w:r w:rsidR="004F3493" w:rsidRPr="00A307C6">
        <w:rPr>
          <w:lang w:val="en-GB"/>
        </w:rPr>
        <w:t xml:space="preserve"> in government uniforms</w:t>
      </w:r>
      <w:r w:rsidRPr="00A307C6">
        <w:rPr>
          <w:lang w:val="en-GB"/>
        </w:rPr>
        <w:t>.</w:t>
      </w:r>
      <w:r w:rsidRPr="00A307C6">
        <w:rPr>
          <w:rStyle w:val="FootnoteReference"/>
          <w:lang w:val="en-GB"/>
        </w:rPr>
        <w:footnoteReference w:id="48"/>
      </w:r>
      <w:r w:rsidRPr="00A307C6">
        <w:rPr>
          <w:lang w:val="en-GB"/>
        </w:rPr>
        <w:t xml:space="preserve"> </w:t>
      </w:r>
      <w:r w:rsidR="00C32D30" w:rsidRPr="00A307C6">
        <w:rPr>
          <w:lang w:val="en-GB"/>
        </w:rPr>
        <w:t>This village was the site of further raids in 2020; with women abducted and used exclusively as sex slaves by their captors, as previously reported by the Commission.</w:t>
      </w:r>
      <w:r w:rsidR="00C32D30" w:rsidRPr="00A307C6">
        <w:rPr>
          <w:rStyle w:val="FootnoteReference"/>
          <w:lang w:val="en-GB"/>
        </w:rPr>
        <w:footnoteReference w:id="49"/>
      </w:r>
      <w:r w:rsidR="00C32D30" w:rsidRPr="00A307C6">
        <w:rPr>
          <w:lang w:val="en-GB"/>
        </w:rPr>
        <w:t xml:space="preserve"> </w:t>
      </w:r>
      <w:r w:rsidR="00C32D30" w:rsidRPr="00A307C6">
        <w:rPr>
          <w:rFonts w:eastAsia="Times New Roman"/>
          <w:lang w:val="en-GB"/>
        </w:rPr>
        <w:t>Another man informed the Commission that his wife was abducted by government soldiers and he has not been able to trace her whereabouts, and had been discouraged by authorities from investigating further, although he heard through informal channels that his wife “had been given to a Dinka man who initially married her and later passed her on to another Dinka man.”</w:t>
      </w:r>
      <w:r w:rsidR="00C32D30" w:rsidRPr="00A307C6">
        <w:rPr>
          <w:rFonts w:eastAsia="Times New Roman"/>
          <w:sz w:val="18"/>
          <w:vertAlign w:val="superscript"/>
          <w:lang w:val="en-GB"/>
        </w:rPr>
        <w:footnoteReference w:id="50"/>
      </w:r>
      <w:r w:rsidR="00C32D30" w:rsidRPr="00A307C6">
        <w:rPr>
          <w:rFonts w:eastAsia="Times New Roman"/>
          <w:lang w:val="en-GB"/>
        </w:rPr>
        <w:t xml:space="preserve"> The husband was so distraught that he said that he had considered taking his own life as a result.</w:t>
      </w:r>
    </w:p>
    <w:p w14:paraId="4DE378D1" w14:textId="0899DD9A" w:rsidR="00612CCE" w:rsidRPr="00A307C6" w:rsidRDefault="001B34BB" w:rsidP="00FA295D">
      <w:pPr>
        <w:pStyle w:val="Paragraph"/>
        <w:rPr>
          <w:lang w:val="en-GB"/>
        </w:rPr>
      </w:pPr>
      <w:r w:rsidRPr="00A307C6">
        <w:rPr>
          <w:lang w:val="en-GB"/>
        </w:rPr>
        <w:t xml:space="preserve">In Jonglei, </w:t>
      </w:r>
      <w:r w:rsidR="007C4FE8">
        <w:rPr>
          <w:lang w:val="en-GB"/>
        </w:rPr>
        <w:t xml:space="preserve">the </w:t>
      </w:r>
      <w:r w:rsidR="0082554D" w:rsidRPr="00A307C6">
        <w:rPr>
          <w:lang w:val="en-GB"/>
        </w:rPr>
        <w:t xml:space="preserve">abductions </w:t>
      </w:r>
      <w:r w:rsidR="007C4FE8">
        <w:rPr>
          <w:lang w:val="en-GB"/>
        </w:rPr>
        <w:t xml:space="preserve">and detention </w:t>
      </w:r>
      <w:r w:rsidR="0082554D" w:rsidRPr="00A307C6">
        <w:rPr>
          <w:lang w:val="en-GB"/>
        </w:rPr>
        <w:t xml:space="preserve">of </w:t>
      </w:r>
      <w:r w:rsidR="007C4FE8">
        <w:rPr>
          <w:lang w:val="en-GB"/>
        </w:rPr>
        <w:t xml:space="preserve">both </w:t>
      </w:r>
      <w:r w:rsidR="0082554D" w:rsidRPr="00A307C6">
        <w:rPr>
          <w:lang w:val="en-GB"/>
        </w:rPr>
        <w:t>women and girl</w:t>
      </w:r>
      <w:r w:rsidR="007C4FE8">
        <w:rPr>
          <w:lang w:val="en-GB"/>
        </w:rPr>
        <w:t>s</w:t>
      </w:r>
      <w:r w:rsidR="0082554D" w:rsidRPr="00A307C6">
        <w:rPr>
          <w:lang w:val="en-GB"/>
        </w:rPr>
        <w:t xml:space="preserve"> have been a </w:t>
      </w:r>
      <w:r w:rsidR="007C4FE8">
        <w:rPr>
          <w:lang w:val="en-GB"/>
        </w:rPr>
        <w:t xml:space="preserve">characteristic </w:t>
      </w:r>
      <w:r w:rsidR="0082554D" w:rsidRPr="00A307C6">
        <w:rPr>
          <w:lang w:val="en-GB"/>
        </w:rPr>
        <w:t xml:space="preserve">of </w:t>
      </w:r>
      <w:r w:rsidR="007C4FE8">
        <w:rPr>
          <w:lang w:val="en-GB"/>
        </w:rPr>
        <w:t xml:space="preserve">the </w:t>
      </w:r>
      <w:r w:rsidR="0082554D" w:rsidRPr="00A307C6">
        <w:rPr>
          <w:lang w:val="en-GB"/>
        </w:rPr>
        <w:t>conflict involving members of ethnically different pastoral communities, as previously noted by the Commission.</w:t>
      </w:r>
      <w:r w:rsidR="0082554D" w:rsidRPr="00A307C6">
        <w:rPr>
          <w:rStyle w:val="FootnoteReference"/>
          <w:lang w:val="en-GB"/>
        </w:rPr>
        <w:footnoteReference w:id="51"/>
      </w:r>
      <w:r w:rsidR="0082554D" w:rsidRPr="00A307C6">
        <w:rPr>
          <w:lang w:val="en-GB"/>
        </w:rPr>
        <w:t xml:space="preserve"> A</w:t>
      </w:r>
      <w:r w:rsidRPr="00A307C6">
        <w:rPr>
          <w:lang w:val="en-GB"/>
        </w:rPr>
        <w:t xml:space="preserve"> man from a Nuer family told the Commission how his wife had gone missing after leaving a Protection of Civilians (POC) site</w:t>
      </w:r>
      <w:r w:rsidR="00D94BCE" w:rsidRPr="00A307C6">
        <w:rPr>
          <w:lang w:val="en-GB"/>
        </w:rPr>
        <w:t>, at the time</w:t>
      </w:r>
      <w:r w:rsidRPr="00A307C6">
        <w:rPr>
          <w:lang w:val="en-GB"/>
        </w:rPr>
        <w:t xml:space="preserve"> run by </w:t>
      </w:r>
      <w:r w:rsidR="000151E6">
        <w:rPr>
          <w:lang w:val="en-GB"/>
        </w:rPr>
        <w:t xml:space="preserve">the </w:t>
      </w:r>
      <w:r w:rsidRPr="00A307C6">
        <w:rPr>
          <w:lang w:val="en-GB"/>
        </w:rPr>
        <w:t>U</w:t>
      </w:r>
      <w:r w:rsidR="000151E6">
        <w:rPr>
          <w:lang w:val="en-GB"/>
        </w:rPr>
        <w:t xml:space="preserve">nited </w:t>
      </w:r>
      <w:r w:rsidRPr="00A307C6">
        <w:rPr>
          <w:lang w:val="en-GB"/>
        </w:rPr>
        <w:t>N</w:t>
      </w:r>
      <w:r w:rsidR="000151E6">
        <w:rPr>
          <w:lang w:val="en-GB"/>
        </w:rPr>
        <w:t xml:space="preserve">ations </w:t>
      </w:r>
      <w:r w:rsidRPr="00A307C6">
        <w:rPr>
          <w:lang w:val="en-GB"/>
        </w:rPr>
        <w:t>M</w:t>
      </w:r>
      <w:r w:rsidR="000151E6">
        <w:rPr>
          <w:lang w:val="en-GB"/>
        </w:rPr>
        <w:t xml:space="preserve">ission </w:t>
      </w:r>
      <w:r w:rsidRPr="00A307C6">
        <w:rPr>
          <w:lang w:val="en-GB"/>
        </w:rPr>
        <w:t>I</w:t>
      </w:r>
      <w:r w:rsidR="000151E6">
        <w:rPr>
          <w:lang w:val="en-GB"/>
        </w:rPr>
        <w:t xml:space="preserve">n </w:t>
      </w:r>
      <w:r w:rsidRPr="00A307C6">
        <w:rPr>
          <w:lang w:val="en-GB"/>
        </w:rPr>
        <w:t>S</w:t>
      </w:r>
      <w:r w:rsidR="000151E6">
        <w:rPr>
          <w:lang w:val="en-GB"/>
        </w:rPr>
        <w:t xml:space="preserve">outh </w:t>
      </w:r>
      <w:r w:rsidRPr="00A307C6">
        <w:rPr>
          <w:lang w:val="en-GB"/>
        </w:rPr>
        <w:t>S</w:t>
      </w:r>
      <w:r w:rsidR="000151E6">
        <w:rPr>
          <w:lang w:val="en-GB"/>
        </w:rPr>
        <w:t>udan (UNMISS)</w:t>
      </w:r>
      <w:r w:rsidR="00D94BCE" w:rsidRPr="00A307C6">
        <w:rPr>
          <w:lang w:val="en-GB"/>
        </w:rPr>
        <w:t>,</w:t>
      </w:r>
      <w:r w:rsidRPr="00A307C6">
        <w:rPr>
          <w:lang w:val="en-GB"/>
        </w:rPr>
        <w:t xml:space="preserve"> to fetch water. He tried to follow-up on her disappearance but could not establish where she had gone</w:t>
      </w:r>
      <w:r w:rsidR="007C4FE8">
        <w:rPr>
          <w:lang w:val="en-GB"/>
        </w:rPr>
        <w:t>. H</w:t>
      </w:r>
      <w:r w:rsidR="00356B81">
        <w:rPr>
          <w:lang w:val="en-GB"/>
        </w:rPr>
        <w:t xml:space="preserve">is </w:t>
      </w:r>
      <w:r w:rsidRPr="00A307C6">
        <w:rPr>
          <w:lang w:val="en-GB"/>
        </w:rPr>
        <w:t xml:space="preserve">inquiries </w:t>
      </w:r>
      <w:r w:rsidR="00356B81">
        <w:rPr>
          <w:lang w:val="en-GB"/>
        </w:rPr>
        <w:t xml:space="preserve">confirmed </w:t>
      </w:r>
      <w:r w:rsidRPr="00A307C6">
        <w:rPr>
          <w:lang w:val="en-GB"/>
        </w:rPr>
        <w:t xml:space="preserve">that she had been kidnapped by a Dinka man who </w:t>
      </w:r>
      <w:r w:rsidR="00AB50BE">
        <w:rPr>
          <w:lang w:val="en-GB"/>
        </w:rPr>
        <w:t xml:space="preserve">then </w:t>
      </w:r>
      <w:r w:rsidRPr="00A307C6">
        <w:rPr>
          <w:lang w:val="en-GB"/>
        </w:rPr>
        <w:t xml:space="preserve">forced her to marry and have children with him. </w:t>
      </w:r>
      <w:r w:rsidR="006973E6" w:rsidRPr="00A307C6">
        <w:rPr>
          <w:lang w:val="en-GB"/>
        </w:rPr>
        <w:t xml:space="preserve">The Nuer father of three boys and one girl said that his teenage daughter later </w:t>
      </w:r>
      <w:r w:rsidR="00AB50BE">
        <w:rPr>
          <w:lang w:val="en-GB"/>
        </w:rPr>
        <w:t xml:space="preserve">also </w:t>
      </w:r>
      <w:r w:rsidR="006973E6" w:rsidRPr="00A307C6">
        <w:rPr>
          <w:lang w:val="en-GB"/>
        </w:rPr>
        <w:t xml:space="preserve">went missing whilst seeking medical care outside the POC, and that he had </w:t>
      </w:r>
      <w:r w:rsidR="0082554D" w:rsidRPr="00A307C6">
        <w:rPr>
          <w:lang w:val="en-GB"/>
        </w:rPr>
        <w:lastRenderedPageBreak/>
        <w:t xml:space="preserve">then </w:t>
      </w:r>
      <w:r w:rsidR="006973E6" w:rsidRPr="00A307C6">
        <w:rPr>
          <w:lang w:val="en-GB"/>
        </w:rPr>
        <w:t>received phone calls from her explaining that she had been kidnapped and was being held with</w:t>
      </w:r>
      <w:r w:rsidR="00356B81">
        <w:rPr>
          <w:lang w:val="en-GB"/>
        </w:rPr>
        <w:t xml:space="preserve"> together</w:t>
      </w:r>
      <w:r w:rsidR="006973E6" w:rsidRPr="00A307C6">
        <w:rPr>
          <w:lang w:val="en-GB"/>
        </w:rPr>
        <w:t xml:space="preserve"> her mother </w:t>
      </w:r>
      <w:r w:rsidR="00AB50BE">
        <w:rPr>
          <w:lang w:val="en-GB"/>
        </w:rPr>
        <w:t xml:space="preserve">by </w:t>
      </w:r>
      <w:r w:rsidR="006973E6" w:rsidRPr="00A307C6">
        <w:rPr>
          <w:lang w:val="en-GB"/>
        </w:rPr>
        <w:t>the same captor.</w:t>
      </w:r>
      <w:r w:rsidR="006973E6" w:rsidRPr="00A307C6">
        <w:rPr>
          <w:rStyle w:val="FootnoteReference"/>
          <w:lang w:val="en-GB"/>
        </w:rPr>
        <w:footnoteReference w:id="52"/>
      </w:r>
      <w:r w:rsidR="006973E6" w:rsidRPr="00A307C6">
        <w:rPr>
          <w:lang w:val="en-GB"/>
        </w:rPr>
        <w:t xml:space="preserve"> </w:t>
      </w:r>
    </w:p>
    <w:p w14:paraId="20327D0C" w14:textId="11D7118C" w:rsidR="002D3E6A" w:rsidRPr="00A307C6" w:rsidRDefault="00D94BCE" w:rsidP="00FA295D">
      <w:pPr>
        <w:pStyle w:val="Paragraph"/>
        <w:rPr>
          <w:lang w:val="en-GB"/>
        </w:rPr>
      </w:pPr>
      <w:r w:rsidRPr="00A307C6">
        <w:rPr>
          <w:lang w:val="en-GB"/>
        </w:rPr>
        <w:t xml:space="preserve">Nuer women at the </w:t>
      </w:r>
      <w:r w:rsidR="00612CCE" w:rsidRPr="00A307C6">
        <w:rPr>
          <w:lang w:val="en-GB"/>
        </w:rPr>
        <w:t xml:space="preserve">POC in Jonglei </w:t>
      </w:r>
      <w:r w:rsidR="00AB50BE">
        <w:rPr>
          <w:lang w:val="en-GB"/>
        </w:rPr>
        <w:t xml:space="preserve">informed the Commission of </w:t>
      </w:r>
      <w:r w:rsidRPr="00A307C6">
        <w:rPr>
          <w:lang w:val="en-GB"/>
        </w:rPr>
        <w:t xml:space="preserve">female family members being abducted by Dinka men residing in nearby areas, </w:t>
      </w:r>
      <w:r w:rsidR="00AB50BE">
        <w:rPr>
          <w:lang w:val="en-GB"/>
        </w:rPr>
        <w:t xml:space="preserve">forced into coercive relationships with their abductors including being </w:t>
      </w:r>
      <w:r w:rsidRPr="00A307C6">
        <w:rPr>
          <w:lang w:val="en-GB"/>
        </w:rPr>
        <w:t xml:space="preserve">forced to bear </w:t>
      </w:r>
      <w:r w:rsidR="00AB50BE">
        <w:rPr>
          <w:lang w:val="en-GB"/>
        </w:rPr>
        <w:t xml:space="preserve">their </w:t>
      </w:r>
      <w:r w:rsidRPr="00A307C6">
        <w:rPr>
          <w:lang w:val="en-GB"/>
        </w:rPr>
        <w:t>children</w:t>
      </w:r>
      <w:r w:rsidRPr="00A307C6">
        <w:rPr>
          <w:rStyle w:val="FootnoteReference"/>
          <w:lang w:val="en-GB"/>
        </w:rPr>
        <w:footnoteReference w:id="53"/>
      </w:r>
      <w:r w:rsidRPr="00A307C6">
        <w:rPr>
          <w:lang w:val="en-GB"/>
        </w:rPr>
        <w:t xml:space="preserve"> </w:t>
      </w:r>
      <w:r w:rsidR="00657C7C" w:rsidRPr="00A307C6">
        <w:rPr>
          <w:lang w:val="en-GB"/>
        </w:rPr>
        <w:t xml:space="preserve">The </w:t>
      </w:r>
      <w:r w:rsidRPr="00A307C6">
        <w:rPr>
          <w:lang w:val="en-GB"/>
        </w:rPr>
        <w:t>Commission learnt some Nuer women</w:t>
      </w:r>
      <w:r w:rsidR="00AB50BE">
        <w:rPr>
          <w:lang w:val="en-GB"/>
        </w:rPr>
        <w:t xml:space="preserve">, in </w:t>
      </w:r>
      <w:r w:rsidRPr="00A307C6">
        <w:rPr>
          <w:lang w:val="en-GB"/>
        </w:rPr>
        <w:t>relationships with Dinka men</w:t>
      </w:r>
      <w:r w:rsidR="00AB50BE">
        <w:rPr>
          <w:lang w:val="en-GB"/>
        </w:rPr>
        <w:t xml:space="preserve"> who deserted them</w:t>
      </w:r>
      <w:r w:rsidRPr="00A307C6">
        <w:rPr>
          <w:lang w:val="en-GB"/>
        </w:rPr>
        <w:t xml:space="preserve">, </w:t>
      </w:r>
      <w:r w:rsidR="00AB50BE">
        <w:rPr>
          <w:lang w:val="en-GB"/>
        </w:rPr>
        <w:t xml:space="preserve">had </w:t>
      </w:r>
      <w:r w:rsidRPr="00A307C6">
        <w:rPr>
          <w:lang w:val="en-GB"/>
        </w:rPr>
        <w:t>their children subsequently abducted by the father.</w:t>
      </w:r>
      <w:r w:rsidRPr="00A307C6">
        <w:rPr>
          <w:rStyle w:val="FootnoteReference"/>
          <w:lang w:val="en-GB"/>
        </w:rPr>
        <w:footnoteReference w:id="54"/>
      </w:r>
      <w:r w:rsidRPr="00A307C6">
        <w:rPr>
          <w:lang w:val="en-GB"/>
        </w:rPr>
        <w:t xml:space="preserve"> One mother said that she knew where her children were being held but had been unable to reunite with them</w:t>
      </w:r>
      <w:r w:rsidR="00AB50BE">
        <w:rPr>
          <w:lang w:val="en-GB"/>
        </w:rPr>
        <w:t xml:space="preserve">, as she feared </w:t>
      </w:r>
      <w:r w:rsidRPr="00A307C6">
        <w:rPr>
          <w:lang w:val="en-GB"/>
        </w:rPr>
        <w:t xml:space="preserve">the abductees and </w:t>
      </w:r>
      <w:r w:rsidR="00AB50BE">
        <w:rPr>
          <w:lang w:val="en-GB"/>
        </w:rPr>
        <w:t xml:space="preserve">the </w:t>
      </w:r>
      <w:r w:rsidRPr="00A307C6">
        <w:rPr>
          <w:lang w:val="en-GB"/>
        </w:rPr>
        <w:t>lack of intervention by authorities.</w:t>
      </w:r>
      <w:r w:rsidRPr="00A307C6">
        <w:rPr>
          <w:rStyle w:val="FootnoteReference"/>
          <w:lang w:val="en-GB"/>
        </w:rPr>
        <w:footnoteReference w:id="55"/>
      </w:r>
      <w:r w:rsidR="00657C7C" w:rsidRPr="00A307C6">
        <w:rPr>
          <w:lang w:val="en-GB"/>
        </w:rPr>
        <w:t xml:space="preserve"> Rape and other forms of sexual violence were also found to be prevalent around the POC site.</w:t>
      </w:r>
      <w:r w:rsidR="00657C7C" w:rsidRPr="00A307C6">
        <w:rPr>
          <w:rStyle w:val="FootnoteReference"/>
          <w:lang w:val="en-GB"/>
        </w:rPr>
        <w:footnoteReference w:id="56"/>
      </w:r>
    </w:p>
    <w:p w14:paraId="3C70B8B8" w14:textId="78936E8D" w:rsidR="00C776EC" w:rsidRPr="00A307C6" w:rsidRDefault="00193DAE" w:rsidP="009E6E96">
      <w:pPr>
        <w:pStyle w:val="H1G"/>
        <w:rPr>
          <w:rFonts w:eastAsia="Times New Roman"/>
        </w:rPr>
      </w:pPr>
      <w:bookmarkStart w:id="24" w:name="_Toc98226808"/>
      <w:bookmarkStart w:id="25" w:name="_Toc98606449"/>
      <w:r w:rsidRPr="00A307C6">
        <w:t xml:space="preserve">Sexual </w:t>
      </w:r>
      <w:r w:rsidR="00497367" w:rsidRPr="00A307C6">
        <w:t>Torture</w:t>
      </w:r>
      <w:r w:rsidRPr="00A307C6">
        <w:t>, Beatings and Cruel and Inhuman Treatment</w:t>
      </w:r>
      <w:bookmarkEnd w:id="24"/>
      <w:bookmarkEnd w:id="25"/>
      <w:r w:rsidRPr="00A307C6">
        <w:t xml:space="preserve"> </w:t>
      </w:r>
    </w:p>
    <w:p w14:paraId="4B6B523F" w14:textId="285DDCF6" w:rsidR="00C776EC" w:rsidRPr="00A307C6" w:rsidRDefault="00356B81" w:rsidP="00FF077A">
      <w:pPr>
        <w:pStyle w:val="Paragraph"/>
        <w:rPr>
          <w:lang w:val="en-GB"/>
        </w:rPr>
      </w:pPr>
      <w:r>
        <w:rPr>
          <w:lang w:val="en-GB"/>
        </w:rPr>
        <w:t>C</w:t>
      </w:r>
      <w:r w:rsidR="00C776EC" w:rsidRPr="00A307C6">
        <w:rPr>
          <w:lang w:val="en-GB"/>
        </w:rPr>
        <w:t xml:space="preserve">ases of </w:t>
      </w:r>
      <w:r w:rsidR="00B3335D">
        <w:rPr>
          <w:lang w:val="en-GB"/>
        </w:rPr>
        <w:t xml:space="preserve">rape and </w:t>
      </w:r>
      <w:r w:rsidR="00C776EC" w:rsidRPr="00A307C6">
        <w:rPr>
          <w:lang w:val="en-GB"/>
        </w:rPr>
        <w:t>sexual torture against women and girls</w:t>
      </w:r>
      <w:r>
        <w:rPr>
          <w:lang w:val="en-GB"/>
        </w:rPr>
        <w:t xml:space="preserve">, often </w:t>
      </w:r>
      <w:r w:rsidR="00C776EC" w:rsidRPr="00A307C6">
        <w:rPr>
          <w:lang w:val="en-GB"/>
        </w:rPr>
        <w:t xml:space="preserve">involve </w:t>
      </w:r>
      <w:r>
        <w:rPr>
          <w:lang w:val="en-GB"/>
        </w:rPr>
        <w:t xml:space="preserve">the </w:t>
      </w:r>
      <w:r w:rsidR="00C776EC" w:rsidRPr="00A307C6">
        <w:rPr>
          <w:lang w:val="en-GB"/>
        </w:rPr>
        <w:t>penetration of the vagina</w:t>
      </w:r>
      <w:r w:rsidR="00066095" w:rsidRPr="00A307C6">
        <w:rPr>
          <w:lang w:val="en-GB"/>
        </w:rPr>
        <w:t>,</w:t>
      </w:r>
      <w:r w:rsidR="00C776EC" w:rsidRPr="00A307C6">
        <w:rPr>
          <w:lang w:val="en-GB"/>
        </w:rPr>
        <w:t xml:space="preserve"> anus </w:t>
      </w:r>
      <w:r w:rsidR="00066095" w:rsidRPr="00A307C6">
        <w:rPr>
          <w:lang w:val="en-GB"/>
        </w:rPr>
        <w:t xml:space="preserve">or both orifices </w:t>
      </w:r>
      <w:r w:rsidR="00C776EC" w:rsidRPr="00A307C6">
        <w:rPr>
          <w:lang w:val="en-GB"/>
        </w:rPr>
        <w:t xml:space="preserve">with foreign objects, </w:t>
      </w:r>
      <w:r w:rsidR="00497367" w:rsidRPr="00A307C6">
        <w:rPr>
          <w:lang w:val="en-GB"/>
        </w:rPr>
        <w:t xml:space="preserve">such as </w:t>
      </w:r>
      <w:r w:rsidR="00C776EC" w:rsidRPr="00A307C6">
        <w:rPr>
          <w:lang w:val="en-GB"/>
        </w:rPr>
        <w:t>pieces of wood or sticks,</w:t>
      </w:r>
      <w:r w:rsidR="00C776EC" w:rsidRPr="00A307C6">
        <w:rPr>
          <w:rStyle w:val="FootnoteReference"/>
          <w:lang w:val="en-GB"/>
        </w:rPr>
        <w:footnoteReference w:id="57"/>
      </w:r>
      <w:r w:rsidR="00C776EC" w:rsidRPr="00A307C6">
        <w:rPr>
          <w:lang w:val="en-GB"/>
        </w:rPr>
        <w:t xml:space="preserve"> causing serious injur</w:t>
      </w:r>
      <w:r w:rsidR="00497367" w:rsidRPr="00A307C6">
        <w:rPr>
          <w:lang w:val="en-GB"/>
        </w:rPr>
        <w:t>ies</w:t>
      </w:r>
      <w:r w:rsidR="00C776EC" w:rsidRPr="00A307C6">
        <w:rPr>
          <w:lang w:val="en-GB"/>
        </w:rPr>
        <w:t xml:space="preserve"> and </w:t>
      </w:r>
      <w:r w:rsidR="00497367" w:rsidRPr="00A307C6">
        <w:rPr>
          <w:lang w:val="en-GB"/>
        </w:rPr>
        <w:t xml:space="preserve">often </w:t>
      </w:r>
      <w:r w:rsidR="00C776EC" w:rsidRPr="00A307C6">
        <w:rPr>
          <w:lang w:val="en-GB"/>
        </w:rPr>
        <w:t>resulting in death</w:t>
      </w:r>
      <w:r w:rsidR="00F659D7" w:rsidRPr="00A307C6">
        <w:rPr>
          <w:lang w:val="en-GB"/>
        </w:rPr>
        <w:t xml:space="preserve">, as </w:t>
      </w:r>
      <w:r>
        <w:rPr>
          <w:lang w:val="en-GB"/>
        </w:rPr>
        <w:t xml:space="preserve">told </w:t>
      </w:r>
      <w:r w:rsidR="00F659D7" w:rsidRPr="00A307C6">
        <w:rPr>
          <w:lang w:val="en-GB"/>
        </w:rPr>
        <w:t>to the Commission by two women from Unity State describing separate incidents:</w:t>
      </w:r>
    </w:p>
    <w:p w14:paraId="6F3F07D6" w14:textId="627C139B" w:rsidR="00C776EC" w:rsidRPr="00A307C6" w:rsidRDefault="00C776EC" w:rsidP="004F3493">
      <w:pPr>
        <w:pStyle w:val="Paragraph"/>
        <w:numPr>
          <w:ilvl w:val="0"/>
          <w:numId w:val="0"/>
        </w:numPr>
        <w:ind w:left="1134"/>
        <w:rPr>
          <w:lang w:val="en-GB"/>
        </w:rPr>
      </w:pPr>
      <w:r w:rsidRPr="00A307C6">
        <w:rPr>
          <w:lang w:val="en-GB"/>
        </w:rPr>
        <w:t>“One man said that he was tired but wanted to continue to have fun. He picked up a firewood stick and forced it inside the vagina of (</w:t>
      </w:r>
      <w:r w:rsidR="00DB1E6F" w:rsidRPr="00A307C6">
        <w:rPr>
          <w:lang w:val="en-GB"/>
        </w:rPr>
        <w:t xml:space="preserve">one of </w:t>
      </w:r>
      <w:r w:rsidR="00497367" w:rsidRPr="00A307C6">
        <w:rPr>
          <w:lang w:val="en-GB"/>
        </w:rPr>
        <w:t>my</w:t>
      </w:r>
      <w:r w:rsidR="00DB1E6F" w:rsidRPr="00A307C6">
        <w:rPr>
          <w:lang w:val="en-GB"/>
        </w:rPr>
        <w:t xml:space="preserve"> friends</w:t>
      </w:r>
      <w:r w:rsidRPr="00A307C6">
        <w:rPr>
          <w:lang w:val="en-GB"/>
        </w:rPr>
        <w:t xml:space="preserve">), who started to bleed, began </w:t>
      </w:r>
      <w:r w:rsidR="002404AF" w:rsidRPr="00A307C6">
        <w:rPr>
          <w:lang w:val="en-GB"/>
        </w:rPr>
        <w:t>vomiting</w:t>
      </w:r>
      <w:r w:rsidRPr="00A307C6">
        <w:rPr>
          <w:lang w:val="en-GB"/>
        </w:rPr>
        <w:t xml:space="preserve"> and then died</w:t>
      </w:r>
      <w:r w:rsidR="00A10C5D">
        <w:rPr>
          <w:lang w:val="en-GB"/>
        </w:rPr>
        <w:t>…</w:t>
      </w:r>
      <w:r w:rsidRPr="00A307C6">
        <w:rPr>
          <w:lang w:val="en-GB"/>
        </w:rPr>
        <w:t xml:space="preserve"> we found her dead body which remained in the bush</w:t>
      </w:r>
      <w:r w:rsidR="00F659D7" w:rsidRPr="00A307C6">
        <w:rPr>
          <w:lang w:val="en-GB"/>
        </w:rPr>
        <w:t>.</w:t>
      </w:r>
      <w:r w:rsidRPr="00A307C6">
        <w:rPr>
          <w:lang w:val="en-GB"/>
        </w:rPr>
        <w:t>”</w:t>
      </w:r>
      <w:r w:rsidRPr="00A307C6">
        <w:rPr>
          <w:rStyle w:val="FootnoteReference"/>
          <w:lang w:val="en-GB"/>
        </w:rPr>
        <w:footnoteReference w:id="58"/>
      </w:r>
    </w:p>
    <w:p w14:paraId="09F60075" w14:textId="5801B8C3" w:rsidR="00525CA7" w:rsidRPr="00A307C6" w:rsidRDefault="00525CA7" w:rsidP="004F3493">
      <w:pPr>
        <w:pStyle w:val="Paragraph"/>
        <w:numPr>
          <w:ilvl w:val="0"/>
          <w:numId w:val="0"/>
        </w:numPr>
        <w:ind w:left="1134"/>
        <w:rPr>
          <w:lang w:val="en-GB"/>
        </w:rPr>
      </w:pPr>
      <w:r w:rsidRPr="00A307C6">
        <w:rPr>
          <w:lang w:val="en-GB"/>
        </w:rPr>
        <w:t>“</w:t>
      </w:r>
      <w:r w:rsidR="00F659D7" w:rsidRPr="00A307C6">
        <w:rPr>
          <w:lang w:val="en-GB"/>
        </w:rPr>
        <w:t xml:space="preserve">The attackers took one branch (of the collected firewood) and proceeded to take off the little branches attached to it, so it looked like a stick… They inserted the stick into my vagina, I started </w:t>
      </w:r>
      <w:r w:rsidR="00F659D7" w:rsidRPr="00A307C6">
        <w:rPr>
          <w:lang w:val="en-GB"/>
        </w:rPr>
        <w:lastRenderedPageBreak/>
        <w:t>bleeding and lost consciousness because of the pain. They left me there because they thought I would die. When I awoke, the attackers were gone and the stick was still inside me.”</w:t>
      </w:r>
      <w:r w:rsidR="00F659D7" w:rsidRPr="00A307C6">
        <w:rPr>
          <w:rStyle w:val="FootnoteReference"/>
          <w:lang w:val="en-GB"/>
        </w:rPr>
        <w:footnoteReference w:id="59"/>
      </w:r>
      <w:r w:rsidR="00F659D7" w:rsidRPr="00A307C6">
        <w:rPr>
          <w:lang w:val="en-GB"/>
        </w:rPr>
        <w:tab/>
      </w:r>
    </w:p>
    <w:p w14:paraId="0C73C911" w14:textId="3799AFB1" w:rsidR="00193DAE" w:rsidRPr="00A307C6" w:rsidRDefault="00193DAE" w:rsidP="00FF077A">
      <w:pPr>
        <w:pStyle w:val="Paragraph"/>
        <w:rPr>
          <w:lang w:val="en-GB"/>
        </w:rPr>
      </w:pPr>
      <w:r w:rsidRPr="00A307C6">
        <w:rPr>
          <w:lang w:val="en-GB"/>
        </w:rPr>
        <w:t xml:space="preserve">A woman in Unity State </w:t>
      </w:r>
      <w:r w:rsidR="00356B81">
        <w:rPr>
          <w:lang w:val="en-GB"/>
        </w:rPr>
        <w:t xml:space="preserve">also </w:t>
      </w:r>
      <w:r w:rsidRPr="00A307C6">
        <w:rPr>
          <w:lang w:val="en-GB"/>
        </w:rPr>
        <w:t xml:space="preserve">described to the </w:t>
      </w:r>
      <w:r w:rsidR="00B21F11" w:rsidRPr="00A307C6">
        <w:rPr>
          <w:lang w:val="en-GB"/>
        </w:rPr>
        <w:t>C</w:t>
      </w:r>
      <w:r w:rsidRPr="00A307C6">
        <w:rPr>
          <w:lang w:val="en-GB"/>
        </w:rPr>
        <w:t>ommission how while searching for firewood outside a displacement settlement she was abducted by armed men, she described as deserted soldiers, each of whom raped her throughout the night. In the course of the multiple rapes</w:t>
      </w:r>
      <w:r w:rsidR="000D3AF1" w:rsidRPr="00A307C6">
        <w:rPr>
          <w:lang w:val="en-GB"/>
        </w:rPr>
        <w:t>,</w:t>
      </w:r>
      <w:r w:rsidRPr="00A307C6">
        <w:rPr>
          <w:lang w:val="en-GB"/>
        </w:rPr>
        <w:t xml:space="preserve"> she was dragged through thick bushes and </w:t>
      </w:r>
      <w:r w:rsidR="00356B81">
        <w:rPr>
          <w:lang w:val="en-GB"/>
        </w:rPr>
        <w:t xml:space="preserve">thrown against </w:t>
      </w:r>
      <w:r w:rsidRPr="00A307C6">
        <w:rPr>
          <w:lang w:val="en-GB"/>
        </w:rPr>
        <w:t>tree stumps on the ground, sustain</w:t>
      </w:r>
      <w:r w:rsidR="00356B81">
        <w:rPr>
          <w:lang w:val="en-GB"/>
        </w:rPr>
        <w:t xml:space="preserve">ing </w:t>
      </w:r>
      <w:r w:rsidRPr="00A307C6">
        <w:rPr>
          <w:lang w:val="en-GB"/>
        </w:rPr>
        <w:t>multiple injuries and scarring all over her body that are still visible some years later. Although she sought medical attention, her eye injuries, initially untreated, caused further damage following an infection:</w:t>
      </w:r>
      <w:r w:rsidR="00504461" w:rsidRPr="00A307C6">
        <w:rPr>
          <w:lang w:val="en-GB"/>
        </w:rPr>
        <w:t xml:space="preserve">  </w:t>
      </w:r>
    </w:p>
    <w:p w14:paraId="1320D089" w14:textId="77777777" w:rsidR="00504461" w:rsidRPr="00A307C6" w:rsidRDefault="00504461" w:rsidP="004F3493">
      <w:pPr>
        <w:pStyle w:val="Paragraph"/>
        <w:numPr>
          <w:ilvl w:val="0"/>
          <w:numId w:val="0"/>
        </w:numPr>
        <w:ind w:left="1134"/>
        <w:rPr>
          <w:lang w:val="en-GB"/>
        </w:rPr>
      </w:pPr>
      <w:r w:rsidRPr="00A307C6">
        <w:rPr>
          <w:lang w:val="en-GB"/>
        </w:rPr>
        <w:t>“My eyes were burning. The tree stumps injured me because the men were dragging me on the ground.  I have problems with my eyes which have been hurting since.”</w:t>
      </w:r>
      <w:r w:rsidRPr="00A307C6">
        <w:rPr>
          <w:vertAlign w:val="superscript"/>
          <w:lang w:val="en-GB"/>
        </w:rPr>
        <w:footnoteReference w:id="60"/>
      </w:r>
    </w:p>
    <w:p w14:paraId="7A9D050E" w14:textId="3EB102F7" w:rsidR="00143D53" w:rsidRPr="00A307C6" w:rsidRDefault="00497367" w:rsidP="00FF077A">
      <w:pPr>
        <w:pStyle w:val="Paragraph"/>
        <w:rPr>
          <w:lang w:val="en-GB"/>
        </w:rPr>
      </w:pPr>
      <w:r w:rsidRPr="00A307C6">
        <w:rPr>
          <w:lang w:val="en-GB"/>
        </w:rPr>
        <w:t xml:space="preserve">Sexual assaults </w:t>
      </w:r>
      <w:r w:rsidR="00193DAE" w:rsidRPr="00A307C6">
        <w:rPr>
          <w:lang w:val="en-GB"/>
        </w:rPr>
        <w:t xml:space="preserve">have involved victims being dragged along the ground or through bushes, being pushed against rough objects such as tree stumps, or being held down in uncomfortable positions in which the victim is vigorously and repeatedly struck against a hard object or surface,  </w:t>
      </w:r>
      <w:r w:rsidRPr="00A307C6">
        <w:rPr>
          <w:lang w:val="en-GB"/>
        </w:rPr>
        <w:t>result</w:t>
      </w:r>
      <w:r w:rsidR="00193DAE" w:rsidRPr="00A307C6">
        <w:rPr>
          <w:lang w:val="en-GB"/>
        </w:rPr>
        <w:t xml:space="preserve">ing </w:t>
      </w:r>
      <w:r w:rsidR="00066095" w:rsidRPr="00A307C6">
        <w:rPr>
          <w:lang w:val="en-GB"/>
        </w:rPr>
        <w:t xml:space="preserve"> in</w:t>
      </w:r>
      <w:r w:rsidRPr="00A307C6">
        <w:rPr>
          <w:lang w:val="en-GB"/>
        </w:rPr>
        <w:t xml:space="preserve"> </w:t>
      </w:r>
      <w:r w:rsidR="000C15C9" w:rsidRPr="00A307C6">
        <w:rPr>
          <w:lang w:val="en-GB"/>
        </w:rPr>
        <w:t xml:space="preserve">injuries such as </w:t>
      </w:r>
      <w:r w:rsidRPr="00A307C6">
        <w:rPr>
          <w:lang w:val="en-GB"/>
        </w:rPr>
        <w:t>b</w:t>
      </w:r>
      <w:r w:rsidR="00C776EC" w:rsidRPr="00A307C6">
        <w:rPr>
          <w:lang w:val="en-GB"/>
        </w:rPr>
        <w:t xml:space="preserve">roken </w:t>
      </w:r>
      <w:r w:rsidRPr="00A307C6">
        <w:rPr>
          <w:lang w:val="en-GB"/>
        </w:rPr>
        <w:t xml:space="preserve">and </w:t>
      </w:r>
      <w:r w:rsidR="00C776EC" w:rsidRPr="00A307C6">
        <w:rPr>
          <w:lang w:val="en-GB"/>
        </w:rPr>
        <w:t xml:space="preserve">fractured </w:t>
      </w:r>
      <w:r w:rsidRPr="00A307C6">
        <w:rPr>
          <w:lang w:val="en-GB"/>
        </w:rPr>
        <w:t>bones</w:t>
      </w:r>
      <w:r w:rsidR="00C776EC" w:rsidRPr="00A307C6">
        <w:rPr>
          <w:lang w:val="en-GB"/>
        </w:rPr>
        <w:t xml:space="preserve">, </w:t>
      </w:r>
      <w:r w:rsidR="00066095" w:rsidRPr="00A307C6">
        <w:rPr>
          <w:lang w:val="en-GB"/>
        </w:rPr>
        <w:t xml:space="preserve">and </w:t>
      </w:r>
      <w:r w:rsidR="00C776EC" w:rsidRPr="00A307C6">
        <w:rPr>
          <w:lang w:val="en-GB"/>
        </w:rPr>
        <w:t>wounds</w:t>
      </w:r>
      <w:r w:rsidR="00066095" w:rsidRPr="00A307C6">
        <w:rPr>
          <w:lang w:val="en-GB"/>
        </w:rPr>
        <w:t>,</w:t>
      </w:r>
      <w:r w:rsidR="00C776EC" w:rsidRPr="00A307C6">
        <w:rPr>
          <w:lang w:val="en-GB"/>
        </w:rPr>
        <w:t xml:space="preserve"> </w:t>
      </w:r>
      <w:r w:rsidR="00193DAE" w:rsidRPr="00A307C6">
        <w:rPr>
          <w:lang w:val="en-GB"/>
        </w:rPr>
        <w:t xml:space="preserve">and </w:t>
      </w:r>
      <w:r w:rsidR="00C776EC" w:rsidRPr="00A307C6">
        <w:rPr>
          <w:lang w:val="en-GB"/>
        </w:rPr>
        <w:t xml:space="preserve">severe bruising </w:t>
      </w:r>
      <w:r w:rsidR="00193DAE" w:rsidRPr="00A307C6">
        <w:rPr>
          <w:lang w:val="en-GB"/>
        </w:rPr>
        <w:t xml:space="preserve">as well as </w:t>
      </w:r>
      <w:r w:rsidR="00C776EC" w:rsidRPr="00A307C6">
        <w:rPr>
          <w:lang w:val="en-GB"/>
        </w:rPr>
        <w:t>muscular and skeletal damage.</w:t>
      </w:r>
      <w:r w:rsidR="00C776EC" w:rsidRPr="00A307C6">
        <w:rPr>
          <w:rStyle w:val="FootnoteReference"/>
          <w:lang w:val="en-GB"/>
        </w:rPr>
        <w:footnoteReference w:id="61"/>
      </w:r>
      <w:r w:rsidR="00BB2FA3" w:rsidRPr="00A307C6">
        <w:rPr>
          <w:lang w:val="en-GB"/>
        </w:rPr>
        <w:t xml:space="preserve"> </w:t>
      </w:r>
      <w:r w:rsidR="00855D0A" w:rsidRPr="00A307C6">
        <w:rPr>
          <w:lang w:val="en-GB"/>
        </w:rPr>
        <w:t xml:space="preserve">Beatings with objects, often with the butt of a rifle, are also common and cause </w:t>
      </w:r>
      <w:r w:rsidR="000C15C9" w:rsidRPr="00A307C6">
        <w:rPr>
          <w:lang w:val="en-GB"/>
        </w:rPr>
        <w:t xml:space="preserve">massive </w:t>
      </w:r>
      <w:r w:rsidR="00855D0A" w:rsidRPr="00A307C6">
        <w:rPr>
          <w:lang w:val="en-GB"/>
        </w:rPr>
        <w:t>injur</w:t>
      </w:r>
      <w:r w:rsidR="000C15C9" w:rsidRPr="00A307C6">
        <w:rPr>
          <w:lang w:val="en-GB"/>
        </w:rPr>
        <w:t>ies</w:t>
      </w:r>
      <w:r w:rsidR="00855D0A" w:rsidRPr="00A307C6">
        <w:rPr>
          <w:lang w:val="en-GB"/>
        </w:rPr>
        <w:t>.</w:t>
      </w:r>
    </w:p>
    <w:p w14:paraId="1B469EFE" w14:textId="33D2F46D" w:rsidR="00143D53" w:rsidRPr="00A307C6" w:rsidRDefault="00855D0A" w:rsidP="004F3493">
      <w:pPr>
        <w:pStyle w:val="Paragraph"/>
        <w:numPr>
          <w:ilvl w:val="0"/>
          <w:numId w:val="0"/>
        </w:numPr>
        <w:ind w:left="1134"/>
        <w:rPr>
          <w:lang w:val="en-GB"/>
        </w:rPr>
      </w:pPr>
      <w:r w:rsidRPr="00A307C6">
        <w:rPr>
          <w:lang w:val="en-GB"/>
        </w:rPr>
        <w:t xml:space="preserve">“Around five of the soldiers raped me. They also hit me with the butt of their guns on my chest, lower back and head. They tortured me throughout the rape” – a middle-aged survivor of an attack on her village by </w:t>
      </w:r>
      <w:r w:rsidR="003610A6" w:rsidRPr="00A307C6">
        <w:rPr>
          <w:lang w:val="en-GB"/>
        </w:rPr>
        <w:t xml:space="preserve">armed men </w:t>
      </w:r>
      <w:r w:rsidRPr="00A307C6">
        <w:rPr>
          <w:lang w:val="en-GB"/>
        </w:rPr>
        <w:t xml:space="preserve">in </w:t>
      </w:r>
      <w:r w:rsidR="00A307C6" w:rsidRPr="00A307C6">
        <w:rPr>
          <w:lang w:val="en-GB"/>
        </w:rPr>
        <w:t>Jonglei</w:t>
      </w:r>
      <w:r w:rsidRPr="00A307C6">
        <w:rPr>
          <w:lang w:val="en-GB"/>
        </w:rPr>
        <w:t>.</w:t>
      </w:r>
      <w:r w:rsidRPr="00A307C6">
        <w:rPr>
          <w:rStyle w:val="FootnoteReference"/>
          <w:lang w:val="en-GB"/>
        </w:rPr>
        <w:footnoteReference w:id="62"/>
      </w:r>
    </w:p>
    <w:p w14:paraId="20E730DE" w14:textId="72970042" w:rsidR="00C776EC" w:rsidRPr="00A307C6" w:rsidRDefault="00BB2FA3" w:rsidP="00FF077A">
      <w:pPr>
        <w:pStyle w:val="Paragraph"/>
        <w:rPr>
          <w:lang w:val="en-GB"/>
        </w:rPr>
      </w:pPr>
      <w:r w:rsidRPr="00A307C6">
        <w:rPr>
          <w:lang w:val="en-GB"/>
        </w:rPr>
        <w:t xml:space="preserve">Many survivors showed the Commission </w:t>
      </w:r>
      <w:r w:rsidR="000C15C9" w:rsidRPr="00A307C6">
        <w:rPr>
          <w:lang w:val="en-GB"/>
        </w:rPr>
        <w:t xml:space="preserve">the </w:t>
      </w:r>
      <w:r w:rsidRPr="00A307C6">
        <w:rPr>
          <w:lang w:val="en-GB"/>
        </w:rPr>
        <w:t>visible physical scar</w:t>
      </w:r>
      <w:r w:rsidR="000C15C9" w:rsidRPr="00A307C6">
        <w:rPr>
          <w:lang w:val="en-GB"/>
        </w:rPr>
        <w:t>s</w:t>
      </w:r>
      <w:r w:rsidRPr="00A307C6">
        <w:rPr>
          <w:lang w:val="en-GB"/>
        </w:rPr>
        <w:t xml:space="preserve"> from their ordeals, in most cases including multiple scars from assault</w:t>
      </w:r>
      <w:r w:rsidR="000C15C9" w:rsidRPr="00A307C6">
        <w:rPr>
          <w:lang w:val="en-GB"/>
        </w:rPr>
        <w:t>s</w:t>
      </w:r>
      <w:r w:rsidRPr="00A307C6">
        <w:rPr>
          <w:lang w:val="en-GB"/>
        </w:rPr>
        <w:t xml:space="preserve"> with a piece of wood and or guns and other blunt objects, as well as from materials they may have been pushed up against during attacks such as tree stumps and walls and bushes.</w:t>
      </w:r>
      <w:r w:rsidRPr="00A307C6">
        <w:rPr>
          <w:rStyle w:val="FootnoteReference"/>
          <w:lang w:val="en-GB"/>
        </w:rPr>
        <w:footnoteReference w:id="63"/>
      </w:r>
      <w:r w:rsidR="005F73E7" w:rsidRPr="00A307C6">
        <w:rPr>
          <w:lang w:val="en-GB"/>
        </w:rPr>
        <w:t xml:space="preserve"> A woman who was part of a mass rape </w:t>
      </w:r>
      <w:r w:rsidR="000C15C9" w:rsidRPr="00A307C6">
        <w:rPr>
          <w:lang w:val="en-GB"/>
        </w:rPr>
        <w:t xml:space="preserve">incident </w:t>
      </w:r>
      <w:r w:rsidR="005F73E7" w:rsidRPr="00A307C6">
        <w:rPr>
          <w:lang w:val="en-GB"/>
        </w:rPr>
        <w:t>by soldiers in Central Equatoria explained how she viewed the experience:</w:t>
      </w:r>
    </w:p>
    <w:p w14:paraId="5F758C71" w14:textId="10D05EBF" w:rsidR="00E40CC2" w:rsidRPr="00A307C6" w:rsidRDefault="00E40CC2" w:rsidP="004F3493">
      <w:pPr>
        <w:pStyle w:val="Paragraph"/>
        <w:numPr>
          <w:ilvl w:val="0"/>
          <w:numId w:val="0"/>
        </w:numPr>
        <w:ind w:left="1134"/>
        <w:rPr>
          <w:lang w:val="en-GB"/>
        </w:rPr>
      </w:pPr>
      <w:r w:rsidRPr="00A307C6">
        <w:rPr>
          <w:lang w:val="en-GB"/>
        </w:rPr>
        <w:lastRenderedPageBreak/>
        <w:t>“I was also hit all over my body and this is still so painful. This is why I say that I was raped brutally: I was being assaulted and also being raped</w:t>
      </w:r>
      <w:r w:rsidR="00E3245F" w:rsidRPr="00A307C6">
        <w:rPr>
          <w:lang w:val="en-GB"/>
        </w:rPr>
        <w:t>.</w:t>
      </w:r>
      <w:r w:rsidR="005F73E7" w:rsidRPr="00A307C6">
        <w:rPr>
          <w:lang w:val="en-GB"/>
        </w:rPr>
        <w:t>”</w:t>
      </w:r>
      <w:r w:rsidR="00485421" w:rsidRPr="00A307C6">
        <w:rPr>
          <w:rStyle w:val="FootnoteReference"/>
          <w:lang w:val="en-GB"/>
        </w:rPr>
        <w:footnoteReference w:id="64"/>
      </w:r>
    </w:p>
    <w:p w14:paraId="604A69B2" w14:textId="211DC704" w:rsidR="00C776EC" w:rsidRPr="00A307C6" w:rsidRDefault="00C776EC" w:rsidP="00FF077A">
      <w:pPr>
        <w:pStyle w:val="Paragraph"/>
        <w:rPr>
          <w:lang w:val="en-GB"/>
        </w:rPr>
      </w:pPr>
      <w:r w:rsidRPr="00A307C6">
        <w:rPr>
          <w:lang w:val="en-GB"/>
        </w:rPr>
        <w:t xml:space="preserve">For victims with pre-existing health conditions, such as issues around the </w:t>
      </w:r>
      <w:r w:rsidR="002404AF" w:rsidRPr="00A307C6">
        <w:rPr>
          <w:lang w:val="en-GB"/>
        </w:rPr>
        <w:t>abdominal</w:t>
      </w:r>
      <w:r w:rsidRPr="00A307C6">
        <w:rPr>
          <w:lang w:val="en-GB"/>
        </w:rPr>
        <w:t xml:space="preserve"> area or trauma from previous violence inflicted against them, </w:t>
      </w:r>
      <w:r w:rsidR="00E40CC2" w:rsidRPr="00A307C6">
        <w:rPr>
          <w:lang w:val="en-GB"/>
        </w:rPr>
        <w:t xml:space="preserve">the combination of </w:t>
      </w:r>
      <w:r w:rsidR="002404AF" w:rsidRPr="00A307C6">
        <w:rPr>
          <w:lang w:val="en-GB"/>
        </w:rPr>
        <w:t>beatings</w:t>
      </w:r>
      <w:r w:rsidR="00E40CC2" w:rsidRPr="00A307C6">
        <w:rPr>
          <w:lang w:val="en-GB"/>
        </w:rPr>
        <w:t xml:space="preserve"> and </w:t>
      </w:r>
      <w:r w:rsidRPr="00A307C6">
        <w:rPr>
          <w:lang w:val="en-GB"/>
        </w:rPr>
        <w:t xml:space="preserve">sexual violence </w:t>
      </w:r>
      <w:r w:rsidR="000C15C9" w:rsidRPr="00A307C6">
        <w:rPr>
          <w:lang w:val="en-GB"/>
        </w:rPr>
        <w:t xml:space="preserve">has </w:t>
      </w:r>
      <w:r w:rsidRPr="00A307C6">
        <w:rPr>
          <w:lang w:val="en-GB"/>
        </w:rPr>
        <w:t>exacerbate</w:t>
      </w:r>
      <w:r w:rsidR="000C15C9" w:rsidRPr="00A307C6">
        <w:rPr>
          <w:lang w:val="en-GB"/>
        </w:rPr>
        <w:t>d</w:t>
      </w:r>
      <w:r w:rsidRPr="00A307C6">
        <w:rPr>
          <w:lang w:val="en-GB"/>
        </w:rPr>
        <w:t xml:space="preserve"> their existing injuries</w:t>
      </w:r>
      <w:r w:rsidR="000C15C9" w:rsidRPr="00A307C6">
        <w:rPr>
          <w:lang w:val="en-GB"/>
        </w:rPr>
        <w:t xml:space="preserve">, causing </w:t>
      </w:r>
      <w:r w:rsidRPr="00A307C6">
        <w:rPr>
          <w:lang w:val="en-GB"/>
        </w:rPr>
        <w:t xml:space="preserve">serious health implications. A young woman in Central Equatoria raped by six men pleaded with them that her body could not handle the </w:t>
      </w:r>
      <w:r w:rsidR="000C15C9" w:rsidRPr="00A307C6">
        <w:rPr>
          <w:lang w:val="en-GB"/>
        </w:rPr>
        <w:t xml:space="preserve">ongoing sexual </w:t>
      </w:r>
      <w:r w:rsidRPr="00A307C6">
        <w:rPr>
          <w:lang w:val="en-GB"/>
        </w:rPr>
        <w:t>assault</w:t>
      </w:r>
      <w:r w:rsidR="000C15C9" w:rsidRPr="00A307C6">
        <w:rPr>
          <w:lang w:val="en-GB"/>
        </w:rPr>
        <w:t>s</w:t>
      </w:r>
      <w:r w:rsidRPr="00A307C6">
        <w:rPr>
          <w:lang w:val="en-GB"/>
        </w:rPr>
        <w:t xml:space="preserve"> as she was </w:t>
      </w:r>
      <w:r w:rsidR="000C15C9" w:rsidRPr="00A307C6">
        <w:rPr>
          <w:lang w:val="en-GB"/>
        </w:rPr>
        <w:t xml:space="preserve">still </w:t>
      </w:r>
      <w:r w:rsidRPr="00A307C6">
        <w:rPr>
          <w:lang w:val="en-GB"/>
        </w:rPr>
        <w:t xml:space="preserve">recovering from two recent surgeries in the lower </w:t>
      </w:r>
      <w:r w:rsidR="002404AF" w:rsidRPr="00A307C6">
        <w:rPr>
          <w:lang w:val="en-GB"/>
        </w:rPr>
        <w:t>abdominal</w:t>
      </w:r>
      <w:r w:rsidRPr="00A307C6">
        <w:rPr>
          <w:lang w:val="en-GB"/>
        </w:rPr>
        <w:t xml:space="preserve"> area, but they ignored these pleas, and she thought she would die.</w:t>
      </w:r>
      <w:r w:rsidRPr="00A307C6">
        <w:rPr>
          <w:rStyle w:val="FootnoteReference"/>
          <w:lang w:val="en-GB"/>
        </w:rPr>
        <w:footnoteReference w:id="65"/>
      </w:r>
      <w:r w:rsidR="003228DF" w:rsidRPr="00A307C6">
        <w:rPr>
          <w:lang w:val="en-GB"/>
        </w:rPr>
        <w:t xml:space="preserve"> A young mother was raped by multiple soldiers in Central Equatoria just months after having giving birth through a </w:t>
      </w:r>
      <w:r w:rsidR="00F30961">
        <w:rPr>
          <w:lang w:val="en-GB"/>
        </w:rPr>
        <w:t>caesarean section</w:t>
      </w:r>
      <w:r w:rsidR="003228DF" w:rsidRPr="00A307C6">
        <w:rPr>
          <w:lang w:val="en-GB"/>
        </w:rPr>
        <w:t>:</w:t>
      </w:r>
    </w:p>
    <w:p w14:paraId="33BBBCB6" w14:textId="2A138DD6" w:rsidR="003228DF" w:rsidRPr="00A307C6" w:rsidRDefault="003228DF" w:rsidP="004F3493">
      <w:pPr>
        <w:pStyle w:val="Paragraph"/>
        <w:numPr>
          <w:ilvl w:val="0"/>
          <w:numId w:val="0"/>
        </w:numPr>
        <w:ind w:left="1134"/>
        <w:rPr>
          <w:lang w:val="en-GB"/>
        </w:rPr>
      </w:pPr>
      <w:r w:rsidRPr="00A307C6">
        <w:rPr>
          <w:lang w:val="en-GB"/>
        </w:rPr>
        <w:t>“By the time the fifth man was inside me… My stomach was on fire, and I felt like someone had thrown hot oil inside my vagina.”</w:t>
      </w:r>
      <w:r w:rsidRPr="00A307C6">
        <w:rPr>
          <w:rStyle w:val="FootnoteReference"/>
          <w:lang w:val="en-GB"/>
        </w:rPr>
        <w:footnoteReference w:id="66"/>
      </w:r>
    </w:p>
    <w:p w14:paraId="5F7B1DA4" w14:textId="0E68B993" w:rsidR="00504461" w:rsidRPr="00A307C6" w:rsidRDefault="00FF2520" w:rsidP="00504461">
      <w:pPr>
        <w:pStyle w:val="Paragraph"/>
        <w:rPr>
          <w:lang w:val="en-GB"/>
        </w:rPr>
      </w:pPr>
      <w:r w:rsidRPr="00A307C6">
        <w:rPr>
          <w:lang w:val="en-GB"/>
        </w:rPr>
        <w:t xml:space="preserve">Medical practitioners told the Commission that it is not uncommon to see women and girls who have been subjected to </w:t>
      </w:r>
      <w:r w:rsidR="00A2596B" w:rsidRPr="00A307C6">
        <w:rPr>
          <w:lang w:val="en-GB"/>
        </w:rPr>
        <w:t xml:space="preserve">multiple incidents of </w:t>
      </w:r>
      <w:r w:rsidRPr="00A307C6">
        <w:rPr>
          <w:lang w:val="en-GB"/>
        </w:rPr>
        <w:t xml:space="preserve">sexual violence throughout their lifetime, and that for those survivors the repetition of physical injuries and psychological trauma have </w:t>
      </w:r>
      <w:r w:rsidR="00356B81">
        <w:rPr>
          <w:lang w:val="en-GB"/>
        </w:rPr>
        <w:t xml:space="preserve">multiple </w:t>
      </w:r>
      <w:r w:rsidRPr="00A307C6">
        <w:rPr>
          <w:lang w:val="en-GB"/>
        </w:rPr>
        <w:t>health impacts.</w:t>
      </w:r>
      <w:r w:rsidRPr="00A307C6">
        <w:rPr>
          <w:rStyle w:val="FootnoteReference"/>
          <w:lang w:val="en-GB"/>
        </w:rPr>
        <w:footnoteReference w:id="67"/>
      </w:r>
    </w:p>
    <w:p w14:paraId="3AC69DB4" w14:textId="6D51356A" w:rsidR="00C776EC" w:rsidRPr="00A307C6" w:rsidRDefault="007E115F" w:rsidP="009E6E96">
      <w:pPr>
        <w:pStyle w:val="H1G"/>
      </w:pPr>
      <w:bookmarkStart w:id="26" w:name="_Toc98226809"/>
      <w:bookmarkStart w:id="27" w:name="_Toc98606450"/>
      <w:r w:rsidRPr="00A307C6">
        <w:t>F</w:t>
      </w:r>
      <w:r w:rsidR="00446AAF" w:rsidRPr="00A307C6">
        <w:t xml:space="preserve">orced to </w:t>
      </w:r>
      <w:r w:rsidR="006F358F" w:rsidRPr="00A307C6">
        <w:t xml:space="preserve">witness </w:t>
      </w:r>
      <w:r w:rsidRPr="00A307C6">
        <w:t xml:space="preserve">sexual </w:t>
      </w:r>
      <w:r w:rsidR="006F358F" w:rsidRPr="00A307C6">
        <w:t>violence</w:t>
      </w:r>
      <w:bookmarkEnd w:id="26"/>
      <w:bookmarkEnd w:id="27"/>
    </w:p>
    <w:p w14:paraId="4ACA6EF8" w14:textId="75979285" w:rsidR="006F358F" w:rsidRPr="00A307C6" w:rsidRDefault="006F358F" w:rsidP="00FF077A">
      <w:pPr>
        <w:pStyle w:val="Paragraph"/>
        <w:rPr>
          <w:lang w:val="en-GB"/>
        </w:rPr>
      </w:pPr>
      <w:r w:rsidRPr="00A307C6">
        <w:rPr>
          <w:lang w:val="en-GB"/>
        </w:rPr>
        <w:t xml:space="preserve">A teenage girl present when her village in Central Equatoria was attacked </w:t>
      </w:r>
      <w:r w:rsidR="007E115F" w:rsidRPr="00A307C6">
        <w:rPr>
          <w:lang w:val="en-GB"/>
        </w:rPr>
        <w:t xml:space="preserve">told </w:t>
      </w:r>
      <w:r w:rsidRPr="00A307C6">
        <w:rPr>
          <w:lang w:val="en-GB"/>
        </w:rPr>
        <w:t xml:space="preserve">the Commission how her guardian was helpless </w:t>
      </w:r>
      <w:r w:rsidR="007E115F" w:rsidRPr="00A307C6">
        <w:rPr>
          <w:lang w:val="en-GB"/>
        </w:rPr>
        <w:t xml:space="preserve">in preventing </w:t>
      </w:r>
      <w:r w:rsidRPr="00A307C6">
        <w:rPr>
          <w:lang w:val="en-GB"/>
        </w:rPr>
        <w:t>armed soldiers</w:t>
      </w:r>
      <w:r w:rsidR="007E115F" w:rsidRPr="00A307C6">
        <w:rPr>
          <w:lang w:val="en-GB"/>
        </w:rPr>
        <w:t xml:space="preserve"> from raping the women and girls</w:t>
      </w:r>
      <w:r w:rsidRPr="00A307C6">
        <w:rPr>
          <w:lang w:val="en-GB"/>
        </w:rPr>
        <w:t>:</w:t>
      </w:r>
    </w:p>
    <w:p w14:paraId="53100A0B" w14:textId="77777777" w:rsidR="006F358F" w:rsidRPr="00A307C6" w:rsidRDefault="006F358F" w:rsidP="004F3493">
      <w:pPr>
        <w:pStyle w:val="Paragraph"/>
        <w:numPr>
          <w:ilvl w:val="0"/>
          <w:numId w:val="0"/>
        </w:numPr>
        <w:ind w:left="1134"/>
        <w:rPr>
          <w:lang w:val="en-GB"/>
        </w:rPr>
      </w:pPr>
      <w:r w:rsidRPr="00A307C6">
        <w:rPr>
          <w:lang w:val="en-GB"/>
        </w:rPr>
        <w:t xml:space="preserve">“I heard my uncle telling the soldiers to kill him first instead of witnessing the soldiers raping us. While they were talking, three soldiers who had already taken away two women came and roughly carried me behind the tukul… I started bleeding and he just raped me and continued raping me for </w:t>
      </w:r>
      <w:r w:rsidRPr="00A307C6">
        <w:rPr>
          <w:lang w:val="en-GB"/>
        </w:rPr>
        <w:lastRenderedPageBreak/>
        <w:t>a long time, beating me with a gun in between… then he joined others who had finished raping, and started looting.”</w:t>
      </w:r>
      <w:r w:rsidRPr="00A307C6">
        <w:rPr>
          <w:rStyle w:val="FootnoteReference"/>
          <w:lang w:val="en-GB"/>
        </w:rPr>
        <w:footnoteReference w:id="68"/>
      </w:r>
    </w:p>
    <w:p w14:paraId="5CA28F60" w14:textId="03590DC7" w:rsidR="006F358F" w:rsidRPr="00A307C6" w:rsidRDefault="00FB0E4B" w:rsidP="00FF077A">
      <w:pPr>
        <w:pStyle w:val="Paragraph"/>
        <w:rPr>
          <w:lang w:val="en-GB"/>
        </w:rPr>
      </w:pPr>
      <w:r w:rsidRPr="00A307C6">
        <w:rPr>
          <w:lang w:val="en-GB"/>
        </w:rPr>
        <w:t>T</w:t>
      </w:r>
      <w:r w:rsidR="00446AAF" w:rsidRPr="00A307C6">
        <w:rPr>
          <w:lang w:val="en-GB"/>
        </w:rPr>
        <w:t xml:space="preserve">he </w:t>
      </w:r>
      <w:r w:rsidRPr="00A307C6">
        <w:rPr>
          <w:lang w:val="en-GB"/>
        </w:rPr>
        <w:t>C</w:t>
      </w:r>
      <w:r w:rsidR="00446AAF" w:rsidRPr="00A307C6">
        <w:rPr>
          <w:lang w:val="en-GB"/>
        </w:rPr>
        <w:t xml:space="preserve">ommission </w:t>
      </w:r>
      <w:r w:rsidR="007E115F" w:rsidRPr="00A307C6">
        <w:rPr>
          <w:lang w:val="en-GB"/>
        </w:rPr>
        <w:t xml:space="preserve">was informed of numerous </w:t>
      </w:r>
      <w:r w:rsidRPr="00A307C6">
        <w:rPr>
          <w:lang w:val="en-GB"/>
        </w:rPr>
        <w:t xml:space="preserve">cases where </w:t>
      </w:r>
      <w:r w:rsidR="00FA5901" w:rsidRPr="00A307C6">
        <w:rPr>
          <w:lang w:val="en-GB"/>
        </w:rPr>
        <w:t xml:space="preserve">men </w:t>
      </w:r>
      <w:r w:rsidR="007E115F" w:rsidRPr="00A307C6">
        <w:rPr>
          <w:lang w:val="en-GB"/>
        </w:rPr>
        <w:t xml:space="preserve">were </w:t>
      </w:r>
      <w:r w:rsidR="00253D54" w:rsidRPr="00A307C6">
        <w:rPr>
          <w:lang w:val="en-GB"/>
        </w:rPr>
        <w:t xml:space="preserve">forced to watch their girl children, wives and sisters raped </w:t>
      </w:r>
      <w:r w:rsidR="006F358F" w:rsidRPr="00A307C6">
        <w:rPr>
          <w:lang w:val="en-GB"/>
        </w:rPr>
        <w:t xml:space="preserve">and </w:t>
      </w:r>
      <w:r w:rsidR="00253D54" w:rsidRPr="00A307C6">
        <w:rPr>
          <w:lang w:val="en-GB"/>
        </w:rPr>
        <w:t>killed.</w:t>
      </w:r>
      <w:r w:rsidR="00253D54" w:rsidRPr="00A307C6">
        <w:rPr>
          <w:rStyle w:val="FootnoteReference"/>
          <w:lang w:val="en-GB"/>
        </w:rPr>
        <w:footnoteReference w:id="69"/>
      </w:r>
      <w:r w:rsidR="003E43D4" w:rsidRPr="00A307C6">
        <w:rPr>
          <w:lang w:val="en-GB"/>
        </w:rPr>
        <w:t xml:space="preserve"> </w:t>
      </w:r>
      <w:r w:rsidR="006F358F" w:rsidRPr="00A307C6">
        <w:rPr>
          <w:lang w:val="en-GB"/>
        </w:rPr>
        <w:t xml:space="preserve">A woman recounted what she </w:t>
      </w:r>
      <w:r w:rsidR="00446AAF" w:rsidRPr="00A307C6">
        <w:rPr>
          <w:lang w:val="en-GB"/>
        </w:rPr>
        <w:t xml:space="preserve">considered to be </w:t>
      </w:r>
      <w:r w:rsidR="006F358F" w:rsidRPr="00A307C6">
        <w:rPr>
          <w:lang w:val="en-GB"/>
        </w:rPr>
        <w:t>a sickening threat from a soldier:</w:t>
      </w:r>
    </w:p>
    <w:p w14:paraId="63634D3C" w14:textId="77777777" w:rsidR="006F358F" w:rsidRPr="00A307C6" w:rsidRDefault="006F358F" w:rsidP="004F3493">
      <w:pPr>
        <w:pStyle w:val="Paragraph"/>
        <w:numPr>
          <w:ilvl w:val="0"/>
          <w:numId w:val="0"/>
        </w:numPr>
        <w:ind w:left="1134"/>
        <w:rPr>
          <w:lang w:val="en-GB"/>
        </w:rPr>
      </w:pPr>
      <w:r w:rsidRPr="00A307C6">
        <w:rPr>
          <w:lang w:val="en-GB"/>
        </w:rPr>
        <w:t>“One of the six men asked me a painful question. He said, ‘Tell us whether the rape was good. If not, we will immediately do it again…’</w:t>
      </w:r>
    </w:p>
    <w:p w14:paraId="7396DE32" w14:textId="39F50327" w:rsidR="006F358F" w:rsidRPr="00A307C6" w:rsidRDefault="006F358F" w:rsidP="004F3493">
      <w:pPr>
        <w:pStyle w:val="Paragraph"/>
        <w:numPr>
          <w:ilvl w:val="0"/>
          <w:numId w:val="0"/>
        </w:numPr>
        <w:ind w:left="1134"/>
        <w:rPr>
          <w:lang w:val="en-GB"/>
        </w:rPr>
      </w:pPr>
      <w:r w:rsidRPr="00A307C6">
        <w:rPr>
          <w:lang w:val="en-GB"/>
        </w:rPr>
        <w:t>“Why are we raped and then insulted? What have we done to deserve such treatment? For how long do we have to suffer like this?”</w:t>
      </w:r>
      <w:r w:rsidRPr="00A307C6">
        <w:rPr>
          <w:rStyle w:val="FootnoteReference"/>
          <w:lang w:val="en-GB"/>
        </w:rPr>
        <w:footnoteReference w:id="70"/>
      </w:r>
      <w:r w:rsidRPr="00A307C6">
        <w:rPr>
          <w:lang w:val="en-GB"/>
        </w:rPr>
        <w:t xml:space="preserve"> </w:t>
      </w:r>
    </w:p>
    <w:p w14:paraId="50A1E212" w14:textId="1DF5D878" w:rsidR="00504461" w:rsidRPr="00A307C6" w:rsidRDefault="007E115F" w:rsidP="00504461">
      <w:pPr>
        <w:pStyle w:val="Paragraph"/>
        <w:rPr>
          <w:lang w:val="en-GB"/>
        </w:rPr>
      </w:pPr>
      <w:r w:rsidRPr="00A307C6">
        <w:rPr>
          <w:lang w:val="en-GB"/>
        </w:rPr>
        <w:t>Sexual violence in this context is strategic</w:t>
      </w:r>
      <w:r w:rsidR="00A65182" w:rsidRPr="00A307C6">
        <w:rPr>
          <w:lang w:val="en-GB"/>
        </w:rPr>
        <w:t xml:space="preserve">ally used to inflict psychological trauma on relatives and communities. While it has </w:t>
      </w:r>
      <w:r w:rsidRPr="00A307C6">
        <w:rPr>
          <w:lang w:val="en-GB"/>
        </w:rPr>
        <w:t xml:space="preserve">devastating consequences for the victims themselves, </w:t>
      </w:r>
      <w:r w:rsidR="00A65182" w:rsidRPr="00A307C6">
        <w:rPr>
          <w:lang w:val="en-GB"/>
        </w:rPr>
        <w:t xml:space="preserve">given the </w:t>
      </w:r>
      <w:r w:rsidRPr="00A307C6">
        <w:rPr>
          <w:lang w:val="en-GB"/>
        </w:rPr>
        <w:t xml:space="preserve">physical, psychological, social and economic effects, </w:t>
      </w:r>
      <w:r w:rsidR="00A65182" w:rsidRPr="00A307C6">
        <w:rPr>
          <w:lang w:val="en-GB"/>
        </w:rPr>
        <w:t xml:space="preserve">it may be even more traumatic for </w:t>
      </w:r>
      <w:r w:rsidRPr="00A307C6">
        <w:rPr>
          <w:lang w:val="en-GB"/>
        </w:rPr>
        <w:t>the vict</w:t>
      </w:r>
      <w:r w:rsidR="002669AA">
        <w:rPr>
          <w:lang w:val="en-GB"/>
        </w:rPr>
        <w:t>i</w:t>
      </w:r>
      <w:r w:rsidRPr="00A307C6">
        <w:rPr>
          <w:lang w:val="en-GB"/>
        </w:rPr>
        <w:t xml:space="preserve">ms' relatives, who </w:t>
      </w:r>
      <w:r w:rsidR="00A65182" w:rsidRPr="00A307C6">
        <w:rPr>
          <w:lang w:val="en-GB"/>
        </w:rPr>
        <w:t>experience</w:t>
      </w:r>
      <w:r w:rsidRPr="00A307C6">
        <w:rPr>
          <w:lang w:val="en-GB"/>
        </w:rPr>
        <w:t xml:space="preserve"> feelings of </w:t>
      </w:r>
      <w:r w:rsidR="00B3335D">
        <w:rPr>
          <w:lang w:val="en-GB"/>
        </w:rPr>
        <w:t xml:space="preserve">helplessness and </w:t>
      </w:r>
      <w:r w:rsidRPr="00A307C6">
        <w:rPr>
          <w:lang w:val="en-GB"/>
        </w:rPr>
        <w:t>guil</w:t>
      </w:r>
      <w:r w:rsidR="00B3335D">
        <w:rPr>
          <w:lang w:val="en-GB"/>
        </w:rPr>
        <w:t xml:space="preserve">t </w:t>
      </w:r>
      <w:r w:rsidRPr="00A307C6">
        <w:rPr>
          <w:lang w:val="en-GB"/>
        </w:rPr>
        <w:t>at be</w:t>
      </w:r>
      <w:r w:rsidR="00B3335D">
        <w:rPr>
          <w:lang w:val="en-GB"/>
        </w:rPr>
        <w:t xml:space="preserve">ing </w:t>
      </w:r>
      <w:r w:rsidRPr="00A307C6">
        <w:rPr>
          <w:lang w:val="en-GB"/>
        </w:rPr>
        <w:t>unable to protect their next-of-kin. It may also have consequences for entire communities</w:t>
      </w:r>
      <w:r w:rsidR="00B3335D">
        <w:rPr>
          <w:lang w:val="en-GB"/>
        </w:rPr>
        <w:t xml:space="preserve">, as </w:t>
      </w:r>
      <w:r w:rsidRPr="00A307C6">
        <w:rPr>
          <w:lang w:val="en-GB"/>
        </w:rPr>
        <w:t>it creates fear and destroys the social fabric</w:t>
      </w:r>
      <w:r w:rsidR="00B3335D">
        <w:rPr>
          <w:lang w:val="en-GB"/>
        </w:rPr>
        <w:t xml:space="preserve"> of the community</w:t>
      </w:r>
      <w:r w:rsidR="00DF354A" w:rsidRPr="00A307C6">
        <w:rPr>
          <w:lang w:val="en-GB"/>
        </w:rPr>
        <w:t>.</w:t>
      </w:r>
    </w:p>
    <w:p w14:paraId="45B7F50F" w14:textId="17CBD638" w:rsidR="00CE0E73" w:rsidRPr="00A307C6" w:rsidRDefault="00CE0E73" w:rsidP="00663D37">
      <w:pPr>
        <w:pStyle w:val="Paragraph"/>
        <w:numPr>
          <w:ilvl w:val="0"/>
          <w:numId w:val="0"/>
        </w:numPr>
        <w:ind w:left="1134"/>
        <w:rPr>
          <w:lang w:val="en-GB"/>
        </w:rPr>
      </w:pPr>
      <w:r w:rsidRPr="00A307C6">
        <w:rPr>
          <w:lang w:val="en-GB"/>
        </w:rPr>
        <w:t>“One raped me first, after removing my dress by force. The other one waited for the first one to finish, and he also raped me. This was happening in the presence of my mother and the children.  It was difficult for my mother to watch what was happening to me while knowing that she could not help. She felt sorry for me and just cried.”</w:t>
      </w:r>
      <w:r w:rsidR="00663D37" w:rsidRPr="00A307C6">
        <w:rPr>
          <w:rStyle w:val="FootnoteReference"/>
          <w:lang w:val="en-GB"/>
        </w:rPr>
        <w:footnoteReference w:id="71"/>
      </w:r>
    </w:p>
    <w:p w14:paraId="6CCD4D7E" w14:textId="099AB36E" w:rsidR="00C776EC" w:rsidRPr="00A307C6" w:rsidRDefault="002A15D1" w:rsidP="009E6E96">
      <w:pPr>
        <w:pStyle w:val="H1G"/>
      </w:pPr>
      <w:bookmarkStart w:id="29" w:name="_Toc98226810"/>
      <w:bookmarkStart w:id="30" w:name="_Toc98606451"/>
      <w:r>
        <w:t>Forced u</w:t>
      </w:r>
      <w:r w:rsidR="008C67CD" w:rsidRPr="00A307C6">
        <w:t xml:space="preserve">nprotected sex, </w:t>
      </w:r>
      <w:r w:rsidR="005B06C8" w:rsidRPr="00A307C6">
        <w:t xml:space="preserve">and </w:t>
      </w:r>
      <w:r w:rsidR="008C67CD" w:rsidRPr="00A307C6">
        <w:t>unwanted p</w:t>
      </w:r>
      <w:r w:rsidR="00C776EC" w:rsidRPr="00A307C6">
        <w:t>regnanc</w:t>
      </w:r>
      <w:r w:rsidR="0059203A" w:rsidRPr="00A307C6">
        <w:t>ies</w:t>
      </w:r>
      <w:bookmarkEnd w:id="29"/>
      <w:bookmarkEnd w:id="30"/>
    </w:p>
    <w:p w14:paraId="753F53CA" w14:textId="1F5CAD0D" w:rsidR="009A78A8" w:rsidRPr="00A307C6" w:rsidRDefault="008C67CD" w:rsidP="00FF077A">
      <w:pPr>
        <w:pStyle w:val="Paragraph"/>
        <w:rPr>
          <w:lang w:val="en-GB"/>
        </w:rPr>
      </w:pPr>
      <w:r w:rsidRPr="00A307C6">
        <w:rPr>
          <w:lang w:val="en-GB"/>
        </w:rPr>
        <w:t xml:space="preserve">The </w:t>
      </w:r>
      <w:r w:rsidR="00C776EC" w:rsidRPr="00A307C6">
        <w:rPr>
          <w:lang w:val="en-GB"/>
        </w:rPr>
        <w:t xml:space="preserve">Commission </w:t>
      </w:r>
      <w:r w:rsidRPr="00A307C6">
        <w:rPr>
          <w:lang w:val="en-GB"/>
        </w:rPr>
        <w:t xml:space="preserve">also noted in the course of </w:t>
      </w:r>
      <w:r w:rsidR="00C776EC" w:rsidRPr="00A307C6">
        <w:rPr>
          <w:lang w:val="en-GB"/>
        </w:rPr>
        <w:t xml:space="preserve">its investigations that perpetrators </w:t>
      </w:r>
      <w:r w:rsidRPr="00A307C6">
        <w:rPr>
          <w:lang w:val="en-GB"/>
        </w:rPr>
        <w:t xml:space="preserve">of rape </w:t>
      </w:r>
      <w:r w:rsidR="00066095" w:rsidRPr="00A307C6">
        <w:rPr>
          <w:lang w:val="en-GB"/>
        </w:rPr>
        <w:t xml:space="preserve">typically </w:t>
      </w:r>
      <w:r w:rsidRPr="00A307C6">
        <w:rPr>
          <w:lang w:val="en-GB"/>
        </w:rPr>
        <w:t>do not</w:t>
      </w:r>
      <w:r w:rsidR="00C776EC" w:rsidRPr="00A307C6">
        <w:rPr>
          <w:lang w:val="en-GB"/>
        </w:rPr>
        <w:t xml:space="preserve"> wear any </w:t>
      </w:r>
      <w:r w:rsidRPr="00A307C6">
        <w:rPr>
          <w:lang w:val="en-GB"/>
        </w:rPr>
        <w:t xml:space="preserve">condoms or any form of </w:t>
      </w:r>
      <w:r w:rsidR="00C776EC" w:rsidRPr="00A307C6">
        <w:rPr>
          <w:lang w:val="en-GB"/>
        </w:rPr>
        <w:t xml:space="preserve">protection and ejaculate inside or on the body of </w:t>
      </w:r>
      <w:r w:rsidR="002404AF" w:rsidRPr="00A307C6">
        <w:rPr>
          <w:lang w:val="en-GB"/>
        </w:rPr>
        <w:t>victim</w:t>
      </w:r>
      <w:r w:rsidRPr="00A307C6">
        <w:rPr>
          <w:lang w:val="en-GB"/>
        </w:rPr>
        <w:t xml:space="preserve">, causing </w:t>
      </w:r>
      <w:r w:rsidRPr="00A307C6">
        <w:rPr>
          <w:lang w:val="en-GB"/>
        </w:rPr>
        <w:lastRenderedPageBreak/>
        <w:t>many of them to fall pregnant and exposing the</w:t>
      </w:r>
      <w:r w:rsidR="00066095" w:rsidRPr="00A307C6">
        <w:rPr>
          <w:lang w:val="en-GB"/>
        </w:rPr>
        <w:t>m</w:t>
      </w:r>
      <w:r w:rsidRPr="00A307C6">
        <w:rPr>
          <w:lang w:val="en-GB"/>
        </w:rPr>
        <w:t xml:space="preserve"> to the risk of sexually transmitted diseases</w:t>
      </w:r>
      <w:r w:rsidR="00C776EC" w:rsidRPr="00A307C6">
        <w:rPr>
          <w:lang w:val="en-GB"/>
        </w:rPr>
        <w:t>.</w:t>
      </w:r>
      <w:r w:rsidR="00C776EC" w:rsidRPr="00A307C6">
        <w:rPr>
          <w:rStyle w:val="FootnoteReference"/>
          <w:lang w:val="en-GB"/>
        </w:rPr>
        <w:footnoteReference w:id="72"/>
      </w:r>
      <w:r w:rsidR="00C776EC" w:rsidRPr="00A307C6">
        <w:rPr>
          <w:lang w:val="en-GB"/>
        </w:rPr>
        <w:t xml:space="preserve"> </w:t>
      </w:r>
      <w:r w:rsidR="00B61B1D" w:rsidRPr="00A307C6">
        <w:rPr>
          <w:lang w:val="en-GB"/>
        </w:rPr>
        <w:t>Victims are often reluctant or unable to seek timely medical attention following such acts.</w:t>
      </w:r>
    </w:p>
    <w:p w14:paraId="56120C97" w14:textId="0F1EB7FD" w:rsidR="00B61B1D" w:rsidRPr="00A307C6" w:rsidRDefault="00B61B1D" w:rsidP="00D64A12">
      <w:pPr>
        <w:pStyle w:val="Paragraph"/>
        <w:numPr>
          <w:ilvl w:val="0"/>
          <w:numId w:val="0"/>
        </w:numPr>
        <w:ind w:left="1134"/>
        <w:rPr>
          <w:lang w:val="en-GB"/>
        </w:rPr>
      </w:pPr>
      <w:r w:rsidRPr="00A307C6">
        <w:rPr>
          <w:lang w:val="en-GB"/>
        </w:rPr>
        <w:t xml:space="preserve">“The nearest hospital </w:t>
      </w:r>
      <w:r w:rsidR="00CE0E73" w:rsidRPr="00A307C6">
        <w:rPr>
          <w:lang w:val="en-GB"/>
        </w:rPr>
        <w:t xml:space="preserve">was in (the Town </w:t>
      </w:r>
      <w:r w:rsidRPr="00A307C6">
        <w:rPr>
          <w:lang w:val="en-GB"/>
        </w:rPr>
        <w:t>I was raped), and I feared travelling back there because of what happened.  Therefore, I never went to the hospital for medical attention.  Now I am worried because I have missed my period.  I fear that I might be pregnant.”</w:t>
      </w:r>
      <w:r w:rsidRPr="00A307C6">
        <w:rPr>
          <w:rStyle w:val="FootnoteReference"/>
          <w:szCs w:val="24"/>
          <w:lang w:val="en-GB"/>
        </w:rPr>
        <w:footnoteReference w:id="73"/>
      </w:r>
    </w:p>
    <w:p w14:paraId="06106103" w14:textId="729E83D8" w:rsidR="00B21F11" w:rsidRPr="00A307C6" w:rsidRDefault="00CB4E8F" w:rsidP="00D64A12">
      <w:pPr>
        <w:pStyle w:val="Paragraph"/>
        <w:numPr>
          <w:ilvl w:val="0"/>
          <w:numId w:val="0"/>
        </w:numPr>
        <w:ind w:left="1134"/>
        <w:rPr>
          <w:lang w:val="en-GB"/>
        </w:rPr>
      </w:pPr>
      <w:r w:rsidRPr="00A307C6">
        <w:rPr>
          <w:lang w:val="en-GB"/>
        </w:rPr>
        <w:t>“I gave birth to a baby, a product of the rape.  My husband’s brother told me that if I keep the child, he will kill me, that I could not keep the child of the enemy.  After some months, the children and I joined people who walked to (a camp) for safety” – a woman in Unity State</w:t>
      </w:r>
      <w:r w:rsidR="00D64A12" w:rsidRPr="00A307C6">
        <w:rPr>
          <w:lang w:val="en-GB"/>
        </w:rPr>
        <w:t>.</w:t>
      </w:r>
      <w:r w:rsidRPr="00A307C6">
        <w:rPr>
          <w:rStyle w:val="FootnoteReference"/>
          <w:lang w:val="en-GB"/>
        </w:rPr>
        <w:footnoteReference w:id="74"/>
      </w:r>
    </w:p>
    <w:p w14:paraId="2D68D352" w14:textId="7B7E2BC9" w:rsidR="00B21F11" w:rsidRPr="00A307C6" w:rsidRDefault="00CB4E8F" w:rsidP="002669AA">
      <w:pPr>
        <w:pStyle w:val="Paragraph"/>
        <w:rPr>
          <w:lang w:val="en-GB"/>
        </w:rPr>
      </w:pPr>
      <w:r w:rsidRPr="00A307C6">
        <w:rPr>
          <w:lang w:val="en-GB"/>
        </w:rPr>
        <w:t xml:space="preserve">In the case of young adolescent girls, unwanted pregnancy carries distinct risks, including of injuries associated with childbearing when their bodies are </w:t>
      </w:r>
      <w:r w:rsidR="00356B81">
        <w:rPr>
          <w:lang w:val="en-GB"/>
        </w:rPr>
        <w:t xml:space="preserve">still </w:t>
      </w:r>
      <w:r w:rsidRPr="00A307C6">
        <w:rPr>
          <w:lang w:val="en-GB"/>
        </w:rPr>
        <w:t>immature, which can lead to permanent and profound health impacts.</w:t>
      </w:r>
      <w:r w:rsidRPr="00A307C6">
        <w:rPr>
          <w:rStyle w:val="FootnoteReference"/>
          <w:lang w:val="en-GB"/>
        </w:rPr>
        <w:footnoteReference w:id="75"/>
      </w:r>
      <w:r w:rsidR="0055465A" w:rsidRPr="00A307C6">
        <w:rPr>
          <w:lang w:val="en-GB"/>
        </w:rPr>
        <w:t xml:space="preserve"> </w:t>
      </w:r>
      <w:r w:rsidR="00C776EC" w:rsidRPr="00A307C6">
        <w:rPr>
          <w:lang w:val="en-GB"/>
        </w:rPr>
        <w:t xml:space="preserve">As well as concerns related to conceiving a child from the rape, women who spoke with the </w:t>
      </w:r>
      <w:r w:rsidR="002404AF" w:rsidRPr="00A307C6">
        <w:rPr>
          <w:lang w:val="en-GB"/>
        </w:rPr>
        <w:t>Commission</w:t>
      </w:r>
      <w:r w:rsidR="00C776EC" w:rsidRPr="00A307C6">
        <w:rPr>
          <w:lang w:val="en-GB"/>
        </w:rPr>
        <w:t xml:space="preserve"> more commonly expressed fears about </w:t>
      </w:r>
      <w:r w:rsidR="009A78A8" w:rsidRPr="00A307C6">
        <w:rPr>
          <w:lang w:val="en-GB"/>
        </w:rPr>
        <w:t xml:space="preserve">being exposed to the risk of </w:t>
      </w:r>
      <w:r w:rsidR="00C776EC" w:rsidRPr="00A307C6">
        <w:rPr>
          <w:lang w:val="en-GB"/>
        </w:rPr>
        <w:t xml:space="preserve">contracting sexually transmitted </w:t>
      </w:r>
      <w:r w:rsidR="004B2D3E" w:rsidRPr="00A307C6">
        <w:rPr>
          <w:lang w:val="en-GB"/>
        </w:rPr>
        <w:t xml:space="preserve">infections </w:t>
      </w:r>
      <w:r w:rsidR="00066095" w:rsidRPr="00A307C6">
        <w:rPr>
          <w:lang w:val="en-GB"/>
        </w:rPr>
        <w:t xml:space="preserve">and </w:t>
      </w:r>
      <w:r w:rsidR="0087447B" w:rsidRPr="00A307C6">
        <w:rPr>
          <w:lang w:val="en-GB"/>
        </w:rPr>
        <w:t xml:space="preserve">related </w:t>
      </w:r>
      <w:r w:rsidR="00066095" w:rsidRPr="00A307C6">
        <w:rPr>
          <w:lang w:val="en-GB"/>
        </w:rPr>
        <w:t>disease</w:t>
      </w:r>
      <w:r w:rsidR="00C776EC" w:rsidRPr="00A307C6">
        <w:rPr>
          <w:lang w:val="en-GB"/>
        </w:rPr>
        <w:t>, particularly HIV</w:t>
      </w:r>
      <w:r w:rsidR="008C67CD" w:rsidRPr="00A307C6">
        <w:rPr>
          <w:lang w:val="en-GB"/>
        </w:rPr>
        <w:t xml:space="preserve"> and AID</w:t>
      </w:r>
      <w:r w:rsidR="00066095" w:rsidRPr="00A307C6">
        <w:rPr>
          <w:lang w:val="en-GB"/>
        </w:rPr>
        <w:t>S</w:t>
      </w:r>
      <w:r w:rsidR="00C776EC" w:rsidRPr="00A307C6">
        <w:rPr>
          <w:lang w:val="en-GB"/>
        </w:rPr>
        <w:t>.</w:t>
      </w:r>
      <w:r w:rsidR="00C776EC" w:rsidRPr="00A307C6">
        <w:rPr>
          <w:rStyle w:val="FootnoteReference"/>
          <w:lang w:val="en-GB"/>
        </w:rPr>
        <w:footnoteReference w:id="76"/>
      </w:r>
      <w:r w:rsidR="00692385" w:rsidRPr="00A307C6">
        <w:rPr>
          <w:lang w:val="en-GB"/>
        </w:rPr>
        <w:t xml:space="preserve"> </w:t>
      </w:r>
    </w:p>
    <w:p w14:paraId="3C8E099F" w14:textId="297FAF95" w:rsidR="0055465A" w:rsidRPr="00A307C6" w:rsidRDefault="00692385" w:rsidP="00D64A12">
      <w:pPr>
        <w:pStyle w:val="Paragraph"/>
        <w:numPr>
          <w:ilvl w:val="0"/>
          <w:numId w:val="0"/>
        </w:numPr>
        <w:ind w:left="1134"/>
        <w:rPr>
          <w:lang w:val="en-GB"/>
        </w:rPr>
      </w:pPr>
      <w:r w:rsidRPr="00A307C6">
        <w:rPr>
          <w:lang w:val="en-GB"/>
        </w:rPr>
        <w:t xml:space="preserve">“All of us who were raped that day, that is the </w:t>
      </w:r>
      <w:proofErr w:type="spellStart"/>
      <w:r w:rsidRPr="00A307C6">
        <w:rPr>
          <w:lang w:val="en-GB"/>
        </w:rPr>
        <w:t>eight</w:t>
      </w:r>
      <w:proofErr w:type="spellEnd"/>
      <w:r w:rsidRPr="00A307C6">
        <w:rPr>
          <w:lang w:val="en-GB"/>
        </w:rPr>
        <w:t xml:space="preserve"> of us, are positive for HIV. My husband (is supportive, and) knows about my rape and my HIV+ status.”</w:t>
      </w:r>
      <w:r w:rsidRPr="00A307C6">
        <w:rPr>
          <w:rStyle w:val="FootnoteReference"/>
          <w:lang w:val="en-GB"/>
        </w:rPr>
        <w:footnoteReference w:id="77"/>
      </w:r>
    </w:p>
    <w:p w14:paraId="3706F62F" w14:textId="112C124C" w:rsidR="00AA58E1" w:rsidRPr="00A307C6" w:rsidRDefault="00AA58E1" w:rsidP="00FF077A">
      <w:pPr>
        <w:pStyle w:val="Paragraph"/>
        <w:rPr>
          <w:lang w:val="en-GB"/>
        </w:rPr>
      </w:pPr>
      <w:r w:rsidRPr="00A307C6">
        <w:rPr>
          <w:lang w:val="en-GB"/>
        </w:rPr>
        <w:t xml:space="preserve">In addition to health implications for the rape victim, and possibly for </w:t>
      </w:r>
      <w:r w:rsidR="00B21F11" w:rsidRPr="00A307C6">
        <w:rPr>
          <w:lang w:val="en-GB"/>
        </w:rPr>
        <w:t xml:space="preserve">the </w:t>
      </w:r>
      <w:r w:rsidRPr="00A307C6">
        <w:rPr>
          <w:lang w:val="en-GB"/>
        </w:rPr>
        <w:t xml:space="preserve">children they </w:t>
      </w:r>
      <w:r w:rsidR="00B21F11" w:rsidRPr="00A307C6">
        <w:rPr>
          <w:lang w:val="en-GB"/>
        </w:rPr>
        <w:t>give birth to</w:t>
      </w:r>
      <w:r w:rsidRPr="00A307C6">
        <w:rPr>
          <w:lang w:val="en-GB"/>
        </w:rPr>
        <w:t xml:space="preserve">, </w:t>
      </w:r>
      <w:r w:rsidR="000D3AF1" w:rsidRPr="00A307C6">
        <w:rPr>
          <w:lang w:val="en-GB"/>
        </w:rPr>
        <w:t xml:space="preserve">an infection or </w:t>
      </w:r>
      <w:r w:rsidRPr="00A307C6">
        <w:rPr>
          <w:lang w:val="en-GB"/>
        </w:rPr>
        <w:t>risk of a sexually transmitted infection can lead to abandonment by partners and families, severely impacting upon their livelihood options and ability to support their children.</w:t>
      </w:r>
    </w:p>
    <w:p w14:paraId="3709E60B" w14:textId="24CDF4C2" w:rsidR="0055465A" w:rsidRPr="00A307C6" w:rsidRDefault="0055465A" w:rsidP="00D64A12">
      <w:pPr>
        <w:pStyle w:val="Paragraph"/>
        <w:numPr>
          <w:ilvl w:val="0"/>
          <w:numId w:val="0"/>
        </w:numPr>
        <w:ind w:left="1134"/>
        <w:rPr>
          <w:lang w:val="en-GB"/>
        </w:rPr>
      </w:pPr>
      <w:r w:rsidRPr="00A307C6">
        <w:rPr>
          <w:lang w:val="en-GB"/>
        </w:rPr>
        <w:lastRenderedPageBreak/>
        <w:t>“When my husband heard what happened to me, he said he was leaving me, that he could not be with me anymore because he did not want to get diseases. He left me and the children, and he is not support us… I am struggling to fee</w:t>
      </w:r>
      <w:r w:rsidR="00AA58E1" w:rsidRPr="00A307C6">
        <w:rPr>
          <w:lang w:val="en-GB"/>
        </w:rPr>
        <w:t>d</w:t>
      </w:r>
      <w:r w:rsidRPr="00A307C6">
        <w:rPr>
          <w:lang w:val="en-GB"/>
        </w:rPr>
        <w:t xml:space="preserve"> the children.</w:t>
      </w:r>
      <w:r w:rsidR="00A10C5D">
        <w:rPr>
          <w:lang w:val="en-GB"/>
        </w:rPr>
        <w:t>“</w:t>
      </w:r>
      <w:r w:rsidRPr="00A307C6">
        <w:rPr>
          <w:rStyle w:val="FootnoteReference"/>
          <w:lang w:val="en-GB"/>
        </w:rPr>
        <w:footnoteReference w:id="78"/>
      </w:r>
    </w:p>
    <w:p w14:paraId="04292682" w14:textId="3D99EF48" w:rsidR="006D2038" w:rsidRPr="00A307C6" w:rsidRDefault="006D2038" w:rsidP="00D64A12">
      <w:pPr>
        <w:pStyle w:val="Paragraph"/>
        <w:numPr>
          <w:ilvl w:val="0"/>
          <w:numId w:val="0"/>
        </w:numPr>
        <w:ind w:left="1134"/>
        <w:rPr>
          <w:lang w:val="en-GB"/>
        </w:rPr>
      </w:pPr>
      <w:r w:rsidRPr="00A307C6">
        <w:rPr>
          <w:lang w:val="en-GB"/>
        </w:rPr>
        <w:t>"After I travelled for medical attention (my husband) never returned… He did not want to get infected with diseases. I have not heard from him or seen him since. His family members are not talking to me, and none of his relatives have called to check on the children (who) I am struggling to support.”</w:t>
      </w:r>
      <w:r w:rsidRPr="00A307C6">
        <w:rPr>
          <w:rStyle w:val="FootnoteReference"/>
          <w:lang w:val="en-GB"/>
        </w:rPr>
        <w:footnoteReference w:id="79"/>
      </w:r>
      <w:r w:rsidRPr="00A307C6">
        <w:rPr>
          <w:lang w:val="en-GB"/>
        </w:rPr>
        <w:t xml:space="preserve"> </w:t>
      </w:r>
    </w:p>
    <w:p w14:paraId="484F9835" w14:textId="21385877" w:rsidR="00825281" w:rsidRPr="00A307C6" w:rsidRDefault="00825281" w:rsidP="00FF077A">
      <w:pPr>
        <w:pStyle w:val="Paragraph"/>
        <w:rPr>
          <w:lang w:val="en-GB"/>
        </w:rPr>
      </w:pPr>
      <w:r w:rsidRPr="00A307C6">
        <w:rPr>
          <w:lang w:val="en-GB"/>
        </w:rPr>
        <w:t xml:space="preserve">Multiple </w:t>
      </w:r>
      <w:r w:rsidR="0055465A" w:rsidRPr="00A307C6">
        <w:rPr>
          <w:lang w:val="en-GB"/>
        </w:rPr>
        <w:t xml:space="preserve">women </w:t>
      </w:r>
      <w:r w:rsidRPr="00A307C6">
        <w:rPr>
          <w:lang w:val="en-GB"/>
        </w:rPr>
        <w:t xml:space="preserve">who were pregnant at the time of the rape described unsuccessfully pleading with the perpetrators to </w:t>
      </w:r>
      <w:r w:rsidR="0055465A" w:rsidRPr="00A307C6">
        <w:rPr>
          <w:lang w:val="en-GB"/>
        </w:rPr>
        <w:t>stop</w:t>
      </w:r>
      <w:r w:rsidR="009A78A8" w:rsidRPr="00A307C6">
        <w:rPr>
          <w:lang w:val="en-GB"/>
        </w:rPr>
        <w:t>.</w:t>
      </w:r>
      <w:r w:rsidRPr="00A307C6">
        <w:rPr>
          <w:rStyle w:val="FootnoteReference"/>
          <w:lang w:val="en-GB"/>
        </w:rPr>
        <w:footnoteReference w:id="80"/>
      </w:r>
      <w:r w:rsidRPr="00A307C6">
        <w:rPr>
          <w:lang w:val="en-GB"/>
        </w:rPr>
        <w:t xml:space="preserve"> </w:t>
      </w:r>
      <w:r w:rsidR="009A78A8" w:rsidRPr="00A307C6">
        <w:rPr>
          <w:lang w:val="en-GB"/>
        </w:rPr>
        <w:t>R</w:t>
      </w:r>
      <w:r w:rsidRPr="00A307C6">
        <w:rPr>
          <w:lang w:val="en-GB"/>
        </w:rPr>
        <w:t>ape</w:t>
      </w:r>
      <w:r w:rsidR="009A78A8" w:rsidRPr="00A307C6">
        <w:rPr>
          <w:lang w:val="en-GB"/>
        </w:rPr>
        <w:t>s</w:t>
      </w:r>
      <w:r w:rsidRPr="00A307C6">
        <w:rPr>
          <w:lang w:val="en-GB"/>
        </w:rPr>
        <w:t xml:space="preserve"> and associated violence in some documented instances resulted in pregnancy complications or miscarriage</w:t>
      </w:r>
      <w:r w:rsidR="009A78A8" w:rsidRPr="00A307C6">
        <w:rPr>
          <w:lang w:val="en-GB"/>
        </w:rPr>
        <w:t>, as well as associated social stigma and the resulting adverse implications for women’s livelihoods in cases where it has resulted in the woman and child being abandoned by their partner.</w:t>
      </w:r>
      <w:r w:rsidR="002669AA">
        <w:rPr>
          <w:lang w:val="en-GB"/>
        </w:rPr>
        <w:t xml:space="preserve"> Culturally, in some communities if a lactating mother has sex with a man, especially if they are not their husband, it is seen as potentially poisoning the baby. </w:t>
      </w:r>
    </w:p>
    <w:p w14:paraId="3E2AE037" w14:textId="77777777" w:rsidR="002669AA" w:rsidRDefault="009A78A8" w:rsidP="002669AA">
      <w:pPr>
        <w:pStyle w:val="Paragraph"/>
        <w:numPr>
          <w:ilvl w:val="0"/>
          <w:numId w:val="0"/>
        </w:numPr>
        <w:ind w:left="1134"/>
        <w:rPr>
          <w:rFonts w:eastAsia="Times New Roman"/>
          <w:sz w:val="24"/>
          <w:szCs w:val="24"/>
          <w:lang w:val="en-GB"/>
        </w:rPr>
      </w:pPr>
      <w:r w:rsidRPr="00A307C6">
        <w:rPr>
          <w:lang w:val="en-GB"/>
        </w:rPr>
        <w:t>“I was two months pregnant when the soldiers gang-raped me. My husband said that he could not be with me until the birth of the baby, in case the baby is born with sickness” – a young mother in Central Equatoria</w:t>
      </w:r>
      <w:r w:rsidRPr="00A307C6">
        <w:rPr>
          <w:rStyle w:val="FootnoteReference"/>
          <w:lang w:val="en-GB"/>
        </w:rPr>
        <w:footnoteReference w:id="81"/>
      </w:r>
      <w:r w:rsidRPr="00A307C6">
        <w:rPr>
          <w:rFonts w:eastAsia="Times New Roman"/>
          <w:sz w:val="24"/>
          <w:szCs w:val="24"/>
          <w:lang w:val="en-GB"/>
        </w:rPr>
        <w:t xml:space="preserve"> </w:t>
      </w:r>
    </w:p>
    <w:p w14:paraId="36B47CFA" w14:textId="0A7824DD" w:rsidR="002669AA" w:rsidRPr="00A307C6" w:rsidRDefault="002669AA" w:rsidP="002669AA">
      <w:pPr>
        <w:pStyle w:val="Paragraph"/>
        <w:numPr>
          <w:ilvl w:val="0"/>
          <w:numId w:val="0"/>
        </w:numPr>
        <w:ind w:left="1134"/>
        <w:rPr>
          <w:lang w:val="en-GB"/>
        </w:rPr>
      </w:pPr>
      <w:r w:rsidRPr="00A307C6">
        <w:rPr>
          <w:lang w:val="en-GB"/>
        </w:rPr>
        <w:t>“They only used their penis in me, but I had a lot of pain because I was three months pregnant. I immediately miscarried” – a young woman in Jonglei.</w:t>
      </w:r>
      <w:r w:rsidRPr="00A307C6">
        <w:rPr>
          <w:rStyle w:val="FootnoteReference"/>
          <w:lang w:val="en-GB"/>
        </w:rPr>
        <w:footnoteReference w:id="82"/>
      </w:r>
    </w:p>
    <w:p w14:paraId="1C9E4A68" w14:textId="1CF2A834" w:rsidR="000040ED" w:rsidRPr="00A307C6" w:rsidRDefault="00C776EC" w:rsidP="009E6E96">
      <w:pPr>
        <w:pStyle w:val="H1G"/>
      </w:pPr>
      <w:bookmarkStart w:id="31" w:name="_Toc98226811"/>
      <w:bookmarkStart w:id="32" w:name="_Toc98606452"/>
      <w:r w:rsidRPr="00A307C6">
        <w:t xml:space="preserve">Sexual violence </w:t>
      </w:r>
      <w:r w:rsidR="000040ED" w:rsidRPr="00A307C6">
        <w:t xml:space="preserve">in the context of multiple </w:t>
      </w:r>
      <w:r w:rsidRPr="00A307C6">
        <w:t>forms of violence</w:t>
      </w:r>
      <w:bookmarkEnd w:id="31"/>
      <w:bookmarkEnd w:id="32"/>
      <w:r w:rsidRPr="00A307C6">
        <w:t xml:space="preserve"> </w:t>
      </w:r>
    </w:p>
    <w:p w14:paraId="107C412B" w14:textId="3AFD92EE" w:rsidR="00882562" w:rsidRPr="00A307C6" w:rsidRDefault="00882562" w:rsidP="00FF077A">
      <w:pPr>
        <w:pStyle w:val="Paragraph"/>
        <w:rPr>
          <w:lang w:val="en-GB"/>
        </w:rPr>
      </w:pPr>
      <w:r w:rsidRPr="00A307C6">
        <w:rPr>
          <w:lang w:val="en-GB"/>
        </w:rPr>
        <w:t xml:space="preserve">South Sudanese women </w:t>
      </w:r>
      <w:r w:rsidR="000040ED" w:rsidRPr="00A307C6">
        <w:rPr>
          <w:lang w:val="en-GB"/>
        </w:rPr>
        <w:t xml:space="preserve">and girls </w:t>
      </w:r>
      <w:r w:rsidRPr="00A307C6">
        <w:rPr>
          <w:lang w:val="en-GB"/>
        </w:rPr>
        <w:t xml:space="preserve">who </w:t>
      </w:r>
      <w:r w:rsidR="000040ED" w:rsidRPr="00A307C6">
        <w:rPr>
          <w:lang w:val="en-GB"/>
        </w:rPr>
        <w:t xml:space="preserve">suffer rape and sexual violence </w:t>
      </w:r>
      <w:r w:rsidRPr="00A307C6">
        <w:rPr>
          <w:lang w:val="en-GB"/>
        </w:rPr>
        <w:t xml:space="preserve">in conflict </w:t>
      </w:r>
      <w:r w:rsidR="00DB1FD1" w:rsidRPr="00A307C6">
        <w:rPr>
          <w:lang w:val="en-GB"/>
        </w:rPr>
        <w:t xml:space="preserve">experience </w:t>
      </w:r>
      <w:r w:rsidR="000040ED" w:rsidRPr="00A307C6">
        <w:rPr>
          <w:lang w:val="en-GB"/>
        </w:rPr>
        <w:t>multiple forms of violence and human rights violations</w:t>
      </w:r>
      <w:r w:rsidR="0059203A" w:rsidRPr="00A307C6">
        <w:rPr>
          <w:lang w:val="en-GB"/>
        </w:rPr>
        <w:t xml:space="preserve">, including killings, attacks </w:t>
      </w:r>
      <w:r w:rsidR="00DB1FD1" w:rsidRPr="00A307C6">
        <w:rPr>
          <w:lang w:val="en-GB"/>
        </w:rPr>
        <w:t xml:space="preserve">and </w:t>
      </w:r>
      <w:r w:rsidR="0059203A" w:rsidRPr="00A307C6">
        <w:rPr>
          <w:lang w:val="en-GB"/>
        </w:rPr>
        <w:t xml:space="preserve">arson on villages and settlements, displacement and </w:t>
      </w:r>
      <w:r w:rsidR="00DB1FD1" w:rsidRPr="00A307C6">
        <w:rPr>
          <w:lang w:val="en-GB"/>
        </w:rPr>
        <w:t xml:space="preserve">loss of livelihood </w:t>
      </w:r>
      <w:r w:rsidR="0059203A" w:rsidRPr="00A307C6">
        <w:rPr>
          <w:lang w:val="en-GB"/>
        </w:rPr>
        <w:t xml:space="preserve">raising </w:t>
      </w:r>
      <w:r w:rsidR="00DB1FD1" w:rsidRPr="00A307C6">
        <w:rPr>
          <w:lang w:val="en-GB"/>
        </w:rPr>
        <w:t xml:space="preserve">the </w:t>
      </w:r>
      <w:r w:rsidR="0059203A" w:rsidRPr="00A307C6">
        <w:rPr>
          <w:lang w:val="en-GB"/>
        </w:rPr>
        <w:t xml:space="preserve">intersectionality of </w:t>
      </w:r>
      <w:r w:rsidR="00DB1FD1" w:rsidRPr="00A307C6">
        <w:rPr>
          <w:lang w:val="en-GB"/>
        </w:rPr>
        <w:t xml:space="preserve">their </w:t>
      </w:r>
      <w:r w:rsidR="0059203A" w:rsidRPr="00A307C6">
        <w:rPr>
          <w:lang w:val="en-GB"/>
        </w:rPr>
        <w:t>experience</w:t>
      </w:r>
      <w:r w:rsidR="00DB1FD1" w:rsidRPr="00A307C6">
        <w:rPr>
          <w:lang w:val="en-GB"/>
        </w:rPr>
        <w:t xml:space="preserve">s of </w:t>
      </w:r>
      <w:r w:rsidR="00DB1FD1" w:rsidRPr="00A307C6">
        <w:rPr>
          <w:lang w:val="en-GB"/>
        </w:rPr>
        <w:lastRenderedPageBreak/>
        <w:t>conflict</w:t>
      </w:r>
      <w:r w:rsidR="000040ED" w:rsidRPr="00A307C6">
        <w:rPr>
          <w:lang w:val="en-GB"/>
        </w:rPr>
        <w:t xml:space="preserve">. </w:t>
      </w:r>
      <w:r w:rsidRPr="00A307C6">
        <w:rPr>
          <w:lang w:val="en-GB"/>
        </w:rPr>
        <w:t xml:space="preserve">In </w:t>
      </w:r>
      <w:r w:rsidR="00DB1FD1" w:rsidRPr="00A307C6">
        <w:rPr>
          <w:lang w:val="en-GB"/>
        </w:rPr>
        <w:t xml:space="preserve">most </w:t>
      </w:r>
      <w:r w:rsidRPr="00A307C6">
        <w:rPr>
          <w:lang w:val="en-GB"/>
        </w:rPr>
        <w:t>cases the trauma, physical harm and damage to livelihoods are incurred concurrently, as evidenced in multiple witness testimonies.</w:t>
      </w:r>
    </w:p>
    <w:p w14:paraId="387B6DCD" w14:textId="59EC1527" w:rsidR="00C776EC" w:rsidRPr="00A307C6" w:rsidRDefault="0059203A" w:rsidP="00FF077A">
      <w:pPr>
        <w:pStyle w:val="Paragraph"/>
        <w:rPr>
          <w:lang w:val="en-GB"/>
        </w:rPr>
      </w:pPr>
      <w:r w:rsidRPr="00A307C6">
        <w:rPr>
          <w:lang w:val="en-GB"/>
        </w:rPr>
        <w:t>T</w:t>
      </w:r>
      <w:r w:rsidR="007B6080" w:rsidRPr="00A307C6">
        <w:rPr>
          <w:lang w:val="en-GB"/>
        </w:rPr>
        <w:t>estimony</w:t>
      </w:r>
      <w:r w:rsidRPr="00A307C6">
        <w:rPr>
          <w:lang w:val="en-GB"/>
        </w:rPr>
        <w:t xml:space="preserve"> from </w:t>
      </w:r>
      <w:r w:rsidR="007B6080" w:rsidRPr="00A307C6">
        <w:rPr>
          <w:lang w:val="en-GB"/>
        </w:rPr>
        <w:t xml:space="preserve">a </w:t>
      </w:r>
      <w:r w:rsidR="00C776EC" w:rsidRPr="00A307C6">
        <w:rPr>
          <w:lang w:val="en-GB"/>
        </w:rPr>
        <w:t xml:space="preserve">woman refugee from Eastern Equatoria </w:t>
      </w:r>
      <w:r w:rsidR="000040ED" w:rsidRPr="00A307C6">
        <w:rPr>
          <w:lang w:val="en-GB"/>
        </w:rPr>
        <w:t xml:space="preserve">who had been the victim of sexual violence </w:t>
      </w:r>
      <w:r w:rsidR="00C776EC" w:rsidRPr="00A307C6">
        <w:rPr>
          <w:lang w:val="en-GB"/>
        </w:rPr>
        <w:t>described violations by “rebels” during the period 2015-17 against members of her family</w:t>
      </w:r>
      <w:r w:rsidR="00882562" w:rsidRPr="00A307C6">
        <w:rPr>
          <w:lang w:val="en-GB"/>
        </w:rPr>
        <w:t xml:space="preserve"> (her description could not be directly established in relation to a particular armed group although she noted they had emerged from a camp in the bush)</w:t>
      </w:r>
      <w:r w:rsidR="000040ED" w:rsidRPr="00A307C6">
        <w:rPr>
          <w:lang w:val="en-GB"/>
        </w:rPr>
        <w:t xml:space="preserve">. </w:t>
      </w:r>
      <w:r w:rsidR="00C776EC" w:rsidRPr="00A307C6">
        <w:rPr>
          <w:lang w:val="en-GB"/>
        </w:rPr>
        <w:t xml:space="preserve">She </w:t>
      </w:r>
      <w:r w:rsidRPr="00A307C6">
        <w:rPr>
          <w:lang w:val="en-GB"/>
        </w:rPr>
        <w:t xml:space="preserve">told </w:t>
      </w:r>
      <w:r w:rsidR="00C776EC" w:rsidRPr="00A307C6">
        <w:rPr>
          <w:lang w:val="en-GB"/>
        </w:rPr>
        <w:t xml:space="preserve">the Commission how </w:t>
      </w:r>
      <w:r w:rsidRPr="00A307C6">
        <w:rPr>
          <w:lang w:val="en-GB"/>
        </w:rPr>
        <w:t xml:space="preserve">the </w:t>
      </w:r>
      <w:r w:rsidR="004D0A43" w:rsidRPr="00A307C6">
        <w:rPr>
          <w:lang w:val="en-GB"/>
        </w:rPr>
        <w:t xml:space="preserve">torture and </w:t>
      </w:r>
      <w:r w:rsidR="00C776EC" w:rsidRPr="00A307C6">
        <w:rPr>
          <w:lang w:val="en-GB"/>
        </w:rPr>
        <w:t xml:space="preserve">severe beatings </w:t>
      </w:r>
      <w:r w:rsidRPr="00A307C6">
        <w:rPr>
          <w:lang w:val="en-GB"/>
        </w:rPr>
        <w:t>of her husband</w:t>
      </w:r>
      <w:r w:rsidR="00C776EC" w:rsidRPr="00A307C6">
        <w:rPr>
          <w:lang w:val="en-GB"/>
        </w:rPr>
        <w:t xml:space="preserve"> </w:t>
      </w:r>
      <w:r w:rsidR="004D0A43" w:rsidRPr="00A307C6">
        <w:rPr>
          <w:lang w:val="en-GB"/>
        </w:rPr>
        <w:t xml:space="preserve">and family members </w:t>
      </w:r>
      <w:r w:rsidR="00C776EC" w:rsidRPr="00A307C6">
        <w:rPr>
          <w:lang w:val="en-GB"/>
        </w:rPr>
        <w:t xml:space="preserve">caused </w:t>
      </w:r>
      <w:r w:rsidR="004D0A43" w:rsidRPr="00A307C6">
        <w:rPr>
          <w:lang w:val="en-GB"/>
        </w:rPr>
        <w:t xml:space="preserve">his </w:t>
      </w:r>
      <w:r w:rsidR="00C776EC" w:rsidRPr="00A307C6">
        <w:rPr>
          <w:lang w:val="en-GB"/>
        </w:rPr>
        <w:t xml:space="preserve">immediate death and the eventual death of </w:t>
      </w:r>
      <w:r w:rsidR="004D0A43" w:rsidRPr="00A307C6">
        <w:rPr>
          <w:lang w:val="en-GB"/>
        </w:rPr>
        <w:t xml:space="preserve">her </w:t>
      </w:r>
      <w:r w:rsidR="00C776EC" w:rsidRPr="00A307C6">
        <w:rPr>
          <w:lang w:val="en-GB"/>
        </w:rPr>
        <w:t xml:space="preserve">son once they had </w:t>
      </w:r>
      <w:r w:rsidR="000040ED" w:rsidRPr="00A307C6">
        <w:rPr>
          <w:lang w:val="en-GB"/>
        </w:rPr>
        <w:t xml:space="preserve">fled </w:t>
      </w:r>
      <w:r w:rsidR="00C776EC" w:rsidRPr="00A307C6">
        <w:rPr>
          <w:lang w:val="en-GB"/>
        </w:rPr>
        <w:t xml:space="preserve">the country for refuge. </w:t>
      </w:r>
      <w:r w:rsidR="000040ED" w:rsidRPr="00A307C6">
        <w:rPr>
          <w:lang w:val="en-GB"/>
        </w:rPr>
        <w:t>She and her 15</w:t>
      </w:r>
      <w:r w:rsidR="00905AB9" w:rsidRPr="00A307C6">
        <w:rPr>
          <w:lang w:val="en-GB"/>
        </w:rPr>
        <w:t>-</w:t>
      </w:r>
      <w:r w:rsidR="000040ED" w:rsidRPr="00A307C6">
        <w:rPr>
          <w:lang w:val="en-GB"/>
        </w:rPr>
        <w:t>year</w:t>
      </w:r>
      <w:r w:rsidR="00905AB9" w:rsidRPr="00A307C6">
        <w:rPr>
          <w:lang w:val="en-GB"/>
        </w:rPr>
        <w:t>-</w:t>
      </w:r>
      <w:r w:rsidR="000040ED" w:rsidRPr="00A307C6">
        <w:rPr>
          <w:lang w:val="en-GB"/>
        </w:rPr>
        <w:t xml:space="preserve">old </w:t>
      </w:r>
      <w:r w:rsidR="00C776EC" w:rsidRPr="00A307C6">
        <w:rPr>
          <w:lang w:val="en-GB"/>
        </w:rPr>
        <w:t xml:space="preserve">daughter, </w:t>
      </w:r>
      <w:r w:rsidR="004D0A43" w:rsidRPr="00A307C6">
        <w:rPr>
          <w:lang w:val="en-GB"/>
        </w:rPr>
        <w:t xml:space="preserve">also </w:t>
      </w:r>
      <w:r w:rsidR="00C776EC" w:rsidRPr="00A307C6">
        <w:rPr>
          <w:lang w:val="en-GB"/>
        </w:rPr>
        <w:t xml:space="preserve">survived </w:t>
      </w:r>
      <w:r w:rsidR="004D0A43" w:rsidRPr="00A307C6">
        <w:rPr>
          <w:lang w:val="en-GB"/>
        </w:rPr>
        <w:t xml:space="preserve">the </w:t>
      </w:r>
      <w:r w:rsidR="000040ED" w:rsidRPr="00A307C6">
        <w:rPr>
          <w:lang w:val="en-GB"/>
        </w:rPr>
        <w:t xml:space="preserve">brutal incidents of </w:t>
      </w:r>
      <w:r w:rsidR="00C776EC" w:rsidRPr="00A307C6">
        <w:rPr>
          <w:lang w:val="en-GB"/>
        </w:rPr>
        <w:t xml:space="preserve">sexual violence including vaginal </w:t>
      </w:r>
      <w:r w:rsidR="00DF354A" w:rsidRPr="00A307C6">
        <w:rPr>
          <w:lang w:val="en-GB"/>
        </w:rPr>
        <w:t>rape</w:t>
      </w:r>
      <w:r w:rsidR="00504461" w:rsidRPr="00A307C6">
        <w:rPr>
          <w:lang w:val="en-GB"/>
        </w:rPr>
        <w:t xml:space="preserve">. </w:t>
      </w:r>
      <w:r w:rsidR="000040ED" w:rsidRPr="00A307C6">
        <w:rPr>
          <w:lang w:val="en-GB"/>
        </w:rPr>
        <w:t xml:space="preserve">Both continue to suffer </w:t>
      </w:r>
      <w:r w:rsidR="00C776EC" w:rsidRPr="00A307C6">
        <w:rPr>
          <w:lang w:val="en-GB"/>
        </w:rPr>
        <w:t xml:space="preserve">severe physical and psychological </w:t>
      </w:r>
      <w:r w:rsidR="002404AF" w:rsidRPr="00A307C6">
        <w:rPr>
          <w:lang w:val="en-GB"/>
        </w:rPr>
        <w:t>injuries</w:t>
      </w:r>
      <w:r w:rsidR="00C776EC" w:rsidRPr="00A307C6">
        <w:rPr>
          <w:lang w:val="en-GB"/>
        </w:rPr>
        <w:t xml:space="preserve">. Following the </w:t>
      </w:r>
      <w:r w:rsidR="000040ED" w:rsidRPr="00A307C6">
        <w:rPr>
          <w:lang w:val="en-GB"/>
        </w:rPr>
        <w:t xml:space="preserve">multiple </w:t>
      </w:r>
      <w:r w:rsidR="00C776EC" w:rsidRPr="00A307C6">
        <w:rPr>
          <w:lang w:val="en-GB"/>
        </w:rPr>
        <w:t>rape</w:t>
      </w:r>
      <w:r w:rsidR="000040ED" w:rsidRPr="00A307C6">
        <w:rPr>
          <w:lang w:val="en-GB"/>
        </w:rPr>
        <w:t>s and sexual violence</w:t>
      </w:r>
      <w:r w:rsidR="00905AB9" w:rsidRPr="00A307C6">
        <w:rPr>
          <w:lang w:val="en-GB"/>
        </w:rPr>
        <w:t xml:space="preserve">, the </w:t>
      </w:r>
      <w:r w:rsidR="000040ED" w:rsidRPr="00A307C6">
        <w:rPr>
          <w:lang w:val="en-GB"/>
        </w:rPr>
        <w:t>witness described how her</w:t>
      </w:r>
      <w:r w:rsidR="00C776EC" w:rsidRPr="00A307C6">
        <w:rPr>
          <w:lang w:val="en-GB"/>
        </w:rPr>
        <w:t xml:space="preserve"> genitalia w</w:t>
      </w:r>
      <w:r w:rsidR="000040ED" w:rsidRPr="00A307C6">
        <w:rPr>
          <w:lang w:val="en-GB"/>
        </w:rPr>
        <w:t xml:space="preserve">ere </w:t>
      </w:r>
      <w:r w:rsidR="00C776EC" w:rsidRPr="00A307C6">
        <w:rPr>
          <w:lang w:val="en-GB"/>
        </w:rPr>
        <w:t>torn</w:t>
      </w:r>
      <w:r w:rsidR="000040ED" w:rsidRPr="00A307C6">
        <w:rPr>
          <w:lang w:val="en-GB"/>
        </w:rPr>
        <w:t xml:space="preserve">, </w:t>
      </w:r>
      <w:r w:rsidR="002404AF" w:rsidRPr="00A307C6">
        <w:rPr>
          <w:lang w:val="en-GB"/>
        </w:rPr>
        <w:t>bleeding</w:t>
      </w:r>
      <w:r w:rsidR="00C776EC" w:rsidRPr="00A307C6">
        <w:rPr>
          <w:lang w:val="en-GB"/>
        </w:rPr>
        <w:t xml:space="preserve"> from both her vagina and anus, </w:t>
      </w:r>
      <w:r w:rsidR="00F3105E">
        <w:rPr>
          <w:lang w:val="en-GB"/>
        </w:rPr>
        <w:t xml:space="preserve">experiencing the </w:t>
      </w:r>
      <w:r w:rsidR="002404AF" w:rsidRPr="00A307C6">
        <w:rPr>
          <w:lang w:val="en-GB"/>
        </w:rPr>
        <w:t>temporarily</w:t>
      </w:r>
      <w:r w:rsidR="00C776EC" w:rsidRPr="00A307C6">
        <w:rPr>
          <w:lang w:val="en-GB"/>
        </w:rPr>
        <w:t xml:space="preserve"> paralysis of one leg. She lost a significant amount of weight and, after meeting a new partner, experienced two pregnancies, both of which ended in miscarriages. Several years later and following medical treatment, the woman still experiences pain in the pelvic area, including when urinating. She described her daughter’s </w:t>
      </w:r>
      <w:r w:rsidR="002404AF" w:rsidRPr="00A307C6">
        <w:rPr>
          <w:lang w:val="en-GB"/>
        </w:rPr>
        <w:t>uterus</w:t>
      </w:r>
      <w:r w:rsidR="00C776EC" w:rsidRPr="00A307C6">
        <w:rPr>
          <w:lang w:val="en-GB"/>
        </w:rPr>
        <w:t xml:space="preserve"> as having be</w:t>
      </w:r>
      <w:r w:rsidR="000040ED" w:rsidRPr="00A307C6">
        <w:rPr>
          <w:lang w:val="en-GB"/>
        </w:rPr>
        <w:t>en</w:t>
      </w:r>
      <w:r w:rsidR="00C776EC" w:rsidRPr="00A307C6">
        <w:rPr>
          <w:lang w:val="en-GB"/>
        </w:rPr>
        <w:t xml:space="preserve"> visibly push</w:t>
      </w:r>
      <w:r w:rsidR="009108D3" w:rsidRPr="00A307C6">
        <w:rPr>
          <w:lang w:val="en-GB"/>
        </w:rPr>
        <w:t>ed</w:t>
      </w:r>
      <w:r w:rsidR="00C776EC" w:rsidRPr="00A307C6">
        <w:rPr>
          <w:lang w:val="en-GB"/>
        </w:rPr>
        <w:t xml:space="preserve"> toward the vagina, </w:t>
      </w:r>
      <w:r w:rsidR="009108D3" w:rsidRPr="00A307C6">
        <w:rPr>
          <w:lang w:val="en-GB"/>
        </w:rPr>
        <w:t xml:space="preserve">having suffered </w:t>
      </w:r>
      <w:r w:rsidR="00C776EC" w:rsidRPr="00A307C6">
        <w:rPr>
          <w:lang w:val="en-GB"/>
        </w:rPr>
        <w:t>a traumatic tear</w:t>
      </w:r>
      <w:r w:rsidR="00717179" w:rsidRPr="00A307C6">
        <w:rPr>
          <w:lang w:val="en-GB"/>
        </w:rPr>
        <w:t>.</w:t>
      </w:r>
      <w:r w:rsidR="009108D3" w:rsidRPr="00A307C6">
        <w:rPr>
          <w:lang w:val="en-GB"/>
        </w:rPr>
        <w:t xml:space="preserve"> </w:t>
      </w:r>
      <w:r w:rsidR="00717179" w:rsidRPr="00A307C6">
        <w:rPr>
          <w:lang w:val="en-GB"/>
        </w:rPr>
        <w:t>F</w:t>
      </w:r>
      <w:r w:rsidR="00C776EC" w:rsidRPr="00A307C6">
        <w:rPr>
          <w:lang w:val="en-GB"/>
        </w:rPr>
        <w:t>istula</w:t>
      </w:r>
      <w:r w:rsidR="009108D3" w:rsidRPr="00A307C6">
        <w:rPr>
          <w:lang w:val="en-GB"/>
        </w:rPr>
        <w:t xml:space="preserve"> injuries quite common to rape victims</w:t>
      </w:r>
      <w:r w:rsidR="00C776EC" w:rsidRPr="00A307C6">
        <w:rPr>
          <w:lang w:val="en-GB"/>
        </w:rPr>
        <w:t xml:space="preserve">. </w:t>
      </w:r>
      <w:r w:rsidR="009108D3" w:rsidRPr="00A307C6">
        <w:rPr>
          <w:lang w:val="en-GB"/>
        </w:rPr>
        <w:t>It was o</w:t>
      </w:r>
      <w:r w:rsidR="00C776EC" w:rsidRPr="00A307C6">
        <w:rPr>
          <w:lang w:val="en-GB"/>
        </w:rPr>
        <w:t xml:space="preserve">nly when they arrived in a refugee camp </w:t>
      </w:r>
      <w:r w:rsidR="009108D3" w:rsidRPr="00A307C6">
        <w:rPr>
          <w:lang w:val="en-GB"/>
        </w:rPr>
        <w:t xml:space="preserve">that they </w:t>
      </w:r>
      <w:r w:rsidR="00C776EC" w:rsidRPr="00A307C6">
        <w:rPr>
          <w:lang w:val="en-GB"/>
        </w:rPr>
        <w:t xml:space="preserve">could both access medical care. In describing her situation to the Commission, she noted that even the limited counselling she was able </w:t>
      </w:r>
      <w:r w:rsidR="00627941">
        <w:rPr>
          <w:lang w:val="en-GB"/>
        </w:rPr>
        <w:t xml:space="preserve">to </w:t>
      </w:r>
      <w:r w:rsidR="00C776EC" w:rsidRPr="00A307C6">
        <w:rPr>
          <w:lang w:val="en-GB"/>
        </w:rPr>
        <w:t>access has made an impact on her life:</w:t>
      </w:r>
    </w:p>
    <w:p w14:paraId="7944D27F" w14:textId="70C3F65B" w:rsidR="001A6B40" w:rsidRPr="00A307C6" w:rsidRDefault="00C776EC" w:rsidP="00CE0E73">
      <w:pPr>
        <w:pStyle w:val="Paragraph"/>
        <w:numPr>
          <w:ilvl w:val="0"/>
          <w:numId w:val="0"/>
        </w:numPr>
        <w:ind w:left="1134"/>
        <w:rPr>
          <w:lang w:val="en-GB"/>
        </w:rPr>
      </w:pPr>
      <w:r w:rsidRPr="00A307C6">
        <w:rPr>
          <w:lang w:val="en-GB"/>
        </w:rPr>
        <w:t>“The only psychosocial support I got was from pastors who have helped me to overcome my trauma. This is why I have the courage to speak to people about my experiences and remain strong. When I speak about how my child was tortured and died, it pains me so much that I don’t want to remember. But only through speaking can I get some help.”</w:t>
      </w:r>
      <w:r w:rsidRPr="00A307C6">
        <w:rPr>
          <w:rStyle w:val="FootnoteReference"/>
          <w:lang w:val="en-GB"/>
        </w:rPr>
        <w:footnoteReference w:id="83"/>
      </w:r>
    </w:p>
    <w:p w14:paraId="7B687A39" w14:textId="1371C8B0" w:rsidR="007B6080" w:rsidRPr="00A307C6" w:rsidRDefault="007B6080" w:rsidP="00FF077A">
      <w:pPr>
        <w:pStyle w:val="Paragraph"/>
        <w:rPr>
          <w:lang w:val="en-GB"/>
        </w:rPr>
      </w:pPr>
      <w:r w:rsidRPr="00A307C6">
        <w:rPr>
          <w:lang w:val="en-GB"/>
        </w:rPr>
        <w:t>Another woman described in horrific detail</w:t>
      </w:r>
      <w:r w:rsidR="004D0A43" w:rsidRPr="00A307C6">
        <w:rPr>
          <w:lang w:val="en-GB"/>
        </w:rPr>
        <w:t xml:space="preserve">, the </w:t>
      </w:r>
      <w:r w:rsidRPr="00A307C6">
        <w:rPr>
          <w:lang w:val="en-GB"/>
        </w:rPr>
        <w:t xml:space="preserve">attack on her village in Jonglei by an armed rebel group. In the attack, her mother was killed and then she herself was </w:t>
      </w:r>
      <w:r w:rsidR="004D0A43" w:rsidRPr="00A307C6">
        <w:rPr>
          <w:lang w:val="en-GB"/>
        </w:rPr>
        <w:t xml:space="preserve">gang </w:t>
      </w:r>
      <w:r w:rsidRPr="00A307C6">
        <w:rPr>
          <w:lang w:val="en-GB"/>
        </w:rPr>
        <w:t xml:space="preserve">raped at gunpoint by so many men that she lost count. Having just entered her second trimester of pregnancy at the time of the gang rape, she bled for days before arriving at a medical clinic where she received treatment. </w:t>
      </w:r>
      <w:r w:rsidR="004D0A43" w:rsidRPr="00A307C6">
        <w:rPr>
          <w:lang w:val="en-GB"/>
        </w:rPr>
        <w:t>She subsequently lost t</w:t>
      </w:r>
      <w:r w:rsidRPr="00A307C6">
        <w:rPr>
          <w:lang w:val="en-GB"/>
        </w:rPr>
        <w:t>he baby</w:t>
      </w:r>
      <w:r w:rsidR="004D0A43" w:rsidRPr="00A307C6">
        <w:rPr>
          <w:lang w:val="en-GB"/>
        </w:rPr>
        <w:t>.</w:t>
      </w:r>
      <w:r w:rsidRPr="00A307C6">
        <w:rPr>
          <w:lang w:val="en-GB"/>
        </w:rPr>
        <w:t xml:space="preserve"> She then had trouble conceiving again with her husband, who ended up abandoning her, for this reason and out of fear that she carried a sexually transmitted infection </w:t>
      </w:r>
      <w:r w:rsidR="00076342" w:rsidRPr="00A307C6">
        <w:rPr>
          <w:lang w:val="en-GB"/>
        </w:rPr>
        <w:t xml:space="preserve">that could be passed onto </w:t>
      </w:r>
      <w:r w:rsidR="00076342" w:rsidRPr="00A307C6">
        <w:rPr>
          <w:lang w:val="en-GB"/>
        </w:rPr>
        <w:lastRenderedPageBreak/>
        <w:t xml:space="preserve">a new wife. </w:t>
      </w:r>
      <w:r w:rsidR="00C40AC1" w:rsidRPr="00A307C6">
        <w:rPr>
          <w:lang w:val="en-GB"/>
        </w:rPr>
        <w:t>She left South Sudan in the hope that her children could find peace and improved lives. Still, she experiences pelvic pain and irregular periods, along with back and stomach pain due to the gang rape. Beyond the rape, the premature death of her mother and the miscarriage and loss of her husband have profoundly affected her lived experience and that of her family.</w:t>
      </w:r>
      <w:r w:rsidR="00C40AC1" w:rsidRPr="00A307C6">
        <w:rPr>
          <w:rStyle w:val="FootnoteReference"/>
          <w:lang w:val="en-GB"/>
        </w:rPr>
        <w:footnoteReference w:id="84"/>
      </w:r>
    </w:p>
    <w:p w14:paraId="0C5E87FF" w14:textId="7D1980DB" w:rsidR="006F008B" w:rsidRPr="00A307C6" w:rsidRDefault="0094448F" w:rsidP="00B8644C">
      <w:pPr>
        <w:pStyle w:val="HChG"/>
        <w:numPr>
          <w:ilvl w:val="0"/>
          <w:numId w:val="10"/>
        </w:numPr>
        <w:outlineLvl w:val="0"/>
      </w:pPr>
      <w:bookmarkStart w:id="33" w:name="_Toc98226812"/>
      <w:bookmarkStart w:id="34" w:name="_Toc98606453"/>
      <w:r w:rsidRPr="00A307C6">
        <w:t>C</w:t>
      </w:r>
      <w:r w:rsidR="006D7628" w:rsidRPr="00A307C6">
        <w:t>onflict-related sexual violence</w:t>
      </w:r>
      <w:r w:rsidRPr="00A307C6">
        <w:t xml:space="preserve"> at </w:t>
      </w:r>
      <w:r w:rsidR="00066095" w:rsidRPr="00A307C6">
        <w:t xml:space="preserve">subnational </w:t>
      </w:r>
      <w:r w:rsidRPr="00A307C6">
        <w:t>level</w:t>
      </w:r>
      <w:bookmarkEnd w:id="33"/>
      <w:bookmarkEnd w:id="34"/>
    </w:p>
    <w:p w14:paraId="1CFD7569" w14:textId="4C7C91CB" w:rsidR="00680F3E" w:rsidRPr="00A307C6" w:rsidRDefault="00472A7A" w:rsidP="009E6E96">
      <w:pPr>
        <w:pStyle w:val="H1G"/>
      </w:pPr>
      <w:bookmarkStart w:id="35" w:name="_Toc98226813"/>
      <w:bookmarkStart w:id="36" w:name="_Toc98606454"/>
      <w:r w:rsidRPr="00A307C6">
        <w:t>Central Equatoria State</w:t>
      </w:r>
      <w:bookmarkEnd w:id="35"/>
      <w:bookmarkEnd w:id="36"/>
    </w:p>
    <w:p w14:paraId="1712EB61" w14:textId="75CD3E3F" w:rsidR="00997C52" w:rsidRPr="00A307C6" w:rsidRDefault="0094448F" w:rsidP="00FF077A">
      <w:pPr>
        <w:pStyle w:val="Paragraph"/>
        <w:rPr>
          <w:lang w:val="en-GB"/>
        </w:rPr>
      </w:pPr>
      <w:r w:rsidRPr="00A307C6">
        <w:rPr>
          <w:lang w:val="en-GB"/>
        </w:rPr>
        <w:t>C</w:t>
      </w:r>
      <w:r w:rsidR="00997C52" w:rsidRPr="00A307C6">
        <w:rPr>
          <w:lang w:val="en-GB"/>
        </w:rPr>
        <w:t>onflict-related sexual violence against women and girls has been a</w:t>
      </w:r>
      <w:r w:rsidR="00661F02" w:rsidRPr="00A307C6">
        <w:rPr>
          <w:lang w:val="en-GB"/>
        </w:rPr>
        <w:t xml:space="preserve"> </w:t>
      </w:r>
      <w:r w:rsidR="00997C52" w:rsidRPr="00A307C6">
        <w:rPr>
          <w:lang w:val="en-GB"/>
        </w:rPr>
        <w:t xml:space="preserve">characteristic of </w:t>
      </w:r>
      <w:r w:rsidRPr="00A307C6">
        <w:rPr>
          <w:lang w:val="en-GB"/>
        </w:rPr>
        <w:t xml:space="preserve">the </w:t>
      </w:r>
      <w:r w:rsidR="00997C52" w:rsidRPr="00A307C6">
        <w:rPr>
          <w:lang w:val="en-GB"/>
        </w:rPr>
        <w:t>conflict in Central Equatoria</w:t>
      </w:r>
      <w:r w:rsidR="00661F02" w:rsidRPr="00A307C6">
        <w:rPr>
          <w:lang w:val="en-GB"/>
        </w:rPr>
        <w:t xml:space="preserve"> for many years,</w:t>
      </w:r>
      <w:r w:rsidR="00997C52" w:rsidRPr="00A307C6">
        <w:rPr>
          <w:lang w:val="en-GB"/>
        </w:rPr>
        <w:t xml:space="preserve"> </w:t>
      </w:r>
      <w:r w:rsidR="00B24FB0" w:rsidRPr="00A307C6">
        <w:rPr>
          <w:lang w:val="en-GB"/>
        </w:rPr>
        <w:t>as</w:t>
      </w:r>
      <w:r w:rsidR="00661F02" w:rsidRPr="00A307C6">
        <w:rPr>
          <w:lang w:val="en-GB"/>
        </w:rPr>
        <w:t xml:space="preserve"> </w:t>
      </w:r>
      <w:r w:rsidR="00DF354A" w:rsidRPr="00A307C6">
        <w:rPr>
          <w:lang w:val="en-GB"/>
        </w:rPr>
        <w:t xml:space="preserve">noted </w:t>
      </w:r>
      <w:r w:rsidR="00997C52" w:rsidRPr="00A307C6">
        <w:rPr>
          <w:lang w:val="en-GB"/>
        </w:rPr>
        <w:t xml:space="preserve">by the Commission </w:t>
      </w:r>
      <w:r w:rsidR="00F60072" w:rsidRPr="00A307C6">
        <w:rPr>
          <w:lang w:val="en-GB"/>
        </w:rPr>
        <w:t>in its</w:t>
      </w:r>
      <w:r w:rsidR="00DF354A" w:rsidRPr="00A307C6">
        <w:rPr>
          <w:lang w:val="en-GB"/>
        </w:rPr>
        <w:t xml:space="preserve"> first report published in</w:t>
      </w:r>
      <w:r w:rsidR="00B24FB0" w:rsidRPr="00A307C6">
        <w:rPr>
          <w:lang w:val="en-GB"/>
        </w:rPr>
        <w:t xml:space="preserve"> </w:t>
      </w:r>
      <w:r w:rsidR="00997C52" w:rsidRPr="00A307C6">
        <w:rPr>
          <w:lang w:val="en-GB"/>
        </w:rPr>
        <w:t>2016.</w:t>
      </w:r>
      <w:r w:rsidR="00DF354A" w:rsidRPr="00A307C6">
        <w:rPr>
          <w:rStyle w:val="FootnoteReference"/>
          <w:lang w:val="en-GB"/>
        </w:rPr>
        <w:footnoteReference w:id="85"/>
      </w:r>
      <w:r w:rsidR="00997C52" w:rsidRPr="00A307C6">
        <w:rPr>
          <w:lang w:val="en-GB"/>
        </w:rPr>
        <w:t xml:space="preserve"> </w:t>
      </w:r>
      <w:r w:rsidR="00F60072" w:rsidRPr="00A307C6">
        <w:rPr>
          <w:lang w:val="en-GB"/>
        </w:rPr>
        <w:t xml:space="preserve">Conflict related sexual violence </w:t>
      </w:r>
      <w:r w:rsidR="00997C52" w:rsidRPr="00A307C6">
        <w:rPr>
          <w:lang w:val="en-GB"/>
        </w:rPr>
        <w:t xml:space="preserve">remains prevalent at the time of reporting, as evidenced by the Commission’s </w:t>
      </w:r>
      <w:r w:rsidRPr="00A307C6">
        <w:rPr>
          <w:lang w:val="en-GB"/>
        </w:rPr>
        <w:t xml:space="preserve">engagement </w:t>
      </w:r>
      <w:r w:rsidR="00997C52" w:rsidRPr="00A307C6">
        <w:rPr>
          <w:lang w:val="en-GB"/>
        </w:rPr>
        <w:t>with victims, witnesses, public officials, medical practitioners, and service providers up until February 2022.</w:t>
      </w:r>
      <w:r w:rsidR="001914AD" w:rsidRPr="00A307C6">
        <w:rPr>
          <w:rStyle w:val="FootnoteReference"/>
          <w:lang w:val="en-GB"/>
        </w:rPr>
        <w:footnoteReference w:id="86"/>
      </w:r>
    </w:p>
    <w:p w14:paraId="058C0939" w14:textId="46C3A2F4" w:rsidR="006F6809" w:rsidRPr="00A307C6" w:rsidRDefault="007B1571" w:rsidP="006F6809">
      <w:pPr>
        <w:pStyle w:val="Paragraph"/>
        <w:rPr>
          <w:lang w:val="en-GB"/>
        </w:rPr>
      </w:pPr>
      <w:r w:rsidRPr="00A307C6">
        <w:rPr>
          <w:lang w:val="en-GB"/>
        </w:rPr>
        <w:t xml:space="preserve">Central Equatoria is highly militarized, with a range of </w:t>
      </w:r>
      <w:r w:rsidR="00DB1FD1" w:rsidRPr="00A307C6">
        <w:rPr>
          <w:lang w:val="en-GB"/>
        </w:rPr>
        <w:t xml:space="preserve">armed groups </w:t>
      </w:r>
      <w:r w:rsidRPr="00A307C6">
        <w:rPr>
          <w:lang w:val="en-GB"/>
        </w:rPr>
        <w:t xml:space="preserve">involved in armed </w:t>
      </w:r>
      <w:r w:rsidR="0094448F" w:rsidRPr="00A307C6">
        <w:rPr>
          <w:lang w:val="en-GB"/>
        </w:rPr>
        <w:t>conflict</w:t>
      </w:r>
      <w:r w:rsidR="003F69F4" w:rsidRPr="00A307C6">
        <w:rPr>
          <w:lang w:val="en-GB"/>
        </w:rPr>
        <w:t xml:space="preserve">, </w:t>
      </w:r>
      <w:r w:rsidR="00DB1FD1" w:rsidRPr="00A307C6">
        <w:rPr>
          <w:lang w:val="en-GB"/>
        </w:rPr>
        <w:t xml:space="preserve">including </w:t>
      </w:r>
      <w:r w:rsidR="003F69F4" w:rsidRPr="00A307C6">
        <w:rPr>
          <w:lang w:val="en-GB"/>
        </w:rPr>
        <w:t>the S</w:t>
      </w:r>
      <w:r w:rsidR="0068752C">
        <w:rPr>
          <w:lang w:val="en-GB"/>
        </w:rPr>
        <w:t xml:space="preserve">outh </w:t>
      </w:r>
      <w:r w:rsidR="003F69F4" w:rsidRPr="00A307C6">
        <w:rPr>
          <w:lang w:val="en-GB"/>
        </w:rPr>
        <w:t>S</w:t>
      </w:r>
      <w:r w:rsidR="0068752C">
        <w:rPr>
          <w:lang w:val="en-GB"/>
        </w:rPr>
        <w:t xml:space="preserve">udan’s </w:t>
      </w:r>
      <w:r w:rsidR="003F69F4" w:rsidRPr="00A307C6">
        <w:rPr>
          <w:lang w:val="en-GB"/>
        </w:rPr>
        <w:t>P</w:t>
      </w:r>
      <w:r w:rsidR="0068752C">
        <w:rPr>
          <w:lang w:val="en-GB"/>
        </w:rPr>
        <w:t xml:space="preserve">eoples </w:t>
      </w:r>
      <w:r w:rsidR="003F69F4" w:rsidRPr="00A307C6">
        <w:rPr>
          <w:lang w:val="en-GB"/>
        </w:rPr>
        <w:t>D</w:t>
      </w:r>
      <w:r w:rsidR="0068752C">
        <w:rPr>
          <w:lang w:val="en-GB"/>
        </w:rPr>
        <w:t xml:space="preserve">efence </w:t>
      </w:r>
      <w:r w:rsidR="003F69F4" w:rsidRPr="00A307C6">
        <w:rPr>
          <w:lang w:val="en-GB"/>
        </w:rPr>
        <w:t>F</w:t>
      </w:r>
      <w:r w:rsidR="0068752C">
        <w:rPr>
          <w:lang w:val="en-GB"/>
        </w:rPr>
        <w:t>orces (SSPDF)</w:t>
      </w:r>
      <w:r w:rsidR="003F69F4" w:rsidRPr="00A307C6">
        <w:rPr>
          <w:lang w:val="en-GB"/>
        </w:rPr>
        <w:t>, S</w:t>
      </w:r>
      <w:r w:rsidR="0068752C">
        <w:rPr>
          <w:lang w:val="en-GB"/>
        </w:rPr>
        <w:t xml:space="preserve">udan </w:t>
      </w:r>
      <w:r w:rsidR="003F69F4" w:rsidRPr="00A307C6">
        <w:rPr>
          <w:lang w:val="en-GB"/>
        </w:rPr>
        <w:t>P</w:t>
      </w:r>
      <w:r w:rsidR="0068752C">
        <w:rPr>
          <w:lang w:val="en-GB"/>
        </w:rPr>
        <w:t xml:space="preserve">eople’s </w:t>
      </w:r>
      <w:r w:rsidR="003F69F4" w:rsidRPr="00A307C6">
        <w:rPr>
          <w:lang w:val="en-GB"/>
        </w:rPr>
        <w:t>L</w:t>
      </w:r>
      <w:r w:rsidR="0068752C">
        <w:rPr>
          <w:lang w:val="en-GB"/>
        </w:rPr>
        <w:t xml:space="preserve">iberation </w:t>
      </w:r>
      <w:r w:rsidR="003F69F4" w:rsidRPr="00A307C6">
        <w:rPr>
          <w:lang w:val="en-GB"/>
        </w:rPr>
        <w:t>M</w:t>
      </w:r>
      <w:r w:rsidR="0068752C">
        <w:rPr>
          <w:lang w:val="en-GB"/>
        </w:rPr>
        <w:t>ovement</w:t>
      </w:r>
      <w:r w:rsidR="003F69F4" w:rsidRPr="00A307C6">
        <w:rPr>
          <w:lang w:val="en-GB"/>
        </w:rPr>
        <w:t>/A</w:t>
      </w:r>
      <w:r w:rsidR="0068752C">
        <w:rPr>
          <w:lang w:val="en-GB"/>
        </w:rPr>
        <w:t>rmy</w:t>
      </w:r>
      <w:r w:rsidR="003F69F4" w:rsidRPr="00A307C6">
        <w:rPr>
          <w:lang w:val="en-GB"/>
        </w:rPr>
        <w:t>-I</w:t>
      </w:r>
      <w:r w:rsidR="0068752C">
        <w:rPr>
          <w:lang w:val="en-GB"/>
        </w:rPr>
        <w:t xml:space="preserve">n </w:t>
      </w:r>
      <w:r w:rsidR="003F69F4" w:rsidRPr="00A307C6">
        <w:rPr>
          <w:lang w:val="en-GB"/>
        </w:rPr>
        <w:t>O</w:t>
      </w:r>
      <w:r w:rsidR="0068752C">
        <w:rPr>
          <w:lang w:val="en-GB"/>
        </w:rPr>
        <w:t>pposition (SPLM/A-IO)</w:t>
      </w:r>
      <w:r w:rsidR="003F69F4" w:rsidRPr="00A307C6">
        <w:rPr>
          <w:lang w:val="en-GB"/>
        </w:rPr>
        <w:t xml:space="preserve"> and NAS</w:t>
      </w:r>
      <w:r w:rsidR="00C63609" w:rsidRPr="00A307C6">
        <w:rPr>
          <w:lang w:val="en-GB"/>
        </w:rPr>
        <w:t>.</w:t>
      </w:r>
      <w:r w:rsidR="007C0919" w:rsidRPr="00A307C6">
        <w:rPr>
          <w:rStyle w:val="FootnoteReference"/>
          <w:lang w:val="en-GB"/>
        </w:rPr>
        <w:footnoteReference w:id="87"/>
      </w:r>
      <w:r w:rsidR="000C53AB" w:rsidRPr="00A307C6">
        <w:rPr>
          <w:lang w:val="en-GB"/>
        </w:rPr>
        <w:t xml:space="preserve"> </w:t>
      </w:r>
      <w:r w:rsidR="00E85450" w:rsidRPr="00A307C6">
        <w:rPr>
          <w:lang w:val="en-GB"/>
        </w:rPr>
        <w:t>Prior to the sig</w:t>
      </w:r>
      <w:r w:rsidR="00886857" w:rsidRPr="00A307C6">
        <w:rPr>
          <w:lang w:val="en-GB"/>
        </w:rPr>
        <w:t>n</w:t>
      </w:r>
      <w:r w:rsidR="00E85450" w:rsidRPr="00A307C6">
        <w:rPr>
          <w:lang w:val="en-GB"/>
        </w:rPr>
        <w:t>ing of the Revital</w:t>
      </w:r>
      <w:r w:rsidR="00CE0E73" w:rsidRPr="00A307C6">
        <w:rPr>
          <w:lang w:val="en-GB"/>
        </w:rPr>
        <w:t>iz</w:t>
      </w:r>
      <w:r w:rsidR="00E85450" w:rsidRPr="00A307C6">
        <w:rPr>
          <w:lang w:val="en-GB"/>
        </w:rPr>
        <w:t xml:space="preserve">ed Agreement in September 2018, the </w:t>
      </w:r>
      <w:r w:rsidR="0094448F" w:rsidRPr="00A307C6">
        <w:rPr>
          <w:lang w:val="en-GB"/>
        </w:rPr>
        <w:t xml:space="preserve">Commission documented </w:t>
      </w:r>
      <w:r w:rsidR="00E85450" w:rsidRPr="00A307C6">
        <w:rPr>
          <w:lang w:val="en-GB"/>
        </w:rPr>
        <w:t xml:space="preserve">clashes between the </w:t>
      </w:r>
      <w:r w:rsidR="001E19E1" w:rsidRPr="00A307C6">
        <w:rPr>
          <w:lang w:val="en-GB"/>
        </w:rPr>
        <w:t>then</w:t>
      </w:r>
      <w:r w:rsidR="0068752C">
        <w:rPr>
          <w:lang w:val="en-GB"/>
        </w:rPr>
        <w:t>-Sudan People’s Liberation Movement/Army (</w:t>
      </w:r>
      <w:r w:rsidR="00E85450" w:rsidRPr="00A307C6">
        <w:rPr>
          <w:lang w:val="en-GB"/>
        </w:rPr>
        <w:t>SPL</w:t>
      </w:r>
      <w:r w:rsidR="001E19E1" w:rsidRPr="00A307C6">
        <w:rPr>
          <w:lang w:val="en-GB"/>
        </w:rPr>
        <w:t>M/</w:t>
      </w:r>
      <w:r w:rsidR="00E85450" w:rsidRPr="00A307C6">
        <w:rPr>
          <w:lang w:val="en-GB"/>
        </w:rPr>
        <w:t>A</w:t>
      </w:r>
      <w:r w:rsidR="0068752C">
        <w:rPr>
          <w:lang w:val="en-GB"/>
        </w:rPr>
        <w:t>)</w:t>
      </w:r>
      <w:r w:rsidR="00E85450" w:rsidRPr="00A307C6">
        <w:rPr>
          <w:lang w:val="en-GB"/>
        </w:rPr>
        <w:t xml:space="preserve"> and </w:t>
      </w:r>
      <w:r w:rsidR="0068752C">
        <w:rPr>
          <w:lang w:val="en-GB"/>
        </w:rPr>
        <w:t xml:space="preserve">the </w:t>
      </w:r>
      <w:r w:rsidR="00E85450" w:rsidRPr="00A307C6">
        <w:rPr>
          <w:lang w:val="en-GB"/>
        </w:rPr>
        <w:t xml:space="preserve">SPLA-IO, and </w:t>
      </w:r>
      <w:r w:rsidR="0094448F" w:rsidRPr="00A307C6">
        <w:rPr>
          <w:lang w:val="en-GB"/>
        </w:rPr>
        <w:t xml:space="preserve">incidents of </w:t>
      </w:r>
      <w:r w:rsidR="00E85450" w:rsidRPr="00A307C6">
        <w:rPr>
          <w:lang w:val="en-GB"/>
        </w:rPr>
        <w:t>sexual violence perpetrated by</w:t>
      </w:r>
      <w:r w:rsidR="00C63609" w:rsidRPr="00A307C6">
        <w:rPr>
          <w:lang w:val="en-GB"/>
        </w:rPr>
        <w:t xml:space="preserve"> </w:t>
      </w:r>
      <w:r w:rsidR="00E85450" w:rsidRPr="00A307C6">
        <w:rPr>
          <w:lang w:val="en-GB"/>
        </w:rPr>
        <w:t xml:space="preserve">soldiers </w:t>
      </w:r>
      <w:r w:rsidR="00886857" w:rsidRPr="00A307C6">
        <w:rPr>
          <w:lang w:val="en-GB"/>
        </w:rPr>
        <w:t xml:space="preserve">from both </w:t>
      </w:r>
      <w:r w:rsidR="00C63609" w:rsidRPr="00A307C6">
        <w:rPr>
          <w:lang w:val="en-GB"/>
        </w:rPr>
        <w:t>sides</w:t>
      </w:r>
      <w:r w:rsidR="00E85450" w:rsidRPr="00A307C6">
        <w:rPr>
          <w:lang w:val="en-GB"/>
        </w:rPr>
        <w:t>.</w:t>
      </w:r>
      <w:r w:rsidR="000C53AB" w:rsidRPr="00A307C6">
        <w:rPr>
          <w:rStyle w:val="FootnoteReference"/>
          <w:lang w:val="en-GB"/>
        </w:rPr>
        <w:footnoteReference w:id="88"/>
      </w:r>
      <w:r w:rsidR="00E85450" w:rsidRPr="00A307C6">
        <w:rPr>
          <w:lang w:val="en-GB"/>
        </w:rPr>
        <w:t xml:space="preserve"> </w:t>
      </w:r>
      <w:r w:rsidR="00886857" w:rsidRPr="00A307C6">
        <w:rPr>
          <w:lang w:val="en-GB"/>
        </w:rPr>
        <w:t>Since then,</w:t>
      </w:r>
      <w:r w:rsidR="0094448F" w:rsidRPr="00A307C6">
        <w:rPr>
          <w:lang w:val="en-GB"/>
        </w:rPr>
        <w:t xml:space="preserve"> f</w:t>
      </w:r>
      <w:r w:rsidR="00886857" w:rsidRPr="00A307C6">
        <w:rPr>
          <w:lang w:val="en-GB"/>
        </w:rPr>
        <w:t>orces aligned to the SPLM-IG</w:t>
      </w:r>
      <w:r w:rsidR="00CF62F4" w:rsidRPr="00A307C6">
        <w:rPr>
          <w:lang w:val="en-GB"/>
        </w:rPr>
        <w:t xml:space="preserve"> – </w:t>
      </w:r>
      <w:r w:rsidR="00886857" w:rsidRPr="00A307C6">
        <w:rPr>
          <w:lang w:val="en-GB"/>
        </w:rPr>
        <w:t>the SSPDF</w:t>
      </w:r>
      <w:r w:rsidR="00CF62F4" w:rsidRPr="00A307C6">
        <w:rPr>
          <w:lang w:val="en-GB"/>
        </w:rPr>
        <w:t xml:space="preserve"> –</w:t>
      </w:r>
      <w:r w:rsidR="00886857" w:rsidRPr="00A307C6">
        <w:rPr>
          <w:lang w:val="en-GB"/>
        </w:rPr>
        <w:t xml:space="preserve"> and the non-State armed </w:t>
      </w:r>
      <w:r w:rsidR="00886857" w:rsidRPr="00A307C6">
        <w:rPr>
          <w:lang w:val="en-GB"/>
        </w:rPr>
        <w:lastRenderedPageBreak/>
        <w:t xml:space="preserve">group NAS </w:t>
      </w:r>
      <w:r w:rsidR="00C63609" w:rsidRPr="00A307C6">
        <w:rPr>
          <w:lang w:val="en-GB"/>
        </w:rPr>
        <w:t>(</w:t>
      </w:r>
      <w:r w:rsidR="00886857" w:rsidRPr="00A307C6">
        <w:rPr>
          <w:lang w:val="en-GB"/>
        </w:rPr>
        <w:t>which was formed in 2017</w:t>
      </w:r>
      <w:r w:rsidR="00C63609" w:rsidRPr="00A307C6">
        <w:rPr>
          <w:lang w:val="en-GB"/>
        </w:rPr>
        <w:t>)</w:t>
      </w:r>
      <w:r w:rsidR="00886857" w:rsidRPr="00A307C6">
        <w:rPr>
          <w:lang w:val="en-GB"/>
        </w:rPr>
        <w:t xml:space="preserve"> </w:t>
      </w:r>
      <w:r w:rsidR="0094448F" w:rsidRPr="00A307C6">
        <w:rPr>
          <w:lang w:val="en-GB"/>
        </w:rPr>
        <w:t>are implicated in the ongoing conflict</w:t>
      </w:r>
      <w:r w:rsidR="00886857" w:rsidRPr="00A307C6">
        <w:rPr>
          <w:lang w:val="en-GB"/>
        </w:rPr>
        <w:t xml:space="preserve"> </w:t>
      </w:r>
      <w:r w:rsidR="00CF62F4" w:rsidRPr="00A307C6">
        <w:rPr>
          <w:lang w:val="en-GB"/>
        </w:rPr>
        <w:t xml:space="preserve">in the </w:t>
      </w:r>
      <w:r w:rsidR="00886857" w:rsidRPr="00A307C6">
        <w:rPr>
          <w:lang w:val="en-GB"/>
        </w:rPr>
        <w:t xml:space="preserve">three Equatoria states. </w:t>
      </w:r>
      <w:r w:rsidR="0094448F" w:rsidRPr="00A307C6">
        <w:rPr>
          <w:lang w:val="en-GB"/>
        </w:rPr>
        <w:t xml:space="preserve">The Commission has </w:t>
      </w:r>
      <w:r w:rsidR="00F60072" w:rsidRPr="00A307C6">
        <w:rPr>
          <w:lang w:val="en-GB"/>
        </w:rPr>
        <w:t xml:space="preserve">also </w:t>
      </w:r>
      <w:r w:rsidR="0094448F" w:rsidRPr="00A307C6">
        <w:rPr>
          <w:lang w:val="en-GB"/>
        </w:rPr>
        <w:t xml:space="preserve">documented </w:t>
      </w:r>
      <w:r w:rsidR="00F60072" w:rsidRPr="00A307C6">
        <w:rPr>
          <w:lang w:val="en-GB"/>
        </w:rPr>
        <w:t xml:space="preserve">ongoing </w:t>
      </w:r>
      <w:r w:rsidR="00886857" w:rsidRPr="00A307C6">
        <w:rPr>
          <w:lang w:val="en-GB"/>
        </w:rPr>
        <w:t xml:space="preserve">human rights </w:t>
      </w:r>
      <w:r w:rsidR="0094448F" w:rsidRPr="00A307C6">
        <w:rPr>
          <w:lang w:val="en-GB"/>
        </w:rPr>
        <w:t xml:space="preserve">violations and abuses linked  to the </w:t>
      </w:r>
      <w:r w:rsidR="00886857" w:rsidRPr="00A307C6">
        <w:rPr>
          <w:lang w:val="en-GB"/>
        </w:rPr>
        <w:t xml:space="preserve">conflict </w:t>
      </w:r>
      <w:r w:rsidR="00554F84">
        <w:rPr>
          <w:lang w:val="en-GB"/>
        </w:rPr>
        <w:t xml:space="preserve">and clashes between </w:t>
      </w:r>
      <w:r w:rsidR="00886857" w:rsidRPr="00A307C6">
        <w:rPr>
          <w:lang w:val="en-GB"/>
        </w:rPr>
        <w:t xml:space="preserve">the </w:t>
      </w:r>
      <w:r w:rsidR="0068752C">
        <w:rPr>
          <w:lang w:val="en-GB"/>
        </w:rPr>
        <w:t>G</w:t>
      </w:r>
      <w:r w:rsidR="00C63609" w:rsidRPr="00A307C6">
        <w:rPr>
          <w:lang w:val="en-GB"/>
        </w:rPr>
        <w:t>overnment</w:t>
      </w:r>
      <w:r w:rsidR="0068752C">
        <w:rPr>
          <w:lang w:val="en-GB"/>
        </w:rPr>
        <w:t>’s</w:t>
      </w:r>
      <w:r w:rsidR="00C63609" w:rsidRPr="00A307C6">
        <w:rPr>
          <w:lang w:val="en-GB"/>
        </w:rPr>
        <w:t xml:space="preserve"> </w:t>
      </w:r>
      <w:r w:rsidR="00886857" w:rsidRPr="00A307C6">
        <w:rPr>
          <w:lang w:val="en-GB"/>
        </w:rPr>
        <w:t xml:space="preserve">SSPDF </w:t>
      </w:r>
      <w:r w:rsidR="00554F84">
        <w:rPr>
          <w:lang w:val="en-GB"/>
        </w:rPr>
        <w:t xml:space="preserve">and </w:t>
      </w:r>
      <w:r w:rsidR="00886857" w:rsidRPr="00A307C6">
        <w:rPr>
          <w:lang w:val="en-GB"/>
        </w:rPr>
        <w:t>NAS,</w:t>
      </w:r>
      <w:r w:rsidR="003F69F4" w:rsidRPr="00A307C6">
        <w:rPr>
          <w:lang w:val="en-GB"/>
        </w:rPr>
        <w:t xml:space="preserve"> which </w:t>
      </w:r>
      <w:r w:rsidR="00886857" w:rsidRPr="00A307C6">
        <w:rPr>
          <w:lang w:val="en-GB"/>
        </w:rPr>
        <w:t xml:space="preserve">is not </w:t>
      </w:r>
      <w:r w:rsidR="00554F84">
        <w:rPr>
          <w:lang w:val="en-GB"/>
        </w:rPr>
        <w:t xml:space="preserve">yet </w:t>
      </w:r>
      <w:r w:rsidR="00886857" w:rsidRPr="00A307C6">
        <w:rPr>
          <w:lang w:val="en-GB"/>
        </w:rPr>
        <w:t>a party to the Revitalized Agreement.</w:t>
      </w:r>
      <w:r w:rsidR="00886857" w:rsidRPr="00A307C6">
        <w:rPr>
          <w:rStyle w:val="FootnoteReference"/>
          <w:lang w:val="en-GB"/>
        </w:rPr>
        <w:footnoteReference w:id="89"/>
      </w:r>
      <w:r w:rsidR="00886857" w:rsidRPr="00A307C6">
        <w:rPr>
          <w:lang w:val="en-GB"/>
        </w:rPr>
        <w:t xml:space="preserve"> </w:t>
      </w:r>
      <w:r w:rsidR="0094448F" w:rsidRPr="00A307C6">
        <w:rPr>
          <w:lang w:val="en-GB"/>
        </w:rPr>
        <w:t xml:space="preserve">The violations </w:t>
      </w:r>
      <w:r w:rsidR="00C63609" w:rsidRPr="00A307C6">
        <w:rPr>
          <w:lang w:val="en-GB"/>
        </w:rPr>
        <w:t xml:space="preserve">and abuses </w:t>
      </w:r>
      <w:r w:rsidR="0094448F" w:rsidRPr="00A307C6">
        <w:rPr>
          <w:lang w:val="en-GB"/>
        </w:rPr>
        <w:t xml:space="preserve">documented by the Commission include </w:t>
      </w:r>
      <w:r w:rsidR="00F60072" w:rsidRPr="00A307C6">
        <w:rPr>
          <w:lang w:val="en-GB"/>
        </w:rPr>
        <w:t xml:space="preserve">killings, rape and sexual violence, </w:t>
      </w:r>
      <w:r w:rsidR="00886857" w:rsidRPr="00A307C6">
        <w:rPr>
          <w:lang w:val="en-GB"/>
        </w:rPr>
        <w:t>forced recruitment, detentions and mass displacement</w:t>
      </w:r>
      <w:r w:rsidR="0094448F" w:rsidRPr="00A307C6">
        <w:rPr>
          <w:lang w:val="en-GB"/>
        </w:rPr>
        <w:t>.</w:t>
      </w:r>
      <w:r w:rsidR="00886857" w:rsidRPr="00A307C6">
        <w:rPr>
          <w:rStyle w:val="FootnoteReference"/>
          <w:lang w:val="en-GB"/>
        </w:rPr>
        <w:footnoteReference w:id="90"/>
      </w:r>
      <w:r w:rsidR="00886857" w:rsidRPr="00A307C6">
        <w:rPr>
          <w:lang w:val="en-GB"/>
        </w:rPr>
        <w:t xml:space="preserve"> </w:t>
      </w:r>
      <w:r w:rsidR="00554F84">
        <w:rPr>
          <w:lang w:val="en-GB"/>
        </w:rPr>
        <w:t>S</w:t>
      </w:r>
      <w:r w:rsidR="0094448F" w:rsidRPr="00A307C6">
        <w:rPr>
          <w:lang w:val="en-GB"/>
        </w:rPr>
        <w:t xml:space="preserve">ince early 2022, </w:t>
      </w:r>
      <w:r w:rsidR="00554F84">
        <w:rPr>
          <w:lang w:val="en-GB"/>
        </w:rPr>
        <w:t>there has been a</w:t>
      </w:r>
      <w:r w:rsidR="0094448F" w:rsidRPr="00A307C6">
        <w:rPr>
          <w:lang w:val="en-GB"/>
        </w:rPr>
        <w:t xml:space="preserve"> proliferation of </w:t>
      </w:r>
      <w:r w:rsidRPr="00A307C6">
        <w:rPr>
          <w:lang w:val="en-GB"/>
        </w:rPr>
        <w:t>heavily armed cattle-keeping groups</w:t>
      </w:r>
      <w:r w:rsidR="00886857" w:rsidRPr="00A307C6">
        <w:rPr>
          <w:lang w:val="en-GB"/>
        </w:rPr>
        <w:t xml:space="preserve"> increasingly </w:t>
      </w:r>
      <w:r w:rsidRPr="00A307C6">
        <w:rPr>
          <w:lang w:val="en-GB"/>
        </w:rPr>
        <w:t xml:space="preserve">moving southward into parts of </w:t>
      </w:r>
      <w:r w:rsidR="00554F84">
        <w:rPr>
          <w:lang w:val="en-GB"/>
        </w:rPr>
        <w:t>Central Equatoria</w:t>
      </w:r>
      <w:r w:rsidR="00886857" w:rsidRPr="00A307C6">
        <w:rPr>
          <w:lang w:val="en-GB"/>
        </w:rPr>
        <w:t xml:space="preserve">, </w:t>
      </w:r>
      <w:r w:rsidR="00554F84">
        <w:rPr>
          <w:lang w:val="en-GB"/>
        </w:rPr>
        <w:t>causing in</w:t>
      </w:r>
      <w:r w:rsidR="00886857" w:rsidRPr="00A307C6">
        <w:rPr>
          <w:lang w:val="en-GB"/>
        </w:rPr>
        <w:t xml:space="preserve">security and </w:t>
      </w:r>
      <w:r w:rsidR="0094448F" w:rsidRPr="00A307C6">
        <w:rPr>
          <w:lang w:val="en-GB"/>
        </w:rPr>
        <w:t xml:space="preserve">destabilizing the </w:t>
      </w:r>
      <w:r w:rsidR="00886857" w:rsidRPr="00A307C6">
        <w:rPr>
          <w:lang w:val="en-GB"/>
        </w:rPr>
        <w:t>livelihoods of local residents</w:t>
      </w:r>
      <w:r w:rsidR="00522FBA" w:rsidRPr="00A307C6">
        <w:rPr>
          <w:lang w:val="en-GB"/>
        </w:rPr>
        <w:t xml:space="preserve">, who depend on crops that are now being damaged by </w:t>
      </w:r>
      <w:r w:rsidR="0094448F" w:rsidRPr="00A307C6">
        <w:rPr>
          <w:lang w:val="en-GB"/>
        </w:rPr>
        <w:t xml:space="preserve">the </w:t>
      </w:r>
      <w:r w:rsidR="00522FBA" w:rsidRPr="00A307C6">
        <w:rPr>
          <w:lang w:val="en-GB"/>
        </w:rPr>
        <w:t>cattle</w:t>
      </w:r>
      <w:r w:rsidR="0094448F" w:rsidRPr="00A307C6">
        <w:rPr>
          <w:lang w:val="en-GB"/>
        </w:rPr>
        <w:t xml:space="preserve"> keepers</w:t>
      </w:r>
      <w:r w:rsidR="00522FBA" w:rsidRPr="00A307C6">
        <w:rPr>
          <w:lang w:val="en-GB"/>
        </w:rPr>
        <w:t>.</w:t>
      </w:r>
      <w:r w:rsidR="00522FBA" w:rsidRPr="00A307C6">
        <w:rPr>
          <w:rStyle w:val="FootnoteReference"/>
          <w:lang w:val="en-GB"/>
        </w:rPr>
        <w:footnoteReference w:id="91"/>
      </w:r>
      <w:r w:rsidR="000D0832" w:rsidRPr="00A307C6">
        <w:rPr>
          <w:lang w:val="en-GB"/>
        </w:rPr>
        <w:t xml:space="preserve"> </w:t>
      </w:r>
      <w:r w:rsidR="0094448F" w:rsidRPr="00A307C6">
        <w:rPr>
          <w:lang w:val="en-GB"/>
        </w:rPr>
        <w:t>The</w:t>
      </w:r>
      <w:r w:rsidR="00554F84">
        <w:rPr>
          <w:lang w:val="en-GB"/>
        </w:rPr>
        <w:t>se</w:t>
      </w:r>
      <w:r w:rsidR="0094448F" w:rsidRPr="00A307C6">
        <w:rPr>
          <w:lang w:val="en-GB"/>
        </w:rPr>
        <w:t xml:space="preserve"> cattle keepers </w:t>
      </w:r>
      <w:r w:rsidR="000D0832" w:rsidRPr="00A307C6">
        <w:rPr>
          <w:lang w:val="en-GB"/>
        </w:rPr>
        <w:t xml:space="preserve">have a strong presence </w:t>
      </w:r>
      <w:r w:rsidR="0094448F" w:rsidRPr="00A307C6">
        <w:rPr>
          <w:lang w:val="en-GB"/>
        </w:rPr>
        <w:t xml:space="preserve">in both </w:t>
      </w:r>
      <w:r w:rsidR="000D0832" w:rsidRPr="00A307C6">
        <w:rPr>
          <w:lang w:val="en-GB"/>
        </w:rPr>
        <w:t xml:space="preserve">urban </w:t>
      </w:r>
      <w:r w:rsidR="00A307C6" w:rsidRPr="00A307C6">
        <w:rPr>
          <w:lang w:val="en-GB"/>
        </w:rPr>
        <w:t>centres</w:t>
      </w:r>
      <w:r w:rsidR="000D0832" w:rsidRPr="00A307C6">
        <w:rPr>
          <w:lang w:val="en-GB"/>
        </w:rPr>
        <w:t xml:space="preserve"> </w:t>
      </w:r>
      <w:r w:rsidR="0094448F" w:rsidRPr="00A307C6">
        <w:rPr>
          <w:lang w:val="en-GB"/>
        </w:rPr>
        <w:t xml:space="preserve">and </w:t>
      </w:r>
      <w:r w:rsidR="000D0832" w:rsidRPr="00A307C6">
        <w:rPr>
          <w:lang w:val="en-GB"/>
        </w:rPr>
        <w:t>remote villages</w:t>
      </w:r>
      <w:r w:rsidR="0094448F" w:rsidRPr="00A307C6">
        <w:rPr>
          <w:lang w:val="en-GB"/>
        </w:rPr>
        <w:t>, and are alleged to be closely linked to political elites at national level.</w:t>
      </w:r>
      <w:r w:rsidR="00554F84">
        <w:rPr>
          <w:rStyle w:val="FootnoteReference"/>
        </w:rPr>
        <w:footnoteReference w:id="92"/>
      </w:r>
    </w:p>
    <w:p w14:paraId="1210D7BB" w14:textId="5B707D84" w:rsidR="007D4423" w:rsidRPr="00A307C6" w:rsidRDefault="007D4423" w:rsidP="006F6809">
      <w:pPr>
        <w:pStyle w:val="Paragraph"/>
        <w:numPr>
          <w:ilvl w:val="0"/>
          <w:numId w:val="0"/>
        </w:numPr>
        <w:ind w:left="720"/>
        <w:rPr>
          <w:i/>
          <w:iCs/>
          <w:lang w:val="en-GB"/>
        </w:rPr>
      </w:pPr>
      <w:proofErr w:type="spellStart"/>
      <w:r w:rsidRPr="00A307C6">
        <w:rPr>
          <w:i/>
          <w:iCs/>
          <w:lang w:val="en-GB"/>
        </w:rPr>
        <w:t>Lasu</w:t>
      </w:r>
      <w:proofErr w:type="spellEnd"/>
      <w:r w:rsidRPr="00A307C6">
        <w:rPr>
          <w:i/>
          <w:iCs/>
          <w:lang w:val="en-GB"/>
        </w:rPr>
        <w:t xml:space="preserve"> </w:t>
      </w:r>
      <w:proofErr w:type="spellStart"/>
      <w:r w:rsidRPr="00A307C6">
        <w:rPr>
          <w:i/>
          <w:iCs/>
          <w:lang w:val="en-GB"/>
        </w:rPr>
        <w:t>Payam</w:t>
      </w:r>
      <w:proofErr w:type="spellEnd"/>
      <w:r w:rsidRPr="00A307C6">
        <w:rPr>
          <w:i/>
          <w:iCs/>
          <w:lang w:val="en-GB"/>
        </w:rPr>
        <w:t>, Yei River County in 2020</w:t>
      </w:r>
    </w:p>
    <w:p w14:paraId="624CF0A3" w14:textId="06921B4D" w:rsidR="007D4423" w:rsidRPr="00A307C6" w:rsidRDefault="007D4423" w:rsidP="00FF077A">
      <w:pPr>
        <w:pStyle w:val="Paragraph"/>
        <w:rPr>
          <w:lang w:val="en-GB"/>
        </w:rPr>
      </w:pPr>
      <w:r w:rsidRPr="00A307C6">
        <w:rPr>
          <w:lang w:val="en-GB"/>
        </w:rPr>
        <w:t xml:space="preserve">SSPDF soldiers based at </w:t>
      </w:r>
      <w:r w:rsidR="00472A7A" w:rsidRPr="00A307C6">
        <w:rPr>
          <w:lang w:val="en-GB"/>
        </w:rPr>
        <w:t xml:space="preserve">the </w:t>
      </w:r>
      <w:proofErr w:type="spellStart"/>
      <w:r w:rsidR="00472A7A" w:rsidRPr="00A307C6">
        <w:rPr>
          <w:lang w:val="en-GB"/>
        </w:rPr>
        <w:t>Lasu</w:t>
      </w:r>
      <w:proofErr w:type="spellEnd"/>
      <w:r w:rsidR="00472A7A" w:rsidRPr="00A307C6">
        <w:rPr>
          <w:lang w:val="en-GB"/>
        </w:rPr>
        <w:t xml:space="preserve"> </w:t>
      </w:r>
      <w:r w:rsidRPr="00A307C6">
        <w:rPr>
          <w:lang w:val="en-GB"/>
        </w:rPr>
        <w:t xml:space="preserve">military barracks in </w:t>
      </w:r>
      <w:proofErr w:type="spellStart"/>
      <w:r w:rsidRPr="00A307C6">
        <w:rPr>
          <w:lang w:val="en-GB"/>
        </w:rPr>
        <w:t>Lasu</w:t>
      </w:r>
      <w:proofErr w:type="spellEnd"/>
      <w:r w:rsidRPr="00A307C6">
        <w:rPr>
          <w:lang w:val="en-GB"/>
        </w:rPr>
        <w:t xml:space="preserve"> </w:t>
      </w:r>
      <w:proofErr w:type="spellStart"/>
      <w:r w:rsidRPr="00A307C6">
        <w:rPr>
          <w:lang w:val="en-GB"/>
        </w:rPr>
        <w:t>Payam</w:t>
      </w:r>
      <w:proofErr w:type="spellEnd"/>
      <w:r w:rsidRPr="00A307C6">
        <w:rPr>
          <w:lang w:val="en-GB"/>
        </w:rPr>
        <w:t xml:space="preserve"> carried out a </w:t>
      </w:r>
      <w:r w:rsidR="00CA7BB3" w:rsidRPr="00A307C6">
        <w:rPr>
          <w:lang w:val="en-GB"/>
        </w:rPr>
        <w:t>brutal</w:t>
      </w:r>
      <w:r w:rsidR="001E19E1" w:rsidRPr="00A307C6">
        <w:rPr>
          <w:lang w:val="en-GB"/>
        </w:rPr>
        <w:t>ly</w:t>
      </w:r>
      <w:r w:rsidR="00CA7BB3" w:rsidRPr="00A307C6">
        <w:rPr>
          <w:lang w:val="en-GB"/>
        </w:rPr>
        <w:t xml:space="preserve"> </w:t>
      </w:r>
      <w:r w:rsidR="007E1ACE" w:rsidRPr="00A307C6">
        <w:rPr>
          <w:lang w:val="en-GB"/>
        </w:rPr>
        <w:t>vi</w:t>
      </w:r>
      <w:r w:rsidR="00947575" w:rsidRPr="00A307C6">
        <w:rPr>
          <w:lang w:val="en-GB"/>
        </w:rPr>
        <w:t xml:space="preserve">olent </w:t>
      </w:r>
      <w:r w:rsidR="007D5015" w:rsidRPr="00A307C6">
        <w:rPr>
          <w:lang w:val="en-GB"/>
        </w:rPr>
        <w:t xml:space="preserve">military operation </w:t>
      </w:r>
      <w:r w:rsidRPr="00A307C6">
        <w:rPr>
          <w:lang w:val="en-GB"/>
        </w:rPr>
        <w:t>against civilians</w:t>
      </w:r>
      <w:r w:rsidR="00947575" w:rsidRPr="00A307C6">
        <w:rPr>
          <w:lang w:val="en-GB"/>
        </w:rPr>
        <w:t>,</w:t>
      </w:r>
      <w:r w:rsidRPr="00A307C6">
        <w:rPr>
          <w:lang w:val="en-GB"/>
        </w:rPr>
        <w:t xml:space="preserve"> which peaked between mid</w:t>
      </w:r>
      <w:r w:rsidR="00905AB9" w:rsidRPr="00A307C6">
        <w:rPr>
          <w:lang w:val="en-GB"/>
        </w:rPr>
        <w:t>-</w:t>
      </w:r>
      <w:r w:rsidRPr="00A307C6">
        <w:rPr>
          <w:lang w:val="en-GB"/>
        </w:rPr>
        <w:t xml:space="preserve">December </w:t>
      </w:r>
      <w:r w:rsidR="00163CFF" w:rsidRPr="00A307C6">
        <w:rPr>
          <w:lang w:val="en-GB"/>
        </w:rPr>
        <w:t xml:space="preserve">2019 </w:t>
      </w:r>
      <w:r w:rsidRPr="00A307C6">
        <w:rPr>
          <w:lang w:val="en-GB"/>
        </w:rPr>
        <w:t xml:space="preserve">and </w:t>
      </w:r>
      <w:r w:rsidR="00163CFF" w:rsidRPr="00A307C6">
        <w:rPr>
          <w:lang w:val="en-GB"/>
        </w:rPr>
        <w:t>February 2020</w:t>
      </w:r>
      <w:r w:rsidR="00947575" w:rsidRPr="00A307C6">
        <w:rPr>
          <w:lang w:val="en-GB"/>
        </w:rPr>
        <w:t>. The attacks</w:t>
      </w:r>
      <w:r w:rsidR="00163CFF" w:rsidRPr="00A307C6">
        <w:rPr>
          <w:lang w:val="en-GB"/>
        </w:rPr>
        <w:t xml:space="preserve"> involv</w:t>
      </w:r>
      <w:r w:rsidR="00947575" w:rsidRPr="00A307C6">
        <w:rPr>
          <w:lang w:val="en-GB"/>
        </w:rPr>
        <w:t xml:space="preserve">e the commission of numerous </w:t>
      </w:r>
      <w:r w:rsidR="00163CFF" w:rsidRPr="00A307C6">
        <w:rPr>
          <w:lang w:val="en-GB"/>
        </w:rPr>
        <w:t xml:space="preserve">gross human rights violations including </w:t>
      </w:r>
      <w:r w:rsidR="00947575" w:rsidRPr="00A307C6">
        <w:rPr>
          <w:lang w:val="en-GB"/>
        </w:rPr>
        <w:t xml:space="preserve">rape and </w:t>
      </w:r>
      <w:r w:rsidR="00163CFF" w:rsidRPr="00A307C6">
        <w:rPr>
          <w:lang w:val="en-GB"/>
        </w:rPr>
        <w:t xml:space="preserve">sexual violence against women and girls residing in </w:t>
      </w:r>
      <w:r w:rsidR="004F5982" w:rsidRPr="00A307C6">
        <w:rPr>
          <w:lang w:val="en-GB"/>
        </w:rPr>
        <w:t xml:space="preserve">surrounding </w:t>
      </w:r>
      <w:r w:rsidR="00163CFF" w:rsidRPr="00A307C6">
        <w:rPr>
          <w:lang w:val="en-GB"/>
        </w:rPr>
        <w:t xml:space="preserve">villages. </w:t>
      </w:r>
      <w:r w:rsidR="004F5982" w:rsidRPr="00A307C6">
        <w:rPr>
          <w:lang w:val="en-GB"/>
        </w:rPr>
        <w:t>Th</w:t>
      </w:r>
      <w:r w:rsidR="007D5015" w:rsidRPr="00A307C6">
        <w:rPr>
          <w:lang w:val="en-GB"/>
        </w:rPr>
        <w:t xml:space="preserve">is </w:t>
      </w:r>
      <w:r w:rsidR="004F5982" w:rsidRPr="00A307C6">
        <w:rPr>
          <w:lang w:val="en-GB"/>
        </w:rPr>
        <w:t xml:space="preserve">followed an </w:t>
      </w:r>
      <w:r w:rsidR="00947575" w:rsidRPr="00A307C6">
        <w:rPr>
          <w:lang w:val="en-GB"/>
        </w:rPr>
        <w:t xml:space="preserve">earlier </w:t>
      </w:r>
      <w:r w:rsidR="004F5982" w:rsidRPr="00A307C6">
        <w:rPr>
          <w:lang w:val="en-GB"/>
        </w:rPr>
        <w:t xml:space="preserve">armed attack by armed NAS members on </w:t>
      </w:r>
      <w:r w:rsidR="001649D6" w:rsidRPr="00A307C6">
        <w:rPr>
          <w:lang w:val="en-GB"/>
        </w:rPr>
        <w:t xml:space="preserve">an </w:t>
      </w:r>
      <w:r w:rsidR="004F5982" w:rsidRPr="00A307C6">
        <w:rPr>
          <w:lang w:val="en-GB"/>
        </w:rPr>
        <w:t>SSPDF</w:t>
      </w:r>
      <w:r w:rsidR="001649D6" w:rsidRPr="00A307C6">
        <w:rPr>
          <w:lang w:val="en-GB"/>
        </w:rPr>
        <w:t xml:space="preserve"> contingent in which NAS Forces overran the SSPDF’s</w:t>
      </w:r>
      <w:r w:rsidR="004F5982" w:rsidRPr="00A307C6">
        <w:rPr>
          <w:lang w:val="en-GB"/>
        </w:rPr>
        <w:t xml:space="preserve"> </w:t>
      </w:r>
      <w:proofErr w:type="spellStart"/>
      <w:r w:rsidR="004F5982" w:rsidRPr="00A307C6">
        <w:rPr>
          <w:lang w:val="en-GB"/>
        </w:rPr>
        <w:t>Lasu</w:t>
      </w:r>
      <w:proofErr w:type="spellEnd"/>
      <w:r w:rsidR="004F5982" w:rsidRPr="00A307C6">
        <w:rPr>
          <w:lang w:val="en-GB"/>
        </w:rPr>
        <w:t xml:space="preserve"> Barracks from 13 December 2019.</w:t>
      </w:r>
      <w:r w:rsidR="004F5982" w:rsidRPr="00A307C6">
        <w:rPr>
          <w:rStyle w:val="FootnoteReference"/>
          <w:lang w:val="en-GB"/>
        </w:rPr>
        <w:footnoteReference w:id="93"/>
      </w:r>
      <w:r w:rsidR="004F5982" w:rsidRPr="00A307C6">
        <w:rPr>
          <w:lang w:val="en-GB"/>
        </w:rPr>
        <w:t xml:space="preserve"> </w:t>
      </w:r>
      <w:r w:rsidR="001649D6" w:rsidRPr="00A307C6">
        <w:rPr>
          <w:lang w:val="en-GB"/>
        </w:rPr>
        <w:t xml:space="preserve">When SSPDF soldiers reasserted </w:t>
      </w:r>
      <w:r w:rsidR="00947575" w:rsidRPr="00A307C6">
        <w:rPr>
          <w:lang w:val="en-GB"/>
        </w:rPr>
        <w:t xml:space="preserve">their </w:t>
      </w:r>
      <w:r w:rsidR="001649D6" w:rsidRPr="00A307C6">
        <w:rPr>
          <w:lang w:val="en-GB"/>
        </w:rPr>
        <w:t xml:space="preserve">control of the area around 16 December, they embarked on a </w:t>
      </w:r>
      <w:r w:rsidR="004F5982" w:rsidRPr="00A307C6">
        <w:rPr>
          <w:lang w:val="en-GB"/>
        </w:rPr>
        <w:t>retaliatory and punitive</w:t>
      </w:r>
      <w:r w:rsidR="001649D6" w:rsidRPr="00A307C6">
        <w:rPr>
          <w:lang w:val="en-GB"/>
        </w:rPr>
        <w:t xml:space="preserve"> campaign against unarmed </w:t>
      </w:r>
      <w:r w:rsidR="00947575" w:rsidRPr="00A307C6">
        <w:rPr>
          <w:lang w:val="en-GB"/>
        </w:rPr>
        <w:t xml:space="preserve">vulnerable </w:t>
      </w:r>
      <w:r w:rsidR="001649D6" w:rsidRPr="00A307C6">
        <w:rPr>
          <w:lang w:val="en-GB"/>
        </w:rPr>
        <w:t>civilians in the area who</w:t>
      </w:r>
      <w:r w:rsidR="004F5982" w:rsidRPr="00A307C6">
        <w:rPr>
          <w:lang w:val="en-GB"/>
        </w:rPr>
        <w:t xml:space="preserve">, </w:t>
      </w:r>
      <w:r w:rsidR="007D5015" w:rsidRPr="00A307C6">
        <w:rPr>
          <w:lang w:val="en-GB"/>
        </w:rPr>
        <w:t xml:space="preserve">in </w:t>
      </w:r>
      <w:r w:rsidR="001649D6" w:rsidRPr="00A307C6">
        <w:rPr>
          <w:lang w:val="en-GB"/>
        </w:rPr>
        <w:t xml:space="preserve">the soldiers’ eyes, </w:t>
      </w:r>
      <w:r w:rsidR="007D5015" w:rsidRPr="00A307C6">
        <w:rPr>
          <w:lang w:val="en-GB"/>
        </w:rPr>
        <w:t xml:space="preserve">are </w:t>
      </w:r>
      <w:r w:rsidR="004F5982" w:rsidRPr="00A307C6">
        <w:rPr>
          <w:lang w:val="en-GB"/>
        </w:rPr>
        <w:t>NAS members or supporters.</w:t>
      </w:r>
      <w:r w:rsidR="00BB4A8A" w:rsidRPr="00A307C6">
        <w:rPr>
          <w:rStyle w:val="FootnoteReference"/>
          <w:lang w:val="en-GB"/>
        </w:rPr>
        <w:footnoteReference w:id="94"/>
      </w:r>
    </w:p>
    <w:p w14:paraId="7AE6C7A5" w14:textId="1ED39DAB" w:rsidR="00082C2F" w:rsidRPr="00A307C6" w:rsidRDefault="0058289E" w:rsidP="00FF077A">
      <w:pPr>
        <w:pStyle w:val="Paragraph"/>
        <w:rPr>
          <w:lang w:val="en-GB"/>
        </w:rPr>
      </w:pPr>
      <w:r w:rsidRPr="00A307C6">
        <w:rPr>
          <w:lang w:val="en-GB"/>
        </w:rPr>
        <w:lastRenderedPageBreak/>
        <w:t xml:space="preserve">In late February 2020, the Commission interviewed </w:t>
      </w:r>
      <w:r w:rsidR="00082C2F" w:rsidRPr="00A307C6">
        <w:rPr>
          <w:lang w:val="en-GB"/>
        </w:rPr>
        <w:t xml:space="preserve">10 </w:t>
      </w:r>
      <w:r w:rsidRPr="00A307C6">
        <w:rPr>
          <w:lang w:val="en-GB"/>
        </w:rPr>
        <w:t>women and girls</w:t>
      </w:r>
      <w:r w:rsidR="005C6472" w:rsidRPr="00A307C6">
        <w:rPr>
          <w:lang w:val="en-GB"/>
        </w:rPr>
        <w:t>,</w:t>
      </w:r>
      <w:r w:rsidRPr="00A307C6">
        <w:rPr>
          <w:lang w:val="en-GB"/>
        </w:rPr>
        <w:t xml:space="preserve"> </w:t>
      </w:r>
      <w:r w:rsidR="00947575" w:rsidRPr="00A307C6">
        <w:rPr>
          <w:lang w:val="en-GB"/>
        </w:rPr>
        <w:t xml:space="preserve">victims </w:t>
      </w:r>
      <w:r w:rsidRPr="00A307C6">
        <w:rPr>
          <w:lang w:val="en-GB"/>
        </w:rPr>
        <w:t xml:space="preserve">from </w:t>
      </w:r>
      <w:r w:rsidR="00A12243" w:rsidRPr="00A307C6">
        <w:rPr>
          <w:lang w:val="en-GB"/>
        </w:rPr>
        <w:t xml:space="preserve">the </w:t>
      </w:r>
      <w:proofErr w:type="spellStart"/>
      <w:r w:rsidRPr="00A307C6">
        <w:rPr>
          <w:lang w:val="en-GB"/>
        </w:rPr>
        <w:t>Lasu</w:t>
      </w:r>
      <w:proofErr w:type="spellEnd"/>
      <w:r w:rsidRPr="00A307C6">
        <w:rPr>
          <w:lang w:val="en-GB"/>
        </w:rPr>
        <w:t xml:space="preserve"> </w:t>
      </w:r>
      <w:r w:rsidR="00A12243" w:rsidRPr="00A307C6">
        <w:rPr>
          <w:lang w:val="en-GB"/>
        </w:rPr>
        <w:t xml:space="preserve">area </w:t>
      </w:r>
      <w:r w:rsidRPr="00A307C6">
        <w:rPr>
          <w:lang w:val="en-GB"/>
        </w:rPr>
        <w:t xml:space="preserve">who </w:t>
      </w:r>
      <w:r w:rsidR="00A12243" w:rsidRPr="00A307C6">
        <w:rPr>
          <w:lang w:val="en-GB"/>
        </w:rPr>
        <w:t xml:space="preserve">had </w:t>
      </w:r>
      <w:r w:rsidRPr="00A307C6">
        <w:rPr>
          <w:lang w:val="en-GB"/>
        </w:rPr>
        <w:t xml:space="preserve">survived </w:t>
      </w:r>
      <w:r w:rsidR="00947575" w:rsidRPr="00A307C6">
        <w:rPr>
          <w:lang w:val="en-GB"/>
        </w:rPr>
        <w:t xml:space="preserve">the </w:t>
      </w:r>
      <w:r w:rsidRPr="00A307C6">
        <w:rPr>
          <w:lang w:val="en-GB"/>
        </w:rPr>
        <w:t xml:space="preserve">brutal </w:t>
      </w:r>
      <w:r w:rsidR="00947575" w:rsidRPr="00A307C6">
        <w:rPr>
          <w:lang w:val="en-GB"/>
        </w:rPr>
        <w:t xml:space="preserve">rape and </w:t>
      </w:r>
      <w:r w:rsidRPr="00A307C6">
        <w:rPr>
          <w:lang w:val="en-GB"/>
        </w:rPr>
        <w:t>sexual violence</w:t>
      </w:r>
      <w:r w:rsidR="00082C2F" w:rsidRPr="00A307C6">
        <w:rPr>
          <w:lang w:val="en-GB"/>
        </w:rPr>
        <w:t xml:space="preserve"> </w:t>
      </w:r>
      <w:r w:rsidR="00947575" w:rsidRPr="00A307C6">
        <w:rPr>
          <w:lang w:val="en-GB"/>
        </w:rPr>
        <w:t xml:space="preserve">arising </w:t>
      </w:r>
      <w:r w:rsidR="00082C2F" w:rsidRPr="00A307C6">
        <w:rPr>
          <w:lang w:val="en-GB"/>
        </w:rPr>
        <w:t>during th</w:t>
      </w:r>
      <w:r w:rsidR="00B3335D">
        <w:rPr>
          <w:lang w:val="en-GB"/>
        </w:rPr>
        <w:t>is</w:t>
      </w:r>
      <w:r w:rsidR="00082C2F" w:rsidRPr="00A307C6">
        <w:rPr>
          <w:lang w:val="en-GB"/>
        </w:rPr>
        <w:t xml:space="preserve"> campaign</w:t>
      </w:r>
      <w:r w:rsidR="007A5454">
        <w:rPr>
          <w:lang w:val="en-GB"/>
        </w:rPr>
        <w:t xml:space="preserve">. They had </w:t>
      </w:r>
      <w:r w:rsidR="00AF6131" w:rsidRPr="00A307C6">
        <w:rPr>
          <w:lang w:val="en-GB"/>
        </w:rPr>
        <w:t xml:space="preserve">also </w:t>
      </w:r>
      <w:r w:rsidR="00B7324B" w:rsidRPr="00A307C6">
        <w:rPr>
          <w:lang w:val="en-GB"/>
        </w:rPr>
        <w:t xml:space="preserve">witnessed the </w:t>
      </w:r>
      <w:r w:rsidR="00905AB9" w:rsidRPr="00A307C6">
        <w:rPr>
          <w:lang w:val="en-GB"/>
        </w:rPr>
        <w:t xml:space="preserve">looting and </w:t>
      </w:r>
      <w:r w:rsidR="00B7324B" w:rsidRPr="00A307C6">
        <w:rPr>
          <w:lang w:val="en-GB"/>
        </w:rPr>
        <w:t>destruction of their village and live</w:t>
      </w:r>
      <w:r w:rsidR="00905AB9" w:rsidRPr="00A307C6">
        <w:rPr>
          <w:lang w:val="en-GB"/>
        </w:rPr>
        <w:t>l</w:t>
      </w:r>
      <w:r w:rsidR="00B7324B" w:rsidRPr="00A307C6">
        <w:rPr>
          <w:lang w:val="en-GB"/>
        </w:rPr>
        <w:t>ihoods</w:t>
      </w:r>
      <w:r w:rsidR="005649E0" w:rsidRPr="00A307C6">
        <w:rPr>
          <w:lang w:val="en-GB"/>
        </w:rPr>
        <w:t>.</w:t>
      </w:r>
      <w:r w:rsidR="00637CF0" w:rsidRPr="00A307C6">
        <w:rPr>
          <w:rStyle w:val="FootnoteReference"/>
          <w:lang w:val="en-GB"/>
        </w:rPr>
        <w:footnoteReference w:id="95"/>
      </w:r>
      <w:r w:rsidR="005649E0" w:rsidRPr="00A307C6">
        <w:rPr>
          <w:lang w:val="en-GB"/>
        </w:rPr>
        <w:t xml:space="preserve"> S</w:t>
      </w:r>
      <w:r w:rsidR="00B7324B" w:rsidRPr="00A307C6">
        <w:rPr>
          <w:lang w:val="en-GB"/>
        </w:rPr>
        <w:t>ome</w:t>
      </w:r>
      <w:r w:rsidR="005649E0" w:rsidRPr="00A307C6">
        <w:rPr>
          <w:lang w:val="en-GB"/>
        </w:rPr>
        <w:t xml:space="preserve"> </w:t>
      </w:r>
      <w:r w:rsidR="007A5454">
        <w:rPr>
          <w:lang w:val="en-GB"/>
        </w:rPr>
        <w:t xml:space="preserve">had </w:t>
      </w:r>
      <w:r w:rsidR="005649E0" w:rsidRPr="00A307C6">
        <w:rPr>
          <w:lang w:val="en-GB"/>
        </w:rPr>
        <w:t xml:space="preserve">also lost </w:t>
      </w:r>
      <w:r w:rsidR="00B7324B" w:rsidRPr="00A307C6">
        <w:rPr>
          <w:lang w:val="en-GB"/>
        </w:rPr>
        <w:t>male friends</w:t>
      </w:r>
      <w:r w:rsidR="005649E0" w:rsidRPr="00A307C6">
        <w:rPr>
          <w:lang w:val="en-GB"/>
        </w:rPr>
        <w:t xml:space="preserve">, </w:t>
      </w:r>
      <w:r w:rsidR="00B7324B" w:rsidRPr="00A307C6">
        <w:rPr>
          <w:lang w:val="en-GB"/>
        </w:rPr>
        <w:t xml:space="preserve">family members </w:t>
      </w:r>
      <w:r w:rsidR="005649E0" w:rsidRPr="00A307C6">
        <w:rPr>
          <w:lang w:val="en-GB"/>
        </w:rPr>
        <w:t xml:space="preserve">and </w:t>
      </w:r>
      <w:r w:rsidR="002404AF" w:rsidRPr="00A307C6">
        <w:rPr>
          <w:lang w:val="en-GB"/>
        </w:rPr>
        <w:t>neighbours</w:t>
      </w:r>
      <w:r w:rsidR="007A5454">
        <w:rPr>
          <w:lang w:val="en-GB"/>
        </w:rPr>
        <w:t>, all</w:t>
      </w:r>
      <w:r w:rsidR="005649E0" w:rsidRPr="00A307C6">
        <w:rPr>
          <w:lang w:val="en-GB"/>
        </w:rPr>
        <w:t xml:space="preserve"> </w:t>
      </w:r>
      <w:r w:rsidR="00B7324B" w:rsidRPr="00A307C6">
        <w:rPr>
          <w:lang w:val="en-GB"/>
        </w:rPr>
        <w:t>killed</w:t>
      </w:r>
      <w:r w:rsidR="005649E0" w:rsidRPr="00A307C6">
        <w:rPr>
          <w:lang w:val="en-GB"/>
        </w:rPr>
        <w:t xml:space="preserve"> by </w:t>
      </w:r>
      <w:r w:rsidR="007D1B22" w:rsidRPr="00A307C6">
        <w:rPr>
          <w:lang w:val="en-GB"/>
        </w:rPr>
        <w:t xml:space="preserve">the </w:t>
      </w:r>
      <w:r w:rsidR="005649E0" w:rsidRPr="00A307C6">
        <w:rPr>
          <w:lang w:val="en-GB"/>
        </w:rPr>
        <w:t>soldiers</w:t>
      </w:r>
      <w:r w:rsidR="00082C2F" w:rsidRPr="00A307C6">
        <w:rPr>
          <w:lang w:val="en-GB"/>
        </w:rPr>
        <w:t>.</w:t>
      </w:r>
      <w:r w:rsidR="00082C2F" w:rsidRPr="00A307C6">
        <w:rPr>
          <w:rStyle w:val="FootnoteReference"/>
          <w:lang w:val="en-GB"/>
        </w:rPr>
        <w:footnoteReference w:id="96"/>
      </w:r>
    </w:p>
    <w:p w14:paraId="405F86B4" w14:textId="5449838A" w:rsidR="0073111F" w:rsidRPr="00A307C6" w:rsidRDefault="00A12243" w:rsidP="00FF077A">
      <w:pPr>
        <w:pStyle w:val="Paragraph"/>
        <w:rPr>
          <w:lang w:val="en-GB"/>
        </w:rPr>
      </w:pPr>
      <w:r w:rsidRPr="00A307C6">
        <w:rPr>
          <w:lang w:val="en-GB"/>
        </w:rPr>
        <w:t xml:space="preserve">A </w:t>
      </w:r>
      <w:r w:rsidR="00ED733D" w:rsidRPr="00A307C6">
        <w:rPr>
          <w:lang w:val="en-GB"/>
        </w:rPr>
        <w:t xml:space="preserve">young </w:t>
      </w:r>
      <w:r w:rsidRPr="00A307C6">
        <w:rPr>
          <w:lang w:val="en-GB"/>
        </w:rPr>
        <w:t>mother</w:t>
      </w:r>
      <w:r w:rsidR="00ED733D" w:rsidRPr="00A307C6">
        <w:rPr>
          <w:lang w:val="en-GB"/>
        </w:rPr>
        <w:t xml:space="preserve"> and a teenage girl</w:t>
      </w:r>
      <w:r w:rsidRPr="00A307C6">
        <w:rPr>
          <w:lang w:val="en-GB"/>
        </w:rPr>
        <w:t xml:space="preserve"> </w:t>
      </w:r>
      <w:r w:rsidR="00DB1FD1" w:rsidRPr="00A307C6">
        <w:rPr>
          <w:lang w:val="en-GB"/>
        </w:rPr>
        <w:t>related to her</w:t>
      </w:r>
      <w:r w:rsidRPr="00A307C6">
        <w:rPr>
          <w:lang w:val="en-GB"/>
        </w:rPr>
        <w:t>,</w:t>
      </w:r>
      <w:r w:rsidR="00ED733D" w:rsidRPr="00A307C6">
        <w:rPr>
          <w:lang w:val="en-GB"/>
        </w:rPr>
        <w:t xml:space="preserve"> described in separate testimonies</w:t>
      </w:r>
      <w:r w:rsidR="00DB1FD1" w:rsidRPr="00A307C6">
        <w:rPr>
          <w:lang w:val="en-GB"/>
        </w:rPr>
        <w:t xml:space="preserve">, how </w:t>
      </w:r>
      <w:r w:rsidR="00CF67DD" w:rsidRPr="00A307C6">
        <w:rPr>
          <w:lang w:val="en-GB"/>
        </w:rPr>
        <w:t xml:space="preserve">around </w:t>
      </w:r>
      <w:r w:rsidR="00ED733D" w:rsidRPr="00A307C6">
        <w:rPr>
          <w:lang w:val="en-GB"/>
        </w:rPr>
        <w:t xml:space="preserve">30 </w:t>
      </w:r>
      <w:r w:rsidR="007E1ACE" w:rsidRPr="00A307C6">
        <w:rPr>
          <w:lang w:val="en-GB"/>
        </w:rPr>
        <w:t xml:space="preserve">armed SSPDF </w:t>
      </w:r>
      <w:r w:rsidR="00ED733D" w:rsidRPr="00A307C6">
        <w:rPr>
          <w:lang w:val="en-GB"/>
        </w:rPr>
        <w:t xml:space="preserve">soldiers entered their village late </w:t>
      </w:r>
      <w:r w:rsidR="007E1ACE" w:rsidRPr="00A307C6">
        <w:rPr>
          <w:lang w:val="en-GB"/>
        </w:rPr>
        <w:t xml:space="preserve">one </w:t>
      </w:r>
      <w:r w:rsidR="00ED733D" w:rsidRPr="00A307C6">
        <w:rPr>
          <w:lang w:val="en-GB"/>
        </w:rPr>
        <w:t>afternoon</w:t>
      </w:r>
      <w:r w:rsidR="00A76BCE" w:rsidRPr="00A307C6">
        <w:rPr>
          <w:lang w:val="en-GB"/>
        </w:rPr>
        <w:t xml:space="preserve"> and embarked on a campaign of terror, beating residents and looting property</w:t>
      </w:r>
      <w:r w:rsidR="007E1ACE" w:rsidRPr="00A307C6">
        <w:rPr>
          <w:lang w:val="en-GB"/>
        </w:rPr>
        <w:t>.</w:t>
      </w:r>
      <w:r w:rsidR="00ED733D" w:rsidRPr="00A307C6">
        <w:rPr>
          <w:rStyle w:val="FootnoteReference"/>
          <w:lang w:val="en-GB"/>
        </w:rPr>
        <w:footnoteReference w:id="97"/>
      </w:r>
      <w:r w:rsidR="007E1ACE" w:rsidRPr="00A307C6">
        <w:rPr>
          <w:lang w:val="en-GB"/>
        </w:rPr>
        <w:t xml:space="preserve"> </w:t>
      </w:r>
      <w:r w:rsidR="00834F53" w:rsidRPr="00A307C6">
        <w:rPr>
          <w:lang w:val="en-GB"/>
        </w:rPr>
        <w:t xml:space="preserve">The girl described </w:t>
      </w:r>
      <w:r w:rsidR="00CF13DB">
        <w:rPr>
          <w:lang w:val="en-GB"/>
        </w:rPr>
        <w:t xml:space="preserve">how </w:t>
      </w:r>
      <w:r w:rsidR="00834F53" w:rsidRPr="00A307C6">
        <w:rPr>
          <w:lang w:val="en-GB"/>
        </w:rPr>
        <w:t xml:space="preserve">three soldiers </w:t>
      </w:r>
      <w:r w:rsidR="007611EC" w:rsidRPr="00A307C6">
        <w:rPr>
          <w:lang w:val="en-GB"/>
        </w:rPr>
        <w:t xml:space="preserve">each </w:t>
      </w:r>
      <w:r w:rsidR="00834F53" w:rsidRPr="00A307C6">
        <w:rPr>
          <w:lang w:val="en-GB"/>
        </w:rPr>
        <w:t>vaginally rap</w:t>
      </w:r>
      <w:r w:rsidR="00CF13DB">
        <w:rPr>
          <w:lang w:val="en-GB"/>
        </w:rPr>
        <w:t>ed</w:t>
      </w:r>
      <w:r w:rsidR="00834F53" w:rsidRPr="00A307C6">
        <w:rPr>
          <w:lang w:val="en-GB"/>
        </w:rPr>
        <w:t xml:space="preserve"> her at gunpoint, </w:t>
      </w:r>
      <w:r w:rsidR="007611EC" w:rsidRPr="00A307C6">
        <w:rPr>
          <w:lang w:val="en-GB"/>
        </w:rPr>
        <w:t xml:space="preserve">and </w:t>
      </w:r>
      <w:r w:rsidR="00CF13DB">
        <w:rPr>
          <w:lang w:val="en-GB"/>
        </w:rPr>
        <w:t xml:space="preserve">ejaculated </w:t>
      </w:r>
      <w:r w:rsidR="00834F53" w:rsidRPr="00A307C6">
        <w:rPr>
          <w:lang w:val="en-GB"/>
        </w:rPr>
        <w:t>inside her.</w:t>
      </w:r>
      <w:r w:rsidR="00834F53" w:rsidRPr="00A307C6">
        <w:rPr>
          <w:rStyle w:val="FootnoteReference"/>
          <w:lang w:val="en-GB"/>
        </w:rPr>
        <w:footnoteReference w:id="98"/>
      </w:r>
      <w:r w:rsidR="00834F53" w:rsidRPr="00A307C6">
        <w:rPr>
          <w:lang w:val="en-GB"/>
        </w:rPr>
        <w:t xml:space="preserve"> </w:t>
      </w:r>
      <w:r w:rsidR="00C747F5" w:rsidRPr="00A307C6">
        <w:rPr>
          <w:lang w:val="en-GB"/>
        </w:rPr>
        <w:t xml:space="preserve">The </w:t>
      </w:r>
      <w:r w:rsidRPr="00A307C6">
        <w:rPr>
          <w:lang w:val="en-GB"/>
        </w:rPr>
        <w:t>mother</w:t>
      </w:r>
      <w:r w:rsidR="00C747F5" w:rsidRPr="00A307C6">
        <w:rPr>
          <w:lang w:val="en-GB"/>
        </w:rPr>
        <w:t xml:space="preserve">, who was two months pregnant, recounted </w:t>
      </w:r>
      <w:r w:rsidR="00DB1FD1" w:rsidRPr="00A307C6">
        <w:rPr>
          <w:lang w:val="en-GB"/>
        </w:rPr>
        <w:t xml:space="preserve">how a </w:t>
      </w:r>
      <w:r w:rsidR="00C747F5" w:rsidRPr="00A307C6">
        <w:rPr>
          <w:lang w:val="en-GB"/>
        </w:rPr>
        <w:t>soldier brutally rap</w:t>
      </w:r>
      <w:r w:rsidR="00DB1FD1" w:rsidRPr="00A307C6">
        <w:rPr>
          <w:lang w:val="en-GB"/>
        </w:rPr>
        <w:t>ed</w:t>
      </w:r>
      <w:r w:rsidR="00C747F5" w:rsidRPr="00A307C6">
        <w:rPr>
          <w:lang w:val="en-GB"/>
        </w:rPr>
        <w:t xml:space="preserve"> her</w:t>
      </w:r>
      <w:r w:rsidR="007611EC" w:rsidRPr="00A307C6">
        <w:rPr>
          <w:lang w:val="en-GB"/>
        </w:rPr>
        <w:t xml:space="preserve"> in the presence of </w:t>
      </w:r>
      <w:r w:rsidR="00C747F5" w:rsidRPr="00A307C6">
        <w:rPr>
          <w:lang w:val="en-GB"/>
        </w:rPr>
        <w:t>other family members</w:t>
      </w:r>
      <w:r w:rsidR="007611EC" w:rsidRPr="00A307C6">
        <w:rPr>
          <w:lang w:val="en-GB"/>
        </w:rPr>
        <w:t xml:space="preserve">, who </w:t>
      </w:r>
      <w:r w:rsidR="00C747F5" w:rsidRPr="00A307C6">
        <w:rPr>
          <w:lang w:val="en-GB"/>
        </w:rPr>
        <w:t>pleaded for the violence to stop</w:t>
      </w:r>
      <w:r w:rsidRPr="00A307C6">
        <w:rPr>
          <w:lang w:val="en-GB"/>
        </w:rPr>
        <w:t>,</w:t>
      </w:r>
      <w:r w:rsidR="00C747F5" w:rsidRPr="00A307C6">
        <w:rPr>
          <w:lang w:val="en-GB"/>
        </w:rPr>
        <w:t xml:space="preserve"> but were prevented from intervening by </w:t>
      </w:r>
      <w:r w:rsidR="00940EBF" w:rsidRPr="00A307C6">
        <w:rPr>
          <w:lang w:val="en-GB"/>
        </w:rPr>
        <w:t xml:space="preserve">soldiers </w:t>
      </w:r>
      <w:r w:rsidR="00A76BCE" w:rsidRPr="00A307C6">
        <w:rPr>
          <w:lang w:val="en-GB"/>
        </w:rPr>
        <w:t>who threatened to shoot them dead.</w:t>
      </w:r>
      <w:r w:rsidR="00A76BCE" w:rsidRPr="00A307C6">
        <w:rPr>
          <w:rStyle w:val="FootnoteReference"/>
          <w:lang w:val="en-GB"/>
        </w:rPr>
        <w:footnoteReference w:id="99"/>
      </w:r>
      <w:r w:rsidR="00A76BCE" w:rsidRPr="00A307C6">
        <w:rPr>
          <w:lang w:val="en-GB"/>
        </w:rPr>
        <w:t xml:space="preserve"> </w:t>
      </w:r>
      <w:r w:rsidR="00744DC6" w:rsidRPr="00A307C6">
        <w:rPr>
          <w:lang w:val="en-GB"/>
        </w:rPr>
        <w:t>De</w:t>
      </w:r>
      <w:r w:rsidR="00883F1B" w:rsidRPr="00A307C6">
        <w:rPr>
          <w:lang w:val="en-GB"/>
        </w:rPr>
        <w:t xml:space="preserve">grading </w:t>
      </w:r>
      <w:r w:rsidR="00744DC6" w:rsidRPr="00A307C6">
        <w:rPr>
          <w:lang w:val="en-GB"/>
        </w:rPr>
        <w:t>verbal abuse accompanied these violations, for instance one soldier reportedly declared that, “All property here is the property of the SPLA, it’s not for you. We will take everything that belongs to us including the women.”</w:t>
      </w:r>
      <w:r w:rsidR="00744DC6" w:rsidRPr="00A307C6">
        <w:rPr>
          <w:rStyle w:val="FootnoteReference"/>
          <w:lang w:val="en-GB"/>
        </w:rPr>
        <w:footnoteReference w:id="100"/>
      </w:r>
      <w:r w:rsidRPr="00A307C6">
        <w:rPr>
          <w:lang w:val="en-GB"/>
        </w:rPr>
        <w:t xml:space="preserve"> </w:t>
      </w:r>
    </w:p>
    <w:p w14:paraId="49A46AB4" w14:textId="719440D9" w:rsidR="000671CD" w:rsidRPr="00A307C6" w:rsidRDefault="00C86D3B" w:rsidP="00CF13DB">
      <w:pPr>
        <w:pStyle w:val="Paragraph"/>
        <w:rPr>
          <w:lang w:val="en-GB"/>
        </w:rPr>
      </w:pPr>
      <w:r w:rsidRPr="00A307C6">
        <w:rPr>
          <w:lang w:val="en-GB"/>
        </w:rPr>
        <w:t xml:space="preserve">The Commission </w:t>
      </w:r>
      <w:r w:rsidR="00CF13DB">
        <w:rPr>
          <w:lang w:val="en-GB"/>
        </w:rPr>
        <w:t xml:space="preserve">also </w:t>
      </w:r>
      <w:r w:rsidR="00883F1B" w:rsidRPr="00A307C6">
        <w:rPr>
          <w:lang w:val="en-GB"/>
        </w:rPr>
        <w:t xml:space="preserve">documented the experiences </w:t>
      </w:r>
      <w:r w:rsidR="00242B09" w:rsidRPr="00A307C6">
        <w:rPr>
          <w:lang w:val="en-GB"/>
        </w:rPr>
        <w:t xml:space="preserve">of </w:t>
      </w:r>
      <w:r w:rsidRPr="00A307C6">
        <w:rPr>
          <w:lang w:val="en-GB"/>
        </w:rPr>
        <w:t xml:space="preserve">three women </w:t>
      </w:r>
      <w:r w:rsidR="004F01FA" w:rsidRPr="00A307C6">
        <w:rPr>
          <w:lang w:val="en-GB"/>
        </w:rPr>
        <w:t xml:space="preserve">all </w:t>
      </w:r>
      <w:r w:rsidRPr="00A307C6">
        <w:rPr>
          <w:lang w:val="en-GB"/>
        </w:rPr>
        <w:t xml:space="preserve">in their twenties who were </w:t>
      </w:r>
      <w:r w:rsidR="00CF67DD" w:rsidRPr="00A307C6">
        <w:rPr>
          <w:lang w:val="en-GB"/>
        </w:rPr>
        <w:t xml:space="preserve">also raped and </w:t>
      </w:r>
      <w:r w:rsidR="0092643D" w:rsidRPr="00A307C6">
        <w:rPr>
          <w:lang w:val="en-GB"/>
        </w:rPr>
        <w:t xml:space="preserve">sexually </w:t>
      </w:r>
      <w:r w:rsidR="00D072C9" w:rsidRPr="00A307C6">
        <w:rPr>
          <w:lang w:val="en-GB"/>
        </w:rPr>
        <w:t>assaulted</w:t>
      </w:r>
      <w:r w:rsidRPr="00A307C6">
        <w:rPr>
          <w:lang w:val="en-GB"/>
        </w:rPr>
        <w:t xml:space="preserve"> by soldiers in</w:t>
      </w:r>
      <w:r w:rsidR="00274385" w:rsidRPr="00A307C6">
        <w:rPr>
          <w:lang w:val="en-GB"/>
        </w:rPr>
        <w:t xml:space="preserve"> a nearby area. </w:t>
      </w:r>
      <w:r w:rsidR="00EC3F58" w:rsidRPr="00A307C6">
        <w:rPr>
          <w:lang w:val="en-GB"/>
        </w:rPr>
        <w:t>The three women had been displaced during fighting between the SSPDF and NAS in 2019,</w:t>
      </w:r>
      <w:r w:rsidR="00CF13DB">
        <w:rPr>
          <w:lang w:val="en-GB"/>
        </w:rPr>
        <w:t xml:space="preserve"> </w:t>
      </w:r>
      <w:r w:rsidR="00EC3F58" w:rsidRPr="00A307C6">
        <w:rPr>
          <w:lang w:val="en-GB"/>
        </w:rPr>
        <w:t xml:space="preserve">and </w:t>
      </w:r>
      <w:r w:rsidR="00F3105E">
        <w:rPr>
          <w:lang w:val="en-GB"/>
        </w:rPr>
        <w:t xml:space="preserve">had been </w:t>
      </w:r>
      <w:r w:rsidR="00EC3F58" w:rsidRPr="00A307C6">
        <w:rPr>
          <w:lang w:val="en-GB"/>
        </w:rPr>
        <w:t xml:space="preserve">living in an informal settlement </w:t>
      </w:r>
      <w:r w:rsidR="000477E8" w:rsidRPr="00A307C6">
        <w:rPr>
          <w:lang w:val="en-GB"/>
        </w:rPr>
        <w:t xml:space="preserve">with limited </w:t>
      </w:r>
      <w:r w:rsidR="00EC3F58" w:rsidRPr="00A307C6">
        <w:rPr>
          <w:lang w:val="en-GB"/>
        </w:rPr>
        <w:t xml:space="preserve">access to food. </w:t>
      </w:r>
      <w:r w:rsidR="004F01FA" w:rsidRPr="00A307C6">
        <w:rPr>
          <w:lang w:val="en-GB"/>
        </w:rPr>
        <w:t xml:space="preserve">They accompanied </w:t>
      </w:r>
      <w:r w:rsidR="00EC3F58" w:rsidRPr="00A307C6">
        <w:rPr>
          <w:lang w:val="en-GB"/>
        </w:rPr>
        <w:t xml:space="preserve">three older women one morning </w:t>
      </w:r>
      <w:r w:rsidR="004F01FA" w:rsidRPr="00A307C6">
        <w:rPr>
          <w:lang w:val="en-GB"/>
        </w:rPr>
        <w:t xml:space="preserve">to </w:t>
      </w:r>
      <w:r w:rsidR="00EC3F58" w:rsidRPr="00A307C6">
        <w:rPr>
          <w:lang w:val="en-GB"/>
        </w:rPr>
        <w:t>their fields to gather food, believing that they would be safe</w:t>
      </w:r>
      <w:r w:rsidR="00CF13DB">
        <w:rPr>
          <w:lang w:val="en-GB"/>
        </w:rPr>
        <w:t>r</w:t>
      </w:r>
      <w:r w:rsidR="00EC3F58" w:rsidRPr="00A307C6">
        <w:rPr>
          <w:lang w:val="en-GB"/>
        </w:rPr>
        <w:t xml:space="preserve"> from </w:t>
      </w:r>
      <w:r w:rsidR="004F01FA" w:rsidRPr="00A307C6">
        <w:rPr>
          <w:lang w:val="en-GB"/>
        </w:rPr>
        <w:t xml:space="preserve">attack </w:t>
      </w:r>
      <w:r w:rsidR="00CF13DB">
        <w:rPr>
          <w:lang w:val="en-GB"/>
        </w:rPr>
        <w:t>in a</w:t>
      </w:r>
      <w:r w:rsidR="00EC3F58" w:rsidRPr="00A307C6">
        <w:rPr>
          <w:lang w:val="en-GB"/>
        </w:rPr>
        <w:t xml:space="preserve"> group of six women </w:t>
      </w:r>
      <w:r w:rsidR="00CF13DB">
        <w:rPr>
          <w:lang w:val="en-GB"/>
        </w:rPr>
        <w:t xml:space="preserve">who </w:t>
      </w:r>
      <w:r w:rsidR="004F01FA" w:rsidRPr="00A307C6">
        <w:rPr>
          <w:lang w:val="en-GB"/>
        </w:rPr>
        <w:t xml:space="preserve">were </w:t>
      </w:r>
      <w:r w:rsidR="00EC3F58" w:rsidRPr="00A307C6">
        <w:rPr>
          <w:lang w:val="en-GB"/>
        </w:rPr>
        <w:t>of mixed ages</w:t>
      </w:r>
      <w:r w:rsidR="00C90EC4" w:rsidRPr="00A307C6">
        <w:rPr>
          <w:lang w:val="en-GB"/>
        </w:rPr>
        <w:t xml:space="preserve">; </w:t>
      </w:r>
      <w:r w:rsidR="004F01FA" w:rsidRPr="00A307C6">
        <w:rPr>
          <w:lang w:val="en-GB"/>
        </w:rPr>
        <w:t xml:space="preserve">the </w:t>
      </w:r>
      <w:r w:rsidR="00C90EC4" w:rsidRPr="00A307C6">
        <w:rPr>
          <w:lang w:val="en-GB"/>
        </w:rPr>
        <w:lastRenderedPageBreak/>
        <w:t xml:space="preserve">men </w:t>
      </w:r>
      <w:r w:rsidR="00CF13DB">
        <w:rPr>
          <w:lang w:val="en-GB"/>
        </w:rPr>
        <w:t xml:space="preserve">in their families </w:t>
      </w:r>
      <w:r w:rsidR="00C90EC4" w:rsidRPr="00A307C6">
        <w:rPr>
          <w:lang w:val="en-GB"/>
        </w:rPr>
        <w:t>would</w:t>
      </w:r>
      <w:r w:rsidR="00905AB9" w:rsidRPr="00A307C6">
        <w:rPr>
          <w:lang w:val="en-GB"/>
        </w:rPr>
        <w:t xml:space="preserve"> not</w:t>
      </w:r>
      <w:r w:rsidR="00C90EC4" w:rsidRPr="00A307C6">
        <w:rPr>
          <w:lang w:val="en-GB"/>
        </w:rPr>
        <w:t xml:space="preserve"> join them for fear of being detained </w:t>
      </w:r>
      <w:r w:rsidR="004F01FA" w:rsidRPr="00A307C6">
        <w:rPr>
          <w:lang w:val="en-GB"/>
        </w:rPr>
        <w:t xml:space="preserve">themselves and killed </w:t>
      </w:r>
      <w:r w:rsidR="00C90EC4" w:rsidRPr="00A307C6">
        <w:rPr>
          <w:lang w:val="en-GB"/>
        </w:rPr>
        <w:t>by soldiers</w:t>
      </w:r>
      <w:r w:rsidR="00EC3F58" w:rsidRPr="00A307C6">
        <w:rPr>
          <w:lang w:val="en-GB"/>
        </w:rPr>
        <w:t>.</w:t>
      </w:r>
      <w:r w:rsidR="00C90EC4" w:rsidRPr="00A307C6">
        <w:rPr>
          <w:rStyle w:val="FootnoteReference"/>
          <w:lang w:val="en-GB"/>
        </w:rPr>
        <w:footnoteReference w:id="101"/>
      </w:r>
      <w:r w:rsidR="00C90EC4" w:rsidRPr="00A307C6">
        <w:rPr>
          <w:lang w:val="en-GB"/>
        </w:rPr>
        <w:t xml:space="preserve"> When the women did encounter four SSPDF soldiers, they were first harassed verbally, </w:t>
      </w:r>
      <w:r w:rsidR="00CF13DB">
        <w:rPr>
          <w:lang w:val="en-GB"/>
        </w:rPr>
        <w:t xml:space="preserve">and </w:t>
      </w:r>
      <w:r w:rsidR="00C90EC4" w:rsidRPr="00A307C6">
        <w:rPr>
          <w:lang w:val="en-GB"/>
        </w:rPr>
        <w:t xml:space="preserve">accused of trying to steal food and </w:t>
      </w:r>
      <w:r w:rsidR="00CF13DB">
        <w:rPr>
          <w:lang w:val="en-GB"/>
        </w:rPr>
        <w:t xml:space="preserve">of </w:t>
      </w:r>
      <w:r w:rsidR="002404AF" w:rsidRPr="00A307C6">
        <w:rPr>
          <w:lang w:val="en-GB"/>
        </w:rPr>
        <w:t>provi</w:t>
      </w:r>
      <w:r w:rsidR="00CF13DB">
        <w:rPr>
          <w:lang w:val="en-GB"/>
        </w:rPr>
        <w:t>ding</w:t>
      </w:r>
      <w:r w:rsidR="00C90EC4" w:rsidRPr="00A307C6">
        <w:rPr>
          <w:lang w:val="en-GB"/>
        </w:rPr>
        <w:t xml:space="preserve"> support to NAS. </w:t>
      </w:r>
      <w:r w:rsidR="006A2B8C" w:rsidRPr="00A307C6">
        <w:rPr>
          <w:lang w:val="en-GB"/>
        </w:rPr>
        <w:t>T</w:t>
      </w:r>
      <w:r w:rsidR="00C90EC4" w:rsidRPr="00A307C6">
        <w:rPr>
          <w:lang w:val="en-GB"/>
        </w:rPr>
        <w:t xml:space="preserve">he soldiers </w:t>
      </w:r>
      <w:r w:rsidR="000477E8" w:rsidRPr="00A307C6">
        <w:rPr>
          <w:lang w:val="en-GB"/>
        </w:rPr>
        <w:t xml:space="preserve">then </w:t>
      </w:r>
      <w:r w:rsidR="00C90EC4" w:rsidRPr="00A307C6">
        <w:rPr>
          <w:lang w:val="en-GB"/>
        </w:rPr>
        <w:t>forced the women to accompany them to an isolated place, then separated the older women from the group and assigned one of the soldiers to stand guard over them so they could not return to the settlement</w:t>
      </w:r>
      <w:r w:rsidR="000477E8" w:rsidRPr="00A307C6">
        <w:rPr>
          <w:lang w:val="en-GB"/>
        </w:rPr>
        <w:t xml:space="preserve">. The </w:t>
      </w:r>
      <w:r w:rsidR="00C90EC4" w:rsidRPr="00A307C6">
        <w:rPr>
          <w:lang w:val="en-GB"/>
        </w:rPr>
        <w:t xml:space="preserve">other three soldiers then </w:t>
      </w:r>
      <w:r w:rsidR="000477E8" w:rsidRPr="00A307C6">
        <w:rPr>
          <w:lang w:val="en-GB"/>
        </w:rPr>
        <w:t xml:space="preserve">sexually assaulted </w:t>
      </w:r>
      <w:r w:rsidR="00C90EC4" w:rsidRPr="00A307C6">
        <w:rPr>
          <w:lang w:val="en-GB"/>
        </w:rPr>
        <w:t xml:space="preserve">the </w:t>
      </w:r>
      <w:r w:rsidR="006A2B8C" w:rsidRPr="00A307C6">
        <w:rPr>
          <w:lang w:val="en-GB"/>
        </w:rPr>
        <w:t xml:space="preserve">three </w:t>
      </w:r>
      <w:r w:rsidR="00C90EC4" w:rsidRPr="00A307C6">
        <w:rPr>
          <w:lang w:val="en-GB"/>
        </w:rPr>
        <w:t>younger women</w:t>
      </w:r>
      <w:r w:rsidR="000477E8" w:rsidRPr="00A307C6">
        <w:rPr>
          <w:lang w:val="en-GB"/>
        </w:rPr>
        <w:t>, two of who</w:t>
      </w:r>
      <w:r w:rsidR="00905AB9" w:rsidRPr="00A307C6">
        <w:rPr>
          <w:lang w:val="en-GB"/>
        </w:rPr>
        <w:t>m</w:t>
      </w:r>
      <w:r w:rsidR="000477E8" w:rsidRPr="00A307C6">
        <w:rPr>
          <w:lang w:val="en-GB"/>
        </w:rPr>
        <w:t xml:space="preserve"> were vaginally raped by the men with their penises, while the other woman, also a young mother, was seriously beaten </w:t>
      </w:r>
      <w:r w:rsidR="004F01FA" w:rsidRPr="00A307C6">
        <w:rPr>
          <w:lang w:val="en-GB"/>
        </w:rPr>
        <w:t xml:space="preserve">and </w:t>
      </w:r>
      <w:r w:rsidR="000477E8" w:rsidRPr="00A307C6">
        <w:rPr>
          <w:lang w:val="en-GB"/>
        </w:rPr>
        <w:t>also raped</w:t>
      </w:r>
      <w:r w:rsidR="00C90EC4" w:rsidRPr="00A307C6">
        <w:rPr>
          <w:lang w:val="en-GB"/>
        </w:rPr>
        <w:t>.</w:t>
      </w:r>
      <w:r w:rsidR="00C90EC4" w:rsidRPr="00A307C6">
        <w:rPr>
          <w:rStyle w:val="FootnoteReference"/>
          <w:lang w:val="en-GB"/>
        </w:rPr>
        <w:footnoteReference w:id="102"/>
      </w:r>
      <w:r w:rsidR="00C90EC4" w:rsidRPr="00A307C6">
        <w:rPr>
          <w:lang w:val="en-GB"/>
        </w:rPr>
        <w:t xml:space="preserve"> </w:t>
      </w:r>
      <w:r w:rsidR="000671CD" w:rsidRPr="00A307C6">
        <w:rPr>
          <w:lang w:val="en-GB"/>
        </w:rPr>
        <w:t xml:space="preserve">One </w:t>
      </w:r>
      <w:r w:rsidR="000477E8" w:rsidRPr="00A307C6">
        <w:rPr>
          <w:lang w:val="en-GB"/>
        </w:rPr>
        <w:t xml:space="preserve">of the </w:t>
      </w:r>
      <w:r w:rsidR="000671CD" w:rsidRPr="00A307C6">
        <w:rPr>
          <w:lang w:val="en-GB"/>
        </w:rPr>
        <w:t>older wom</w:t>
      </w:r>
      <w:r w:rsidR="000477E8" w:rsidRPr="00A307C6">
        <w:rPr>
          <w:lang w:val="en-GB"/>
        </w:rPr>
        <w:t>e</w:t>
      </w:r>
      <w:r w:rsidR="000671CD" w:rsidRPr="00A307C6">
        <w:rPr>
          <w:lang w:val="en-GB"/>
        </w:rPr>
        <w:t>n was about to be raped but one soldier intervened</w:t>
      </w:r>
      <w:r w:rsidR="000477E8" w:rsidRPr="00A307C6">
        <w:rPr>
          <w:lang w:val="en-GB"/>
        </w:rPr>
        <w:t xml:space="preserve"> to stop this</w:t>
      </w:r>
      <w:r w:rsidR="00DA1374" w:rsidRPr="00A307C6">
        <w:rPr>
          <w:lang w:val="en-GB"/>
        </w:rPr>
        <w:t>, although she was still beaten with the butt of a soldiers’ rifle</w:t>
      </w:r>
      <w:r w:rsidR="000477E8" w:rsidRPr="00A307C6">
        <w:rPr>
          <w:lang w:val="en-GB"/>
        </w:rPr>
        <w:t xml:space="preserve">, </w:t>
      </w:r>
      <w:r w:rsidR="004F01FA" w:rsidRPr="00A307C6">
        <w:rPr>
          <w:lang w:val="en-GB"/>
        </w:rPr>
        <w:t xml:space="preserve">and consequently </w:t>
      </w:r>
      <w:r w:rsidR="000477E8" w:rsidRPr="00A307C6">
        <w:rPr>
          <w:lang w:val="en-GB"/>
        </w:rPr>
        <w:t>suffered a back injury</w:t>
      </w:r>
      <w:r w:rsidR="000671CD" w:rsidRPr="00A307C6">
        <w:rPr>
          <w:lang w:val="en-GB"/>
        </w:rPr>
        <w:t>.</w:t>
      </w:r>
      <w:r w:rsidR="000671CD" w:rsidRPr="00A307C6">
        <w:rPr>
          <w:rStyle w:val="FootnoteReference"/>
          <w:lang w:val="en-GB"/>
        </w:rPr>
        <w:footnoteReference w:id="103"/>
      </w:r>
    </w:p>
    <w:p w14:paraId="2FBEF815" w14:textId="5952CFC5" w:rsidR="000671CD" w:rsidRPr="00A307C6" w:rsidRDefault="002B750C" w:rsidP="00FF077A">
      <w:pPr>
        <w:pStyle w:val="Paragraph"/>
        <w:rPr>
          <w:lang w:val="en-GB"/>
        </w:rPr>
      </w:pPr>
      <w:r w:rsidRPr="00A307C6">
        <w:rPr>
          <w:lang w:val="en-GB"/>
        </w:rPr>
        <w:t xml:space="preserve">One of the </w:t>
      </w:r>
      <w:r w:rsidR="000671CD" w:rsidRPr="00A307C6">
        <w:rPr>
          <w:lang w:val="en-GB"/>
        </w:rPr>
        <w:t>three women who w</w:t>
      </w:r>
      <w:r w:rsidR="004F01FA" w:rsidRPr="00A307C6">
        <w:rPr>
          <w:lang w:val="en-GB"/>
        </w:rPr>
        <w:t>as</w:t>
      </w:r>
      <w:r w:rsidR="000671CD" w:rsidRPr="00A307C6">
        <w:rPr>
          <w:lang w:val="en-GB"/>
        </w:rPr>
        <w:t xml:space="preserve"> </w:t>
      </w:r>
      <w:r w:rsidR="000477E8" w:rsidRPr="00A307C6">
        <w:rPr>
          <w:lang w:val="en-GB"/>
        </w:rPr>
        <w:t>sexually assaulted</w:t>
      </w:r>
      <w:r w:rsidR="000671CD" w:rsidRPr="00A307C6">
        <w:rPr>
          <w:lang w:val="en-GB"/>
        </w:rPr>
        <w:t xml:space="preserve">, </w:t>
      </w:r>
      <w:r w:rsidRPr="00A307C6">
        <w:rPr>
          <w:lang w:val="en-GB"/>
        </w:rPr>
        <w:t xml:space="preserve">a mother of four children, </w:t>
      </w:r>
      <w:r w:rsidR="0092643D" w:rsidRPr="00A307C6">
        <w:rPr>
          <w:lang w:val="en-GB"/>
        </w:rPr>
        <w:t xml:space="preserve">described how she was </w:t>
      </w:r>
      <w:r w:rsidR="00CF67DD" w:rsidRPr="00A307C6">
        <w:rPr>
          <w:lang w:val="en-GB"/>
        </w:rPr>
        <w:t xml:space="preserve">raped and </w:t>
      </w:r>
      <w:r w:rsidR="0092643D" w:rsidRPr="00A307C6">
        <w:rPr>
          <w:lang w:val="en-GB"/>
        </w:rPr>
        <w:t xml:space="preserve">severely beaten and that </w:t>
      </w:r>
      <w:r w:rsidR="000671CD" w:rsidRPr="00A307C6">
        <w:rPr>
          <w:lang w:val="en-GB"/>
        </w:rPr>
        <w:t>she</w:t>
      </w:r>
      <w:r w:rsidR="00DA1374" w:rsidRPr="00A307C6">
        <w:rPr>
          <w:lang w:val="en-GB"/>
        </w:rPr>
        <w:t xml:space="preserve"> </w:t>
      </w:r>
      <w:r w:rsidR="000671CD" w:rsidRPr="00A307C6">
        <w:rPr>
          <w:lang w:val="en-GB"/>
        </w:rPr>
        <w:t>carrie</w:t>
      </w:r>
      <w:r w:rsidR="0092643D" w:rsidRPr="00A307C6">
        <w:rPr>
          <w:lang w:val="en-GB"/>
        </w:rPr>
        <w:t>s</w:t>
      </w:r>
      <w:r w:rsidR="000671CD" w:rsidRPr="00A307C6">
        <w:rPr>
          <w:lang w:val="en-GB"/>
        </w:rPr>
        <w:t xml:space="preserve"> severe pain in her body. </w:t>
      </w:r>
      <w:r w:rsidR="000477E8" w:rsidRPr="00A307C6">
        <w:rPr>
          <w:lang w:val="en-GB"/>
        </w:rPr>
        <w:t xml:space="preserve">Another </w:t>
      </w:r>
      <w:r w:rsidR="00DA1374" w:rsidRPr="00A307C6">
        <w:rPr>
          <w:lang w:val="en-GB"/>
        </w:rPr>
        <w:t xml:space="preserve">survivor </w:t>
      </w:r>
      <w:r w:rsidR="000671CD" w:rsidRPr="00A307C6">
        <w:rPr>
          <w:lang w:val="en-GB"/>
        </w:rPr>
        <w:t xml:space="preserve">recounted her </w:t>
      </w:r>
      <w:r w:rsidR="00DA1374" w:rsidRPr="00A307C6">
        <w:rPr>
          <w:lang w:val="en-GB"/>
        </w:rPr>
        <w:t xml:space="preserve">efforts to </w:t>
      </w:r>
      <w:r w:rsidR="000671CD" w:rsidRPr="00A307C6">
        <w:rPr>
          <w:lang w:val="en-GB"/>
        </w:rPr>
        <w:t>resist the rape:</w:t>
      </w:r>
    </w:p>
    <w:p w14:paraId="409A4638" w14:textId="28272F1A" w:rsidR="00C90EC4" w:rsidRPr="00A307C6" w:rsidRDefault="000671CD" w:rsidP="00CE0E73">
      <w:pPr>
        <w:pStyle w:val="Paragraph"/>
        <w:numPr>
          <w:ilvl w:val="0"/>
          <w:numId w:val="0"/>
        </w:numPr>
        <w:ind w:left="1134"/>
        <w:rPr>
          <w:lang w:val="en-GB"/>
        </w:rPr>
      </w:pPr>
      <w:r w:rsidRPr="00A307C6">
        <w:rPr>
          <w:lang w:val="en-GB"/>
        </w:rPr>
        <w:t>“I told him, ‘I am a four-month pregnant woman and I cannot accept you to have sex with me.’ Yet the soldier beat me. He hit me on my shoulder, back and waist, and finally raped me. I did fight with him... finally he removed my skirt and blouse before raping me. He used no condom and ejaculated in me. All of us were raped.”</w:t>
      </w:r>
      <w:r w:rsidRPr="00A307C6">
        <w:rPr>
          <w:rStyle w:val="FootnoteReference"/>
          <w:lang w:val="en-GB"/>
        </w:rPr>
        <w:footnoteReference w:id="104"/>
      </w:r>
      <w:r w:rsidRPr="00A307C6">
        <w:rPr>
          <w:lang w:val="en-GB"/>
        </w:rPr>
        <w:t xml:space="preserve"> </w:t>
      </w:r>
    </w:p>
    <w:p w14:paraId="08F1CE93" w14:textId="1645F984" w:rsidR="00A22777" w:rsidRPr="00A307C6" w:rsidRDefault="00B85C93" w:rsidP="00FF077A">
      <w:pPr>
        <w:pStyle w:val="Paragraph"/>
        <w:rPr>
          <w:lang w:val="en-GB"/>
        </w:rPr>
      </w:pPr>
      <w:r w:rsidRPr="00A307C6">
        <w:rPr>
          <w:lang w:val="en-GB"/>
        </w:rPr>
        <w:t xml:space="preserve">A number of </w:t>
      </w:r>
      <w:r w:rsidR="009A1D9F" w:rsidRPr="00A307C6">
        <w:rPr>
          <w:lang w:val="en-GB"/>
        </w:rPr>
        <w:t>the women reported their experience</w:t>
      </w:r>
      <w:r w:rsidR="004F01FA" w:rsidRPr="00A307C6">
        <w:rPr>
          <w:lang w:val="en-GB"/>
        </w:rPr>
        <w:t>s</w:t>
      </w:r>
      <w:r w:rsidR="009A1D9F" w:rsidRPr="00A307C6">
        <w:rPr>
          <w:lang w:val="en-GB"/>
        </w:rPr>
        <w:t xml:space="preserve"> to </w:t>
      </w:r>
      <w:r w:rsidRPr="00A307C6">
        <w:rPr>
          <w:lang w:val="en-GB"/>
        </w:rPr>
        <w:t xml:space="preserve">their </w:t>
      </w:r>
      <w:r w:rsidR="009A1D9F" w:rsidRPr="00A307C6">
        <w:rPr>
          <w:lang w:val="en-GB"/>
        </w:rPr>
        <w:t xml:space="preserve">men in their community, including </w:t>
      </w:r>
      <w:r w:rsidR="004F01FA" w:rsidRPr="00A307C6">
        <w:rPr>
          <w:lang w:val="en-GB"/>
        </w:rPr>
        <w:t xml:space="preserve">their </w:t>
      </w:r>
      <w:r w:rsidR="009A1D9F" w:rsidRPr="00A307C6">
        <w:rPr>
          <w:lang w:val="en-GB"/>
        </w:rPr>
        <w:t>husbands and leaders, many of whom were supportive and encouraging of them to pursue accountability.</w:t>
      </w:r>
      <w:r w:rsidR="009A1D9F" w:rsidRPr="00A307C6">
        <w:rPr>
          <w:rStyle w:val="FootnoteReference"/>
          <w:lang w:val="en-GB"/>
        </w:rPr>
        <w:footnoteReference w:id="105"/>
      </w:r>
      <w:r w:rsidR="009A1D9F" w:rsidRPr="00A307C6">
        <w:rPr>
          <w:lang w:val="en-GB"/>
        </w:rPr>
        <w:t xml:space="preserve"> </w:t>
      </w:r>
      <w:r w:rsidR="000671CD" w:rsidRPr="00A307C6">
        <w:rPr>
          <w:lang w:val="en-GB"/>
        </w:rPr>
        <w:t>Although</w:t>
      </w:r>
      <w:r w:rsidR="000477E8" w:rsidRPr="00A307C6">
        <w:rPr>
          <w:lang w:val="en-GB"/>
        </w:rPr>
        <w:t xml:space="preserve"> at least some of the </w:t>
      </w:r>
      <w:r w:rsidR="002404AF" w:rsidRPr="00A307C6">
        <w:rPr>
          <w:lang w:val="en-GB"/>
        </w:rPr>
        <w:t>soldiers</w:t>
      </w:r>
      <w:r w:rsidR="00DA1374" w:rsidRPr="00A307C6">
        <w:rPr>
          <w:lang w:val="en-GB"/>
        </w:rPr>
        <w:t xml:space="preserve"> </w:t>
      </w:r>
      <w:r w:rsidR="00DD6019" w:rsidRPr="00A307C6">
        <w:rPr>
          <w:lang w:val="en-GB"/>
        </w:rPr>
        <w:t xml:space="preserve">had </w:t>
      </w:r>
      <w:r w:rsidR="00DA1374" w:rsidRPr="00A307C6">
        <w:rPr>
          <w:lang w:val="en-GB"/>
        </w:rPr>
        <w:t xml:space="preserve">attempted to cover </w:t>
      </w:r>
      <w:r w:rsidR="000671CD" w:rsidRPr="00A307C6">
        <w:rPr>
          <w:lang w:val="en-GB"/>
        </w:rPr>
        <w:t xml:space="preserve">their faces with clothing, </w:t>
      </w:r>
      <w:r w:rsidR="00DA1374" w:rsidRPr="00A307C6">
        <w:rPr>
          <w:lang w:val="en-GB"/>
        </w:rPr>
        <w:t xml:space="preserve">the three </w:t>
      </w:r>
      <w:r w:rsidR="000477E8" w:rsidRPr="00A307C6">
        <w:rPr>
          <w:lang w:val="en-GB"/>
        </w:rPr>
        <w:t>young</w:t>
      </w:r>
      <w:r w:rsidR="00DD6019" w:rsidRPr="00A307C6">
        <w:rPr>
          <w:lang w:val="en-GB"/>
        </w:rPr>
        <w:t>er</w:t>
      </w:r>
      <w:r w:rsidR="000477E8" w:rsidRPr="00A307C6">
        <w:rPr>
          <w:lang w:val="en-GB"/>
        </w:rPr>
        <w:t xml:space="preserve"> women </w:t>
      </w:r>
      <w:r w:rsidR="00DD6019" w:rsidRPr="00A307C6">
        <w:rPr>
          <w:lang w:val="en-GB"/>
        </w:rPr>
        <w:t xml:space="preserve">told the </w:t>
      </w:r>
      <w:r w:rsidR="002404AF" w:rsidRPr="00A307C6">
        <w:rPr>
          <w:lang w:val="en-GB"/>
        </w:rPr>
        <w:t>Commission</w:t>
      </w:r>
      <w:r w:rsidR="00DD6019" w:rsidRPr="00A307C6">
        <w:rPr>
          <w:lang w:val="en-GB"/>
        </w:rPr>
        <w:t xml:space="preserve"> that </w:t>
      </w:r>
      <w:r w:rsidRPr="00A307C6">
        <w:rPr>
          <w:lang w:val="en-GB"/>
        </w:rPr>
        <w:t xml:space="preserve">nevertheless </w:t>
      </w:r>
      <w:r w:rsidR="00DA1374" w:rsidRPr="00A307C6">
        <w:rPr>
          <w:lang w:val="en-GB"/>
        </w:rPr>
        <w:t xml:space="preserve">they </w:t>
      </w:r>
      <w:r w:rsidRPr="00A307C6">
        <w:rPr>
          <w:lang w:val="en-GB"/>
        </w:rPr>
        <w:t xml:space="preserve">had been </w:t>
      </w:r>
      <w:r w:rsidR="00DA1374" w:rsidRPr="00A307C6">
        <w:rPr>
          <w:lang w:val="en-GB"/>
        </w:rPr>
        <w:t>able to identify the men</w:t>
      </w:r>
      <w:r w:rsidR="000477E8" w:rsidRPr="00A307C6">
        <w:rPr>
          <w:lang w:val="en-GB"/>
        </w:rPr>
        <w:t>.</w:t>
      </w:r>
      <w:r w:rsidR="000477E8" w:rsidRPr="00A307C6">
        <w:rPr>
          <w:rStyle w:val="FootnoteReference"/>
          <w:lang w:val="en-GB"/>
        </w:rPr>
        <w:footnoteReference w:id="106"/>
      </w:r>
      <w:r w:rsidR="00DD6019" w:rsidRPr="00A307C6">
        <w:rPr>
          <w:lang w:val="en-GB"/>
        </w:rPr>
        <w:t xml:space="preserve"> </w:t>
      </w:r>
      <w:r w:rsidRPr="00A307C6">
        <w:rPr>
          <w:lang w:val="en-GB"/>
        </w:rPr>
        <w:t>T</w:t>
      </w:r>
      <w:r w:rsidR="004F01FA" w:rsidRPr="00A307C6">
        <w:rPr>
          <w:lang w:val="en-GB"/>
        </w:rPr>
        <w:t>he</w:t>
      </w:r>
      <w:r w:rsidRPr="00A307C6">
        <w:rPr>
          <w:lang w:val="en-GB"/>
        </w:rPr>
        <w:t xml:space="preserve"> women </w:t>
      </w:r>
      <w:r w:rsidR="004F01FA" w:rsidRPr="00A307C6">
        <w:rPr>
          <w:lang w:val="en-GB"/>
        </w:rPr>
        <w:t xml:space="preserve">were able to do this </w:t>
      </w:r>
      <w:r w:rsidR="0092643D" w:rsidRPr="00A307C6">
        <w:rPr>
          <w:lang w:val="en-GB"/>
        </w:rPr>
        <w:t xml:space="preserve">and </w:t>
      </w:r>
      <w:r w:rsidR="004F01FA" w:rsidRPr="00A307C6">
        <w:rPr>
          <w:lang w:val="en-GB"/>
        </w:rPr>
        <w:t xml:space="preserve">when </w:t>
      </w:r>
      <w:r w:rsidR="00D81B4B" w:rsidRPr="00A307C6">
        <w:rPr>
          <w:lang w:val="en-GB"/>
        </w:rPr>
        <w:t xml:space="preserve">the Chief of their settlement reported the crimes to the local military commander, </w:t>
      </w:r>
      <w:r w:rsidR="0092643D" w:rsidRPr="00A307C6">
        <w:rPr>
          <w:lang w:val="en-GB"/>
        </w:rPr>
        <w:t xml:space="preserve">they </w:t>
      </w:r>
      <w:r w:rsidR="004F01FA" w:rsidRPr="00A307C6">
        <w:rPr>
          <w:lang w:val="en-GB"/>
        </w:rPr>
        <w:t xml:space="preserve">were able to identify </w:t>
      </w:r>
      <w:r w:rsidR="00D81B4B" w:rsidRPr="00A307C6">
        <w:rPr>
          <w:lang w:val="en-GB"/>
        </w:rPr>
        <w:t xml:space="preserve">four </w:t>
      </w:r>
      <w:r w:rsidR="004F01FA" w:rsidRPr="00A307C6">
        <w:rPr>
          <w:lang w:val="en-GB"/>
        </w:rPr>
        <w:t xml:space="preserve">of the </w:t>
      </w:r>
      <w:r w:rsidR="00D81B4B" w:rsidRPr="00A307C6">
        <w:rPr>
          <w:lang w:val="en-GB"/>
        </w:rPr>
        <w:t>perpetrators.</w:t>
      </w:r>
      <w:r w:rsidR="00D81B4B" w:rsidRPr="00A307C6">
        <w:rPr>
          <w:rStyle w:val="FootnoteReference"/>
          <w:lang w:val="en-GB"/>
        </w:rPr>
        <w:footnoteReference w:id="107"/>
      </w:r>
      <w:r w:rsidR="00502E24" w:rsidRPr="00A307C6">
        <w:rPr>
          <w:lang w:val="en-GB"/>
        </w:rPr>
        <w:t xml:space="preserve"> The survivors, </w:t>
      </w:r>
      <w:r w:rsidR="00226265" w:rsidRPr="00A307C6">
        <w:rPr>
          <w:lang w:val="en-GB"/>
        </w:rPr>
        <w:t xml:space="preserve">who laid </w:t>
      </w:r>
      <w:r w:rsidR="00753D53" w:rsidRPr="00A307C6">
        <w:rPr>
          <w:lang w:val="en-GB"/>
        </w:rPr>
        <w:t>complai</w:t>
      </w:r>
      <w:r w:rsidR="00226265" w:rsidRPr="00A307C6">
        <w:rPr>
          <w:lang w:val="en-GB"/>
        </w:rPr>
        <w:t>nts</w:t>
      </w:r>
      <w:r w:rsidR="00502E24" w:rsidRPr="00A307C6">
        <w:rPr>
          <w:lang w:val="en-GB"/>
        </w:rPr>
        <w:t xml:space="preserve">, </w:t>
      </w:r>
      <w:r w:rsidR="006E2EBC" w:rsidRPr="00A307C6">
        <w:rPr>
          <w:lang w:val="en-GB"/>
        </w:rPr>
        <w:t>have been threatened for reporting the incidents and</w:t>
      </w:r>
      <w:r w:rsidR="00753D53" w:rsidRPr="00A307C6">
        <w:rPr>
          <w:lang w:val="en-GB"/>
        </w:rPr>
        <w:t xml:space="preserve">, </w:t>
      </w:r>
      <w:r w:rsidRPr="00A307C6">
        <w:rPr>
          <w:lang w:val="en-GB"/>
        </w:rPr>
        <w:t xml:space="preserve">are </w:t>
      </w:r>
      <w:r w:rsidR="00502E24" w:rsidRPr="00A307C6">
        <w:rPr>
          <w:lang w:val="en-GB"/>
        </w:rPr>
        <w:t xml:space="preserve">extremely fearful </w:t>
      </w:r>
      <w:r w:rsidR="006E2EBC" w:rsidRPr="00A307C6">
        <w:rPr>
          <w:lang w:val="en-GB"/>
        </w:rPr>
        <w:t xml:space="preserve">for not only </w:t>
      </w:r>
      <w:r w:rsidR="00502E24" w:rsidRPr="00A307C6">
        <w:rPr>
          <w:lang w:val="en-GB"/>
        </w:rPr>
        <w:t>the</w:t>
      </w:r>
      <w:r w:rsidR="00753D53" w:rsidRPr="00A307C6">
        <w:rPr>
          <w:lang w:val="en-GB"/>
        </w:rPr>
        <w:t xml:space="preserve">ir </w:t>
      </w:r>
      <w:r w:rsidR="00753D53" w:rsidRPr="00A307C6">
        <w:rPr>
          <w:lang w:val="en-GB"/>
        </w:rPr>
        <w:lastRenderedPageBreak/>
        <w:t>own</w:t>
      </w:r>
      <w:r w:rsidR="00502E24" w:rsidRPr="00A307C6">
        <w:rPr>
          <w:lang w:val="en-GB"/>
        </w:rPr>
        <w:t xml:space="preserve"> safety </w:t>
      </w:r>
      <w:r w:rsidR="006E2EBC" w:rsidRPr="00A307C6">
        <w:rPr>
          <w:lang w:val="en-GB"/>
        </w:rPr>
        <w:t xml:space="preserve">but </w:t>
      </w:r>
      <w:r w:rsidR="00084577" w:rsidRPr="00A307C6">
        <w:rPr>
          <w:lang w:val="en-GB"/>
        </w:rPr>
        <w:t xml:space="preserve">also for </w:t>
      </w:r>
      <w:r w:rsidR="006E2EBC" w:rsidRPr="00A307C6">
        <w:rPr>
          <w:lang w:val="en-GB"/>
        </w:rPr>
        <w:t xml:space="preserve">that </w:t>
      </w:r>
      <w:r w:rsidR="00753D53" w:rsidRPr="00A307C6">
        <w:rPr>
          <w:lang w:val="en-GB"/>
        </w:rPr>
        <w:t xml:space="preserve">of their </w:t>
      </w:r>
      <w:r w:rsidR="00502E24" w:rsidRPr="00A307C6">
        <w:rPr>
          <w:lang w:val="en-GB"/>
        </w:rPr>
        <w:t xml:space="preserve">family members, </w:t>
      </w:r>
      <w:r w:rsidR="005E3F25" w:rsidRPr="00A307C6">
        <w:rPr>
          <w:lang w:val="en-GB"/>
        </w:rPr>
        <w:t xml:space="preserve">particularly </w:t>
      </w:r>
      <w:r w:rsidR="00753D53" w:rsidRPr="00A307C6">
        <w:rPr>
          <w:lang w:val="en-GB"/>
        </w:rPr>
        <w:t>husbands and children</w:t>
      </w:r>
      <w:r w:rsidR="006E2EBC" w:rsidRPr="00A307C6">
        <w:rPr>
          <w:lang w:val="en-GB"/>
        </w:rPr>
        <w:t xml:space="preserve">, as they </w:t>
      </w:r>
      <w:r w:rsidR="00753D53" w:rsidRPr="00A307C6">
        <w:rPr>
          <w:lang w:val="en-GB"/>
        </w:rPr>
        <w:t>risk retaliation</w:t>
      </w:r>
      <w:r w:rsidR="006E2EBC" w:rsidRPr="00A307C6">
        <w:rPr>
          <w:lang w:val="en-GB"/>
        </w:rPr>
        <w:t xml:space="preserve"> by the perpetrators</w:t>
      </w:r>
      <w:r w:rsidR="00702233" w:rsidRPr="00A307C6">
        <w:rPr>
          <w:lang w:val="en-GB"/>
        </w:rPr>
        <w:t xml:space="preserve"> (for further discussion of barriers to reporting, see below).</w:t>
      </w:r>
    </w:p>
    <w:p w14:paraId="79D01EB1" w14:textId="57871C42" w:rsidR="00CE0E73" w:rsidRPr="00A307C6" w:rsidRDefault="00892F01" w:rsidP="00CE0E73">
      <w:pPr>
        <w:pStyle w:val="Paragraph"/>
        <w:rPr>
          <w:lang w:val="en-GB"/>
        </w:rPr>
      </w:pPr>
      <w:r w:rsidRPr="00A307C6">
        <w:rPr>
          <w:lang w:val="en-GB"/>
        </w:rPr>
        <w:t xml:space="preserve">The punitive </w:t>
      </w:r>
      <w:r w:rsidR="00FA11F5" w:rsidRPr="00A307C6">
        <w:rPr>
          <w:lang w:val="en-GB"/>
        </w:rPr>
        <w:t xml:space="preserve">retaliatory </w:t>
      </w:r>
      <w:r w:rsidR="0092643D" w:rsidRPr="00A307C6">
        <w:rPr>
          <w:lang w:val="en-GB"/>
        </w:rPr>
        <w:t xml:space="preserve">military operation </w:t>
      </w:r>
      <w:r w:rsidR="00DB1FD1" w:rsidRPr="00A307C6">
        <w:rPr>
          <w:lang w:val="en-GB"/>
        </w:rPr>
        <w:t xml:space="preserve">conducted </w:t>
      </w:r>
      <w:r w:rsidRPr="00A307C6">
        <w:rPr>
          <w:lang w:val="en-GB"/>
        </w:rPr>
        <w:t xml:space="preserve">by members of the SSPDF based at the </w:t>
      </w:r>
      <w:proofErr w:type="spellStart"/>
      <w:r w:rsidRPr="00A307C6">
        <w:rPr>
          <w:lang w:val="en-GB"/>
        </w:rPr>
        <w:t>Lasu</w:t>
      </w:r>
      <w:proofErr w:type="spellEnd"/>
      <w:r w:rsidRPr="00A307C6">
        <w:rPr>
          <w:lang w:val="en-GB"/>
        </w:rPr>
        <w:t xml:space="preserve"> military barracks in the first months of 2020</w:t>
      </w:r>
      <w:r w:rsidR="008F6F13" w:rsidRPr="00A307C6">
        <w:rPr>
          <w:lang w:val="en-GB"/>
        </w:rPr>
        <w:t>, did not go unpunished</w:t>
      </w:r>
      <w:r w:rsidR="00DB1FD1" w:rsidRPr="00A307C6">
        <w:rPr>
          <w:lang w:val="en-GB"/>
        </w:rPr>
        <w:t xml:space="preserve">. The </w:t>
      </w:r>
      <w:r w:rsidR="008F6F13" w:rsidRPr="00A307C6">
        <w:rPr>
          <w:lang w:val="en-GB"/>
        </w:rPr>
        <w:t xml:space="preserve">military </w:t>
      </w:r>
      <w:r w:rsidRPr="00A307C6">
        <w:rPr>
          <w:lang w:val="en-GB"/>
        </w:rPr>
        <w:t>judicial s</w:t>
      </w:r>
      <w:r w:rsidR="008F6F13" w:rsidRPr="00A307C6">
        <w:rPr>
          <w:lang w:val="en-GB"/>
        </w:rPr>
        <w:t xml:space="preserve">ystem, </w:t>
      </w:r>
      <w:r w:rsidRPr="00A307C6">
        <w:rPr>
          <w:lang w:val="en-GB"/>
        </w:rPr>
        <w:t>address</w:t>
      </w:r>
      <w:r w:rsidR="00DB1FD1" w:rsidRPr="00A307C6">
        <w:rPr>
          <w:lang w:val="en-GB"/>
        </w:rPr>
        <w:t>ed</w:t>
      </w:r>
      <w:r w:rsidRPr="00A307C6">
        <w:rPr>
          <w:lang w:val="en-GB"/>
        </w:rPr>
        <w:t xml:space="preserve"> </w:t>
      </w:r>
      <w:r w:rsidR="008F6F13" w:rsidRPr="00A307C6">
        <w:rPr>
          <w:lang w:val="en-GB"/>
        </w:rPr>
        <w:t xml:space="preserve">some of </w:t>
      </w:r>
      <w:r w:rsidRPr="00A307C6">
        <w:rPr>
          <w:lang w:val="en-GB"/>
        </w:rPr>
        <w:t xml:space="preserve">the crimes </w:t>
      </w:r>
      <w:r w:rsidR="00DB1FD1" w:rsidRPr="00A307C6">
        <w:rPr>
          <w:lang w:val="en-GB"/>
        </w:rPr>
        <w:t xml:space="preserve">perpetrated </w:t>
      </w:r>
      <w:r w:rsidR="00084577" w:rsidRPr="00A307C6">
        <w:rPr>
          <w:lang w:val="en-GB"/>
        </w:rPr>
        <w:t xml:space="preserve">by </w:t>
      </w:r>
      <w:r w:rsidR="00DB1FD1" w:rsidRPr="00A307C6">
        <w:rPr>
          <w:lang w:val="en-GB"/>
        </w:rPr>
        <w:t>holding some of the perpetrators accountable</w:t>
      </w:r>
      <w:r w:rsidR="007D5015" w:rsidRPr="00A307C6">
        <w:rPr>
          <w:lang w:val="en-GB"/>
        </w:rPr>
        <w:t xml:space="preserve"> (see </w:t>
      </w:r>
      <w:r w:rsidR="003D4C66" w:rsidRPr="00A307C6">
        <w:rPr>
          <w:lang w:val="en-GB"/>
        </w:rPr>
        <w:t xml:space="preserve">section on accountability efforts, </w:t>
      </w:r>
      <w:r w:rsidR="007D5015" w:rsidRPr="00A307C6">
        <w:rPr>
          <w:lang w:val="en-GB"/>
        </w:rPr>
        <w:t>below)</w:t>
      </w:r>
      <w:r w:rsidRPr="00A307C6">
        <w:rPr>
          <w:lang w:val="en-GB"/>
        </w:rPr>
        <w:t xml:space="preserve">. </w:t>
      </w:r>
      <w:r w:rsidR="00DB1FD1" w:rsidRPr="00A307C6">
        <w:rPr>
          <w:lang w:val="en-GB"/>
        </w:rPr>
        <w:t>While t</w:t>
      </w:r>
      <w:r w:rsidRPr="00A307C6">
        <w:rPr>
          <w:lang w:val="en-GB"/>
        </w:rPr>
        <w:t xml:space="preserve">he </w:t>
      </w:r>
      <w:r w:rsidR="008F6F13" w:rsidRPr="00A307C6">
        <w:rPr>
          <w:lang w:val="en-GB"/>
        </w:rPr>
        <w:t xml:space="preserve">Commission </w:t>
      </w:r>
      <w:r w:rsidR="00DB1FD1" w:rsidRPr="00A307C6">
        <w:rPr>
          <w:lang w:val="en-GB"/>
        </w:rPr>
        <w:t xml:space="preserve">did not </w:t>
      </w:r>
      <w:r w:rsidR="008F6F13" w:rsidRPr="00A307C6">
        <w:rPr>
          <w:lang w:val="en-GB"/>
        </w:rPr>
        <w:t xml:space="preserve">explore the </w:t>
      </w:r>
      <w:r w:rsidR="00905AB9" w:rsidRPr="00A307C6">
        <w:rPr>
          <w:lang w:val="en-GB"/>
        </w:rPr>
        <w:t xml:space="preserve">full </w:t>
      </w:r>
      <w:r w:rsidR="00DB1FD1" w:rsidRPr="00A307C6">
        <w:rPr>
          <w:lang w:val="en-GB"/>
        </w:rPr>
        <w:t xml:space="preserve">scale and </w:t>
      </w:r>
      <w:r w:rsidRPr="00A307C6">
        <w:rPr>
          <w:lang w:val="en-GB"/>
        </w:rPr>
        <w:t>extent of the human rights violations</w:t>
      </w:r>
      <w:r w:rsidR="00E559AB" w:rsidRPr="00A307C6">
        <w:rPr>
          <w:lang w:val="en-GB"/>
        </w:rPr>
        <w:t xml:space="preserve"> commi</w:t>
      </w:r>
      <w:r w:rsidR="00905AB9" w:rsidRPr="00A307C6">
        <w:rPr>
          <w:lang w:val="en-GB"/>
        </w:rPr>
        <w:t>t</w:t>
      </w:r>
      <w:r w:rsidR="00E559AB" w:rsidRPr="00A307C6">
        <w:rPr>
          <w:lang w:val="en-GB"/>
        </w:rPr>
        <w:t>ted</w:t>
      </w:r>
      <w:r w:rsidR="008F6F13" w:rsidRPr="00A307C6">
        <w:rPr>
          <w:lang w:val="en-GB"/>
        </w:rPr>
        <w:t xml:space="preserve">, </w:t>
      </w:r>
      <w:r w:rsidR="005052D2" w:rsidRPr="00A307C6">
        <w:rPr>
          <w:lang w:val="en-GB"/>
        </w:rPr>
        <w:t xml:space="preserve">or </w:t>
      </w:r>
      <w:r w:rsidR="008F6F13" w:rsidRPr="00A307C6">
        <w:rPr>
          <w:lang w:val="en-GB"/>
        </w:rPr>
        <w:t xml:space="preserve">the harm suffered </w:t>
      </w:r>
      <w:r w:rsidR="00E559AB" w:rsidRPr="00A307C6">
        <w:rPr>
          <w:lang w:val="en-GB"/>
        </w:rPr>
        <w:t>by victims and communities</w:t>
      </w:r>
      <w:r w:rsidR="005052D2" w:rsidRPr="00A307C6">
        <w:rPr>
          <w:lang w:val="en-GB"/>
        </w:rPr>
        <w:t>, a</w:t>
      </w:r>
      <w:r w:rsidR="00F3105E">
        <w:rPr>
          <w:lang w:val="en-GB"/>
        </w:rPr>
        <w:t xml:space="preserve">s well as </w:t>
      </w:r>
      <w:r w:rsidR="008F6F13" w:rsidRPr="00A307C6">
        <w:rPr>
          <w:lang w:val="en-GB"/>
        </w:rPr>
        <w:t xml:space="preserve">the </w:t>
      </w:r>
      <w:r w:rsidRPr="00A307C6">
        <w:rPr>
          <w:lang w:val="en-GB"/>
        </w:rPr>
        <w:t xml:space="preserve">lasting impact of </w:t>
      </w:r>
      <w:r w:rsidR="00E559AB" w:rsidRPr="00A307C6">
        <w:rPr>
          <w:lang w:val="en-GB"/>
        </w:rPr>
        <w:t xml:space="preserve">continued </w:t>
      </w:r>
      <w:r w:rsidR="008F6F13" w:rsidRPr="00A307C6">
        <w:rPr>
          <w:lang w:val="en-GB"/>
        </w:rPr>
        <w:t>attacks</w:t>
      </w:r>
      <w:r w:rsidR="00E559AB" w:rsidRPr="00A307C6">
        <w:rPr>
          <w:lang w:val="en-GB"/>
        </w:rPr>
        <w:t>, t</w:t>
      </w:r>
      <w:r w:rsidR="008F6F13" w:rsidRPr="00A307C6">
        <w:rPr>
          <w:lang w:val="en-GB"/>
        </w:rPr>
        <w:t>he</w:t>
      </w:r>
      <w:r w:rsidRPr="00A307C6">
        <w:rPr>
          <w:lang w:val="en-GB"/>
        </w:rPr>
        <w:t xml:space="preserve"> cases </w:t>
      </w:r>
      <w:r w:rsidR="005052D2" w:rsidRPr="00A307C6">
        <w:rPr>
          <w:lang w:val="en-GB"/>
        </w:rPr>
        <w:t xml:space="preserve">documented </w:t>
      </w:r>
      <w:r w:rsidR="00E559AB" w:rsidRPr="00A307C6">
        <w:rPr>
          <w:lang w:val="en-GB"/>
        </w:rPr>
        <w:t xml:space="preserve">are </w:t>
      </w:r>
      <w:r w:rsidRPr="00A307C6">
        <w:rPr>
          <w:lang w:val="en-GB"/>
        </w:rPr>
        <w:t>illustrative of the experiences of women and girls</w:t>
      </w:r>
      <w:r w:rsidR="00E559AB" w:rsidRPr="00A307C6">
        <w:rPr>
          <w:lang w:val="en-GB"/>
        </w:rPr>
        <w:t xml:space="preserve"> who </w:t>
      </w:r>
      <w:r w:rsidR="005052D2" w:rsidRPr="00A307C6">
        <w:rPr>
          <w:lang w:val="en-GB"/>
        </w:rPr>
        <w:t xml:space="preserve">became </w:t>
      </w:r>
      <w:r w:rsidR="00E559AB" w:rsidRPr="00A307C6">
        <w:rPr>
          <w:lang w:val="en-GB"/>
        </w:rPr>
        <w:t xml:space="preserve">victims of the rapes and </w:t>
      </w:r>
      <w:r w:rsidRPr="00A307C6">
        <w:rPr>
          <w:lang w:val="en-GB"/>
        </w:rPr>
        <w:t xml:space="preserve">sexual violence during that campaign. These </w:t>
      </w:r>
      <w:r w:rsidR="005052D2" w:rsidRPr="00A307C6">
        <w:rPr>
          <w:lang w:val="en-GB"/>
        </w:rPr>
        <w:t xml:space="preserve">are part of </w:t>
      </w:r>
      <w:r w:rsidRPr="00A307C6">
        <w:rPr>
          <w:lang w:val="en-GB"/>
        </w:rPr>
        <w:t>other violations including killings of family members</w:t>
      </w:r>
      <w:r w:rsidR="00084577" w:rsidRPr="00A307C6">
        <w:rPr>
          <w:lang w:val="en-GB"/>
        </w:rPr>
        <w:t>,</w:t>
      </w:r>
      <w:r w:rsidRPr="00A307C6">
        <w:rPr>
          <w:lang w:val="en-GB"/>
        </w:rPr>
        <w:t xml:space="preserve"> displacement</w:t>
      </w:r>
      <w:r w:rsidR="00084577" w:rsidRPr="00A307C6">
        <w:rPr>
          <w:lang w:val="en-GB"/>
        </w:rPr>
        <w:t>,</w:t>
      </w:r>
      <w:r w:rsidRPr="00A307C6">
        <w:rPr>
          <w:lang w:val="en-GB"/>
        </w:rPr>
        <w:t xml:space="preserve"> and looting</w:t>
      </w:r>
      <w:r w:rsidR="00084577" w:rsidRPr="00A307C6">
        <w:rPr>
          <w:lang w:val="en-GB"/>
        </w:rPr>
        <w:t>,</w:t>
      </w:r>
      <w:r w:rsidR="005052D2" w:rsidRPr="00A307C6">
        <w:rPr>
          <w:lang w:val="en-GB"/>
        </w:rPr>
        <w:t xml:space="preserve"> all of which are disruptive and have adverse the impacts on livelihoods</w:t>
      </w:r>
      <w:r w:rsidRPr="00A307C6">
        <w:rPr>
          <w:lang w:val="en-GB"/>
        </w:rPr>
        <w:t xml:space="preserve">. </w:t>
      </w:r>
      <w:r w:rsidR="006A1948" w:rsidRPr="00A307C6">
        <w:rPr>
          <w:lang w:val="en-GB"/>
        </w:rPr>
        <w:t xml:space="preserve">While that violent campaign was conducted over a defined </w:t>
      </w:r>
      <w:r w:rsidR="00A35E5F" w:rsidRPr="00A307C6">
        <w:rPr>
          <w:lang w:val="en-GB"/>
        </w:rPr>
        <w:t>period</w:t>
      </w:r>
      <w:r w:rsidR="006A1948" w:rsidRPr="00A307C6">
        <w:rPr>
          <w:lang w:val="en-GB"/>
        </w:rPr>
        <w:t>, recent investigative activities by the Commission, in 2021, demonstrate that the same patterns and types of violence, including sexual violence, continue largely unabated in Central Equatoria.</w:t>
      </w:r>
    </w:p>
    <w:p w14:paraId="20AFDD5C" w14:textId="68E37A1A" w:rsidR="00D042C1" w:rsidRPr="00A307C6" w:rsidRDefault="00472A7A" w:rsidP="00CE0E73">
      <w:pPr>
        <w:pStyle w:val="Paragraph"/>
        <w:numPr>
          <w:ilvl w:val="0"/>
          <w:numId w:val="0"/>
        </w:numPr>
        <w:ind w:left="720"/>
        <w:rPr>
          <w:i/>
          <w:iCs/>
          <w:lang w:val="en-GB"/>
        </w:rPr>
      </w:pPr>
      <w:r w:rsidRPr="00A307C6">
        <w:rPr>
          <w:i/>
          <w:iCs/>
          <w:lang w:val="en-GB"/>
        </w:rPr>
        <w:t>Ongoing sexual violence and widespread predation on civilian populations in 2021</w:t>
      </w:r>
      <w:r w:rsidRPr="00A307C6">
        <w:rPr>
          <w:i/>
          <w:iCs/>
          <w:highlight w:val="yellow"/>
          <w:lang w:val="en-GB"/>
        </w:rPr>
        <w:t xml:space="preserve"> </w:t>
      </w:r>
    </w:p>
    <w:p w14:paraId="70B0B24B" w14:textId="2E7A5165" w:rsidR="00C274F1" w:rsidRPr="00A307C6" w:rsidRDefault="00AA4B48" w:rsidP="00FF077A">
      <w:pPr>
        <w:pStyle w:val="Paragraph"/>
        <w:rPr>
          <w:lang w:val="en-GB"/>
        </w:rPr>
      </w:pPr>
      <w:r w:rsidRPr="00A307C6">
        <w:rPr>
          <w:lang w:val="en-GB"/>
        </w:rPr>
        <w:t>Witness statements</w:t>
      </w:r>
      <w:r w:rsidR="008F6F13" w:rsidRPr="00A307C6">
        <w:rPr>
          <w:lang w:val="en-GB"/>
        </w:rPr>
        <w:t xml:space="preserve">, </w:t>
      </w:r>
      <w:r w:rsidRPr="00A307C6">
        <w:rPr>
          <w:lang w:val="en-GB"/>
        </w:rPr>
        <w:t>corroborat</w:t>
      </w:r>
      <w:r w:rsidR="008F6F13" w:rsidRPr="00A307C6">
        <w:rPr>
          <w:lang w:val="en-GB"/>
        </w:rPr>
        <w:t xml:space="preserve">ed </w:t>
      </w:r>
      <w:r w:rsidRPr="00A307C6">
        <w:rPr>
          <w:lang w:val="en-GB"/>
        </w:rPr>
        <w:t>by the Commission</w:t>
      </w:r>
      <w:r w:rsidR="008F6F13" w:rsidRPr="00A307C6">
        <w:rPr>
          <w:lang w:val="en-GB"/>
        </w:rPr>
        <w:t xml:space="preserve">, </w:t>
      </w:r>
      <w:r w:rsidRPr="00A307C6">
        <w:rPr>
          <w:lang w:val="en-GB"/>
        </w:rPr>
        <w:t xml:space="preserve">confirm that during 2021 SSPDF soldiers were </w:t>
      </w:r>
      <w:r w:rsidR="008F6F13" w:rsidRPr="00A307C6">
        <w:rPr>
          <w:lang w:val="en-GB"/>
        </w:rPr>
        <w:t xml:space="preserve">the </w:t>
      </w:r>
      <w:r w:rsidR="00E559AB" w:rsidRPr="00A307C6">
        <w:rPr>
          <w:lang w:val="en-GB"/>
        </w:rPr>
        <w:t xml:space="preserve">primary </w:t>
      </w:r>
      <w:r w:rsidRPr="00A307C6">
        <w:rPr>
          <w:lang w:val="en-GB"/>
        </w:rPr>
        <w:t>perpetrators of sexual violence against women and girls,</w:t>
      </w:r>
      <w:r w:rsidR="00E559AB" w:rsidRPr="00A307C6">
        <w:rPr>
          <w:lang w:val="en-GB"/>
        </w:rPr>
        <w:t xml:space="preserve"> </w:t>
      </w:r>
      <w:r w:rsidR="005052D2" w:rsidRPr="00A307C6">
        <w:rPr>
          <w:lang w:val="en-GB"/>
        </w:rPr>
        <w:t>as well as</w:t>
      </w:r>
      <w:r w:rsidR="00E559AB" w:rsidRPr="00A307C6">
        <w:rPr>
          <w:lang w:val="en-GB"/>
        </w:rPr>
        <w:t xml:space="preserve"> </w:t>
      </w:r>
      <w:r w:rsidRPr="00A307C6">
        <w:rPr>
          <w:lang w:val="en-GB"/>
        </w:rPr>
        <w:t>other violations</w:t>
      </w:r>
      <w:r w:rsidR="00F42BEB" w:rsidRPr="00A307C6">
        <w:rPr>
          <w:lang w:val="en-GB"/>
        </w:rPr>
        <w:t xml:space="preserve"> again</w:t>
      </w:r>
      <w:r w:rsidR="0092643D" w:rsidRPr="00A307C6">
        <w:rPr>
          <w:lang w:val="en-GB"/>
        </w:rPr>
        <w:t>s</w:t>
      </w:r>
      <w:r w:rsidR="00F42BEB" w:rsidRPr="00A307C6">
        <w:rPr>
          <w:lang w:val="en-GB"/>
        </w:rPr>
        <w:t xml:space="preserve">t </w:t>
      </w:r>
      <w:r w:rsidRPr="00A307C6">
        <w:rPr>
          <w:lang w:val="en-GB"/>
        </w:rPr>
        <w:t>civilians.</w:t>
      </w:r>
      <w:r w:rsidRPr="00A307C6">
        <w:rPr>
          <w:rStyle w:val="FootnoteReference"/>
          <w:lang w:val="en-GB"/>
        </w:rPr>
        <w:footnoteReference w:id="108"/>
      </w:r>
      <w:r w:rsidR="00054321" w:rsidRPr="00A307C6">
        <w:rPr>
          <w:lang w:val="en-GB"/>
        </w:rPr>
        <w:t xml:space="preserve"> </w:t>
      </w:r>
      <w:r w:rsidR="005052D2" w:rsidRPr="00A307C6">
        <w:rPr>
          <w:lang w:val="en-GB"/>
        </w:rPr>
        <w:t xml:space="preserve">Much of </w:t>
      </w:r>
      <w:r w:rsidR="00054321" w:rsidRPr="00A307C6">
        <w:rPr>
          <w:lang w:val="en-GB"/>
        </w:rPr>
        <w:t xml:space="preserve">the </w:t>
      </w:r>
      <w:r w:rsidR="00F42BEB" w:rsidRPr="00A307C6">
        <w:rPr>
          <w:lang w:val="en-GB"/>
        </w:rPr>
        <w:t xml:space="preserve">rape and </w:t>
      </w:r>
      <w:r w:rsidR="0072435F" w:rsidRPr="00A307C6">
        <w:rPr>
          <w:lang w:val="en-GB"/>
        </w:rPr>
        <w:t xml:space="preserve">sexual violence </w:t>
      </w:r>
      <w:r w:rsidR="00F42BEB" w:rsidRPr="00A307C6">
        <w:rPr>
          <w:lang w:val="en-GB"/>
        </w:rPr>
        <w:t xml:space="preserve">documented by the Commission </w:t>
      </w:r>
      <w:r w:rsidR="0072435F" w:rsidRPr="00A307C6">
        <w:rPr>
          <w:lang w:val="en-GB"/>
        </w:rPr>
        <w:t>in 2021</w:t>
      </w:r>
      <w:r w:rsidR="005052D2" w:rsidRPr="00A307C6">
        <w:rPr>
          <w:lang w:val="en-GB"/>
        </w:rPr>
        <w:t xml:space="preserve"> </w:t>
      </w:r>
      <w:r w:rsidR="00F42BEB" w:rsidRPr="00A307C6">
        <w:rPr>
          <w:lang w:val="en-GB"/>
        </w:rPr>
        <w:t>occurred</w:t>
      </w:r>
      <w:r w:rsidR="0072435F" w:rsidRPr="00A307C6">
        <w:rPr>
          <w:lang w:val="en-GB"/>
        </w:rPr>
        <w:t xml:space="preserve"> on roads and village paths where women and girls were travelling in groups</w:t>
      </w:r>
      <w:r w:rsidR="00054321" w:rsidRPr="00A307C6">
        <w:rPr>
          <w:lang w:val="en-GB"/>
        </w:rPr>
        <w:t>, and</w:t>
      </w:r>
      <w:r w:rsidR="0072435F" w:rsidRPr="00A307C6">
        <w:rPr>
          <w:lang w:val="en-GB"/>
        </w:rPr>
        <w:t xml:space="preserve"> </w:t>
      </w:r>
      <w:r w:rsidR="00F3105E">
        <w:rPr>
          <w:lang w:val="en-GB"/>
        </w:rPr>
        <w:t xml:space="preserve">is </w:t>
      </w:r>
      <w:r w:rsidR="0072435F" w:rsidRPr="00A307C6">
        <w:rPr>
          <w:lang w:val="en-GB"/>
        </w:rPr>
        <w:t>attributed to SSPDF soldiers.</w:t>
      </w:r>
      <w:r w:rsidR="00C274F1" w:rsidRPr="00A307C6">
        <w:rPr>
          <w:lang w:val="en-GB"/>
        </w:rPr>
        <w:t xml:space="preserve"> The Commission </w:t>
      </w:r>
      <w:r w:rsidR="00F3105E">
        <w:rPr>
          <w:lang w:val="en-GB"/>
        </w:rPr>
        <w:t xml:space="preserve">also received </w:t>
      </w:r>
      <w:r w:rsidR="00C274F1" w:rsidRPr="00A307C6">
        <w:rPr>
          <w:lang w:val="en-GB"/>
        </w:rPr>
        <w:t xml:space="preserve">several accounts </w:t>
      </w:r>
      <w:r w:rsidR="005052D2" w:rsidRPr="00A307C6">
        <w:rPr>
          <w:lang w:val="en-GB"/>
        </w:rPr>
        <w:t>of</w:t>
      </w:r>
      <w:r w:rsidR="00C274F1" w:rsidRPr="00A307C6">
        <w:rPr>
          <w:lang w:val="en-GB"/>
        </w:rPr>
        <w:t xml:space="preserve"> SSPDF soldiers demand</w:t>
      </w:r>
      <w:r w:rsidR="005052D2" w:rsidRPr="00A307C6">
        <w:rPr>
          <w:lang w:val="en-GB"/>
        </w:rPr>
        <w:t>ing</w:t>
      </w:r>
      <w:r w:rsidR="00C274F1" w:rsidRPr="00A307C6">
        <w:rPr>
          <w:lang w:val="en-GB"/>
        </w:rPr>
        <w:t xml:space="preserve"> goods, money and food from the women they had sexually violated.</w:t>
      </w:r>
      <w:r w:rsidR="00C274F1" w:rsidRPr="00A307C6">
        <w:rPr>
          <w:rStyle w:val="FootnoteReference"/>
          <w:lang w:val="en-GB"/>
        </w:rPr>
        <w:footnoteReference w:id="109"/>
      </w:r>
      <w:r w:rsidR="00C274F1" w:rsidRPr="00A307C6">
        <w:rPr>
          <w:lang w:val="en-GB"/>
        </w:rPr>
        <w:t xml:space="preserve"> </w:t>
      </w:r>
    </w:p>
    <w:p w14:paraId="30A8C515" w14:textId="62FECA8F" w:rsidR="00ED32CE" w:rsidRPr="00A307C6" w:rsidRDefault="00ED32CE" w:rsidP="00CE0E73">
      <w:pPr>
        <w:pStyle w:val="Paragraph"/>
        <w:numPr>
          <w:ilvl w:val="0"/>
          <w:numId w:val="0"/>
        </w:numPr>
        <w:ind w:left="1134"/>
        <w:rPr>
          <w:rFonts w:eastAsia="Times New Roman"/>
          <w:sz w:val="24"/>
          <w:szCs w:val="24"/>
          <w:lang w:val="en-GB"/>
        </w:rPr>
      </w:pPr>
      <w:r w:rsidRPr="00A307C6">
        <w:rPr>
          <w:lang w:val="en-GB"/>
        </w:rPr>
        <w:lastRenderedPageBreak/>
        <w:t>“The way to resolve the situation is to remove the soldiers from the villages and move them far away from civilians. We are not safe if the soldiers are there. They will keep on attacking, raping women, and stealing and looting our belongings.”</w:t>
      </w:r>
      <w:r w:rsidRPr="00A307C6">
        <w:rPr>
          <w:rStyle w:val="FootnoteReference"/>
          <w:lang w:val="en-GB"/>
        </w:rPr>
        <w:footnoteReference w:id="110"/>
      </w:r>
      <w:r w:rsidRPr="00A307C6">
        <w:rPr>
          <w:rFonts w:eastAsia="Times New Roman"/>
          <w:sz w:val="24"/>
          <w:szCs w:val="24"/>
          <w:lang w:val="en-GB"/>
        </w:rPr>
        <w:t xml:space="preserve"> </w:t>
      </w:r>
    </w:p>
    <w:p w14:paraId="30E90DF5" w14:textId="77777777" w:rsidR="00ED32CE" w:rsidRPr="00A307C6" w:rsidRDefault="00ED32CE" w:rsidP="00CE0E73">
      <w:pPr>
        <w:pStyle w:val="Paragraph"/>
        <w:numPr>
          <w:ilvl w:val="0"/>
          <w:numId w:val="0"/>
        </w:numPr>
        <w:ind w:left="1134"/>
        <w:rPr>
          <w:lang w:val="en-GB"/>
        </w:rPr>
      </w:pPr>
      <w:r w:rsidRPr="00A307C6">
        <w:rPr>
          <w:lang w:val="en-GB"/>
        </w:rPr>
        <w:t>“If I want to go to the bush to collect firewood, I cannot go alone, because it is not safe...  There are soldiers raping women in bushes around town… Is it possible for you to talk to the government to remove soldiers from the village?”</w:t>
      </w:r>
      <w:r w:rsidRPr="00A307C6">
        <w:rPr>
          <w:rStyle w:val="FootnoteReference"/>
          <w:lang w:val="en-GB"/>
        </w:rPr>
        <w:footnoteReference w:id="111"/>
      </w:r>
    </w:p>
    <w:p w14:paraId="038020BA" w14:textId="77777777" w:rsidR="006945A9" w:rsidRPr="00A307C6" w:rsidRDefault="00C11E80" w:rsidP="00FF077A">
      <w:pPr>
        <w:pStyle w:val="Paragraph"/>
        <w:rPr>
          <w:lang w:val="en-GB"/>
        </w:rPr>
      </w:pPr>
      <w:r w:rsidRPr="00A307C6">
        <w:rPr>
          <w:lang w:val="en-GB"/>
        </w:rPr>
        <w:t xml:space="preserve">The Commission also documented numerous incidents of rape and sexual violence of women and girls during raids </w:t>
      </w:r>
      <w:r w:rsidR="002838B9" w:rsidRPr="00A307C6">
        <w:rPr>
          <w:lang w:val="en-GB"/>
        </w:rPr>
        <w:t xml:space="preserve">and attacks </w:t>
      </w:r>
      <w:r w:rsidRPr="00A307C6">
        <w:rPr>
          <w:lang w:val="en-GB"/>
        </w:rPr>
        <w:t xml:space="preserve">on </w:t>
      </w:r>
      <w:r w:rsidR="002838B9" w:rsidRPr="00A307C6">
        <w:rPr>
          <w:lang w:val="en-GB"/>
        </w:rPr>
        <w:t xml:space="preserve">their </w:t>
      </w:r>
      <w:r w:rsidRPr="00A307C6">
        <w:rPr>
          <w:lang w:val="en-GB"/>
        </w:rPr>
        <w:t>villages in 2021, which also included l</w:t>
      </w:r>
      <w:r w:rsidR="00F42BEB" w:rsidRPr="00A307C6">
        <w:rPr>
          <w:lang w:val="en-GB"/>
        </w:rPr>
        <w:t xml:space="preserve">ooting </w:t>
      </w:r>
      <w:r w:rsidRPr="00A307C6">
        <w:rPr>
          <w:lang w:val="en-GB"/>
        </w:rPr>
        <w:t xml:space="preserve">by </w:t>
      </w:r>
      <w:r w:rsidR="00867582" w:rsidRPr="00A307C6">
        <w:rPr>
          <w:lang w:val="en-GB"/>
        </w:rPr>
        <w:t>SSPDF soldiers.</w:t>
      </w:r>
      <w:r w:rsidR="00A520FD" w:rsidRPr="00A307C6">
        <w:rPr>
          <w:rStyle w:val="FootnoteReference"/>
          <w:lang w:val="en-GB"/>
        </w:rPr>
        <w:footnoteReference w:id="112"/>
      </w:r>
      <w:r w:rsidR="00E1342E" w:rsidRPr="00A307C6">
        <w:rPr>
          <w:lang w:val="en-GB"/>
        </w:rPr>
        <w:t xml:space="preserve"> Testimonies of witnesses indicate that rape and sexual violence are designed to terrori</w:t>
      </w:r>
      <w:r w:rsidR="006945A9" w:rsidRPr="00A307C6">
        <w:rPr>
          <w:lang w:val="en-GB"/>
        </w:rPr>
        <w:t>z</w:t>
      </w:r>
      <w:r w:rsidR="00E1342E" w:rsidRPr="00A307C6">
        <w:rPr>
          <w:lang w:val="en-GB"/>
        </w:rPr>
        <w:t xml:space="preserve">e residents as part of a deliberate counter-insurgency strategy for depopulating villages, considered by the SSDPF to be loyal to NAS and providing them with safe havens. </w:t>
      </w:r>
    </w:p>
    <w:p w14:paraId="4DBF40BA" w14:textId="0449DA26" w:rsidR="00867582" w:rsidRPr="00A307C6" w:rsidRDefault="00E1342E" w:rsidP="00FF077A">
      <w:pPr>
        <w:pStyle w:val="Paragraph"/>
        <w:rPr>
          <w:lang w:val="en-GB"/>
        </w:rPr>
      </w:pPr>
      <w:r w:rsidRPr="00A307C6">
        <w:rPr>
          <w:lang w:val="en-GB"/>
        </w:rPr>
        <w:t xml:space="preserve">Villagers, particularly women and girls, live with the constant </w:t>
      </w:r>
      <w:r w:rsidR="00CF13DB">
        <w:rPr>
          <w:lang w:val="en-GB"/>
        </w:rPr>
        <w:t xml:space="preserve">threat and fear </w:t>
      </w:r>
      <w:r w:rsidRPr="00A307C6">
        <w:rPr>
          <w:lang w:val="en-GB"/>
        </w:rPr>
        <w:t>of sexual violence, when soldiers enter villages, harassing residents and demanding food and cooking from women and girls.</w:t>
      </w:r>
    </w:p>
    <w:p w14:paraId="72F7B6E9" w14:textId="3708FB7E" w:rsidR="006C6A7E" w:rsidRPr="00A307C6" w:rsidRDefault="006C6A7E" w:rsidP="00CE0E73">
      <w:pPr>
        <w:pStyle w:val="Paragraph"/>
        <w:numPr>
          <w:ilvl w:val="0"/>
          <w:numId w:val="0"/>
        </w:numPr>
        <w:ind w:left="1134"/>
        <w:rPr>
          <w:lang w:val="en-GB"/>
        </w:rPr>
      </w:pPr>
      <w:r w:rsidRPr="00A307C6">
        <w:rPr>
          <w:lang w:val="en-GB"/>
        </w:rPr>
        <w:t>“</w:t>
      </w:r>
      <w:r w:rsidR="003B0FB8" w:rsidRPr="00A307C6">
        <w:rPr>
          <w:lang w:val="en-GB"/>
        </w:rPr>
        <w:t xml:space="preserve">Soldiers from the </w:t>
      </w:r>
      <w:r w:rsidRPr="00A307C6">
        <w:rPr>
          <w:lang w:val="en-GB"/>
        </w:rPr>
        <w:t>SSPDF barracks came to the village, looted and destroyed property, and raped women.”</w:t>
      </w:r>
      <w:r w:rsidRPr="00A307C6">
        <w:rPr>
          <w:vertAlign w:val="superscript"/>
          <w:lang w:val="en-GB"/>
        </w:rPr>
        <w:footnoteReference w:id="113"/>
      </w:r>
    </w:p>
    <w:p w14:paraId="76661028" w14:textId="560DCC37" w:rsidR="00201C19" w:rsidRPr="00A307C6" w:rsidRDefault="00201C19" w:rsidP="00CE0E73">
      <w:pPr>
        <w:pStyle w:val="Paragraph"/>
        <w:numPr>
          <w:ilvl w:val="0"/>
          <w:numId w:val="0"/>
        </w:numPr>
        <w:ind w:left="1134"/>
        <w:rPr>
          <w:lang w:val="en-GB"/>
        </w:rPr>
      </w:pPr>
      <w:r w:rsidRPr="00A307C6">
        <w:rPr>
          <w:lang w:val="en-GB"/>
        </w:rPr>
        <w:t>“When soldiers came again</w:t>
      </w:r>
      <w:r w:rsidR="00631642" w:rsidRPr="00A307C6">
        <w:rPr>
          <w:lang w:val="en-GB"/>
        </w:rPr>
        <w:t>…</w:t>
      </w:r>
      <w:r w:rsidRPr="00A307C6">
        <w:rPr>
          <w:lang w:val="en-GB"/>
        </w:rPr>
        <w:t xml:space="preserve"> they beat civilians, looted property and told us to leave the village. Two of my friends told me they were grabbed by soldiers while they fled from the village, and taken into the bush, where they were each raped. The soldiers were speaking in Arabic, telling them not to return to the village.”</w:t>
      </w:r>
      <w:r w:rsidRPr="00A307C6">
        <w:rPr>
          <w:rStyle w:val="FootnoteReference"/>
          <w:lang w:val="en-GB"/>
        </w:rPr>
        <w:footnoteReference w:id="114"/>
      </w:r>
    </w:p>
    <w:p w14:paraId="7A865DAB" w14:textId="74F49310" w:rsidR="00201C19" w:rsidRPr="00A307C6" w:rsidRDefault="00E559AB" w:rsidP="00FF077A">
      <w:pPr>
        <w:pStyle w:val="Paragraph"/>
        <w:rPr>
          <w:lang w:val="en-GB"/>
        </w:rPr>
      </w:pPr>
      <w:r w:rsidRPr="00A307C6">
        <w:rPr>
          <w:lang w:val="en-GB"/>
        </w:rPr>
        <w:t>T</w:t>
      </w:r>
      <w:r w:rsidR="000E7DA1" w:rsidRPr="00A307C6">
        <w:rPr>
          <w:lang w:val="en-GB"/>
        </w:rPr>
        <w:t>he Commission</w:t>
      </w:r>
      <w:r w:rsidRPr="00A307C6">
        <w:rPr>
          <w:lang w:val="en-GB"/>
        </w:rPr>
        <w:t xml:space="preserve"> has noted</w:t>
      </w:r>
      <w:r w:rsidR="00084577" w:rsidRPr="00A307C6">
        <w:rPr>
          <w:lang w:val="en-GB"/>
        </w:rPr>
        <w:t>,</w:t>
      </w:r>
      <w:r w:rsidRPr="00A307C6">
        <w:rPr>
          <w:lang w:val="en-GB"/>
        </w:rPr>
        <w:t xml:space="preserve"> in previous reports</w:t>
      </w:r>
      <w:r w:rsidR="000E7DA1" w:rsidRPr="00A307C6">
        <w:rPr>
          <w:lang w:val="en-GB"/>
        </w:rPr>
        <w:t>,</w:t>
      </w:r>
      <w:r w:rsidR="000E7DA1" w:rsidRPr="00A307C6">
        <w:rPr>
          <w:rStyle w:val="FootnoteReference"/>
          <w:lang w:val="en-GB"/>
        </w:rPr>
        <w:footnoteReference w:id="115"/>
      </w:r>
      <w:r w:rsidR="000E7DA1" w:rsidRPr="00A307C6">
        <w:rPr>
          <w:lang w:val="en-GB"/>
        </w:rPr>
        <w:t xml:space="preserve"> </w:t>
      </w:r>
      <w:r w:rsidRPr="00A307C6">
        <w:rPr>
          <w:lang w:val="en-GB"/>
        </w:rPr>
        <w:t xml:space="preserve">how </w:t>
      </w:r>
      <w:r w:rsidR="000E7DA1" w:rsidRPr="00A307C6">
        <w:rPr>
          <w:lang w:val="en-GB"/>
        </w:rPr>
        <w:t>soldiers of the South Sudan People’s Defence Forces in Central Equatoria face extreme difficulties</w:t>
      </w:r>
      <w:r w:rsidRPr="00A307C6">
        <w:rPr>
          <w:lang w:val="en-GB"/>
        </w:rPr>
        <w:t xml:space="preserve"> </w:t>
      </w:r>
      <w:r w:rsidR="00F3105E">
        <w:rPr>
          <w:lang w:val="en-GB"/>
        </w:rPr>
        <w:t xml:space="preserve">as they are </w:t>
      </w:r>
      <w:r w:rsidR="000E7DA1" w:rsidRPr="00A307C6">
        <w:rPr>
          <w:lang w:val="en-GB"/>
        </w:rPr>
        <w:t>deliberately neglect</w:t>
      </w:r>
      <w:r w:rsidR="005052D2" w:rsidRPr="00A307C6">
        <w:rPr>
          <w:lang w:val="en-GB"/>
        </w:rPr>
        <w:t>ed</w:t>
      </w:r>
      <w:r w:rsidR="000E7DA1" w:rsidRPr="00A307C6">
        <w:rPr>
          <w:lang w:val="en-GB"/>
        </w:rPr>
        <w:t xml:space="preserve"> by the Government</w:t>
      </w:r>
      <w:r w:rsidR="00F3105E">
        <w:rPr>
          <w:lang w:val="en-GB"/>
        </w:rPr>
        <w:t xml:space="preserve">, suffer </w:t>
      </w:r>
      <w:r w:rsidR="000E7DA1" w:rsidRPr="00A307C6">
        <w:rPr>
          <w:lang w:val="en-GB"/>
        </w:rPr>
        <w:t xml:space="preserve">the delayed payment </w:t>
      </w:r>
      <w:r w:rsidR="00EF1EBD" w:rsidRPr="00A307C6">
        <w:rPr>
          <w:lang w:val="en-GB"/>
        </w:rPr>
        <w:t xml:space="preserve">and even </w:t>
      </w:r>
      <w:r w:rsidR="000E7DA1" w:rsidRPr="00A307C6">
        <w:rPr>
          <w:lang w:val="en-GB"/>
        </w:rPr>
        <w:t>non-payment of their very low salaries. Th</w:t>
      </w:r>
      <w:r w:rsidR="00EF1EBD" w:rsidRPr="00A307C6">
        <w:rPr>
          <w:lang w:val="en-GB"/>
        </w:rPr>
        <w:t>e</w:t>
      </w:r>
      <w:r w:rsidR="000E7DA1" w:rsidRPr="00A307C6">
        <w:rPr>
          <w:lang w:val="en-GB"/>
        </w:rPr>
        <w:t xml:space="preserve"> neglect of </w:t>
      </w:r>
      <w:r w:rsidR="000E7DA1" w:rsidRPr="00A307C6">
        <w:rPr>
          <w:lang w:val="en-GB"/>
        </w:rPr>
        <w:lastRenderedPageBreak/>
        <w:t xml:space="preserve">soldiers </w:t>
      </w:r>
      <w:r w:rsidR="00EF1EBD" w:rsidRPr="00A307C6">
        <w:rPr>
          <w:lang w:val="en-GB"/>
        </w:rPr>
        <w:t xml:space="preserve">has created an environment in which </w:t>
      </w:r>
      <w:r w:rsidR="000E7DA1" w:rsidRPr="00A307C6">
        <w:rPr>
          <w:lang w:val="en-GB"/>
        </w:rPr>
        <w:t>violations perpetrated against civilians</w:t>
      </w:r>
      <w:r w:rsidR="00EF1EBD" w:rsidRPr="00A307C6">
        <w:rPr>
          <w:lang w:val="en-GB"/>
        </w:rPr>
        <w:t xml:space="preserve"> are tolerated</w:t>
      </w:r>
      <w:r w:rsidR="00CF13DB">
        <w:rPr>
          <w:lang w:val="en-GB"/>
        </w:rPr>
        <w:t>,</w:t>
      </w:r>
      <w:r w:rsidR="00EF1EBD" w:rsidRPr="00A307C6">
        <w:rPr>
          <w:lang w:val="en-GB"/>
        </w:rPr>
        <w:t xml:space="preserve"> </w:t>
      </w:r>
      <w:r w:rsidR="00F3105E">
        <w:rPr>
          <w:lang w:val="en-GB"/>
        </w:rPr>
        <w:t xml:space="preserve">with </w:t>
      </w:r>
      <w:r w:rsidR="000E7DA1" w:rsidRPr="00A307C6">
        <w:rPr>
          <w:lang w:val="en-GB"/>
        </w:rPr>
        <w:t xml:space="preserve">a military culture of predation </w:t>
      </w:r>
      <w:r w:rsidR="00CF13DB">
        <w:rPr>
          <w:lang w:val="en-GB"/>
        </w:rPr>
        <w:t xml:space="preserve">whereby </w:t>
      </w:r>
      <w:r w:rsidR="002838B9" w:rsidRPr="00A307C6">
        <w:rPr>
          <w:lang w:val="en-GB"/>
        </w:rPr>
        <w:t xml:space="preserve">the </w:t>
      </w:r>
      <w:r w:rsidR="000E7DA1" w:rsidRPr="00A307C6">
        <w:rPr>
          <w:lang w:val="en-GB"/>
        </w:rPr>
        <w:t>perpetration of serious crimes</w:t>
      </w:r>
      <w:r w:rsidR="005052D2" w:rsidRPr="00A307C6">
        <w:rPr>
          <w:lang w:val="en-GB"/>
        </w:rPr>
        <w:t xml:space="preserve"> </w:t>
      </w:r>
      <w:r w:rsidR="00CF13DB">
        <w:rPr>
          <w:lang w:val="en-GB"/>
        </w:rPr>
        <w:t xml:space="preserve">is </w:t>
      </w:r>
      <w:r w:rsidR="005052D2" w:rsidRPr="00A307C6">
        <w:rPr>
          <w:lang w:val="en-GB"/>
        </w:rPr>
        <w:t>encouraged</w:t>
      </w:r>
      <w:r w:rsidR="000E7DA1" w:rsidRPr="00A307C6">
        <w:rPr>
          <w:lang w:val="en-GB"/>
        </w:rPr>
        <w:t>.</w:t>
      </w:r>
      <w:r w:rsidR="000E7DA1" w:rsidRPr="00A307C6">
        <w:rPr>
          <w:rStyle w:val="FootnoteReference"/>
          <w:lang w:val="en-GB"/>
        </w:rPr>
        <w:footnoteReference w:id="116"/>
      </w:r>
      <w:r w:rsidR="000E7DA1" w:rsidRPr="00A307C6">
        <w:rPr>
          <w:lang w:val="en-GB"/>
        </w:rPr>
        <w:t xml:space="preserve"> Senior military officials and certain government officials have the authority to enforce discipline and allocate resources but </w:t>
      </w:r>
      <w:r w:rsidR="00CB4B5E" w:rsidRPr="00A307C6">
        <w:rPr>
          <w:lang w:val="en-GB"/>
        </w:rPr>
        <w:t>have</w:t>
      </w:r>
      <w:r w:rsidR="002838B9" w:rsidRPr="00A307C6">
        <w:rPr>
          <w:lang w:val="en-GB"/>
        </w:rPr>
        <w:t xml:space="preserve"> not </w:t>
      </w:r>
      <w:r w:rsidR="000E7DA1" w:rsidRPr="00A307C6">
        <w:rPr>
          <w:lang w:val="en-GB"/>
        </w:rPr>
        <w:t>do</w:t>
      </w:r>
      <w:r w:rsidR="002838B9" w:rsidRPr="00A307C6">
        <w:rPr>
          <w:lang w:val="en-GB"/>
        </w:rPr>
        <w:t>ne</w:t>
      </w:r>
      <w:r w:rsidR="000E7DA1" w:rsidRPr="00A307C6">
        <w:rPr>
          <w:lang w:val="en-GB"/>
        </w:rPr>
        <w:t xml:space="preserve"> so; they therefore bear responsibility for the persistence of these acts.</w:t>
      </w:r>
      <w:bookmarkStart w:id="38" w:name="_Hlk97627040"/>
    </w:p>
    <w:p w14:paraId="24FF0D50" w14:textId="051F8B1C" w:rsidR="00054321" w:rsidRPr="00A307C6" w:rsidRDefault="00054321" w:rsidP="00FF077A">
      <w:pPr>
        <w:pStyle w:val="Paragraph"/>
        <w:rPr>
          <w:lang w:val="en-GB"/>
        </w:rPr>
      </w:pPr>
      <w:r w:rsidRPr="00A307C6">
        <w:rPr>
          <w:lang w:val="en-GB"/>
        </w:rPr>
        <w:t xml:space="preserve">The close proximity of soldiers to communities poses a huge risk to civilians, particularly in Central Equatoria where SSPDF members associate local residents with NAS, their military opponent, and punish them for this.  Furthermore, the risks of women and girls </w:t>
      </w:r>
      <w:r w:rsidR="00084577" w:rsidRPr="00A307C6">
        <w:rPr>
          <w:lang w:val="en-GB"/>
        </w:rPr>
        <w:t xml:space="preserve">of being exposed </w:t>
      </w:r>
      <w:r w:rsidRPr="00A307C6">
        <w:rPr>
          <w:lang w:val="en-GB"/>
        </w:rPr>
        <w:t xml:space="preserve">to rape and sexual violence are exacerbated </w:t>
      </w:r>
      <w:r w:rsidR="005052D2" w:rsidRPr="00A307C6">
        <w:rPr>
          <w:lang w:val="en-GB"/>
        </w:rPr>
        <w:t>as</w:t>
      </w:r>
      <w:r w:rsidRPr="00A307C6">
        <w:rPr>
          <w:lang w:val="en-GB"/>
        </w:rPr>
        <w:t xml:space="preserve"> military personnel are not being paid and provided with sufficient resources for their basic </w:t>
      </w:r>
      <w:r w:rsidR="00084577" w:rsidRPr="00A307C6">
        <w:rPr>
          <w:lang w:val="en-GB"/>
        </w:rPr>
        <w:t>subsistence</w:t>
      </w:r>
      <w:r w:rsidR="005052D2" w:rsidRPr="00A307C6">
        <w:rPr>
          <w:lang w:val="en-GB"/>
        </w:rPr>
        <w:t>. C</w:t>
      </w:r>
      <w:r w:rsidRPr="00A307C6">
        <w:rPr>
          <w:lang w:val="en-GB"/>
        </w:rPr>
        <w:t>onsequently</w:t>
      </w:r>
      <w:r w:rsidR="00C20D3D" w:rsidRPr="00A307C6">
        <w:rPr>
          <w:lang w:val="en-GB"/>
        </w:rPr>
        <w:t>,</w:t>
      </w:r>
      <w:r w:rsidRPr="00A307C6">
        <w:rPr>
          <w:lang w:val="en-GB"/>
        </w:rPr>
        <w:t xml:space="preserve"> </w:t>
      </w:r>
      <w:r w:rsidR="005052D2" w:rsidRPr="00A307C6">
        <w:rPr>
          <w:lang w:val="en-GB"/>
        </w:rPr>
        <w:t xml:space="preserve">they </w:t>
      </w:r>
      <w:r w:rsidRPr="00A307C6">
        <w:rPr>
          <w:lang w:val="en-GB"/>
        </w:rPr>
        <w:t>regard women and girls as spoils</w:t>
      </w:r>
      <w:r w:rsidR="005052D2" w:rsidRPr="00A307C6">
        <w:rPr>
          <w:lang w:val="en-GB"/>
        </w:rPr>
        <w:t>,</w:t>
      </w:r>
      <w:r w:rsidRPr="00A307C6">
        <w:rPr>
          <w:lang w:val="en-GB"/>
        </w:rPr>
        <w:t xml:space="preserve"> in lieu of payment</w:t>
      </w:r>
      <w:r w:rsidR="00C20D3D" w:rsidRPr="00A307C6">
        <w:rPr>
          <w:lang w:val="en-GB"/>
        </w:rPr>
        <w:t xml:space="preserve">. They are neither </w:t>
      </w:r>
      <w:r w:rsidRPr="00A307C6">
        <w:rPr>
          <w:lang w:val="en-GB"/>
        </w:rPr>
        <w:t xml:space="preserve">discouraged </w:t>
      </w:r>
      <w:r w:rsidR="00C20D3D" w:rsidRPr="00A307C6">
        <w:rPr>
          <w:lang w:val="en-GB"/>
        </w:rPr>
        <w:t>from</w:t>
      </w:r>
      <w:r w:rsidR="00084577" w:rsidRPr="00A307C6">
        <w:rPr>
          <w:lang w:val="en-GB"/>
        </w:rPr>
        <w:t>,</w:t>
      </w:r>
      <w:r w:rsidR="00C20D3D" w:rsidRPr="00A307C6">
        <w:rPr>
          <w:lang w:val="en-GB"/>
        </w:rPr>
        <w:t xml:space="preserve"> n</w:t>
      </w:r>
      <w:r w:rsidRPr="00A307C6">
        <w:rPr>
          <w:lang w:val="en-GB"/>
        </w:rPr>
        <w:t>or held accountable for</w:t>
      </w:r>
      <w:r w:rsidR="00084577" w:rsidRPr="00A307C6">
        <w:rPr>
          <w:lang w:val="en-GB"/>
        </w:rPr>
        <w:t>,</w:t>
      </w:r>
      <w:r w:rsidRPr="00A307C6">
        <w:rPr>
          <w:lang w:val="en-GB"/>
        </w:rPr>
        <w:t xml:space="preserve"> their predatory behaviour. </w:t>
      </w:r>
      <w:r w:rsidR="00C20D3D" w:rsidRPr="00A307C6">
        <w:rPr>
          <w:lang w:val="en-GB"/>
        </w:rPr>
        <w:t xml:space="preserve">Thus, </w:t>
      </w:r>
      <w:r w:rsidR="00CF13DB">
        <w:rPr>
          <w:lang w:val="en-GB"/>
        </w:rPr>
        <w:t xml:space="preserve">frequent </w:t>
      </w:r>
      <w:r w:rsidR="00C20D3D" w:rsidRPr="00A307C6">
        <w:rPr>
          <w:lang w:val="en-GB"/>
        </w:rPr>
        <w:t>r</w:t>
      </w:r>
      <w:r w:rsidRPr="00A307C6">
        <w:rPr>
          <w:lang w:val="en-GB"/>
        </w:rPr>
        <w:t>aids</w:t>
      </w:r>
      <w:r w:rsidR="00C20D3D" w:rsidRPr="00A307C6">
        <w:rPr>
          <w:lang w:val="en-GB"/>
        </w:rPr>
        <w:t xml:space="preserve"> </w:t>
      </w:r>
      <w:r w:rsidRPr="00A307C6">
        <w:rPr>
          <w:lang w:val="en-GB"/>
        </w:rPr>
        <w:t>involv</w:t>
      </w:r>
      <w:r w:rsidR="00C20D3D" w:rsidRPr="00A307C6">
        <w:rPr>
          <w:lang w:val="en-GB"/>
        </w:rPr>
        <w:t>ing</w:t>
      </w:r>
      <w:r w:rsidRPr="00A307C6">
        <w:rPr>
          <w:lang w:val="en-GB"/>
        </w:rPr>
        <w:t xml:space="preserve"> house-to-house searches </w:t>
      </w:r>
      <w:r w:rsidR="00C20D3D" w:rsidRPr="00A307C6">
        <w:rPr>
          <w:lang w:val="en-GB"/>
        </w:rPr>
        <w:t xml:space="preserve">become </w:t>
      </w:r>
      <w:r w:rsidRPr="00A307C6">
        <w:rPr>
          <w:lang w:val="en-GB"/>
        </w:rPr>
        <w:t xml:space="preserve">terrifying </w:t>
      </w:r>
      <w:r w:rsidR="00C20D3D" w:rsidRPr="00A307C6">
        <w:rPr>
          <w:lang w:val="en-GB"/>
        </w:rPr>
        <w:t>for women and girls i</w:t>
      </w:r>
      <w:r w:rsidRPr="00A307C6">
        <w:rPr>
          <w:lang w:val="en-GB"/>
        </w:rPr>
        <w:t xml:space="preserve">n this context, alongside </w:t>
      </w:r>
      <w:r w:rsidR="00C20D3D" w:rsidRPr="00A307C6">
        <w:rPr>
          <w:lang w:val="en-GB"/>
        </w:rPr>
        <w:t xml:space="preserve">the </w:t>
      </w:r>
      <w:r w:rsidRPr="00A307C6">
        <w:rPr>
          <w:lang w:val="en-GB"/>
        </w:rPr>
        <w:t xml:space="preserve">destruction of homes and property, </w:t>
      </w:r>
      <w:r w:rsidR="00084577" w:rsidRPr="00A307C6">
        <w:rPr>
          <w:lang w:val="en-GB"/>
        </w:rPr>
        <w:t xml:space="preserve">together with </w:t>
      </w:r>
      <w:r w:rsidRPr="00A307C6">
        <w:rPr>
          <w:lang w:val="en-GB"/>
        </w:rPr>
        <w:t>widespread looting of food, produce and livestock.</w:t>
      </w:r>
      <w:r w:rsidR="0068752C">
        <w:rPr>
          <w:rStyle w:val="FootnoteReference"/>
        </w:rPr>
        <w:footnoteReference w:id="117"/>
      </w:r>
    </w:p>
    <w:p w14:paraId="2F9ED720" w14:textId="52BCE992" w:rsidR="00054321" w:rsidRPr="00A307C6" w:rsidRDefault="00054321" w:rsidP="000E300B">
      <w:pPr>
        <w:pStyle w:val="Paragraph"/>
        <w:numPr>
          <w:ilvl w:val="0"/>
          <w:numId w:val="0"/>
        </w:numPr>
        <w:ind w:left="1134"/>
        <w:rPr>
          <w:lang w:val="en-GB"/>
        </w:rPr>
      </w:pPr>
      <w:r w:rsidRPr="00A307C6">
        <w:rPr>
          <w:lang w:val="en-GB"/>
        </w:rPr>
        <w:t>“When SSPDF come and ask for food, if we have it we must give it. When NAS come and ask for food</w:t>
      </w:r>
      <w:r w:rsidR="00516796" w:rsidRPr="00A307C6">
        <w:rPr>
          <w:lang w:val="en-GB"/>
        </w:rPr>
        <w:t>…</w:t>
      </w:r>
      <w:r w:rsidRPr="00A307C6">
        <w:rPr>
          <w:lang w:val="en-GB"/>
        </w:rPr>
        <w:t xml:space="preserve"> we must also give it. We are women, what should we do?”</w:t>
      </w:r>
      <w:r w:rsidRPr="00A307C6">
        <w:rPr>
          <w:rStyle w:val="FootnoteReference"/>
          <w:lang w:val="en-GB"/>
        </w:rPr>
        <w:footnoteReference w:id="118"/>
      </w:r>
    </w:p>
    <w:p w14:paraId="3A74A559" w14:textId="26285FB4" w:rsidR="00516796" w:rsidRPr="00A307C6" w:rsidRDefault="00E135C8" w:rsidP="00FF077A">
      <w:pPr>
        <w:pStyle w:val="Paragraph"/>
        <w:rPr>
          <w:lang w:val="en-GB"/>
        </w:rPr>
      </w:pPr>
      <w:r w:rsidRPr="00A307C6">
        <w:rPr>
          <w:lang w:val="en-GB"/>
        </w:rPr>
        <w:t xml:space="preserve">The Commission notes that </w:t>
      </w:r>
      <w:r w:rsidR="00C20D3D" w:rsidRPr="00A307C6">
        <w:rPr>
          <w:lang w:val="en-GB"/>
        </w:rPr>
        <w:t>given the diverse array of armed actors operating in Central Equatoria</w:t>
      </w:r>
      <w:r w:rsidR="00084577" w:rsidRPr="00A307C6">
        <w:rPr>
          <w:lang w:val="en-GB"/>
        </w:rPr>
        <w:t>,</w:t>
      </w:r>
      <w:r w:rsidR="00C20D3D" w:rsidRPr="00A307C6">
        <w:rPr>
          <w:lang w:val="en-GB"/>
        </w:rPr>
        <w:t xml:space="preserve"> and </w:t>
      </w:r>
      <w:r w:rsidR="00084577" w:rsidRPr="00A307C6">
        <w:rPr>
          <w:lang w:val="en-GB"/>
        </w:rPr>
        <w:t xml:space="preserve">the </w:t>
      </w:r>
      <w:r w:rsidR="00C20D3D" w:rsidRPr="00A307C6">
        <w:rPr>
          <w:lang w:val="en-GB"/>
        </w:rPr>
        <w:t>challenges associated with the gathering of testimonies</w:t>
      </w:r>
      <w:r w:rsidR="00084577" w:rsidRPr="00A307C6">
        <w:rPr>
          <w:lang w:val="en-GB"/>
        </w:rPr>
        <w:t>,</w:t>
      </w:r>
      <w:r w:rsidR="00C20D3D" w:rsidRPr="00A307C6">
        <w:rPr>
          <w:lang w:val="en-GB"/>
        </w:rPr>
        <w:t xml:space="preserve"> </w:t>
      </w:r>
      <w:r w:rsidRPr="00A307C6">
        <w:rPr>
          <w:lang w:val="en-GB"/>
        </w:rPr>
        <w:t xml:space="preserve">it has not always been possible to determine </w:t>
      </w:r>
      <w:r w:rsidR="00084577" w:rsidRPr="00A307C6">
        <w:rPr>
          <w:lang w:val="en-GB"/>
        </w:rPr>
        <w:t xml:space="preserve">which armed forces or </w:t>
      </w:r>
      <w:r w:rsidRPr="00A307C6">
        <w:rPr>
          <w:lang w:val="en-GB"/>
        </w:rPr>
        <w:t xml:space="preserve">groups </w:t>
      </w:r>
      <w:r w:rsidR="00084577" w:rsidRPr="00A307C6">
        <w:rPr>
          <w:lang w:val="en-GB"/>
        </w:rPr>
        <w:t xml:space="preserve">are </w:t>
      </w:r>
      <w:r w:rsidRPr="00A307C6">
        <w:rPr>
          <w:lang w:val="en-GB"/>
        </w:rPr>
        <w:t xml:space="preserve">responsible for </w:t>
      </w:r>
      <w:r w:rsidR="00084577" w:rsidRPr="00A307C6">
        <w:rPr>
          <w:lang w:val="en-GB"/>
        </w:rPr>
        <w:t xml:space="preserve">the </w:t>
      </w:r>
      <w:r w:rsidRPr="00A307C6">
        <w:rPr>
          <w:lang w:val="en-GB"/>
        </w:rPr>
        <w:t xml:space="preserve">human rights violations and abuses against women or girls in a number of incidents. Nonetheless, the </w:t>
      </w:r>
      <w:r w:rsidR="00516796" w:rsidRPr="00A307C6">
        <w:rPr>
          <w:lang w:val="en-GB"/>
        </w:rPr>
        <w:t xml:space="preserve">Commission </w:t>
      </w:r>
      <w:r w:rsidR="00C80AAC" w:rsidRPr="00A307C6">
        <w:rPr>
          <w:lang w:val="en-GB"/>
        </w:rPr>
        <w:t xml:space="preserve">also </w:t>
      </w:r>
      <w:r w:rsidR="00516796" w:rsidRPr="00A307C6">
        <w:rPr>
          <w:lang w:val="en-GB"/>
        </w:rPr>
        <w:t>documented</w:t>
      </w:r>
      <w:r w:rsidR="00C80AAC" w:rsidRPr="00A307C6">
        <w:rPr>
          <w:lang w:val="en-GB"/>
        </w:rPr>
        <w:t xml:space="preserve"> several</w:t>
      </w:r>
      <w:r w:rsidR="00516796" w:rsidRPr="00A307C6">
        <w:rPr>
          <w:lang w:val="en-GB"/>
        </w:rPr>
        <w:t xml:space="preserve"> </w:t>
      </w:r>
      <w:r w:rsidR="00C80AAC" w:rsidRPr="00A307C6">
        <w:rPr>
          <w:lang w:val="en-GB"/>
        </w:rPr>
        <w:t xml:space="preserve">cases </w:t>
      </w:r>
      <w:r w:rsidR="00516796" w:rsidRPr="00A307C6">
        <w:rPr>
          <w:lang w:val="en-GB"/>
        </w:rPr>
        <w:t xml:space="preserve">of rape and other forms of sexual violence perpetrated by members of NAS. </w:t>
      </w:r>
      <w:r w:rsidR="00633D01" w:rsidRPr="00A307C6">
        <w:rPr>
          <w:lang w:val="en-GB"/>
        </w:rPr>
        <w:t>These a</w:t>
      </w:r>
      <w:r w:rsidR="00516796" w:rsidRPr="00A307C6">
        <w:rPr>
          <w:lang w:val="en-GB"/>
        </w:rPr>
        <w:t xml:space="preserve">buses took places in the context of abductions, consistent with an operational tactic designed to </w:t>
      </w:r>
      <w:r w:rsidR="00B00EAC" w:rsidRPr="00A307C6">
        <w:rPr>
          <w:lang w:val="en-GB"/>
        </w:rPr>
        <w:t>enforce civilians to provide support to NAS, to dissuade them from providing support to Government forces, and for the purpose of sustaining forces</w:t>
      </w:r>
      <w:r w:rsidR="002161DB" w:rsidRPr="00A307C6">
        <w:rPr>
          <w:lang w:val="en-GB"/>
        </w:rPr>
        <w:t xml:space="preserve"> by forcing civilians to provide services such as </w:t>
      </w:r>
      <w:proofErr w:type="spellStart"/>
      <w:r w:rsidR="002161DB" w:rsidRPr="00A307C6">
        <w:rPr>
          <w:lang w:val="en-GB"/>
        </w:rPr>
        <w:t>portering</w:t>
      </w:r>
      <w:proofErr w:type="spellEnd"/>
      <w:r w:rsidR="002161DB" w:rsidRPr="00A307C6">
        <w:rPr>
          <w:lang w:val="en-GB"/>
        </w:rPr>
        <w:t xml:space="preserve"> and cooking which for some women and girls were also accompanied by </w:t>
      </w:r>
      <w:r w:rsidR="00084577" w:rsidRPr="00A307C6">
        <w:rPr>
          <w:lang w:val="en-GB"/>
        </w:rPr>
        <w:t xml:space="preserve">exploitation </w:t>
      </w:r>
      <w:r w:rsidR="002161DB" w:rsidRPr="00A307C6">
        <w:rPr>
          <w:lang w:val="en-GB"/>
        </w:rPr>
        <w:t>for sexual servitude</w:t>
      </w:r>
      <w:r w:rsidR="00B00EAC" w:rsidRPr="00A307C6">
        <w:rPr>
          <w:lang w:val="en-GB"/>
        </w:rPr>
        <w:t>.</w:t>
      </w:r>
      <w:r w:rsidR="00880B8A" w:rsidRPr="00A307C6">
        <w:rPr>
          <w:rStyle w:val="FootnoteReference"/>
          <w:lang w:val="en-GB"/>
        </w:rPr>
        <w:footnoteReference w:id="119"/>
      </w:r>
      <w:r w:rsidR="002161DB" w:rsidRPr="00A307C6">
        <w:rPr>
          <w:lang w:val="en-GB"/>
        </w:rPr>
        <w:t xml:space="preserve"> </w:t>
      </w:r>
      <w:r w:rsidR="00C80AAC" w:rsidRPr="00A307C6">
        <w:rPr>
          <w:lang w:val="en-GB"/>
        </w:rPr>
        <w:t xml:space="preserve">Multiple women </w:t>
      </w:r>
      <w:r w:rsidR="00C80AAC" w:rsidRPr="00A307C6">
        <w:rPr>
          <w:lang w:val="en-GB"/>
        </w:rPr>
        <w:lastRenderedPageBreak/>
        <w:t>told the Commission that they were attacked by members of NAS around 2018 and held at their military camps for periods ranging from weeks to months.</w:t>
      </w:r>
      <w:r w:rsidR="00C80AAC" w:rsidRPr="00A307C6">
        <w:rPr>
          <w:rStyle w:val="FootnoteReference"/>
          <w:lang w:val="en-GB"/>
        </w:rPr>
        <w:footnoteReference w:id="120"/>
      </w:r>
    </w:p>
    <w:p w14:paraId="1F4CD2A4" w14:textId="77777777" w:rsidR="00611AAC" w:rsidRPr="00A307C6" w:rsidRDefault="00611AAC" w:rsidP="009E6E96">
      <w:pPr>
        <w:pStyle w:val="H1G"/>
      </w:pPr>
      <w:bookmarkStart w:id="39" w:name="_Toc98226814"/>
      <w:bookmarkStart w:id="40" w:name="_Toc98606455"/>
      <w:r w:rsidRPr="00A307C6">
        <w:t>Unity State</w:t>
      </w:r>
      <w:bookmarkEnd w:id="39"/>
      <w:bookmarkEnd w:id="40"/>
      <w:r w:rsidRPr="00A307C6">
        <w:t xml:space="preserve"> </w:t>
      </w:r>
    </w:p>
    <w:p w14:paraId="6139A06A" w14:textId="3E71C2C1" w:rsidR="00611AAC" w:rsidRPr="00A307C6" w:rsidRDefault="00611AAC" w:rsidP="006F6809">
      <w:pPr>
        <w:pStyle w:val="Paragraph"/>
        <w:rPr>
          <w:lang w:val="en-GB"/>
        </w:rPr>
      </w:pPr>
      <w:r w:rsidRPr="00A307C6">
        <w:rPr>
          <w:lang w:val="en-GB"/>
        </w:rPr>
        <w:t xml:space="preserve">Rape and </w:t>
      </w:r>
      <w:r w:rsidR="00077D62" w:rsidRPr="00A307C6">
        <w:rPr>
          <w:lang w:val="en-GB"/>
        </w:rPr>
        <w:t xml:space="preserve">other forms of </w:t>
      </w:r>
      <w:r w:rsidRPr="00A307C6">
        <w:rPr>
          <w:lang w:val="en-GB"/>
        </w:rPr>
        <w:t xml:space="preserve">sexual violence </w:t>
      </w:r>
      <w:r w:rsidR="00077D62" w:rsidRPr="00A307C6">
        <w:rPr>
          <w:lang w:val="en-GB"/>
        </w:rPr>
        <w:t xml:space="preserve">against women and girls have </w:t>
      </w:r>
      <w:r w:rsidR="002F792C" w:rsidRPr="00A307C6">
        <w:rPr>
          <w:lang w:val="en-GB"/>
        </w:rPr>
        <w:t xml:space="preserve">historically </w:t>
      </w:r>
      <w:r w:rsidR="00077D62" w:rsidRPr="00A307C6">
        <w:rPr>
          <w:lang w:val="en-GB"/>
        </w:rPr>
        <w:t xml:space="preserve">been </w:t>
      </w:r>
      <w:r w:rsidRPr="00A307C6">
        <w:rPr>
          <w:lang w:val="en-GB"/>
        </w:rPr>
        <w:t xml:space="preserve">a key characteristic of the conflict in Unity State since 2013, where victims have been targeted on the basis of their </w:t>
      </w:r>
      <w:r w:rsidR="00077D62" w:rsidRPr="00A307C6">
        <w:rPr>
          <w:lang w:val="en-GB"/>
        </w:rPr>
        <w:t xml:space="preserve">gender, </w:t>
      </w:r>
      <w:r w:rsidRPr="00A307C6">
        <w:rPr>
          <w:lang w:val="en-GB"/>
        </w:rPr>
        <w:t xml:space="preserve">ethnicity and political affiliation. While mainly women and girls were raped and sexually violated, men and boys </w:t>
      </w:r>
      <w:r w:rsidR="00077D62" w:rsidRPr="00A307C6">
        <w:rPr>
          <w:lang w:val="en-GB"/>
        </w:rPr>
        <w:t xml:space="preserve">have also been </w:t>
      </w:r>
      <w:r w:rsidRPr="00A307C6">
        <w:rPr>
          <w:lang w:val="en-GB"/>
        </w:rPr>
        <w:t>targeted</w:t>
      </w:r>
      <w:r w:rsidR="00077D62" w:rsidRPr="00A307C6">
        <w:rPr>
          <w:lang w:val="en-GB"/>
        </w:rPr>
        <w:t>.</w:t>
      </w:r>
      <w:r w:rsidRPr="00A307C6">
        <w:rPr>
          <w:lang w:val="en-GB"/>
        </w:rPr>
        <w:t xml:space="preserve"> In addition to ethnic and political affiliations, victims </w:t>
      </w:r>
      <w:r w:rsidR="002F792C" w:rsidRPr="00A307C6">
        <w:rPr>
          <w:lang w:val="en-GB"/>
        </w:rPr>
        <w:t xml:space="preserve">have also been </w:t>
      </w:r>
      <w:r w:rsidRPr="00A307C6">
        <w:rPr>
          <w:lang w:val="en-GB"/>
        </w:rPr>
        <w:t>targeted on the basis of their relationship to a male member of the ‘enemy’ group namely being a wife, mother, sister or child</w:t>
      </w:r>
      <w:r w:rsidR="00977ECA" w:rsidRPr="00A307C6">
        <w:rPr>
          <w:lang w:val="en-GB"/>
        </w:rPr>
        <w:t xml:space="preserve">. </w:t>
      </w:r>
      <w:r w:rsidRPr="00A307C6">
        <w:rPr>
          <w:lang w:val="en-GB"/>
        </w:rPr>
        <w:t xml:space="preserve">Many witnesses told the Commission that the perpetrators were deliberate in abandoning the traditional societal norms and </w:t>
      </w:r>
      <w:r w:rsidR="00977ECA" w:rsidRPr="00A307C6">
        <w:rPr>
          <w:lang w:val="en-GB"/>
        </w:rPr>
        <w:t>practices</w:t>
      </w:r>
      <w:r w:rsidRPr="00A307C6">
        <w:rPr>
          <w:lang w:val="en-GB"/>
        </w:rPr>
        <w:t xml:space="preserve"> such as the protection of the elderly and the young</w:t>
      </w:r>
      <w:r w:rsidR="00077D62" w:rsidRPr="00A307C6">
        <w:rPr>
          <w:lang w:val="en-GB"/>
        </w:rPr>
        <w:t xml:space="preserve">, by </w:t>
      </w:r>
      <w:r w:rsidRPr="00A307C6">
        <w:rPr>
          <w:lang w:val="en-GB"/>
        </w:rPr>
        <w:t xml:space="preserve">raping and sexually violating elderly women in their sixties and the very young. </w:t>
      </w:r>
      <w:r w:rsidRPr="00A307C6">
        <w:rPr>
          <w:vertAlign w:val="superscript"/>
          <w:lang w:val="en-GB"/>
        </w:rPr>
        <w:footnoteReference w:id="121"/>
      </w:r>
    </w:p>
    <w:p w14:paraId="07C791DB" w14:textId="695E2BA4" w:rsidR="00C15248" w:rsidRPr="00A307C6" w:rsidRDefault="00611AAC" w:rsidP="00C15248">
      <w:pPr>
        <w:pStyle w:val="Paragraph"/>
        <w:rPr>
          <w:lang w:val="en-GB"/>
        </w:rPr>
      </w:pPr>
      <w:r w:rsidRPr="00A307C6">
        <w:rPr>
          <w:lang w:val="en-GB"/>
        </w:rPr>
        <w:t xml:space="preserve">Sexual violence during the period 2013 to 2016 in Unity </w:t>
      </w:r>
      <w:r w:rsidR="00CF13DB">
        <w:rPr>
          <w:lang w:val="en-GB"/>
        </w:rPr>
        <w:t>S</w:t>
      </w:r>
      <w:r w:rsidRPr="00A307C6">
        <w:rPr>
          <w:lang w:val="en-GB"/>
        </w:rPr>
        <w:t xml:space="preserve">tate has been perpetrated along ethnic lines, and is linked to the broader conflict as it plays out amongst elites and sub-clans amongst the Nuer. </w:t>
      </w:r>
      <w:r w:rsidR="00C15248" w:rsidRPr="00A307C6">
        <w:rPr>
          <w:lang w:val="en-GB"/>
        </w:rPr>
        <w:t>The conflict in</w:t>
      </w:r>
      <w:r w:rsidR="00CF13DB">
        <w:rPr>
          <w:lang w:val="en-GB"/>
        </w:rPr>
        <w:t xml:space="preserve"> Unity</w:t>
      </w:r>
      <w:r w:rsidR="00C15248" w:rsidRPr="00A307C6">
        <w:rPr>
          <w:lang w:val="en-GB"/>
        </w:rPr>
        <w:t xml:space="preserve"> has previously been documented by the African Union Commission of Inquiry in South Sudan (AUCISS)</w:t>
      </w:r>
      <w:r w:rsidR="00CF13DB">
        <w:rPr>
          <w:lang w:val="en-GB"/>
        </w:rPr>
        <w:t>,</w:t>
      </w:r>
      <w:r w:rsidR="00C15248" w:rsidRPr="00A307C6">
        <w:rPr>
          <w:lang w:val="en-GB"/>
        </w:rPr>
        <w:t xml:space="preserve"> </w:t>
      </w:r>
      <w:r w:rsidR="00CF13DB">
        <w:rPr>
          <w:lang w:val="en-GB"/>
        </w:rPr>
        <w:t xml:space="preserve">which </w:t>
      </w:r>
      <w:r w:rsidR="00C15248" w:rsidRPr="00A307C6">
        <w:rPr>
          <w:lang w:val="en-GB"/>
        </w:rPr>
        <w:t xml:space="preserve">in 2014 </w:t>
      </w:r>
      <w:r w:rsidR="00CF13DB">
        <w:rPr>
          <w:lang w:val="en-GB"/>
        </w:rPr>
        <w:t>reported on</w:t>
      </w:r>
      <w:r w:rsidR="00C15248" w:rsidRPr="00A307C6">
        <w:rPr>
          <w:lang w:val="en-GB"/>
        </w:rPr>
        <w:t xml:space="preserve"> incidents of sexual violence, which included rape, gang rape and the sexual assault of women, girls, men and boys which was widespread and extensive </w:t>
      </w:r>
      <w:r w:rsidR="00C15248" w:rsidRPr="00A307C6">
        <w:rPr>
          <w:lang w:val="en-GB"/>
        </w:rPr>
        <w:lastRenderedPageBreak/>
        <w:t>in Unity state. As Bentiu Town and surrounding areas changed hands between government and opposition forces, women and girls from opposing groups were deliberate</w:t>
      </w:r>
      <w:r w:rsidR="0071668B" w:rsidRPr="00A307C6">
        <w:rPr>
          <w:lang w:val="en-GB"/>
        </w:rPr>
        <w:t>ly</w:t>
      </w:r>
      <w:r w:rsidR="00C15248" w:rsidRPr="00A307C6">
        <w:rPr>
          <w:lang w:val="en-GB"/>
        </w:rPr>
        <w:t xml:space="preserve"> targeted, raped and sexually violated and furthermore used by all of the armed groups as sexual slaves. Between 2014 and 2015, as the conflict raged, Unity became the focal point for rape and sexual violence, in areas such as Leer, </w:t>
      </w:r>
      <w:proofErr w:type="spellStart"/>
      <w:r w:rsidR="00C15248" w:rsidRPr="00A307C6">
        <w:rPr>
          <w:lang w:val="en-GB"/>
        </w:rPr>
        <w:t>Guit</w:t>
      </w:r>
      <w:proofErr w:type="spellEnd"/>
      <w:r w:rsidR="00C15248" w:rsidRPr="00A307C6">
        <w:rPr>
          <w:lang w:val="en-GB"/>
        </w:rPr>
        <w:t xml:space="preserve">, </w:t>
      </w:r>
      <w:proofErr w:type="spellStart"/>
      <w:r w:rsidR="00C15248" w:rsidRPr="00A307C6">
        <w:rPr>
          <w:lang w:val="en-GB"/>
        </w:rPr>
        <w:t>Mayom</w:t>
      </w:r>
      <w:proofErr w:type="spellEnd"/>
      <w:r w:rsidR="00C15248" w:rsidRPr="00A307C6">
        <w:rPr>
          <w:lang w:val="en-GB"/>
        </w:rPr>
        <w:t xml:space="preserve"> and </w:t>
      </w:r>
      <w:proofErr w:type="spellStart"/>
      <w:r w:rsidR="00C15248" w:rsidRPr="00A307C6">
        <w:rPr>
          <w:lang w:val="en-GB"/>
        </w:rPr>
        <w:t>Mayendit</w:t>
      </w:r>
      <w:proofErr w:type="spellEnd"/>
      <w:r w:rsidR="00C15248" w:rsidRPr="00A307C6">
        <w:rPr>
          <w:lang w:val="en-GB"/>
        </w:rPr>
        <w:t xml:space="preserve">. The United Nations Office of the High Commissioner for Human Rights (OHCHR) also documented numerous incidents of sexual violence in Southern Unity State, in an assessment mission conducted over 2015 and 2016. The OHCHR found that offensives in southern and central counties forced civilians, primarily women and girls, out of their villages, with most seeking refuge in the Bentiu POC </w:t>
      </w:r>
      <w:r w:rsidR="0071668B" w:rsidRPr="00A307C6">
        <w:rPr>
          <w:lang w:val="en-GB"/>
        </w:rPr>
        <w:t>site</w:t>
      </w:r>
      <w:r w:rsidR="00C15248" w:rsidRPr="00A307C6">
        <w:rPr>
          <w:lang w:val="en-GB"/>
        </w:rPr>
        <w:t xml:space="preserve"> </w:t>
      </w:r>
      <w:r w:rsidR="00C67775">
        <w:rPr>
          <w:lang w:val="en-GB"/>
        </w:rPr>
        <w:t>then-</w:t>
      </w:r>
      <w:r w:rsidR="00C15248" w:rsidRPr="00A307C6">
        <w:rPr>
          <w:lang w:val="en-GB"/>
        </w:rPr>
        <w:t>run by UNMISS, while men and boys mostly joined the different armed factions. During this period of</w:t>
      </w:r>
      <w:r w:rsidR="00CF13DB">
        <w:rPr>
          <w:lang w:val="en-GB"/>
        </w:rPr>
        <w:t xml:space="preserve"> the</w:t>
      </w:r>
      <w:r w:rsidR="00C15248" w:rsidRPr="00A307C6">
        <w:rPr>
          <w:lang w:val="en-GB"/>
        </w:rPr>
        <w:t xml:space="preserve"> conflict, most perpetrators were less easily identifiable as government or opposition forces and identified as “unknown gun-men” or mask wearing attackers. </w:t>
      </w:r>
      <w:r w:rsidR="00C15248" w:rsidRPr="00A307C6">
        <w:rPr>
          <w:vertAlign w:val="superscript"/>
          <w:lang w:val="en-GB"/>
        </w:rPr>
        <w:footnoteReference w:id="122"/>
      </w:r>
    </w:p>
    <w:p w14:paraId="71429396" w14:textId="3E38E874" w:rsidR="00611AAC" w:rsidRPr="00A307C6" w:rsidRDefault="009B3672" w:rsidP="006F6809">
      <w:pPr>
        <w:pStyle w:val="Paragraph"/>
        <w:rPr>
          <w:lang w:val="en-GB"/>
        </w:rPr>
      </w:pPr>
      <w:r w:rsidRPr="00A307C6">
        <w:rPr>
          <w:lang w:val="en-GB"/>
        </w:rPr>
        <w:t xml:space="preserve">From </w:t>
      </w:r>
      <w:r w:rsidR="00611AAC" w:rsidRPr="00A307C6">
        <w:rPr>
          <w:lang w:val="en-GB"/>
        </w:rPr>
        <w:t xml:space="preserve">November 2018 </w:t>
      </w:r>
      <w:r w:rsidRPr="00A307C6">
        <w:rPr>
          <w:lang w:val="en-GB"/>
        </w:rPr>
        <w:t xml:space="preserve">to </w:t>
      </w:r>
      <w:r w:rsidR="00611AAC" w:rsidRPr="00A307C6">
        <w:rPr>
          <w:lang w:val="en-GB"/>
        </w:rPr>
        <w:t>January 2019</w:t>
      </w:r>
      <w:r w:rsidRPr="00A307C6">
        <w:rPr>
          <w:lang w:val="en-GB"/>
        </w:rPr>
        <w:t xml:space="preserve"> there was </w:t>
      </w:r>
      <w:r w:rsidR="00611AAC" w:rsidRPr="00A307C6">
        <w:rPr>
          <w:lang w:val="en-GB"/>
        </w:rPr>
        <w:t xml:space="preserve">a spike in </w:t>
      </w:r>
      <w:r w:rsidRPr="00A307C6">
        <w:rPr>
          <w:lang w:val="en-GB"/>
        </w:rPr>
        <w:t xml:space="preserve">the reporting of </w:t>
      </w:r>
      <w:r w:rsidR="00611AAC" w:rsidRPr="00A307C6">
        <w:rPr>
          <w:lang w:val="en-GB"/>
        </w:rPr>
        <w:t>cases of rape and gang rape</w:t>
      </w:r>
      <w:r w:rsidRPr="00A307C6">
        <w:rPr>
          <w:lang w:val="en-GB"/>
        </w:rPr>
        <w:t>,</w:t>
      </w:r>
      <w:r w:rsidR="00611AAC" w:rsidRPr="00A307C6">
        <w:rPr>
          <w:lang w:val="en-GB"/>
        </w:rPr>
        <w:t xml:space="preserve"> following the signing of the </w:t>
      </w:r>
      <w:r w:rsidRPr="00A307C6">
        <w:rPr>
          <w:lang w:val="en-GB"/>
        </w:rPr>
        <w:t xml:space="preserve">2018 Revitalized Agreement </w:t>
      </w:r>
      <w:r w:rsidR="00611AAC" w:rsidRPr="00A307C6">
        <w:rPr>
          <w:lang w:val="en-GB"/>
        </w:rPr>
        <w:t xml:space="preserve">and prior to the formation of the </w:t>
      </w:r>
      <w:r w:rsidR="00CF13DB">
        <w:rPr>
          <w:lang w:val="en-GB"/>
        </w:rPr>
        <w:t>T</w:t>
      </w:r>
      <w:r w:rsidRPr="00A307C6">
        <w:rPr>
          <w:lang w:val="en-GB"/>
        </w:rPr>
        <w:t xml:space="preserve">ransitional </w:t>
      </w:r>
      <w:r w:rsidR="00CF13DB">
        <w:rPr>
          <w:lang w:val="en-GB"/>
        </w:rPr>
        <w:t>G</w:t>
      </w:r>
      <w:r w:rsidR="00611AAC" w:rsidRPr="00A307C6">
        <w:rPr>
          <w:lang w:val="en-GB"/>
        </w:rPr>
        <w:t>overnment.</w:t>
      </w:r>
      <w:r w:rsidR="006C24BD" w:rsidRPr="00A307C6">
        <w:rPr>
          <w:rStyle w:val="FootnoteReference"/>
          <w:lang w:val="en-GB"/>
        </w:rPr>
        <w:footnoteReference w:id="123"/>
      </w:r>
      <w:r w:rsidR="00611AAC" w:rsidRPr="00A307C6">
        <w:rPr>
          <w:lang w:val="en-GB"/>
        </w:rPr>
        <w:t xml:space="preserve"> These reported incidents</w:t>
      </w:r>
      <w:r w:rsidR="00CF13DB">
        <w:rPr>
          <w:lang w:val="en-GB"/>
        </w:rPr>
        <w:t>, which</w:t>
      </w:r>
      <w:r w:rsidR="00611AAC" w:rsidRPr="00A307C6">
        <w:rPr>
          <w:lang w:val="en-GB"/>
        </w:rPr>
        <w:t xml:space="preserve"> coincided with the 16 Days of Activism on Violence Against Women, saw numerous women raped in a short space of time; despite the perceptions that the security situation had improved in the area since June of that year.</w:t>
      </w:r>
      <w:r w:rsidR="00611AAC" w:rsidRPr="00A307C6">
        <w:rPr>
          <w:vertAlign w:val="superscript"/>
          <w:lang w:val="en-GB"/>
        </w:rPr>
        <w:footnoteReference w:id="124"/>
      </w:r>
      <w:r w:rsidR="00ED27A6" w:rsidRPr="00A307C6">
        <w:rPr>
          <w:lang w:val="en-GB"/>
        </w:rPr>
        <w:t xml:space="preserve"> </w:t>
      </w:r>
      <w:proofErr w:type="spellStart"/>
      <w:r w:rsidRPr="00A307C6">
        <w:rPr>
          <w:lang w:val="en-GB"/>
        </w:rPr>
        <w:t>M</w:t>
      </w:r>
      <w:r w:rsidR="0089052E" w:rsidRPr="00A307C6">
        <w:rPr>
          <w:lang w:val="en-GB"/>
        </w:rPr>
        <w:t>é</w:t>
      </w:r>
      <w:r w:rsidRPr="00A307C6">
        <w:rPr>
          <w:lang w:val="en-GB"/>
        </w:rPr>
        <w:t>dicins</w:t>
      </w:r>
      <w:proofErr w:type="spellEnd"/>
      <w:r w:rsidRPr="00A307C6">
        <w:rPr>
          <w:lang w:val="en-GB"/>
        </w:rPr>
        <w:t xml:space="preserve"> Sans </w:t>
      </w:r>
      <w:proofErr w:type="spellStart"/>
      <w:r w:rsidRPr="00A307C6">
        <w:rPr>
          <w:lang w:val="en-GB"/>
        </w:rPr>
        <w:t>Fronti</w:t>
      </w:r>
      <w:r w:rsidR="0089052E" w:rsidRPr="00A307C6">
        <w:rPr>
          <w:lang w:val="en-GB"/>
        </w:rPr>
        <w:t>è</w:t>
      </w:r>
      <w:r w:rsidRPr="00A307C6">
        <w:rPr>
          <w:lang w:val="en-GB"/>
        </w:rPr>
        <w:t>r</w:t>
      </w:r>
      <w:r w:rsidR="00ED27A6" w:rsidRPr="00A307C6">
        <w:rPr>
          <w:lang w:val="en-GB"/>
        </w:rPr>
        <w:t>e</w:t>
      </w:r>
      <w:r w:rsidRPr="00A307C6">
        <w:rPr>
          <w:lang w:val="en-GB"/>
        </w:rPr>
        <w:t>s</w:t>
      </w:r>
      <w:proofErr w:type="spellEnd"/>
      <w:r w:rsidRPr="00A307C6">
        <w:rPr>
          <w:lang w:val="en-GB"/>
        </w:rPr>
        <w:t xml:space="preserve"> (MSF) </w:t>
      </w:r>
      <w:r w:rsidR="00611AAC" w:rsidRPr="00A307C6">
        <w:rPr>
          <w:lang w:val="en-GB"/>
        </w:rPr>
        <w:t xml:space="preserve">noted this spike in the </w:t>
      </w:r>
      <w:r w:rsidR="00CF13DB">
        <w:rPr>
          <w:lang w:val="en-GB"/>
        </w:rPr>
        <w:t xml:space="preserve">course </w:t>
      </w:r>
      <w:r w:rsidR="00611AAC" w:rsidRPr="00A307C6">
        <w:rPr>
          <w:lang w:val="en-GB"/>
        </w:rPr>
        <w:t xml:space="preserve">of their own humanitarian support to women and girls and in November 2018 </w:t>
      </w:r>
      <w:r w:rsidR="002D041B" w:rsidRPr="00A307C6">
        <w:rPr>
          <w:lang w:val="en-GB"/>
        </w:rPr>
        <w:t xml:space="preserve">took the courageous </w:t>
      </w:r>
      <w:r w:rsidRPr="00A307C6">
        <w:rPr>
          <w:lang w:val="en-GB"/>
        </w:rPr>
        <w:t xml:space="preserve">step of publicly </w:t>
      </w:r>
      <w:r w:rsidR="00611AAC" w:rsidRPr="00A307C6">
        <w:rPr>
          <w:lang w:val="en-GB"/>
        </w:rPr>
        <w:t>report</w:t>
      </w:r>
      <w:r w:rsidRPr="00A307C6">
        <w:rPr>
          <w:lang w:val="en-GB"/>
        </w:rPr>
        <w:t>ing on</w:t>
      </w:r>
      <w:r w:rsidR="00611AAC" w:rsidRPr="00A307C6">
        <w:rPr>
          <w:lang w:val="en-GB"/>
        </w:rPr>
        <w:t xml:space="preserve"> what they were </w:t>
      </w:r>
      <w:r w:rsidR="00F3105E">
        <w:rPr>
          <w:lang w:val="en-GB"/>
        </w:rPr>
        <w:t>witnessing</w:t>
      </w:r>
      <w:r w:rsidR="00611AAC" w:rsidRPr="00A307C6">
        <w:rPr>
          <w:lang w:val="en-GB"/>
        </w:rPr>
        <w:t xml:space="preserve">. The MSF reports were corroborated and confirmed by other humanitarian agencies, members of the community in </w:t>
      </w:r>
      <w:proofErr w:type="spellStart"/>
      <w:r w:rsidR="00611AAC" w:rsidRPr="00A307C6">
        <w:rPr>
          <w:lang w:val="en-GB"/>
        </w:rPr>
        <w:t>Bentiu</w:t>
      </w:r>
      <w:proofErr w:type="spellEnd"/>
      <w:r w:rsidR="00611AAC" w:rsidRPr="00A307C6">
        <w:rPr>
          <w:lang w:val="en-GB"/>
        </w:rPr>
        <w:t xml:space="preserve"> and </w:t>
      </w:r>
      <w:proofErr w:type="spellStart"/>
      <w:r w:rsidR="00611AAC" w:rsidRPr="00A307C6">
        <w:rPr>
          <w:lang w:val="en-GB"/>
        </w:rPr>
        <w:t>Rubkona</w:t>
      </w:r>
      <w:proofErr w:type="spellEnd"/>
      <w:r w:rsidR="00611AAC" w:rsidRPr="00A307C6">
        <w:rPr>
          <w:lang w:val="en-GB"/>
        </w:rPr>
        <w:t xml:space="preserve"> as well as the Government.</w:t>
      </w:r>
      <w:r w:rsidR="00611AAC" w:rsidRPr="00A307C6">
        <w:rPr>
          <w:vertAlign w:val="superscript"/>
          <w:lang w:val="en-GB"/>
        </w:rPr>
        <w:footnoteReference w:id="125"/>
      </w:r>
      <w:r w:rsidR="00611AAC" w:rsidRPr="00A307C6">
        <w:rPr>
          <w:lang w:val="en-GB"/>
        </w:rPr>
        <w:t xml:space="preserve"> The cases reported in the Bentiu Triangle of </w:t>
      </w:r>
      <w:proofErr w:type="spellStart"/>
      <w:r w:rsidR="00611AAC" w:rsidRPr="00A307C6">
        <w:rPr>
          <w:lang w:val="en-GB"/>
        </w:rPr>
        <w:t>Bentiu</w:t>
      </w:r>
      <w:proofErr w:type="spellEnd"/>
      <w:r w:rsidR="00611AAC" w:rsidRPr="00A307C6">
        <w:rPr>
          <w:lang w:val="en-GB"/>
        </w:rPr>
        <w:t xml:space="preserve">, </w:t>
      </w:r>
      <w:proofErr w:type="spellStart"/>
      <w:r w:rsidR="00611AAC" w:rsidRPr="00A307C6">
        <w:rPr>
          <w:lang w:val="en-GB"/>
        </w:rPr>
        <w:t>Guit</w:t>
      </w:r>
      <w:proofErr w:type="spellEnd"/>
      <w:r w:rsidR="00611AAC" w:rsidRPr="00A307C6">
        <w:rPr>
          <w:lang w:val="en-GB"/>
        </w:rPr>
        <w:t xml:space="preserve"> and </w:t>
      </w:r>
      <w:proofErr w:type="spellStart"/>
      <w:r w:rsidR="00611AAC" w:rsidRPr="00A307C6">
        <w:rPr>
          <w:lang w:val="en-GB"/>
        </w:rPr>
        <w:t>Nhialdu</w:t>
      </w:r>
      <w:proofErr w:type="spellEnd"/>
      <w:r w:rsidR="00611AAC" w:rsidRPr="00A307C6">
        <w:rPr>
          <w:lang w:val="en-GB"/>
        </w:rPr>
        <w:t xml:space="preserve"> were shrouded in controversy, as the </w:t>
      </w:r>
      <w:r w:rsidR="0089052E" w:rsidRPr="00A307C6">
        <w:rPr>
          <w:lang w:val="en-GB"/>
        </w:rPr>
        <w:t>G</w:t>
      </w:r>
      <w:r w:rsidR="00611AAC" w:rsidRPr="00A307C6">
        <w:rPr>
          <w:lang w:val="en-GB"/>
        </w:rPr>
        <w:t xml:space="preserve">overnment chose to </w:t>
      </w:r>
      <w:r w:rsidRPr="00A307C6">
        <w:rPr>
          <w:lang w:val="en-GB"/>
        </w:rPr>
        <w:t xml:space="preserve">publicly rebuke </w:t>
      </w:r>
      <w:r w:rsidR="00611AAC" w:rsidRPr="00A307C6">
        <w:rPr>
          <w:lang w:val="en-GB"/>
        </w:rPr>
        <w:t>MSF for reporting these cases, rather than investigating those said to be responsible.</w:t>
      </w:r>
      <w:r w:rsidR="0071668B" w:rsidRPr="00A307C6">
        <w:rPr>
          <w:rStyle w:val="FootnoteReference"/>
          <w:lang w:val="en-GB"/>
        </w:rPr>
        <w:footnoteReference w:id="126"/>
      </w:r>
      <w:r w:rsidR="00611AAC" w:rsidRPr="00A307C6">
        <w:rPr>
          <w:lang w:val="en-GB"/>
        </w:rPr>
        <w:t xml:space="preserve"> The Bentiu incidents </w:t>
      </w:r>
      <w:r w:rsidRPr="00A307C6">
        <w:rPr>
          <w:lang w:val="en-GB"/>
        </w:rPr>
        <w:t xml:space="preserve">are </w:t>
      </w:r>
      <w:r w:rsidR="00611AAC" w:rsidRPr="00A307C6">
        <w:rPr>
          <w:lang w:val="en-GB"/>
        </w:rPr>
        <w:t>typical of patterns</w:t>
      </w:r>
      <w:r w:rsidR="00491DDB">
        <w:rPr>
          <w:lang w:val="en-GB"/>
        </w:rPr>
        <w:t xml:space="preserve">, </w:t>
      </w:r>
      <w:r w:rsidR="00611AAC" w:rsidRPr="00A307C6">
        <w:rPr>
          <w:lang w:val="en-GB"/>
        </w:rPr>
        <w:t xml:space="preserve">trends </w:t>
      </w:r>
      <w:r w:rsidR="00491DDB">
        <w:rPr>
          <w:lang w:val="en-GB"/>
        </w:rPr>
        <w:t xml:space="preserve">and drivers </w:t>
      </w:r>
      <w:r w:rsidR="00611AAC" w:rsidRPr="00A307C6">
        <w:rPr>
          <w:lang w:val="en-GB"/>
        </w:rPr>
        <w:t>of conflict</w:t>
      </w:r>
      <w:r w:rsidR="00491DDB">
        <w:rPr>
          <w:lang w:val="en-GB"/>
        </w:rPr>
        <w:t>-</w:t>
      </w:r>
      <w:r w:rsidR="00611AAC" w:rsidRPr="00A307C6">
        <w:rPr>
          <w:lang w:val="en-GB"/>
        </w:rPr>
        <w:t>related sexual violence in South Sudan</w:t>
      </w:r>
      <w:r w:rsidR="00491DDB">
        <w:rPr>
          <w:lang w:val="en-GB"/>
        </w:rPr>
        <w:t xml:space="preserve">: this </w:t>
      </w:r>
      <w:r w:rsidR="00611AAC" w:rsidRPr="00A307C6">
        <w:rPr>
          <w:lang w:val="en-GB"/>
        </w:rPr>
        <w:t>include</w:t>
      </w:r>
      <w:r w:rsidR="00491DDB">
        <w:rPr>
          <w:lang w:val="en-GB"/>
        </w:rPr>
        <w:t>s</w:t>
      </w:r>
      <w:r w:rsidR="00611AAC" w:rsidRPr="00A307C6">
        <w:rPr>
          <w:lang w:val="en-GB"/>
        </w:rPr>
        <w:t xml:space="preserve"> </w:t>
      </w:r>
      <w:r w:rsidR="00491DDB">
        <w:rPr>
          <w:lang w:val="en-GB"/>
        </w:rPr>
        <w:t xml:space="preserve">the </w:t>
      </w:r>
      <w:r w:rsidR="00611AAC" w:rsidRPr="00A307C6">
        <w:rPr>
          <w:lang w:val="en-GB"/>
        </w:rPr>
        <w:t>militarisation of the area</w:t>
      </w:r>
      <w:r w:rsidR="00491DDB">
        <w:rPr>
          <w:lang w:val="en-GB"/>
        </w:rPr>
        <w:t>, including</w:t>
      </w:r>
      <w:r w:rsidR="00611AAC" w:rsidRPr="00A307C6">
        <w:rPr>
          <w:lang w:val="en-GB"/>
        </w:rPr>
        <w:t xml:space="preserve"> through the </w:t>
      </w:r>
      <w:r w:rsidR="00491DDB">
        <w:rPr>
          <w:lang w:val="en-GB"/>
        </w:rPr>
        <w:t xml:space="preserve">mobilization </w:t>
      </w:r>
      <w:r w:rsidR="00611AAC" w:rsidRPr="00A307C6">
        <w:rPr>
          <w:lang w:val="en-GB"/>
        </w:rPr>
        <w:t xml:space="preserve">of youth militia </w:t>
      </w:r>
      <w:r w:rsidR="00491DDB">
        <w:rPr>
          <w:lang w:val="en-GB"/>
        </w:rPr>
        <w:t xml:space="preserve">to </w:t>
      </w:r>
      <w:r w:rsidR="00611AAC" w:rsidRPr="00A307C6">
        <w:rPr>
          <w:lang w:val="en-GB"/>
        </w:rPr>
        <w:t>fight</w:t>
      </w:r>
      <w:r w:rsidR="00491DDB">
        <w:rPr>
          <w:lang w:val="en-GB"/>
        </w:rPr>
        <w:t xml:space="preserve"> alongside </w:t>
      </w:r>
      <w:r w:rsidR="00611AAC" w:rsidRPr="00A307C6">
        <w:rPr>
          <w:lang w:val="en-GB"/>
        </w:rPr>
        <w:lastRenderedPageBreak/>
        <w:t>government and opposition forces</w:t>
      </w:r>
      <w:r w:rsidR="00491DDB">
        <w:rPr>
          <w:lang w:val="en-GB"/>
        </w:rPr>
        <w:t>,</w:t>
      </w:r>
      <w:r w:rsidR="00611AAC" w:rsidRPr="00A307C6">
        <w:rPr>
          <w:lang w:val="en-GB"/>
        </w:rPr>
        <w:t xml:space="preserve"> and </w:t>
      </w:r>
      <w:r w:rsidR="00491DDB">
        <w:rPr>
          <w:lang w:val="en-GB"/>
        </w:rPr>
        <w:t xml:space="preserve">the creation of </w:t>
      </w:r>
      <w:r w:rsidR="00611AAC" w:rsidRPr="00A307C6">
        <w:rPr>
          <w:lang w:val="en-GB"/>
        </w:rPr>
        <w:t>special defence forces linked to politicians and high</w:t>
      </w:r>
      <w:r w:rsidR="00C20D3D" w:rsidRPr="00A307C6">
        <w:rPr>
          <w:lang w:val="en-GB"/>
        </w:rPr>
        <w:t>-</w:t>
      </w:r>
      <w:r w:rsidR="00611AAC" w:rsidRPr="00A307C6">
        <w:rPr>
          <w:lang w:val="en-GB"/>
        </w:rPr>
        <w:t>ranking officials.</w:t>
      </w:r>
      <w:r w:rsidR="0071668B" w:rsidRPr="00A307C6">
        <w:rPr>
          <w:rStyle w:val="FootnoteReference"/>
          <w:lang w:val="en-GB"/>
        </w:rPr>
        <w:footnoteReference w:id="127"/>
      </w:r>
      <w:r w:rsidR="00611AAC" w:rsidRPr="00A307C6">
        <w:rPr>
          <w:lang w:val="en-GB"/>
        </w:rPr>
        <w:t xml:space="preserve"> A second factor involves </w:t>
      </w:r>
      <w:r w:rsidR="00491DDB">
        <w:rPr>
          <w:lang w:val="en-GB"/>
        </w:rPr>
        <w:t xml:space="preserve">other </w:t>
      </w:r>
      <w:r w:rsidR="00611AAC" w:rsidRPr="00A307C6">
        <w:rPr>
          <w:lang w:val="en-GB"/>
        </w:rPr>
        <w:t xml:space="preserve">dynamics at </w:t>
      </w:r>
      <w:r w:rsidR="00491DDB">
        <w:rPr>
          <w:lang w:val="en-GB"/>
        </w:rPr>
        <w:t xml:space="preserve">local </w:t>
      </w:r>
      <w:r w:rsidR="00611AAC" w:rsidRPr="00A307C6">
        <w:rPr>
          <w:lang w:val="en-GB"/>
        </w:rPr>
        <w:t xml:space="preserve">level </w:t>
      </w:r>
      <w:r w:rsidR="00491DDB">
        <w:rPr>
          <w:lang w:val="en-GB"/>
        </w:rPr>
        <w:t xml:space="preserve">including </w:t>
      </w:r>
      <w:r w:rsidR="00611AAC" w:rsidRPr="00A307C6">
        <w:rPr>
          <w:lang w:val="en-GB"/>
        </w:rPr>
        <w:t>historical grievances</w:t>
      </w:r>
      <w:r w:rsidR="00491DDB">
        <w:rPr>
          <w:lang w:val="en-GB"/>
        </w:rPr>
        <w:t xml:space="preserve"> that perpetuate conflict</w:t>
      </w:r>
      <w:r w:rsidR="0089052E" w:rsidRPr="00A307C6">
        <w:rPr>
          <w:lang w:val="en-GB"/>
        </w:rPr>
        <w:t>,</w:t>
      </w:r>
      <w:r w:rsidR="00611AAC" w:rsidRPr="00A307C6">
        <w:rPr>
          <w:lang w:val="en-GB"/>
        </w:rPr>
        <w:t xml:space="preserve"> and third, the</w:t>
      </w:r>
      <w:r w:rsidR="0089052E" w:rsidRPr="00A307C6">
        <w:rPr>
          <w:lang w:val="en-GB"/>
        </w:rPr>
        <w:t>re is</w:t>
      </w:r>
      <w:r w:rsidR="00611AAC" w:rsidRPr="00A307C6">
        <w:rPr>
          <w:lang w:val="en-GB"/>
        </w:rPr>
        <w:t xml:space="preserve"> </w:t>
      </w:r>
      <w:r w:rsidR="00C67775">
        <w:rPr>
          <w:lang w:val="en-GB"/>
        </w:rPr>
        <w:t xml:space="preserve">the </w:t>
      </w:r>
      <w:r w:rsidR="00611AAC" w:rsidRPr="00A307C6">
        <w:rPr>
          <w:lang w:val="en-GB"/>
        </w:rPr>
        <w:t xml:space="preserve">impact of the protracted conflict on young people, where traditional </w:t>
      </w:r>
      <w:r w:rsidR="00531FA9" w:rsidRPr="00A307C6">
        <w:rPr>
          <w:lang w:val="en-GB"/>
        </w:rPr>
        <w:t>social structures</w:t>
      </w:r>
      <w:r w:rsidR="00491DDB">
        <w:rPr>
          <w:lang w:val="en-GB"/>
        </w:rPr>
        <w:t xml:space="preserve">, that previously tempered young male behaviour, </w:t>
      </w:r>
      <w:r w:rsidR="00611AAC" w:rsidRPr="00A307C6">
        <w:rPr>
          <w:lang w:val="en-GB"/>
        </w:rPr>
        <w:t xml:space="preserve">have become distorted. </w:t>
      </w:r>
    </w:p>
    <w:p w14:paraId="79107CB8" w14:textId="796BCAED" w:rsidR="00611AAC" w:rsidRPr="00A307C6" w:rsidRDefault="00611AAC" w:rsidP="006F6809">
      <w:pPr>
        <w:pStyle w:val="Paragraph"/>
        <w:rPr>
          <w:lang w:val="en-GB"/>
        </w:rPr>
      </w:pPr>
      <w:r w:rsidRPr="00A307C6">
        <w:rPr>
          <w:lang w:val="en-GB"/>
        </w:rPr>
        <w:t>Following the</w:t>
      </w:r>
      <w:r w:rsidR="00531FA9" w:rsidRPr="00A307C6">
        <w:rPr>
          <w:lang w:val="en-GB"/>
        </w:rPr>
        <w:t xml:space="preserve"> reporting of a large number of rapes in </w:t>
      </w:r>
      <w:r w:rsidRPr="00A307C6">
        <w:rPr>
          <w:lang w:val="en-GB"/>
        </w:rPr>
        <w:t>Bentiu, the Commission conducted its own follow</w:t>
      </w:r>
      <w:r w:rsidR="0089052E" w:rsidRPr="00A307C6">
        <w:rPr>
          <w:lang w:val="en-GB"/>
        </w:rPr>
        <w:t>-</w:t>
      </w:r>
      <w:r w:rsidRPr="00A307C6">
        <w:rPr>
          <w:lang w:val="en-GB"/>
        </w:rPr>
        <w:t xml:space="preserve">up missions in early 2020 and then in late 2021, to Bentiu and other locations in Unity </w:t>
      </w:r>
      <w:r w:rsidR="00531FA9" w:rsidRPr="00A307C6">
        <w:rPr>
          <w:lang w:val="en-GB"/>
        </w:rPr>
        <w:t>S</w:t>
      </w:r>
      <w:r w:rsidRPr="00A307C6">
        <w:rPr>
          <w:lang w:val="en-GB"/>
        </w:rPr>
        <w:t>tate to gather additional information on the reported rapes in the area and to obtain a deeper understanding o</w:t>
      </w:r>
      <w:r w:rsidR="0089052E" w:rsidRPr="00A307C6">
        <w:rPr>
          <w:lang w:val="en-GB"/>
        </w:rPr>
        <w:t>f</w:t>
      </w:r>
      <w:r w:rsidRPr="00A307C6">
        <w:rPr>
          <w:lang w:val="en-GB"/>
        </w:rPr>
        <w:t xml:space="preserve"> the links between these incidents and the general cycles of atrocities and human rights violation</w:t>
      </w:r>
      <w:r w:rsidR="00D57133">
        <w:rPr>
          <w:lang w:val="en-GB"/>
        </w:rPr>
        <w:t>s</w:t>
      </w:r>
      <w:r w:rsidRPr="00A307C6">
        <w:rPr>
          <w:lang w:val="en-GB"/>
        </w:rPr>
        <w:t xml:space="preserve"> in the state. In discussions on the spike in cases of sexual violence from November 2018, a</w:t>
      </w:r>
      <w:r w:rsidR="002D041B" w:rsidRPr="00A307C6">
        <w:rPr>
          <w:lang w:val="en-GB"/>
        </w:rPr>
        <w:t xml:space="preserve"> witness </w:t>
      </w:r>
      <w:r w:rsidRPr="00A307C6">
        <w:rPr>
          <w:lang w:val="en-GB"/>
        </w:rPr>
        <w:t>told the Commission that “Bentiu has a long history of atrocity crimes, and that it will take a lot to achieve peace and stability.”</w:t>
      </w:r>
      <w:r w:rsidRPr="00A307C6">
        <w:rPr>
          <w:vertAlign w:val="superscript"/>
          <w:lang w:val="en-GB"/>
        </w:rPr>
        <w:footnoteReference w:id="128"/>
      </w:r>
      <w:r w:rsidRPr="00A307C6">
        <w:rPr>
          <w:lang w:val="en-GB"/>
        </w:rPr>
        <w:t xml:space="preserve"> </w:t>
      </w:r>
      <w:r w:rsidR="009F4654" w:rsidRPr="00A307C6">
        <w:rPr>
          <w:lang w:val="en-GB"/>
        </w:rPr>
        <w:t xml:space="preserve">The witness </w:t>
      </w:r>
      <w:r w:rsidRPr="00A307C6">
        <w:rPr>
          <w:lang w:val="en-GB"/>
        </w:rPr>
        <w:t>explained that the spike in sexual violence was a confluence of several factors, which were known to authorities and that despite the initial willingness of the Government in Juba to respond, officials on the ground at state level “were in denial stating that there were no people raped and claiming there was no concrete evidence”</w:t>
      </w:r>
      <w:r w:rsidRPr="00A307C6">
        <w:rPr>
          <w:vertAlign w:val="superscript"/>
          <w:lang w:val="en-GB"/>
        </w:rPr>
        <w:footnoteReference w:id="129"/>
      </w:r>
    </w:p>
    <w:p w14:paraId="0D6FD1AF" w14:textId="77777777" w:rsidR="004C6C03" w:rsidRPr="00A307C6" w:rsidRDefault="004C6C03" w:rsidP="004C6C03">
      <w:pPr>
        <w:pStyle w:val="Paragraph"/>
        <w:rPr>
          <w:lang w:val="en-GB"/>
        </w:rPr>
      </w:pPr>
      <w:r w:rsidRPr="00A307C6">
        <w:rPr>
          <w:lang w:val="en-GB"/>
        </w:rPr>
        <w:t xml:space="preserve">The incidents of rape and sexual violence, perpetrated in Bentiu in December 2018 involving more than 100 women over a 10-day period, were initially dismissed by the Government </w:t>
      </w:r>
      <w:r>
        <w:rPr>
          <w:lang w:val="en-GB"/>
        </w:rPr>
        <w:t xml:space="preserve">of South Sudan </w:t>
      </w:r>
      <w:r w:rsidRPr="00A307C6">
        <w:rPr>
          <w:lang w:val="en-GB"/>
        </w:rPr>
        <w:t>as “unfounded and baseless allegations”, but were later found by the Government’s own Investigation Committee to have taken place. The Investigation Committee’s final report conceded that some of the violations had taken place, although the Government continued to maintain that the numbers reported by MSF were an exaggeration.</w:t>
      </w:r>
      <w:r w:rsidRPr="00A307C6">
        <w:rPr>
          <w:vertAlign w:val="superscript"/>
          <w:lang w:val="en-GB"/>
        </w:rPr>
        <w:footnoteReference w:id="130"/>
      </w:r>
      <w:r w:rsidRPr="00A307C6">
        <w:rPr>
          <w:lang w:val="en-GB"/>
        </w:rPr>
        <w:t xml:space="preserve"> The Commission’s own investigation uncovered that the pattern and timing of the incidents of rape and sexual violence was related to the monthly movement of women and girls traveling to the Bentiu POC to receive the food distribution by </w:t>
      </w:r>
      <w:r>
        <w:rPr>
          <w:lang w:val="en-GB"/>
        </w:rPr>
        <w:t>the World Food Programme (</w:t>
      </w:r>
      <w:r w:rsidRPr="00A307C6">
        <w:rPr>
          <w:lang w:val="en-GB"/>
        </w:rPr>
        <w:t>WFP</w:t>
      </w:r>
      <w:r>
        <w:rPr>
          <w:lang w:val="en-GB"/>
        </w:rPr>
        <w:t>)</w:t>
      </w:r>
      <w:r w:rsidRPr="00A307C6">
        <w:rPr>
          <w:lang w:val="en-GB"/>
        </w:rPr>
        <w:t xml:space="preserve">, </w:t>
      </w:r>
      <w:r w:rsidRPr="00A307C6">
        <w:rPr>
          <w:lang w:val="en-GB"/>
        </w:rPr>
        <w:lastRenderedPageBreak/>
        <w:t>and to collect some of their food stored by other family members. And, as shared by one witness, the groups were also collecting black soil to decorate their houses and huts for the nearing Christmas period. Violence surged during this period of increased movement.</w:t>
      </w:r>
      <w:r w:rsidRPr="00A307C6">
        <w:rPr>
          <w:vertAlign w:val="superscript"/>
          <w:lang w:val="en-GB"/>
        </w:rPr>
        <w:footnoteReference w:id="131"/>
      </w:r>
    </w:p>
    <w:p w14:paraId="3BDF03E6" w14:textId="7099EC2D" w:rsidR="00611AAC" w:rsidRPr="00A307C6" w:rsidRDefault="00611AAC" w:rsidP="006F6809">
      <w:pPr>
        <w:pStyle w:val="Paragraph"/>
        <w:rPr>
          <w:lang w:val="en-GB"/>
        </w:rPr>
      </w:pPr>
      <w:r w:rsidRPr="00A307C6">
        <w:rPr>
          <w:lang w:val="en-GB"/>
        </w:rPr>
        <w:t>The violations committed in Bentiu in 2018 were perpetrated by armed actors affiliated to one or other side of the conflict. While many of the survivors spoke of their attackers as unidentifiable</w:t>
      </w:r>
      <w:r w:rsidR="002D041B" w:rsidRPr="00A307C6">
        <w:rPr>
          <w:lang w:val="en-GB"/>
        </w:rPr>
        <w:t xml:space="preserve">, because the perpetrators </w:t>
      </w:r>
      <w:r w:rsidRPr="00A307C6">
        <w:rPr>
          <w:lang w:val="en-GB"/>
        </w:rPr>
        <w:t xml:space="preserve">concealed </w:t>
      </w:r>
      <w:r w:rsidR="002D041B" w:rsidRPr="00A307C6">
        <w:rPr>
          <w:lang w:val="en-GB"/>
        </w:rPr>
        <w:t xml:space="preserve">their </w:t>
      </w:r>
      <w:r w:rsidRPr="00A307C6">
        <w:rPr>
          <w:lang w:val="en-GB"/>
        </w:rPr>
        <w:t xml:space="preserve">identities, </w:t>
      </w:r>
      <w:r w:rsidR="0068369F" w:rsidRPr="00A307C6">
        <w:rPr>
          <w:lang w:val="en-GB"/>
        </w:rPr>
        <w:t xml:space="preserve">they said that </w:t>
      </w:r>
      <w:r w:rsidRPr="00A307C6">
        <w:rPr>
          <w:lang w:val="en-GB"/>
        </w:rPr>
        <w:t xml:space="preserve">the men who attacked them wore civilian clothing, </w:t>
      </w:r>
      <w:r w:rsidR="0068369F" w:rsidRPr="00A307C6">
        <w:rPr>
          <w:lang w:val="en-GB"/>
        </w:rPr>
        <w:t xml:space="preserve">while some wore </w:t>
      </w:r>
      <w:r w:rsidRPr="00A307C6">
        <w:rPr>
          <w:lang w:val="en-GB"/>
        </w:rPr>
        <w:t xml:space="preserve">military clothing or </w:t>
      </w:r>
      <w:r w:rsidR="0068369F" w:rsidRPr="00A307C6">
        <w:rPr>
          <w:lang w:val="en-GB"/>
        </w:rPr>
        <w:t>included men dressed in uniform as well as in civilian cloth</w:t>
      </w:r>
      <w:r w:rsidR="009F4654" w:rsidRPr="00A307C6">
        <w:rPr>
          <w:lang w:val="en-GB"/>
        </w:rPr>
        <w:t>ing</w:t>
      </w:r>
      <w:r w:rsidR="0089052E" w:rsidRPr="00A307C6">
        <w:rPr>
          <w:lang w:val="en-GB"/>
        </w:rPr>
        <w:t>.</w:t>
      </w:r>
      <w:r w:rsidR="009F4654" w:rsidRPr="00A307C6">
        <w:rPr>
          <w:rStyle w:val="FootnoteReference"/>
          <w:lang w:val="en-GB"/>
        </w:rPr>
        <w:footnoteReference w:id="132"/>
      </w:r>
      <w:r w:rsidR="0089052E" w:rsidRPr="00A307C6">
        <w:rPr>
          <w:lang w:val="en-GB"/>
        </w:rPr>
        <w:t xml:space="preserve"> They </w:t>
      </w:r>
      <w:r w:rsidRPr="00A307C6">
        <w:rPr>
          <w:lang w:val="en-GB"/>
        </w:rPr>
        <w:t xml:space="preserve">were always armed, carrying weapons with them including guns; victims </w:t>
      </w:r>
      <w:r w:rsidR="0068369F" w:rsidRPr="00A307C6">
        <w:rPr>
          <w:lang w:val="en-GB"/>
        </w:rPr>
        <w:t xml:space="preserve">also noted the large </w:t>
      </w:r>
      <w:r w:rsidRPr="00A307C6">
        <w:rPr>
          <w:lang w:val="en-GB"/>
        </w:rPr>
        <w:t>number</w:t>
      </w:r>
      <w:r w:rsidR="0068369F" w:rsidRPr="00A307C6">
        <w:rPr>
          <w:lang w:val="en-GB"/>
        </w:rPr>
        <w:t>s</w:t>
      </w:r>
      <w:r w:rsidRPr="00A307C6">
        <w:rPr>
          <w:lang w:val="en-GB"/>
        </w:rPr>
        <w:t xml:space="preserve"> of youth</w:t>
      </w:r>
      <w:r w:rsidR="0068369F" w:rsidRPr="00A307C6">
        <w:rPr>
          <w:lang w:val="en-GB"/>
        </w:rPr>
        <w:t xml:space="preserve"> amon</w:t>
      </w:r>
      <w:r w:rsidR="00C20D3D" w:rsidRPr="00A307C6">
        <w:rPr>
          <w:lang w:val="en-GB"/>
        </w:rPr>
        <w:t>g</w:t>
      </w:r>
      <w:r w:rsidR="0068369F" w:rsidRPr="00A307C6">
        <w:rPr>
          <w:lang w:val="en-GB"/>
        </w:rPr>
        <w:t>st the perpetrators</w:t>
      </w:r>
      <w:r w:rsidR="00531FA9" w:rsidRPr="00A307C6">
        <w:rPr>
          <w:lang w:val="en-GB"/>
        </w:rPr>
        <w:t>.</w:t>
      </w:r>
      <w:r w:rsidRPr="00A307C6">
        <w:rPr>
          <w:vertAlign w:val="superscript"/>
          <w:lang w:val="en-GB"/>
        </w:rPr>
        <w:footnoteReference w:id="133"/>
      </w:r>
      <w:r w:rsidRPr="00A307C6">
        <w:rPr>
          <w:lang w:val="en-GB"/>
        </w:rPr>
        <w:t xml:space="preserve"> In describing the links between perpetrators of sexual violence and local political dynamics, the Commission was told:</w:t>
      </w:r>
    </w:p>
    <w:p w14:paraId="75A55955" w14:textId="24D99687" w:rsidR="00611AAC" w:rsidRPr="00A307C6" w:rsidRDefault="00611AAC" w:rsidP="009213A1">
      <w:pPr>
        <w:pStyle w:val="Paragraph"/>
        <w:numPr>
          <w:ilvl w:val="0"/>
          <w:numId w:val="0"/>
        </w:numPr>
        <w:ind w:left="1134"/>
        <w:rPr>
          <w:lang w:val="en-GB"/>
        </w:rPr>
      </w:pPr>
      <w:r w:rsidRPr="00A307C6">
        <w:rPr>
          <w:lang w:val="en-GB"/>
        </w:rPr>
        <w:t xml:space="preserve">“The perpetrators are armed men. Everyone in Bentiu carries guns to protect themselves, cattle and their belongings. Armed youth are allied to [County] Commissioners and they take part in violence. They know themselves and which village supports which side. So many attacks and violence including sexual violence is part of revenge violence. They would rather rape women and abduct because they know that you will follow to look for your wife/ daughter.” </w:t>
      </w:r>
      <w:r w:rsidRPr="00A307C6">
        <w:rPr>
          <w:vertAlign w:val="superscript"/>
          <w:lang w:val="en-GB"/>
        </w:rPr>
        <w:footnoteReference w:id="134"/>
      </w:r>
      <w:r w:rsidRPr="00A307C6">
        <w:rPr>
          <w:lang w:val="en-GB"/>
        </w:rPr>
        <w:t xml:space="preserve"> </w:t>
      </w:r>
    </w:p>
    <w:p w14:paraId="5DF484B4" w14:textId="154035A7" w:rsidR="0025009A" w:rsidRPr="00A307C6" w:rsidRDefault="003C3DA5" w:rsidP="006F6809">
      <w:pPr>
        <w:pStyle w:val="Paragraph"/>
        <w:rPr>
          <w:lang w:val="en-GB"/>
        </w:rPr>
      </w:pPr>
      <w:r w:rsidRPr="00A307C6">
        <w:rPr>
          <w:lang w:val="en-GB"/>
        </w:rPr>
        <w:t>Y</w:t>
      </w:r>
      <w:r w:rsidR="00611AAC" w:rsidRPr="00A307C6">
        <w:rPr>
          <w:lang w:val="en-GB"/>
        </w:rPr>
        <w:t xml:space="preserve">outh identified as perpetrators </w:t>
      </w:r>
      <w:r w:rsidRPr="00A307C6">
        <w:rPr>
          <w:lang w:val="en-GB"/>
        </w:rPr>
        <w:t xml:space="preserve">have </w:t>
      </w:r>
      <w:r w:rsidR="00611AAC" w:rsidRPr="00A307C6">
        <w:rPr>
          <w:lang w:val="en-GB"/>
        </w:rPr>
        <w:t>played a key role in the conflict, recruited by fighting forces, but a</w:t>
      </w:r>
      <w:r w:rsidR="0089052E" w:rsidRPr="00A307C6">
        <w:rPr>
          <w:lang w:val="en-GB"/>
        </w:rPr>
        <w:t>t</w:t>
      </w:r>
      <w:r w:rsidR="00611AAC" w:rsidRPr="00A307C6">
        <w:rPr>
          <w:lang w:val="en-GB"/>
        </w:rPr>
        <w:t xml:space="preserve"> </w:t>
      </w:r>
      <w:r w:rsidR="0089052E" w:rsidRPr="00A307C6">
        <w:rPr>
          <w:lang w:val="en-GB"/>
        </w:rPr>
        <w:t xml:space="preserve">a </w:t>
      </w:r>
      <w:r w:rsidR="00611AAC" w:rsidRPr="00A307C6">
        <w:rPr>
          <w:lang w:val="en-GB"/>
        </w:rPr>
        <w:t>later stage remain</w:t>
      </w:r>
      <w:r w:rsidR="0089052E" w:rsidRPr="00A307C6">
        <w:rPr>
          <w:lang w:val="en-GB"/>
        </w:rPr>
        <w:t>ing</w:t>
      </w:r>
      <w:r w:rsidR="00611AAC" w:rsidRPr="00A307C6">
        <w:rPr>
          <w:lang w:val="en-GB"/>
        </w:rPr>
        <w:t xml:space="preserve"> behind as the conflict moved to another </w:t>
      </w:r>
      <w:r w:rsidR="0025009A" w:rsidRPr="00A307C6">
        <w:rPr>
          <w:lang w:val="en-GB"/>
        </w:rPr>
        <w:t>location to ‘protect the home front’ and assets that remain behind such as cattle, or in defection to an opposing side. The fluidity in affiliation and allegiance has had significant consequences where sexual violence is concerned. These groups or dormant fighting forces engage in serious criminal activity during times of no combat where civilians, and in particular women and girls are targeted for not only their possessions but sexually assaulted as well. The Commission heard that:</w:t>
      </w:r>
    </w:p>
    <w:p w14:paraId="0C4E14B1" w14:textId="36A5DF5E" w:rsidR="00611AAC" w:rsidRPr="00A307C6" w:rsidRDefault="00611AAC" w:rsidP="009213A1">
      <w:pPr>
        <w:pStyle w:val="Paragraph"/>
        <w:numPr>
          <w:ilvl w:val="0"/>
          <w:numId w:val="0"/>
        </w:numPr>
        <w:ind w:left="1134"/>
        <w:rPr>
          <w:lang w:val="en-GB"/>
        </w:rPr>
      </w:pPr>
      <w:r w:rsidRPr="00A307C6">
        <w:rPr>
          <w:lang w:val="en-GB"/>
        </w:rPr>
        <w:lastRenderedPageBreak/>
        <w:t>“</w:t>
      </w:r>
      <w:proofErr w:type="gramStart"/>
      <w:r w:rsidRPr="00A307C6">
        <w:rPr>
          <w:lang w:val="en-GB"/>
        </w:rPr>
        <w:t>These youth</w:t>
      </w:r>
      <w:proofErr w:type="gramEnd"/>
      <w:r w:rsidRPr="00A307C6">
        <w:rPr>
          <w:lang w:val="en-GB"/>
        </w:rPr>
        <w:t xml:space="preserve"> joined the war before but they remained behind when the forces moved. They also join but are not very active in the forces, they are not mobilising others to join – for example, if you live in the POC so you don’t want to be known. These people stay behind to look after their cattle and act like support to those who have control of the area […] they take opportunity in criminal acts, for example in </w:t>
      </w:r>
      <w:proofErr w:type="spellStart"/>
      <w:r w:rsidRPr="00A307C6">
        <w:rPr>
          <w:lang w:val="en-GB"/>
        </w:rPr>
        <w:t>Nhialdu</w:t>
      </w:r>
      <w:proofErr w:type="spellEnd"/>
      <w:r w:rsidRPr="00A307C6">
        <w:rPr>
          <w:lang w:val="en-GB"/>
        </w:rPr>
        <w:t xml:space="preserve"> there are people who don’t want to be in the POC then they leave because they want fresh air and water but they participate in military [activities] as protection. They are allowed to attack civilians, rape to keep them happy and maintain support</w:t>
      </w:r>
      <w:r w:rsidR="00531FA9" w:rsidRPr="00A307C6">
        <w:rPr>
          <w:lang w:val="en-GB"/>
        </w:rPr>
        <w:t>.</w:t>
      </w:r>
      <w:r w:rsidRPr="00A307C6">
        <w:rPr>
          <w:lang w:val="en-GB"/>
        </w:rPr>
        <w:t>”</w:t>
      </w:r>
      <w:r w:rsidRPr="00A307C6">
        <w:rPr>
          <w:vertAlign w:val="superscript"/>
          <w:lang w:val="en-GB"/>
        </w:rPr>
        <w:footnoteReference w:id="135"/>
      </w:r>
    </w:p>
    <w:p w14:paraId="2A7C7CE1" w14:textId="46BFB9D4" w:rsidR="00611AAC" w:rsidRPr="00A307C6" w:rsidRDefault="003C3DA5" w:rsidP="006F6809">
      <w:pPr>
        <w:pStyle w:val="Paragraph"/>
        <w:rPr>
          <w:lang w:val="en-GB"/>
        </w:rPr>
      </w:pPr>
      <w:r w:rsidRPr="00A307C6">
        <w:rPr>
          <w:lang w:val="en-GB"/>
        </w:rPr>
        <w:t>T</w:t>
      </w:r>
      <w:r w:rsidR="00611AAC" w:rsidRPr="00A307C6">
        <w:rPr>
          <w:lang w:val="en-GB"/>
        </w:rPr>
        <w:t xml:space="preserve">he </w:t>
      </w:r>
      <w:r w:rsidR="00F33820" w:rsidRPr="00A307C6">
        <w:rPr>
          <w:lang w:val="en-GB"/>
        </w:rPr>
        <w:t>C</w:t>
      </w:r>
      <w:r w:rsidR="00611AAC" w:rsidRPr="00A307C6">
        <w:rPr>
          <w:lang w:val="en-GB"/>
        </w:rPr>
        <w:t xml:space="preserve">ommission </w:t>
      </w:r>
      <w:r w:rsidRPr="00A307C6">
        <w:rPr>
          <w:lang w:val="en-GB"/>
        </w:rPr>
        <w:t xml:space="preserve">documented how </w:t>
      </w:r>
      <w:r w:rsidR="00611AAC" w:rsidRPr="00A307C6">
        <w:rPr>
          <w:lang w:val="en-GB"/>
        </w:rPr>
        <w:t xml:space="preserve">young armed men who have </w:t>
      </w:r>
      <w:r w:rsidRPr="00A307C6">
        <w:rPr>
          <w:lang w:val="en-GB"/>
        </w:rPr>
        <w:t xml:space="preserve">committed </w:t>
      </w:r>
      <w:r w:rsidR="00611AAC" w:rsidRPr="00A307C6">
        <w:rPr>
          <w:lang w:val="en-GB"/>
        </w:rPr>
        <w:t xml:space="preserve">these violations, </w:t>
      </w:r>
      <w:r w:rsidRPr="00A307C6">
        <w:rPr>
          <w:lang w:val="en-GB"/>
        </w:rPr>
        <w:t xml:space="preserve">change their </w:t>
      </w:r>
      <w:r w:rsidR="00611AAC" w:rsidRPr="00A307C6">
        <w:rPr>
          <w:lang w:val="en-GB"/>
        </w:rPr>
        <w:t>affiliation</w:t>
      </w:r>
      <w:r w:rsidRPr="00A307C6">
        <w:rPr>
          <w:lang w:val="en-GB"/>
        </w:rPr>
        <w:t>s</w:t>
      </w:r>
      <w:r w:rsidR="00611AAC" w:rsidRPr="00A307C6">
        <w:rPr>
          <w:lang w:val="en-GB"/>
        </w:rPr>
        <w:t xml:space="preserve"> over time</w:t>
      </w:r>
      <w:r w:rsidR="006C69CF" w:rsidRPr="00A307C6">
        <w:rPr>
          <w:lang w:val="en-GB"/>
        </w:rPr>
        <w:t>.</w:t>
      </w:r>
      <w:r w:rsidR="00611AAC" w:rsidRPr="00A307C6">
        <w:rPr>
          <w:lang w:val="en-GB"/>
        </w:rPr>
        <w:t xml:space="preserve"> </w:t>
      </w:r>
      <w:r w:rsidR="006C69CF" w:rsidRPr="00A307C6">
        <w:rPr>
          <w:lang w:val="en-GB"/>
        </w:rPr>
        <w:t xml:space="preserve">While most of </w:t>
      </w:r>
      <w:r w:rsidR="00611AAC" w:rsidRPr="00A307C6">
        <w:rPr>
          <w:lang w:val="en-GB"/>
        </w:rPr>
        <w:t>the fighting forces on all sides rely on the youth militias and self</w:t>
      </w:r>
      <w:r w:rsidR="00F33820" w:rsidRPr="00A307C6">
        <w:rPr>
          <w:lang w:val="en-GB"/>
        </w:rPr>
        <w:t>-</w:t>
      </w:r>
      <w:r w:rsidR="00611AAC" w:rsidRPr="00A307C6">
        <w:rPr>
          <w:lang w:val="en-GB"/>
        </w:rPr>
        <w:t>defence units to gain and control territory, the</w:t>
      </w:r>
      <w:r w:rsidR="006C69CF" w:rsidRPr="00A307C6">
        <w:rPr>
          <w:lang w:val="en-GB"/>
        </w:rPr>
        <w:t xml:space="preserve">ir </w:t>
      </w:r>
      <w:r w:rsidR="00611AAC" w:rsidRPr="00A307C6">
        <w:rPr>
          <w:lang w:val="en-GB"/>
        </w:rPr>
        <w:t>allegiance can be lost just as easily as it is gained. For example</w:t>
      </w:r>
      <w:r w:rsidR="00C20D3D" w:rsidRPr="00A307C6">
        <w:rPr>
          <w:lang w:val="en-GB"/>
        </w:rPr>
        <w:t>,</w:t>
      </w:r>
      <w:r w:rsidR="00611AAC" w:rsidRPr="00A307C6">
        <w:rPr>
          <w:lang w:val="en-GB"/>
        </w:rPr>
        <w:t xml:space="preserve"> the Commission was told about a former Governor of Southern </w:t>
      </w:r>
      <w:proofErr w:type="spellStart"/>
      <w:r w:rsidR="00611AAC" w:rsidRPr="00A307C6">
        <w:rPr>
          <w:lang w:val="en-GB"/>
        </w:rPr>
        <w:t>Liech</w:t>
      </w:r>
      <w:proofErr w:type="spellEnd"/>
      <w:r w:rsidR="00611AAC" w:rsidRPr="00A307C6">
        <w:rPr>
          <w:lang w:val="en-GB"/>
        </w:rPr>
        <w:t>:</w:t>
      </w:r>
    </w:p>
    <w:p w14:paraId="04CF8E85" w14:textId="7548B66F" w:rsidR="00611AAC" w:rsidRPr="00A307C6" w:rsidRDefault="00611AAC" w:rsidP="009213A1">
      <w:pPr>
        <w:pStyle w:val="Paragraph"/>
        <w:numPr>
          <w:ilvl w:val="0"/>
          <w:numId w:val="0"/>
        </w:numPr>
        <w:ind w:left="1134"/>
        <w:rPr>
          <w:lang w:val="en-GB"/>
        </w:rPr>
      </w:pPr>
      <w:r w:rsidRPr="00A307C6">
        <w:rPr>
          <w:lang w:val="en-GB"/>
        </w:rPr>
        <w:t>“He was unable to maintain control of the whole state, not many youth</w:t>
      </w:r>
      <w:r w:rsidR="00A10C5D">
        <w:rPr>
          <w:lang w:val="en-GB"/>
        </w:rPr>
        <w:t>s</w:t>
      </w:r>
      <w:r w:rsidRPr="00A307C6">
        <w:rPr>
          <w:lang w:val="en-GB"/>
        </w:rPr>
        <w:t xml:space="preserve"> supported him. The attacks start from Northern </w:t>
      </w:r>
      <w:proofErr w:type="spellStart"/>
      <w:r w:rsidRPr="00A307C6">
        <w:rPr>
          <w:lang w:val="en-GB"/>
        </w:rPr>
        <w:t>Liech</w:t>
      </w:r>
      <w:proofErr w:type="spellEnd"/>
      <w:r w:rsidRPr="00A307C6">
        <w:rPr>
          <w:lang w:val="en-GB"/>
        </w:rPr>
        <w:t xml:space="preserve"> area to go to Leer and </w:t>
      </w:r>
      <w:proofErr w:type="spellStart"/>
      <w:r w:rsidRPr="00A307C6">
        <w:rPr>
          <w:lang w:val="en-GB"/>
        </w:rPr>
        <w:t>Mayendit</w:t>
      </w:r>
      <w:proofErr w:type="spellEnd"/>
      <w:r w:rsidRPr="00A307C6">
        <w:rPr>
          <w:lang w:val="en-GB"/>
        </w:rPr>
        <w:t>. These youth are difficult to manage and control. If they are not pleased with you</w:t>
      </w:r>
      <w:r w:rsidR="00A10C5D">
        <w:rPr>
          <w:lang w:val="en-GB"/>
        </w:rPr>
        <w:t>,</w:t>
      </w:r>
      <w:r w:rsidRPr="00A307C6">
        <w:rPr>
          <w:lang w:val="en-GB"/>
        </w:rPr>
        <w:t xml:space="preserve"> they rebel. The Commissioners allow them to behave how they want, if I take women and cows this is considered my pay.”</w:t>
      </w:r>
      <w:r w:rsidRPr="00A307C6">
        <w:rPr>
          <w:vertAlign w:val="superscript"/>
          <w:lang w:val="en-GB"/>
        </w:rPr>
        <w:footnoteReference w:id="136"/>
      </w:r>
    </w:p>
    <w:p w14:paraId="3763B45C" w14:textId="189B49A8" w:rsidR="00531FA9" w:rsidRPr="00A307C6" w:rsidRDefault="006C69CF" w:rsidP="00FF077A">
      <w:pPr>
        <w:pStyle w:val="Paragraph"/>
        <w:rPr>
          <w:lang w:val="en-GB"/>
        </w:rPr>
      </w:pPr>
      <w:r w:rsidRPr="00A307C6">
        <w:rPr>
          <w:lang w:val="en-GB"/>
        </w:rPr>
        <w:t xml:space="preserve">Because of </w:t>
      </w:r>
      <w:r w:rsidR="00611AAC" w:rsidRPr="00A307C6">
        <w:rPr>
          <w:lang w:val="en-GB"/>
        </w:rPr>
        <w:t xml:space="preserve">the </w:t>
      </w:r>
      <w:r w:rsidR="009213A1" w:rsidRPr="00A307C6">
        <w:rPr>
          <w:lang w:val="en-GB"/>
        </w:rPr>
        <w:t xml:space="preserve">frequent </w:t>
      </w:r>
      <w:r w:rsidR="00611AAC" w:rsidRPr="00A307C6">
        <w:rPr>
          <w:lang w:val="en-GB"/>
        </w:rPr>
        <w:t>shifts in allegiance</w:t>
      </w:r>
      <w:r w:rsidR="009213A1" w:rsidRPr="00A307C6">
        <w:rPr>
          <w:lang w:val="en-GB"/>
        </w:rPr>
        <w:t xml:space="preserve"> between different individuals and groups</w:t>
      </w:r>
      <w:r w:rsidR="00C20D3D" w:rsidRPr="00A307C6">
        <w:rPr>
          <w:lang w:val="en-GB"/>
        </w:rPr>
        <w:t>,</w:t>
      </w:r>
      <w:r w:rsidR="00611AAC" w:rsidRPr="00A307C6">
        <w:rPr>
          <w:lang w:val="en-GB"/>
        </w:rPr>
        <w:t xml:space="preserve"> it has been difficult to identify who commanded forces in the area. In addition to the several groups aligned to the various factions in the army were the Special Mobile Forces allied to the </w:t>
      </w:r>
      <w:r w:rsidR="00F33820" w:rsidRPr="00A307C6">
        <w:rPr>
          <w:lang w:val="en-GB"/>
        </w:rPr>
        <w:t>G</w:t>
      </w:r>
      <w:r w:rsidR="00611AAC" w:rsidRPr="00A307C6">
        <w:rPr>
          <w:lang w:val="en-GB"/>
        </w:rPr>
        <w:t xml:space="preserve">overnment and loosely integrated into the SSPDF. This special group from </w:t>
      </w:r>
      <w:proofErr w:type="spellStart"/>
      <w:r w:rsidR="00611AAC" w:rsidRPr="00A307C6">
        <w:rPr>
          <w:lang w:val="en-GB"/>
        </w:rPr>
        <w:t>Mayom</w:t>
      </w:r>
      <w:proofErr w:type="spellEnd"/>
      <w:r w:rsidR="00611AAC" w:rsidRPr="00A307C6">
        <w:rPr>
          <w:lang w:val="en-GB"/>
        </w:rPr>
        <w:t xml:space="preserve"> </w:t>
      </w:r>
      <w:r w:rsidR="00A10C5D">
        <w:rPr>
          <w:lang w:val="en-GB"/>
        </w:rPr>
        <w:t>is</w:t>
      </w:r>
      <w:r w:rsidR="00611AAC" w:rsidRPr="00A307C6">
        <w:rPr>
          <w:lang w:val="en-GB"/>
        </w:rPr>
        <w:t xml:space="preserve"> largely </w:t>
      </w:r>
      <w:r w:rsidR="00A10C5D">
        <w:rPr>
          <w:lang w:val="en-GB"/>
        </w:rPr>
        <w:t xml:space="preserve">composed </w:t>
      </w:r>
      <w:r w:rsidR="00611AAC" w:rsidRPr="00A307C6">
        <w:rPr>
          <w:lang w:val="en-GB"/>
        </w:rPr>
        <w:t>of youth who have not necessarily undergone any training and serve as bodyguards for political figures</w:t>
      </w:r>
      <w:r w:rsidR="00F33820" w:rsidRPr="00A307C6">
        <w:rPr>
          <w:lang w:val="en-GB"/>
        </w:rPr>
        <w:t>. They</w:t>
      </w:r>
      <w:r w:rsidR="00611AAC" w:rsidRPr="00A307C6">
        <w:rPr>
          <w:lang w:val="en-GB"/>
        </w:rPr>
        <w:t xml:space="preserve"> are in key security positions and </w:t>
      </w:r>
      <w:r w:rsidR="00F33820" w:rsidRPr="00A307C6">
        <w:rPr>
          <w:lang w:val="en-GB"/>
        </w:rPr>
        <w:t xml:space="preserve">are </w:t>
      </w:r>
      <w:r w:rsidR="00611AAC" w:rsidRPr="00A307C6">
        <w:rPr>
          <w:lang w:val="en-GB"/>
        </w:rPr>
        <w:t>used to carry out revenge missions</w:t>
      </w:r>
      <w:r w:rsidR="00531FA9" w:rsidRPr="00A307C6">
        <w:rPr>
          <w:lang w:val="en-GB"/>
        </w:rPr>
        <w:t>.</w:t>
      </w:r>
    </w:p>
    <w:p w14:paraId="299B426F" w14:textId="41C69A70" w:rsidR="00611AAC" w:rsidRPr="00A307C6" w:rsidRDefault="00F33820" w:rsidP="009213A1">
      <w:pPr>
        <w:pStyle w:val="Paragraph"/>
        <w:numPr>
          <w:ilvl w:val="0"/>
          <w:numId w:val="0"/>
        </w:numPr>
        <w:ind w:left="1134"/>
        <w:rPr>
          <w:lang w:val="en-GB"/>
        </w:rPr>
      </w:pPr>
      <w:r w:rsidRPr="00A307C6">
        <w:rPr>
          <w:lang w:val="en-GB"/>
        </w:rPr>
        <w:t>“</w:t>
      </w:r>
      <w:r w:rsidR="00531FA9" w:rsidRPr="00A307C6">
        <w:rPr>
          <w:lang w:val="en-GB"/>
        </w:rPr>
        <w:t>W</w:t>
      </w:r>
      <w:r w:rsidR="00611AAC" w:rsidRPr="00A307C6">
        <w:rPr>
          <w:lang w:val="en-GB"/>
        </w:rPr>
        <w:t xml:space="preserve">hen they come down and take girls, cattle and destroy houses, part of it is also to take revenge”. </w:t>
      </w:r>
      <w:r w:rsidR="00611AAC" w:rsidRPr="00A307C6">
        <w:rPr>
          <w:vertAlign w:val="superscript"/>
          <w:lang w:val="en-GB"/>
        </w:rPr>
        <w:footnoteReference w:id="137"/>
      </w:r>
    </w:p>
    <w:p w14:paraId="4450660E" w14:textId="186577F1" w:rsidR="00611AAC" w:rsidRPr="00A307C6" w:rsidRDefault="00611AAC" w:rsidP="006F6809">
      <w:pPr>
        <w:pStyle w:val="Paragraph"/>
        <w:rPr>
          <w:lang w:val="en-GB"/>
        </w:rPr>
      </w:pPr>
      <w:r w:rsidRPr="00A307C6">
        <w:rPr>
          <w:lang w:val="en-GB"/>
        </w:rPr>
        <w:t>Witnesses told the Commission that many of the incidents of sexual violence</w:t>
      </w:r>
      <w:r w:rsidR="00F33820" w:rsidRPr="00A307C6">
        <w:rPr>
          <w:lang w:val="en-GB"/>
        </w:rPr>
        <w:t>,</w:t>
      </w:r>
      <w:r w:rsidRPr="00A307C6">
        <w:rPr>
          <w:lang w:val="en-GB"/>
        </w:rPr>
        <w:t xml:space="preserve"> perpetrated in November 2018, w</w:t>
      </w:r>
      <w:r w:rsidR="00F33820" w:rsidRPr="00A307C6">
        <w:rPr>
          <w:lang w:val="en-GB"/>
        </w:rPr>
        <w:t>ere</w:t>
      </w:r>
      <w:r w:rsidRPr="00A307C6">
        <w:rPr>
          <w:lang w:val="en-GB"/>
        </w:rPr>
        <w:t xml:space="preserve"> part of a deliberate campaign of revenge against women and girls belonging to various </w:t>
      </w:r>
      <w:r w:rsidRPr="00A307C6">
        <w:rPr>
          <w:lang w:val="en-GB"/>
        </w:rPr>
        <w:lastRenderedPageBreak/>
        <w:t xml:space="preserve">subclans and communities. The political conflict between the </w:t>
      </w:r>
      <w:proofErr w:type="spellStart"/>
      <w:r w:rsidRPr="00A307C6">
        <w:rPr>
          <w:lang w:val="en-GB"/>
        </w:rPr>
        <w:t>Bul</w:t>
      </w:r>
      <w:proofErr w:type="spellEnd"/>
      <w:r w:rsidRPr="00A307C6">
        <w:rPr>
          <w:lang w:val="en-GB"/>
        </w:rPr>
        <w:t xml:space="preserve"> and </w:t>
      </w:r>
      <w:proofErr w:type="spellStart"/>
      <w:r w:rsidRPr="00A307C6">
        <w:rPr>
          <w:lang w:val="en-GB"/>
        </w:rPr>
        <w:t>Jikany</w:t>
      </w:r>
      <w:proofErr w:type="spellEnd"/>
      <w:r w:rsidRPr="00A307C6">
        <w:rPr>
          <w:lang w:val="en-GB"/>
        </w:rPr>
        <w:t xml:space="preserve"> clans go</w:t>
      </w:r>
      <w:r w:rsidR="001D4C59" w:rsidRPr="00A307C6">
        <w:rPr>
          <w:lang w:val="en-GB"/>
        </w:rPr>
        <w:t>es</w:t>
      </w:r>
      <w:r w:rsidRPr="00A307C6">
        <w:rPr>
          <w:lang w:val="en-GB"/>
        </w:rPr>
        <w:t xml:space="preserve"> back historically to the disagreement between </w:t>
      </w:r>
      <w:proofErr w:type="spellStart"/>
      <w:r w:rsidRPr="00A307C6">
        <w:rPr>
          <w:lang w:val="en-GB"/>
        </w:rPr>
        <w:t>Paulino</w:t>
      </w:r>
      <w:proofErr w:type="spellEnd"/>
      <w:r w:rsidRPr="00A307C6">
        <w:rPr>
          <w:lang w:val="en-GB"/>
        </w:rPr>
        <w:t xml:space="preserve"> </w:t>
      </w:r>
      <w:proofErr w:type="spellStart"/>
      <w:r w:rsidRPr="00A307C6">
        <w:rPr>
          <w:lang w:val="en-GB"/>
        </w:rPr>
        <w:t>Matip</w:t>
      </w:r>
      <w:proofErr w:type="spellEnd"/>
      <w:r w:rsidRPr="00A307C6">
        <w:rPr>
          <w:lang w:val="en-GB"/>
        </w:rPr>
        <w:t xml:space="preserve"> and </w:t>
      </w:r>
      <w:proofErr w:type="spellStart"/>
      <w:r w:rsidRPr="00A307C6">
        <w:rPr>
          <w:lang w:val="en-GB"/>
        </w:rPr>
        <w:t>Taban</w:t>
      </w:r>
      <w:proofErr w:type="spellEnd"/>
      <w:r w:rsidRPr="00A307C6">
        <w:rPr>
          <w:lang w:val="en-GB"/>
        </w:rPr>
        <w:t xml:space="preserve"> Deng Gai, and which </w:t>
      </w:r>
      <w:r w:rsidR="001D4C59" w:rsidRPr="00A307C6">
        <w:rPr>
          <w:lang w:val="en-GB"/>
        </w:rPr>
        <w:t>included</w:t>
      </w:r>
      <w:r w:rsidRPr="00A307C6">
        <w:rPr>
          <w:lang w:val="en-GB"/>
        </w:rPr>
        <w:t xml:space="preserve"> attack</w:t>
      </w:r>
      <w:r w:rsidR="001D4C59" w:rsidRPr="00A307C6">
        <w:rPr>
          <w:lang w:val="en-GB"/>
        </w:rPr>
        <w:t>s against civilians with</w:t>
      </w:r>
      <w:r w:rsidRPr="00A307C6">
        <w:rPr>
          <w:lang w:val="en-GB"/>
        </w:rPr>
        <w:t xml:space="preserve"> tanks and other heavy weapons</w:t>
      </w:r>
      <w:r w:rsidR="00531FA9" w:rsidRPr="00A307C6">
        <w:rPr>
          <w:lang w:val="en-GB"/>
        </w:rPr>
        <w:t>.</w:t>
      </w:r>
      <w:r w:rsidRPr="00A307C6">
        <w:rPr>
          <w:vertAlign w:val="superscript"/>
          <w:lang w:val="en-GB"/>
        </w:rPr>
        <w:footnoteReference w:id="138"/>
      </w:r>
      <w:r w:rsidRPr="00A307C6">
        <w:rPr>
          <w:lang w:val="en-GB"/>
        </w:rPr>
        <w:t xml:space="preserve"> The ongoing fights for control of territory and the historical grievances keep the most vulnerable in the communities at risk and ultimately prolong the war and its impact.</w:t>
      </w:r>
      <w:r w:rsidR="00531FA9" w:rsidRPr="00A307C6">
        <w:rPr>
          <w:lang w:val="en-GB"/>
        </w:rPr>
        <w:t xml:space="preserve"> </w:t>
      </w:r>
    </w:p>
    <w:p w14:paraId="00EE4235" w14:textId="61029C0C" w:rsidR="00531FA9" w:rsidRPr="00A307C6" w:rsidRDefault="00531FA9" w:rsidP="009213A1">
      <w:pPr>
        <w:pStyle w:val="Paragraph"/>
        <w:numPr>
          <w:ilvl w:val="0"/>
          <w:numId w:val="0"/>
        </w:numPr>
        <w:ind w:left="1134"/>
        <w:rPr>
          <w:lang w:val="en-GB"/>
        </w:rPr>
      </w:pPr>
      <w:r w:rsidRPr="00A307C6">
        <w:rPr>
          <w:lang w:val="en-GB"/>
        </w:rPr>
        <w:t xml:space="preserve">“The majority of women raped are from </w:t>
      </w:r>
      <w:proofErr w:type="spellStart"/>
      <w:r w:rsidRPr="00A307C6">
        <w:rPr>
          <w:lang w:val="en-GB"/>
        </w:rPr>
        <w:t>Jikany</w:t>
      </w:r>
      <w:proofErr w:type="spellEnd"/>
      <w:r w:rsidRPr="00A307C6">
        <w:rPr>
          <w:lang w:val="en-GB"/>
        </w:rPr>
        <w:t xml:space="preserve"> and Leek and others from </w:t>
      </w:r>
      <w:proofErr w:type="spellStart"/>
      <w:r w:rsidRPr="00A307C6">
        <w:rPr>
          <w:lang w:val="en-GB"/>
        </w:rPr>
        <w:t>Dok</w:t>
      </w:r>
      <w:proofErr w:type="spellEnd"/>
      <w:r w:rsidRPr="00A307C6">
        <w:rPr>
          <w:lang w:val="en-GB"/>
        </w:rPr>
        <w:t xml:space="preserve"> and </w:t>
      </w:r>
      <w:proofErr w:type="spellStart"/>
      <w:r w:rsidRPr="00A307C6">
        <w:rPr>
          <w:lang w:val="en-GB"/>
        </w:rPr>
        <w:t>Jaggei</w:t>
      </w:r>
      <w:proofErr w:type="spellEnd"/>
      <w:r w:rsidRPr="00A307C6">
        <w:rPr>
          <w:lang w:val="en-GB"/>
        </w:rPr>
        <w:t xml:space="preserve">. But the people in charge of security, the army, police and national security are from </w:t>
      </w:r>
      <w:proofErr w:type="spellStart"/>
      <w:r w:rsidRPr="00A307C6">
        <w:rPr>
          <w:lang w:val="en-GB"/>
        </w:rPr>
        <w:t>Bul</w:t>
      </w:r>
      <w:proofErr w:type="spellEnd"/>
      <w:r w:rsidRPr="00A307C6">
        <w:rPr>
          <w:lang w:val="en-GB"/>
        </w:rPr>
        <w:t xml:space="preserve">, </w:t>
      </w:r>
      <w:proofErr w:type="spellStart"/>
      <w:r w:rsidRPr="00A307C6">
        <w:rPr>
          <w:lang w:val="en-GB"/>
        </w:rPr>
        <w:t>Mayom</w:t>
      </w:r>
      <w:proofErr w:type="spellEnd"/>
      <w:r w:rsidRPr="00A307C6">
        <w:rPr>
          <w:lang w:val="en-GB"/>
        </w:rPr>
        <w:t>, and have been protecting the Governor.”</w:t>
      </w:r>
      <w:r w:rsidRPr="00A307C6">
        <w:rPr>
          <w:vertAlign w:val="superscript"/>
          <w:lang w:val="en-GB"/>
        </w:rPr>
        <w:footnoteReference w:id="139"/>
      </w:r>
    </w:p>
    <w:p w14:paraId="5B67F6BC" w14:textId="2C608A5E" w:rsidR="00611AAC" w:rsidRPr="00A307C6" w:rsidRDefault="00611AAC" w:rsidP="006F6809">
      <w:pPr>
        <w:pStyle w:val="Paragraph"/>
        <w:rPr>
          <w:lang w:val="en-GB"/>
        </w:rPr>
      </w:pPr>
      <w:r w:rsidRPr="00A307C6">
        <w:rPr>
          <w:lang w:val="en-GB"/>
        </w:rPr>
        <w:t xml:space="preserve">The Commission also heard that the protracted conflict </w:t>
      </w:r>
      <w:r w:rsidR="001D4C59" w:rsidRPr="00A307C6">
        <w:rPr>
          <w:lang w:val="en-GB"/>
        </w:rPr>
        <w:t xml:space="preserve">has </w:t>
      </w:r>
      <w:r w:rsidRPr="00A307C6">
        <w:rPr>
          <w:lang w:val="en-GB"/>
        </w:rPr>
        <w:t xml:space="preserve">ruptured the social fabric of these </w:t>
      </w:r>
      <w:r w:rsidR="00531FA9" w:rsidRPr="00A307C6">
        <w:rPr>
          <w:lang w:val="en-GB"/>
        </w:rPr>
        <w:t>communities</w:t>
      </w:r>
      <w:r w:rsidRPr="00A307C6">
        <w:rPr>
          <w:lang w:val="en-GB"/>
        </w:rPr>
        <w:t xml:space="preserve"> and ha</w:t>
      </w:r>
      <w:r w:rsidR="006C69CF" w:rsidRPr="00A307C6">
        <w:rPr>
          <w:lang w:val="en-GB"/>
        </w:rPr>
        <w:t>s</w:t>
      </w:r>
      <w:r w:rsidRPr="00A307C6">
        <w:rPr>
          <w:lang w:val="en-GB"/>
        </w:rPr>
        <w:t xml:space="preserve"> had a severe impact on young men</w:t>
      </w:r>
      <w:r w:rsidR="006C69CF" w:rsidRPr="00A307C6">
        <w:rPr>
          <w:lang w:val="en-GB"/>
        </w:rPr>
        <w:t>, who reject the usual</w:t>
      </w:r>
      <w:r w:rsidR="001D4C59" w:rsidRPr="00A307C6">
        <w:rPr>
          <w:lang w:val="en-GB"/>
        </w:rPr>
        <w:t xml:space="preserve"> </w:t>
      </w:r>
      <w:r w:rsidRPr="00A307C6">
        <w:rPr>
          <w:lang w:val="en-GB"/>
        </w:rPr>
        <w:t>societal norms and</w:t>
      </w:r>
      <w:r w:rsidR="00B57828">
        <w:rPr>
          <w:lang w:val="en-GB"/>
        </w:rPr>
        <w:t xml:space="preserve"> constraints. </w:t>
      </w:r>
      <w:r w:rsidRPr="00A307C6">
        <w:rPr>
          <w:lang w:val="en-GB"/>
        </w:rPr>
        <w:t xml:space="preserve">The combination of the lack of accountability for these crimes, coupled with perceptions around the “interference of </w:t>
      </w:r>
      <w:r w:rsidR="00F33820" w:rsidRPr="00A307C6">
        <w:rPr>
          <w:lang w:val="en-GB"/>
        </w:rPr>
        <w:t xml:space="preserve">the </w:t>
      </w:r>
      <w:r w:rsidRPr="00A307C6">
        <w:rPr>
          <w:lang w:val="en-GB"/>
        </w:rPr>
        <w:t xml:space="preserve">culture” and inability to access resources all contribute to the </w:t>
      </w:r>
      <w:r w:rsidR="006C69CF" w:rsidRPr="00A307C6">
        <w:rPr>
          <w:lang w:val="en-GB"/>
        </w:rPr>
        <w:t xml:space="preserve">criminal conduct </w:t>
      </w:r>
      <w:r w:rsidRPr="00A307C6">
        <w:rPr>
          <w:lang w:val="en-GB"/>
        </w:rPr>
        <w:t xml:space="preserve">of young men </w:t>
      </w:r>
      <w:r w:rsidR="006C69CF" w:rsidRPr="00A307C6">
        <w:rPr>
          <w:lang w:val="en-GB"/>
        </w:rPr>
        <w:t xml:space="preserve">perpetrating </w:t>
      </w:r>
      <w:r w:rsidRPr="00A307C6">
        <w:rPr>
          <w:lang w:val="en-GB"/>
        </w:rPr>
        <w:t>sexual violence</w:t>
      </w:r>
      <w:r w:rsidR="009F4654" w:rsidRPr="00A307C6">
        <w:rPr>
          <w:lang w:val="en-GB"/>
        </w:rPr>
        <w:t>.</w:t>
      </w:r>
      <w:r w:rsidR="009F4654" w:rsidRPr="00A307C6">
        <w:rPr>
          <w:rStyle w:val="FootnoteReference"/>
          <w:lang w:val="en-GB"/>
        </w:rPr>
        <w:footnoteReference w:id="140"/>
      </w:r>
      <w:r w:rsidRPr="00A307C6">
        <w:rPr>
          <w:lang w:val="en-GB"/>
        </w:rPr>
        <w:t xml:space="preserve"> </w:t>
      </w:r>
    </w:p>
    <w:p w14:paraId="1008DCB9" w14:textId="5203E179" w:rsidR="00531FA9" w:rsidRPr="00A307C6" w:rsidRDefault="00611AAC" w:rsidP="009213A1">
      <w:pPr>
        <w:pStyle w:val="Paragraph"/>
        <w:numPr>
          <w:ilvl w:val="0"/>
          <w:numId w:val="0"/>
        </w:numPr>
        <w:ind w:left="1134"/>
        <w:rPr>
          <w:lang w:val="en-GB"/>
        </w:rPr>
      </w:pPr>
      <w:r w:rsidRPr="00A307C6">
        <w:rPr>
          <w:lang w:val="en-GB"/>
        </w:rPr>
        <w:t>“The lack of accountability promotes the youth to misbehave, they are never held accountable. There is interference of the culture, where you fall in love with a girl and if she refuses you force her against her will. Rape is not a crime amongst us Nuer</w:t>
      </w:r>
      <w:r w:rsidR="00531FA9" w:rsidRPr="00A307C6">
        <w:rPr>
          <w:lang w:val="en-GB"/>
        </w:rPr>
        <w:t>…</w:t>
      </w:r>
      <w:r w:rsidRPr="00A307C6">
        <w:rPr>
          <w:lang w:val="en-GB"/>
        </w:rPr>
        <w:t xml:space="preserve"> Parents will have no option, they will say ‘</w:t>
      </w:r>
      <w:proofErr w:type="spellStart"/>
      <w:r w:rsidRPr="00A307C6">
        <w:rPr>
          <w:lang w:val="en-GB"/>
        </w:rPr>
        <w:t>Nyal</w:t>
      </w:r>
      <w:proofErr w:type="spellEnd"/>
      <w:r w:rsidRPr="00A307C6">
        <w:rPr>
          <w:lang w:val="en-GB"/>
        </w:rPr>
        <w:t xml:space="preserve"> cha </w:t>
      </w:r>
      <w:proofErr w:type="spellStart"/>
      <w:r w:rsidRPr="00A307C6">
        <w:rPr>
          <w:lang w:val="en-GB"/>
        </w:rPr>
        <w:t>kap</w:t>
      </w:r>
      <w:proofErr w:type="spellEnd"/>
      <w:r w:rsidRPr="00A307C6">
        <w:rPr>
          <w:lang w:val="en-GB"/>
        </w:rPr>
        <w:t>’, ‘the girl has been lifted by force and taken against her will’.</w:t>
      </w:r>
    </w:p>
    <w:p w14:paraId="2149F758" w14:textId="308CF903" w:rsidR="006C5969" w:rsidRPr="00A307C6" w:rsidRDefault="006C5969" w:rsidP="009213A1">
      <w:pPr>
        <w:pStyle w:val="Paragraph"/>
        <w:numPr>
          <w:ilvl w:val="0"/>
          <w:numId w:val="0"/>
        </w:numPr>
        <w:ind w:left="1134"/>
        <w:rPr>
          <w:lang w:val="en-GB"/>
        </w:rPr>
      </w:pPr>
      <w:r w:rsidRPr="00A307C6">
        <w:rPr>
          <w:lang w:val="en-GB"/>
        </w:rPr>
        <w:t>“Youth have become part of these practices. The current war has intensified this practi</w:t>
      </w:r>
      <w:r w:rsidR="00F33820" w:rsidRPr="00A307C6">
        <w:rPr>
          <w:lang w:val="en-GB"/>
        </w:rPr>
        <w:t>c</w:t>
      </w:r>
      <w:r w:rsidRPr="00A307C6">
        <w:rPr>
          <w:lang w:val="en-GB"/>
        </w:rPr>
        <w:t xml:space="preserve">e, war is creating this brutality. There is a lack of resources. Most of the youth cannot afford to marry, now cows are being controlled by big people. Most cows are now under the control of </w:t>
      </w:r>
      <w:proofErr w:type="spellStart"/>
      <w:r w:rsidRPr="00A307C6">
        <w:rPr>
          <w:lang w:val="en-GB"/>
        </w:rPr>
        <w:t>Mayom</w:t>
      </w:r>
      <w:proofErr w:type="spellEnd"/>
      <w:r w:rsidRPr="00A307C6">
        <w:rPr>
          <w:lang w:val="en-GB"/>
        </w:rPr>
        <w:t xml:space="preserve"> [County Commissioner], the only county to not rebel. When they retaliated, they took many cows in the </w:t>
      </w:r>
      <w:r w:rsidRPr="00A307C6">
        <w:rPr>
          <w:lang w:val="en-GB"/>
        </w:rPr>
        <w:lastRenderedPageBreak/>
        <w:t>county. The youth have no access to cattle to marry, they take girls by force and say ‘let us wait until the war is over then we go to your family.’”</w:t>
      </w:r>
      <w:r w:rsidRPr="00A307C6">
        <w:rPr>
          <w:vertAlign w:val="superscript"/>
          <w:lang w:val="en-GB"/>
        </w:rPr>
        <w:footnoteReference w:id="141"/>
      </w:r>
    </w:p>
    <w:p w14:paraId="5F4A0100" w14:textId="42005240" w:rsidR="00611AAC" w:rsidRPr="00A307C6" w:rsidRDefault="00611AAC" w:rsidP="006C5969">
      <w:pPr>
        <w:pStyle w:val="Paragraph"/>
        <w:rPr>
          <w:lang w:val="en-GB"/>
        </w:rPr>
      </w:pPr>
      <w:r w:rsidRPr="00A307C6">
        <w:rPr>
          <w:lang w:val="en-GB"/>
        </w:rPr>
        <w:t xml:space="preserve">The Commission was informed that during the rainy season </w:t>
      </w:r>
      <w:r w:rsidR="00A6634B" w:rsidRPr="00A307C6">
        <w:rPr>
          <w:lang w:val="en-GB"/>
        </w:rPr>
        <w:t xml:space="preserve">residents of the Bentiu POC </w:t>
      </w:r>
      <w:r w:rsidRPr="00A307C6">
        <w:rPr>
          <w:lang w:val="en-GB"/>
        </w:rPr>
        <w:t xml:space="preserve">would </w:t>
      </w:r>
      <w:r w:rsidR="00A6634B" w:rsidRPr="00A307C6">
        <w:rPr>
          <w:lang w:val="en-GB"/>
        </w:rPr>
        <w:t xml:space="preserve">collect and save the </w:t>
      </w:r>
      <w:r w:rsidRPr="00A307C6">
        <w:rPr>
          <w:lang w:val="en-GB"/>
        </w:rPr>
        <w:t>food distribut</w:t>
      </w:r>
      <w:r w:rsidR="00A6634B" w:rsidRPr="00A307C6">
        <w:rPr>
          <w:lang w:val="en-GB"/>
        </w:rPr>
        <w:t xml:space="preserve">ed by </w:t>
      </w:r>
      <w:r w:rsidRPr="00A307C6">
        <w:rPr>
          <w:lang w:val="en-GB"/>
        </w:rPr>
        <w:t>humanitarian</w:t>
      </w:r>
      <w:r w:rsidR="001D4C59" w:rsidRPr="00A307C6">
        <w:rPr>
          <w:lang w:val="en-GB"/>
        </w:rPr>
        <w:t xml:space="preserve"> agencies</w:t>
      </w:r>
      <w:r w:rsidR="000E300B" w:rsidRPr="00A307C6">
        <w:rPr>
          <w:lang w:val="en-GB"/>
        </w:rPr>
        <w:t>, including by storing food with family and friends</w:t>
      </w:r>
      <w:r w:rsidR="00A6634B" w:rsidRPr="00A307C6">
        <w:rPr>
          <w:lang w:val="en-GB"/>
        </w:rPr>
        <w:t xml:space="preserve">. Also, when the security situation allowed, residents would return to their villages and homes, including in </w:t>
      </w:r>
      <w:proofErr w:type="spellStart"/>
      <w:r w:rsidR="00A6634B" w:rsidRPr="00A307C6">
        <w:rPr>
          <w:lang w:val="en-GB"/>
        </w:rPr>
        <w:t>Guit</w:t>
      </w:r>
      <w:proofErr w:type="spellEnd"/>
      <w:r w:rsidR="00A6634B" w:rsidRPr="00A307C6">
        <w:rPr>
          <w:lang w:val="en-GB"/>
        </w:rPr>
        <w:t xml:space="preserve"> and </w:t>
      </w:r>
      <w:proofErr w:type="spellStart"/>
      <w:r w:rsidR="00A6634B" w:rsidRPr="00A307C6">
        <w:rPr>
          <w:lang w:val="en-GB"/>
        </w:rPr>
        <w:t>Nhialdu</w:t>
      </w:r>
      <w:proofErr w:type="spellEnd"/>
      <w:r w:rsidR="00A6634B" w:rsidRPr="00A307C6">
        <w:rPr>
          <w:lang w:val="en-GB"/>
        </w:rPr>
        <w:t xml:space="preserve">, but move back to the POC when insecurity returned. In </w:t>
      </w:r>
      <w:r w:rsidRPr="00A307C6">
        <w:rPr>
          <w:lang w:val="en-GB"/>
        </w:rPr>
        <w:t>the dry season</w:t>
      </w:r>
      <w:r w:rsidR="00A6634B" w:rsidRPr="00A307C6">
        <w:rPr>
          <w:lang w:val="en-GB"/>
        </w:rPr>
        <w:t>,</w:t>
      </w:r>
      <w:r w:rsidRPr="00A307C6">
        <w:rPr>
          <w:lang w:val="en-GB"/>
        </w:rPr>
        <w:t xml:space="preserve"> </w:t>
      </w:r>
      <w:r w:rsidR="001D4C59" w:rsidRPr="00A307C6">
        <w:rPr>
          <w:lang w:val="en-GB"/>
        </w:rPr>
        <w:t xml:space="preserve">they </w:t>
      </w:r>
      <w:r w:rsidRPr="00A307C6">
        <w:rPr>
          <w:lang w:val="en-GB"/>
        </w:rPr>
        <w:t xml:space="preserve">would travel to Bentiu to collect their food to sustain them until the rains came again. The women would </w:t>
      </w:r>
      <w:r w:rsidR="00A6634B" w:rsidRPr="00A307C6">
        <w:rPr>
          <w:lang w:val="en-GB"/>
        </w:rPr>
        <w:t xml:space="preserve">therefore </w:t>
      </w:r>
      <w:r w:rsidRPr="00A307C6">
        <w:rPr>
          <w:lang w:val="en-GB"/>
        </w:rPr>
        <w:t>move between their homes and the POC in large groups for security purposes</w:t>
      </w:r>
      <w:r w:rsidR="00F33820" w:rsidRPr="00A307C6">
        <w:rPr>
          <w:lang w:val="en-GB"/>
        </w:rPr>
        <w:t xml:space="preserve">, </w:t>
      </w:r>
      <w:r w:rsidR="00D57133">
        <w:rPr>
          <w:lang w:val="en-GB"/>
        </w:rPr>
        <w:t xml:space="preserve">which accounts for </w:t>
      </w:r>
      <w:r w:rsidRPr="00A307C6">
        <w:rPr>
          <w:lang w:val="en-GB"/>
        </w:rPr>
        <w:t xml:space="preserve">the </w:t>
      </w:r>
      <w:r w:rsidR="00D57133">
        <w:rPr>
          <w:lang w:val="en-GB"/>
        </w:rPr>
        <w:t xml:space="preserve">larger </w:t>
      </w:r>
      <w:r w:rsidRPr="00A307C6">
        <w:rPr>
          <w:lang w:val="en-GB"/>
        </w:rPr>
        <w:t xml:space="preserve">numbers of </w:t>
      </w:r>
      <w:r w:rsidR="00D57133">
        <w:rPr>
          <w:lang w:val="en-GB"/>
        </w:rPr>
        <w:t xml:space="preserve">women </w:t>
      </w:r>
      <w:r w:rsidRPr="00A307C6">
        <w:rPr>
          <w:lang w:val="en-GB"/>
        </w:rPr>
        <w:t xml:space="preserve">moving </w:t>
      </w:r>
      <w:r w:rsidR="00D57133">
        <w:rPr>
          <w:lang w:val="en-GB"/>
        </w:rPr>
        <w:t xml:space="preserve">who were </w:t>
      </w:r>
      <w:r w:rsidRPr="00A307C6">
        <w:rPr>
          <w:lang w:val="en-GB"/>
        </w:rPr>
        <w:t>targeted.</w:t>
      </w:r>
      <w:r w:rsidRPr="00A307C6">
        <w:rPr>
          <w:vertAlign w:val="superscript"/>
          <w:lang w:val="en-GB"/>
        </w:rPr>
        <w:footnoteReference w:id="142"/>
      </w:r>
    </w:p>
    <w:p w14:paraId="35155137" w14:textId="0EA8FEE2" w:rsidR="00611AAC" w:rsidRPr="00A307C6" w:rsidRDefault="00611AAC" w:rsidP="006C5969">
      <w:pPr>
        <w:pStyle w:val="Paragraph"/>
        <w:rPr>
          <w:lang w:val="en-GB"/>
        </w:rPr>
      </w:pPr>
      <w:r w:rsidRPr="00A307C6">
        <w:rPr>
          <w:lang w:val="en-GB"/>
        </w:rPr>
        <w:t xml:space="preserve">A witness </w:t>
      </w:r>
      <w:r w:rsidR="00F3105E">
        <w:rPr>
          <w:lang w:val="en-GB"/>
        </w:rPr>
        <w:t xml:space="preserve">confirmed to </w:t>
      </w:r>
      <w:r w:rsidRPr="00A307C6">
        <w:rPr>
          <w:lang w:val="en-GB"/>
        </w:rPr>
        <w:t>the Commission that women would travel to the POC season</w:t>
      </w:r>
      <w:r w:rsidR="004C3F06">
        <w:rPr>
          <w:lang w:val="en-GB"/>
        </w:rPr>
        <w:t xml:space="preserve">ally informed also by </w:t>
      </w:r>
      <w:r w:rsidRPr="00A307C6">
        <w:rPr>
          <w:lang w:val="en-GB"/>
        </w:rPr>
        <w:t xml:space="preserve">time of year. </w:t>
      </w:r>
      <w:r w:rsidRPr="00A307C6">
        <w:rPr>
          <w:vertAlign w:val="superscript"/>
          <w:lang w:val="en-GB"/>
        </w:rPr>
        <w:footnoteReference w:id="143"/>
      </w:r>
      <w:r w:rsidRPr="00A307C6">
        <w:rPr>
          <w:lang w:val="en-GB"/>
        </w:rPr>
        <w:t xml:space="preserve"> The numbers of women moving and traveling also coincided with the period when the integration of forces was to begin; an exercise that resulted in the presence of large groups of military personnel in the area, as well as so</w:t>
      </w:r>
      <w:r w:rsidR="00A6634B" w:rsidRPr="00A307C6">
        <w:rPr>
          <w:lang w:val="en-GB"/>
        </w:rPr>
        <w:t>l</w:t>
      </w:r>
      <w:r w:rsidRPr="00A307C6">
        <w:rPr>
          <w:lang w:val="en-GB"/>
        </w:rPr>
        <w:t>d</w:t>
      </w:r>
      <w:r w:rsidR="00A6634B" w:rsidRPr="00A307C6">
        <w:rPr>
          <w:lang w:val="en-GB"/>
        </w:rPr>
        <w:t>i</w:t>
      </w:r>
      <w:r w:rsidRPr="00A307C6">
        <w:rPr>
          <w:lang w:val="en-GB"/>
        </w:rPr>
        <w:t xml:space="preserve">ers that had defected. The large numbers of women either moving towards Bentiu and the POC or towards their villages in </w:t>
      </w:r>
      <w:proofErr w:type="spellStart"/>
      <w:r w:rsidRPr="00A307C6">
        <w:rPr>
          <w:lang w:val="en-GB"/>
        </w:rPr>
        <w:t>Guit</w:t>
      </w:r>
      <w:proofErr w:type="spellEnd"/>
      <w:r w:rsidRPr="00A307C6">
        <w:rPr>
          <w:lang w:val="en-GB"/>
        </w:rPr>
        <w:t xml:space="preserve"> and </w:t>
      </w:r>
      <w:proofErr w:type="spellStart"/>
      <w:r w:rsidRPr="00A307C6">
        <w:rPr>
          <w:lang w:val="en-GB"/>
        </w:rPr>
        <w:t>Nhialdu</w:t>
      </w:r>
      <w:proofErr w:type="spellEnd"/>
      <w:r w:rsidRPr="00A307C6">
        <w:rPr>
          <w:lang w:val="en-GB"/>
        </w:rPr>
        <w:t xml:space="preserve"> would have been in possession of rations, collected and saved over several months, or harvested crops that they had been able to grow in their villages during the rainy season and that they were carrying back with them for their loved ones in the POC. </w:t>
      </w:r>
    </w:p>
    <w:p w14:paraId="6B33F032" w14:textId="77777777" w:rsidR="00611AAC" w:rsidRPr="00A307C6" w:rsidRDefault="00611AAC" w:rsidP="009213A1">
      <w:pPr>
        <w:pStyle w:val="Paragraph"/>
        <w:numPr>
          <w:ilvl w:val="0"/>
          <w:numId w:val="0"/>
        </w:numPr>
        <w:ind w:left="1134"/>
        <w:rPr>
          <w:lang w:val="en-GB"/>
        </w:rPr>
      </w:pPr>
      <w:r w:rsidRPr="00A307C6">
        <w:rPr>
          <w:lang w:val="en-GB"/>
        </w:rPr>
        <w:t>“The food distribution included lentils and CSB (super cereal) provided by WFP in a small plastic bag and the attackers also took this from the women. The attacks happened to both groups of women as they came to town to collect food and as they went back after collection.”</w:t>
      </w:r>
      <w:r w:rsidRPr="00A307C6">
        <w:rPr>
          <w:vertAlign w:val="superscript"/>
          <w:lang w:val="en-GB"/>
        </w:rPr>
        <w:footnoteReference w:id="144"/>
      </w:r>
    </w:p>
    <w:p w14:paraId="42928D2C" w14:textId="7402AD21" w:rsidR="00611AAC" w:rsidRPr="00A307C6" w:rsidRDefault="00611AAC" w:rsidP="006C5969">
      <w:pPr>
        <w:pStyle w:val="Paragraph"/>
        <w:rPr>
          <w:lang w:val="en-GB"/>
        </w:rPr>
      </w:pPr>
      <w:r w:rsidRPr="00A307C6">
        <w:rPr>
          <w:lang w:val="en-GB"/>
        </w:rPr>
        <w:t>In focus group discussion</w:t>
      </w:r>
      <w:r w:rsidR="00A6634B" w:rsidRPr="00A307C6">
        <w:rPr>
          <w:lang w:val="en-GB"/>
        </w:rPr>
        <w:t xml:space="preserve">s, </w:t>
      </w:r>
      <w:r w:rsidRPr="00A307C6">
        <w:rPr>
          <w:lang w:val="en-GB"/>
        </w:rPr>
        <w:t>humanitarian responders</w:t>
      </w:r>
      <w:r w:rsidR="00A6634B" w:rsidRPr="00A307C6">
        <w:rPr>
          <w:lang w:val="en-GB"/>
        </w:rPr>
        <w:t xml:space="preserve"> revealed that </w:t>
      </w:r>
      <w:r w:rsidRPr="00A307C6">
        <w:rPr>
          <w:lang w:val="en-GB"/>
        </w:rPr>
        <w:t xml:space="preserve">most of </w:t>
      </w:r>
      <w:r w:rsidR="00F33820" w:rsidRPr="00A307C6">
        <w:rPr>
          <w:lang w:val="en-GB"/>
        </w:rPr>
        <w:t xml:space="preserve">those </w:t>
      </w:r>
      <w:r w:rsidRPr="00A307C6">
        <w:rPr>
          <w:lang w:val="en-GB"/>
        </w:rPr>
        <w:t xml:space="preserve">who had attended directly to survivors were overwhelmed with the numbers of women and girls </w:t>
      </w:r>
      <w:r w:rsidR="00A6634B" w:rsidRPr="00A307C6">
        <w:rPr>
          <w:lang w:val="en-GB"/>
        </w:rPr>
        <w:t xml:space="preserve">who were </w:t>
      </w:r>
      <w:r w:rsidRPr="00A307C6">
        <w:rPr>
          <w:lang w:val="en-GB"/>
        </w:rPr>
        <w:t>raped and sexual violated in th</w:t>
      </w:r>
      <w:r w:rsidR="00A6634B" w:rsidRPr="00A307C6">
        <w:rPr>
          <w:lang w:val="en-GB"/>
        </w:rPr>
        <w:t>at</w:t>
      </w:r>
      <w:r w:rsidRPr="00A307C6">
        <w:rPr>
          <w:lang w:val="en-GB"/>
        </w:rPr>
        <w:t xml:space="preserve"> ten-day period. The numbers had </w:t>
      </w:r>
      <w:r w:rsidR="00A6634B" w:rsidRPr="00A307C6">
        <w:rPr>
          <w:lang w:val="en-GB"/>
        </w:rPr>
        <w:t xml:space="preserve">suddenly </w:t>
      </w:r>
      <w:r w:rsidRPr="00A307C6">
        <w:rPr>
          <w:lang w:val="en-GB"/>
        </w:rPr>
        <w:t>shot up from the usual 3 to 4 women and girls in a week</w:t>
      </w:r>
      <w:r w:rsidR="00A6634B" w:rsidRPr="00A307C6">
        <w:rPr>
          <w:lang w:val="en-GB"/>
        </w:rPr>
        <w:t>,</w:t>
      </w:r>
      <w:r w:rsidRPr="00A307C6">
        <w:rPr>
          <w:lang w:val="en-GB"/>
        </w:rPr>
        <w:t xml:space="preserve"> to 37 </w:t>
      </w:r>
      <w:r w:rsidR="00A6634B" w:rsidRPr="00A307C6">
        <w:rPr>
          <w:lang w:val="en-GB"/>
        </w:rPr>
        <w:t xml:space="preserve">victims </w:t>
      </w:r>
      <w:r w:rsidRPr="00A307C6">
        <w:rPr>
          <w:lang w:val="en-GB"/>
        </w:rPr>
        <w:t xml:space="preserve">on a particular day. The age of the victims and the severe injuries the </w:t>
      </w:r>
      <w:r w:rsidRPr="00A307C6">
        <w:rPr>
          <w:lang w:val="en-GB"/>
        </w:rPr>
        <w:lastRenderedPageBreak/>
        <w:t xml:space="preserve">survivors had sustained caused great alarm to the medical support team as did the </w:t>
      </w:r>
      <w:r w:rsidR="00A6634B" w:rsidRPr="00A307C6">
        <w:rPr>
          <w:lang w:val="en-GB"/>
        </w:rPr>
        <w:t>injuries</w:t>
      </w:r>
      <w:r w:rsidRPr="00A307C6">
        <w:rPr>
          <w:lang w:val="en-GB"/>
        </w:rPr>
        <w:t xml:space="preserve"> sustained from the beatings accompanying the rape and sexual violence.</w:t>
      </w:r>
    </w:p>
    <w:p w14:paraId="0B3EB71D" w14:textId="188DBFA5" w:rsidR="00611AAC" w:rsidRPr="00A307C6" w:rsidRDefault="00611AAC" w:rsidP="009213A1">
      <w:pPr>
        <w:pStyle w:val="Paragraph"/>
        <w:numPr>
          <w:ilvl w:val="0"/>
          <w:numId w:val="0"/>
        </w:numPr>
        <w:ind w:left="1134"/>
        <w:rPr>
          <w:lang w:val="en-GB"/>
        </w:rPr>
      </w:pPr>
      <w:r w:rsidRPr="00A307C6">
        <w:rPr>
          <w:lang w:val="en-GB"/>
        </w:rPr>
        <w:t>“During this crisis, since it started in 2013, many bad things happened here in South Sudan. […] Especially in 2018, many bad things, those women raped, older women who are no longer producing and very young girls. There were many people here at that time. […] Before they were coming one by one. The room was full, they were more than 37, I counted them and realised it was a crisis.”</w:t>
      </w:r>
      <w:r w:rsidRPr="00A307C6">
        <w:rPr>
          <w:vertAlign w:val="superscript"/>
          <w:lang w:val="en-GB"/>
        </w:rPr>
        <w:footnoteReference w:id="145"/>
      </w:r>
    </w:p>
    <w:p w14:paraId="1EF46442" w14:textId="0E2DE803" w:rsidR="00531FA9" w:rsidRPr="00A307C6" w:rsidRDefault="00611AAC" w:rsidP="00FF077A">
      <w:pPr>
        <w:pStyle w:val="Paragraph"/>
        <w:rPr>
          <w:lang w:val="en-GB"/>
        </w:rPr>
      </w:pPr>
      <w:r w:rsidRPr="00A307C6">
        <w:rPr>
          <w:lang w:val="en-GB"/>
        </w:rPr>
        <w:t>Witnesses the Commission spoke to described how following the MSF report, Government officials who came from Juba</w:t>
      </w:r>
      <w:r w:rsidR="00BD5D32" w:rsidRPr="00A307C6">
        <w:rPr>
          <w:lang w:val="en-GB"/>
        </w:rPr>
        <w:t xml:space="preserve"> visited Bentiu</w:t>
      </w:r>
      <w:r w:rsidRPr="00A307C6">
        <w:rPr>
          <w:lang w:val="en-GB"/>
        </w:rPr>
        <w:t xml:space="preserve">, intimidating and warning </w:t>
      </w:r>
      <w:r w:rsidR="00BD5D32" w:rsidRPr="00A307C6">
        <w:rPr>
          <w:lang w:val="en-GB"/>
        </w:rPr>
        <w:t xml:space="preserve">residents </w:t>
      </w:r>
      <w:r w:rsidRPr="00A307C6">
        <w:rPr>
          <w:lang w:val="en-GB"/>
        </w:rPr>
        <w:t xml:space="preserve">against reporting or speaking about the rape and sexual violence as well as the injuries they had seen. Given </w:t>
      </w:r>
      <w:r w:rsidR="009C2C26" w:rsidRPr="00A307C6">
        <w:rPr>
          <w:lang w:val="en-GB"/>
        </w:rPr>
        <w:t xml:space="preserve">that </w:t>
      </w:r>
      <w:r w:rsidRPr="00A307C6">
        <w:rPr>
          <w:lang w:val="en-GB"/>
        </w:rPr>
        <w:t xml:space="preserve">the </w:t>
      </w:r>
      <w:r w:rsidR="00C15248" w:rsidRPr="00A307C6">
        <w:rPr>
          <w:lang w:val="en-GB"/>
        </w:rPr>
        <w:t>Revitalized</w:t>
      </w:r>
      <w:r w:rsidRPr="00A307C6">
        <w:rPr>
          <w:lang w:val="en-GB"/>
        </w:rPr>
        <w:t xml:space="preserve"> </w:t>
      </w:r>
      <w:r w:rsidR="00C15248" w:rsidRPr="00A307C6">
        <w:rPr>
          <w:lang w:val="en-GB"/>
        </w:rPr>
        <w:t>Agreement</w:t>
      </w:r>
      <w:r w:rsidR="009C2C26" w:rsidRPr="00A307C6">
        <w:rPr>
          <w:lang w:val="en-GB"/>
        </w:rPr>
        <w:t xml:space="preserve"> had only recently been signed and that there were related concerns that its status was somewhat tenuous</w:t>
      </w:r>
      <w:r w:rsidRPr="00A307C6">
        <w:rPr>
          <w:lang w:val="en-GB"/>
        </w:rPr>
        <w:t xml:space="preserve">, witnesses told the Commission that the Government preferred to present a view that the country was secure, rather than to address the ongoing violations. Some witnesses were </w:t>
      </w:r>
      <w:r w:rsidR="00531FA9" w:rsidRPr="00A307C6">
        <w:rPr>
          <w:lang w:val="en-GB"/>
        </w:rPr>
        <w:t xml:space="preserve">harassed </w:t>
      </w:r>
      <w:r w:rsidRPr="00A307C6">
        <w:rPr>
          <w:lang w:val="en-GB"/>
        </w:rPr>
        <w:t xml:space="preserve">by Government officials </w:t>
      </w:r>
      <w:r w:rsidR="00531FA9" w:rsidRPr="00A307C6">
        <w:rPr>
          <w:lang w:val="en-GB"/>
        </w:rPr>
        <w:t>who deliberately sought to undermine their testi</w:t>
      </w:r>
      <w:r w:rsidR="00AE3076" w:rsidRPr="00A307C6">
        <w:rPr>
          <w:lang w:val="en-GB"/>
        </w:rPr>
        <w:t xml:space="preserve">monies </w:t>
      </w:r>
      <w:r w:rsidR="00531FA9" w:rsidRPr="00A307C6">
        <w:rPr>
          <w:lang w:val="en-GB"/>
        </w:rPr>
        <w:t>and discourage any fu</w:t>
      </w:r>
      <w:r w:rsidR="00AE3076" w:rsidRPr="00A307C6">
        <w:rPr>
          <w:lang w:val="en-GB"/>
        </w:rPr>
        <w:t>r</w:t>
      </w:r>
      <w:r w:rsidR="00531FA9" w:rsidRPr="00A307C6">
        <w:rPr>
          <w:lang w:val="en-GB"/>
        </w:rPr>
        <w:t>ther reporting of sexual violence.</w:t>
      </w:r>
    </w:p>
    <w:p w14:paraId="00039D1E" w14:textId="35F87E5A" w:rsidR="00611AAC" w:rsidRPr="00A307C6" w:rsidRDefault="00611AAC" w:rsidP="009213A1">
      <w:pPr>
        <w:pStyle w:val="Paragraph"/>
        <w:numPr>
          <w:ilvl w:val="0"/>
          <w:numId w:val="0"/>
        </w:numPr>
        <w:ind w:left="1134"/>
        <w:rPr>
          <w:lang w:val="en-GB"/>
        </w:rPr>
      </w:pPr>
      <w:r w:rsidRPr="00A307C6">
        <w:rPr>
          <w:lang w:val="en-GB"/>
        </w:rPr>
        <w:t>“</w:t>
      </w:r>
      <w:r w:rsidR="00531FA9" w:rsidRPr="00A307C6">
        <w:rPr>
          <w:lang w:val="en-GB"/>
        </w:rPr>
        <w:t>W</w:t>
      </w:r>
      <w:r w:rsidRPr="00A307C6">
        <w:rPr>
          <w:lang w:val="en-GB"/>
        </w:rPr>
        <w:t>hy are you exposing this shame to [about] us?” “</w:t>
      </w:r>
      <w:r w:rsidR="00531FA9" w:rsidRPr="00A307C6">
        <w:rPr>
          <w:lang w:val="en-GB"/>
        </w:rPr>
        <w:t>W</w:t>
      </w:r>
      <w:r w:rsidRPr="00A307C6">
        <w:rPr>
          <w:lang w:val="en-GB"/>
        </w:rPr>
        <w:t>hy are you collecting those women who slept with their husbands last night and claiming that they were raped?”</w:t>
      </w:r>
      <w:r w:rsidRPr="00A307C6">
        <w:rPr>
          <w:vertAlign w:val="superscript"/>
          <w:lang w:val="en-GB"/>
        </w:rPr>
        <w:footnoteReference w:id="146"/>
      </w:r>
      <w:r w:rsidRPr="00A307C6">
        <w:rPr>
          <w:lang w:val="en-GB"/>
        </w:rPr>
        <w:t xml:space="preserve"> </w:t>
      </w:r>
    </w:p>
    <w:p w14:paraId="505FB89E" w14:textId="54758AA4" w:rsidR="009B4656" w:rsidRPr="00A307C6" w:rsidRDefault="00611AAC" w:rsidP="00FF077A">
      <w:pPr>
        <w:pStyle w:val="Paragraph"/>
        <w:rPr>
          <w:lang w:val="en-GB"/>
        </w:rPr>
      </w:pPr>
      <w:r w:rsidRPr="00A307C6">
        <w:rPr>
          <w:lang w:val="en-GB"/>
        </w:rPr>
        <w:t xml:space="preserve">Witnesses also reported that the </w:t>
      </w:r>
      <w:r w:rsidR="00911151" w:rsidRPr="00A307C6">
        <w:rPr>
          <w:lang w:val="en-GB"/>
        </w:rPr>
        <w:t>G</w:t>
      </w:r>
      <w:r w:rsidRPr="00A307C6">
        <w:rPr>
          <w:lang w:val="en-GB"/>
        </w:rPr>
        <w:t xml:space="preserve">overnment spread the word through the community that victims seeking medical treatment for sexual violations would be arrested. These acts were </w:t>
      </w:r>
      <w:r w:rsidR="006F6FF6" w:rsidRPr="00A307C6">
        <w:rPr>
          <w:lang w:val="en-GB"/>
        </w:rPr>
        <w:t xml:space="preserve">also </w:t>
      </w:r>
      <w:r w:rsidRPr="00A307C6">
        <w:rPr>
          <w:lang w:val="en-GB"/>
        </w:rPr>
        <w:t>deliberate</w:t>
      </w:r>
      <w:r w:rsidR="006F6FF6" w:rsidRPr="00A307C6">
        <w:rPr>
          <w:lang w:val="en-GB"/>
        </w:rPr>
        <w:t>ly</w:t>
      </w:r>
      <w:r w:rsidRPr="00A307C6">
        <w:rPr>
          <w:lang w:val="en-GB"/>
        </w:rPr>
        <w:t xml:space="preserve"> aimed at intimidating and </w:t>
      </w:r>
      <w:r w:rsidR="00D3581B" w:rsidRPr="00A307C6">
        <w:rPr>
          <w:lang w:val="en-GB"/>
        </w:rPr>
        <w:t xml:space="preserve">stopping </w:t>
      </w:r>
      <w:r w:rsidRPr="00A307C6">
        <w:rPr>
          <w:lang w:val="en-GB"/>
        </w:rPr>
        <w:t xml:space="preserve">survivors </w:t>
      </w:r>
      <w:r w:rsidR="00D3581B" w:rsidRPr="00A307C6">
        <w:rPr>
          <w:lang w:val="en-GB"/>
        </w:rPr>
        <w:t xml:space="preserve">from </w:t>
      </w:r>
      <w:r w:rsidRPr="00A307C6">
        <w:rPr>
          <w:lang w:val="en-GB"/>
        </w:rPr>
        <w:t>reporting their violations</w:t>
      </w:r>
      <w:r w:rsidR="00D3581B" w:rsidRPr="00A307C6">
        <w:rPr>
          <w:lang w:val="en-GB"/>
        </w:rPr>
        <w:t xml:space="preserve">, but also prevented </w:t>
      </w:r>
      <w:r w:rsidRPr="00A307C6">
        <w:rPr>
          <w:lang w:val="en-GB"/>
        </w:rPr>
        <w:t xml:space="preserve">rapid intervention and </w:t>
      </w:r>
      <w:r w:rsidR="00C15248" w:rsidRPr="00A307C6">
        <w:rPr>
          <w:lang w:val="en-GB"/>
        </w:rPr>
        <w:t>longer-term</w:t>
      </w:r>
      <w:r w:rsidRPr="00A307C6">
        <w:rPr>
          <w:lang w:val="en-GB"/>
        </w:rPr>
        <w:t xml:space="preserve"> harms. </w:t>
      </w:r>
    </w:p>
    <w:p w14:paraId="10F5AB71" w14:textId="046DB6F6" w:rsidR="00611AAC" w:rsidRPr="00A307C6" w:rsidRDefault="009C2C26" w:rsidP="006C5969">
      <w:pPr>
        <w:pStyle w:val="Paragraph"/>
        <w:rPr>
          <w:lang w:val="en-GB"/>
        </w:rPr>
      </w:pPr>
      <w:r w:rsidRPr="00A307C6">
        <w:rPr>
          <w:lang w:val="en-GB"/>
        </w:rPr>
        <w:t>H</w:t>
      </w:r>
      <w:r w:rsidR="00611AAC" w:rsidRPr="00A307C6">
        <w:rPr>
          <w:lang w:val="en-GB"/>
        </w:rPr>
        <w:t xml:space="preserve">umanitarian responders were concerned that the </w:t>
      </w:r>
      <w:r w:rsidR="00911151" w:rsidRPr="00A307C6">
        <w:rPr>
          <w:lang w:val="en-GB"/>
        </w:rPr>
        <w:t>G</w:t>
      </w:r>
      <w:r w:rsidR="00611AAC" w:rsidRPr="00A307C6">
        <w:rPr>
          <w:lang w:val="en-GB"/>
        </w:rPr>
        <w:t xml:space="preserve">overnment’s actions and findings in their final report </w:t>
      </w:r>
      <w:r w:rsidR="00D3581B" w:rsidRPr="00A307C6">
        <w:rPr>
          <w:lang w:val="en-GB"/>
        </w:rPr>
        <w:t xml:space="preserve">had been </w:t>
      </w:r>
      <w:r w:rsidR="00611AAC" w:rsidRPr="00A307C6">
        <w:rPr>
          <w:lang w:val="en-GB"/>
        </w:rPr>
        <w:t xml:space="preserve">extremely </w:t>
      </w:r>
      <w:r w:rsidR="00D3581B" w:rsidRPr="00A307C6">
        <w:rPr>
          <w:lang w:val="en-GB"/>
        </w:rPr>
        <w:t xml:space="preserve">detrimental </w:t>
      </w:r>
      <w:r w:rsidR="00611AAC" w:rsidRPr="00A307C6">
        <w:rPr>
          <w:lang w:val="en-GB"/>
        </w:rPr>
        <w:t>to efforts to prevent sexual violence and encourag</w:t>
      </w:r>
      <w:r w:rsidR="00911151" w:rsidRPr="00A307C6">
        <w:rPr>
          <w:lang w:val="en-GB"/>
        </w:rPr>
        <w:t>e</w:t>
      </w:r>
      <w:r w:rsidR="00611AAC" w:rsidRPr="00A307C6">
        <w:rPr>
          <w:lang w:val="en-GB"/>
        </w:rPr>
        <w:t xml:space="preserve"> survivors to seek services </w:t>
      </w:r>
      <w:r w:rsidRPr="00A307C6">
        <w:rPr>
          <w:lang w:val="en-GB"/>
        </w:rPr>
        <w:t>in a timely manner</w:t>
      </w:r>
      <w:r w:rsidR="00611AAC" w:rsidRPr="00A307C6">
        <w:rPr>
          <w:lang w:val="en-GB"/>
        </w:rPr>
        <w:t>. The Government’s report found that while some instances of sexual violence may have taken place, the numbers reported by MSF were exaggerated and obtained by offering free services such as dignity kits to women in exchange for testimonies of rape.</w:t>
      </w:r>
      <w:r w:rsidR="00611AAC" w:rsidRPr="00A307C6">
        <w:rPr>
          <w:vertAlign w:val="superscript"/>
          <w:lang w:val="en-GB"/>
        </w:rPr>
        <w:footnoteReference w:id="147"/>
      </w:r>
      <w:r w:rsidR="000F5C59" w:rsidRPr="00A307C6">
        <w:rPr>
          <w:lang w:val="en-GB"/>
        </w:rPr>
        <w:t xml:space="preserve"> </w:t>
      </w:r>
      <w:r w:rsidR="00060280" w:rsidRPr="00A307C6">
        <w:rPr>
          <w:lang w:val="en-GB"/>
        </w:rPr>
        <w:t xml:space="preserve">The Commission </w:t>
      </w:r>
      <w:r w:rsidR="00D57133">
        <w:rPr>
          <w:lang w:val="en-GB"/>
        </w:rPr>
        <w:t xml:space="preserve">cross-checked the accounts heard but </w:t>
      </w:r>
      <w:r w:rsidR="00060280" w:rsidRPr="00A307C6">
        <w:rPr>
          <w:lang w:val="en-GB"/>
        </w:rPr>
        <w:t xml:space="preserve">has not come across any instances where women who </w:t>
      </w:r>
      <w:r w:rsidR="00D76D96" w:rsidRPr="00A307C6">
        <w:rPr>
          <w:lang w:val="en-GB"/>
        </w:rPr>
        <w:t xml:space="preserve">suffered </w:t>
      </w:r>
      <w:r w:rsidR="00D76D96" w:rsidRPr="00A307C6">
        <w:rPr>
          <w:lang w:val="en-GB"/>
        </w:rPr>
        <w:lastRenderedPageBreak/>
        <w:t xml:space="preserve">rape </w:t>
      </w:r>
      <w:r w:rsidR="00AE3076" w:rsidRPr="00A307C6">
        <w:rPr>
          <w:lang w:val="en-GB"/>
        </w:rPr>
        <w:t>and sexual viol</w:t>
      </w:r>
      <w:r w:rsidR="00D76D96" w:rsidRPr="00A307C6">
        <w:rPr>
          <w:lang w:val="en-GB"/>
        </w:rPr>
        <w:t>ence</w:t>
      </w:r>
      <w:r w:rsidR="00AE3076" w:rsidRPr="00A307C6">
        <w:rPr>
          <w:lang w:val="en-GB"/>
        </w:rPr>
        <w:t xml:space="preserve"> concoct</w:t>
      </w:r>
      <w:r w:rsidR="00D3581B" w:rsidRPr="00A307C6">
        <w:rPr>
          <w:lang w:val="en-GB"/>
        </w:rPr>
        <w:t>ed</w:t>
      </w:r>
      <w:r w:rsidR="00AE3076" w:rsidRPr="00A307C6">
        <w:rPr>
          <w:lang w:val="en-GB"/>
        </w:rPr>
        <w:t xml:space="preserve"> </w:t>
      </w:r>
      <w:r w:rsidR="00060280" w:rsidRPr="00A307C6">
        <w:rPr>
          <w:lang w:val="en-GB"/>
        </w:rPr>
        <w:t>stories about sexual violence perpetrated against them</w:t>
      </w:r>
      <w:r w:rsidR="00D3581B" w:rsidRPr="00A307C6">
        <w:rPr>
          <w:lang w:val="en-GB"/>
        </w:rPr>
        <w:t xml:space="preserve">. It is simply implausible that women would </w:t>
      </w:r>
      <w:r w:rsidR="00060280" w:rsidRPr="00A307C6">
        <w:rPr>
          <w:lang w:val="en-GB"/>
        </w:rPr>
        <w:t>expose them</w:t>
      </w:r>
      <w:r w:rsidR="00D3581B" w:rsidRPr="00A307C6">
        <w:rPr>
          <w:lang w:val="en-GB"/>
        </w:rPr>
        <w:t>selves</w:t>
      </w:r>
      <w:r w:rsidR="00060280" w:rsidRPr="00A307C6">
        <w:rPr>
          <w:lang w:val="en-GB"/>
        </w:rPr>
        <w:t xml:space="preserve"> to social stigma, especially for the purpose of obtaining some toiletries</w:t>
      </w:r>
      <w:r w:rsidR="00D76D96" w:rsidRPr="00A307C6">
        <w:rPr>
          <w:lang w:val="en-GB"/>
        </w:rPr>
        <w:t>, as claimed by some government officials</w:t>
      </w:r>
      <w:r w:rsidR="00060280" w:rsidRPr="00A307C6">
        <w:rPr>
          <w:lang w:val="en-GB"/>
        </w:rPr>
        <w:t xml:space="preserve">. </w:t>
      </w:r>
    </w:p>
    <w:p w14:paraId="447C3645" w14:textId="0446E990" w:rsidR="00803466" w:rsidRPr="00A307C6" w:rsidRDefault="00885749" w:rsidP="006C5969">
      <w:pPr>
        <w:pStyle w:val="Paragraph"/>
        <w:rPr>
          <w:lang w:val="en-GB"/>
        </w:rPr>
      </w:pPr>
      <w:r w:rsidRPr="00A307C6">
        <w:rPr>
          <w:lang w:val="en-GB"/>
        </w:rPr>
        <w:t xml:space="preserve">The </w:t>
      </w:r>
      <w:r w:rsidR="00C67775">
        <w:rPr>
          <w:lang w:val="en-GB"/>
        </w:rPr>
        <w:t>G</w:t>
      </w:r>
      <w:r w:rsidR="004C3F06">
        <w:rPr>
          <w:lang w:val="en-GB"/>
        </w:rPr>
        <w:t xml:space="preserve">overnment’s hostile </w:t>
      </w:r>
      <w:r w:rsidRPr="00A307C6">
        <w:rPr>
          <w:lang w:val="en-GB"/>
        </w:rPr>
        <w:t xml:space="preserve">treatment of survivors and first-responders </w:t>
      </w:r>
      <w:r w:rsidR="00DF36F1" w:rsidRPr="00A307C6">
        <w:rPr>
          <w:lang w:val="en-GB"/>
        </w:rPr>
        <w:t xml:space="preserve">in this case are </w:t>
      </w:r>
      <w:r w:rsidR="001C0158" w:rsidRPr="00A307C6">
        <w:rPr>
          <w:lang w:val="en-GB"/>
        </w:rPr>
        <w:t>illustrative</w:t>
      </w:r>
      <w:r w:rsidR="00DF36F1" w:rsidRPr="00A307C6">
        <w:rPr>
          <w:lang w:val="en-GB"/>
        </w:rPr>
        <w:t xml:space="preserve"> of factors </w:t>
      </w:r>
      <w:r w:rsidRPr="00A307C6">
        <w:rPr>
          <w:lang w:val="en-GB"/>
        </w:rPr>
        <w:t>contribut</w:t>
      </w:r>
      <w:r w:rsidR="00DF36F1" w:rsidRPr="00A307C6">
        <w:rPr>
          <w:lang w:val="en-GB"/>
        </w:rPr>
        <w:t>ing</w:t>
      </w:r>
      <w:r w:rsidRPr="00A307C6">
        <w:rPr>
          <w:lang w:val="en-GB"/>
        </w:rPr>
        <w:t xml:space="preserve"> to the trend of under-reporting of conflict-related sexual violence by both victims and service providers</w:t>
      </w:r>
      <w:r w:rsidR="00DF36F1" w:rsidRPr="00A307C6">
        <w:rPr>
          <w:lang w:val="en-GB"/>
        </w:rPr>
        <w:t xml:space="preserve">. Nonetheless, </w:t>
      </w:r>
      <w:r w:rsidRPr="00A307C6">
        <w:rPr>
          <w:lang w:val="en-GB"/>
        </w:rPr>
        <w:t>the instances of such crimes persist. In 2021 the</w:t>
      </w:r>
      <w:r w:rsidR="00803466" w:rsidRPr="00A307C6">
        <w:rPr>
          <w:lang w:val="en-GB"/>
        </w:rPr>
        <w:t xml:space="preserve"> Commission visited Unity State, </w:t>
      </w:r>
      <w:r w:rsidR="00DF36F1" w:rsidRPr="00A307C6">
        <w:rPr>
          <w:lang w:val="en-GB"/>
        </w:rPr>
        <w:t xml:space="preserve">where </w:t>
      </w:r>
      <w:r w:rsidR="00803466" w:rsidRPr="00A307C6">
        <w:rPr>
          <w:lang w:val="en-GB"/>
        </w:rPr>
        <w:t xml:space="preserve">further testimonies </w:t>
      </w:r>
      <w:r w:rsidR="00DF36F1" w:rsidRPr="00A307C6">
        <w:rPr>
          <w:lang w:val="en-GB"/>
        </w:rPr>
        <w:t xml:space="preserve">were received </w:t>
      </w:r>
      <w:r w:rsidR="00803466" w:rsidRPr="00A307C6">
        <w:rPr>
          <w:lang w:val="en-GB"/>
        </w:rPr>
        <w:t>from survivors of conflict-related sexual violence against women and girls, regarding violations and abuses occurring between 2013 and 2021. These testimonies indicate that such crimes remain pervasive.</w:t>
      </w:r>
      <w:r w:rsidR="00803466" w:rsidRPr="00A307C6">
        <w:rPr>
          <w:rStyle w:val="FootnoteReference"/>
          <w:lang w:val="en-GB"/>
        </w:rPr>
        <w:footnoteReference w:id="148"/>
      </w:r>
      <w:r w:rsidR="00803466" w:rsidRPr="00A307C6">
        <w:rPr>
          <w:lang w:val="en-GB"/>
        </w:rPr>
        <w:t xml:space="preserve"> Furthermore, displacement has increased in recent years due to flooding related to the global climate emergency,</w:t>
      </w:r>
      <w:r w:rsidR="00803466" w:rsidRPr="00A307C6">
        <w:rPr>
          <w:rStyle w:val="FootnoteReference"/>
          <w:lang w:val="en-GB"/>
        </w:rPr>
        <w:footnoteReference w:id="149"/>
      </w:r>
      <w:r w:rsidR="00803466" w:rsidRPr="00A307C6">
        <w:rPr>
          <w:lang w:val="en-GB"/>
        </w:rPr>
        <w:t xml:space="preserve"> as well as persistent conflict and insecurity. More women and girls are </w:t>
      </w:r>
      <w:r w:rsidR="001C0158" w:rsidRPr="00A307C6">
        <w:rPr>
          <w:lang w:val="en-GB"/>
        </w:rPr>
        <w:t>now</w:t>
      </w:r>
      <w:r w:rsidR="00803466" w:rsidRPr="00A307C6">
        <w:rPr>
          <w:lang w:val="en-GB"/>
        </w:rPr>
        <w:t xml:space="preserve"> displaced and continue to have limited security in these </w:t>
      </w:r>
      <w:r w:rsidR="00214672" w:rsidRPr="00A307C6">
        <w:rPr>
          <w:lang w:val="en-GB"/>
        </w:rPr>
        <w:t xml:space="preserve">displacement </w:t>
      </w:r>
      <w:r w:rsidR="00803466" w:rsidRPr="00A307C6">
        <w:rPr>
          <w:lang w:val="en-GB"/>
        </w:rPr>
        <w:t xml:space="preserve">settings, particularly </w:t>
      </w:r>
      <w:r w:rsidR="00214672" w:rsidRPr="00A307C6">
        <w:rPr>
          <w:lang w:val="en-GB"/>
        </w:rPr>
        <w:t xml:space="preserve">given the presence of </w:t>
      </w:r>
      <w:r w:rsidR="00803466" w:rsidRPr="00A307C6">
        <w:rPr>
          <w:lang w:val="en-GB"/>
        </w:rPr>
        <w:t xml:space="preserve">groups of armed men, the backdrop of prevailing impunity, and the recent experience of survivor’s stories and witness reports being publicly </w:t>
      </w:r>
      <w:r w:rsidR="002757C0" w:rsidRPr="00A307C6">
        <w:rPr>
          <w:lang w:val="en-GB"/>
        </w:rPr>
        <w:t xml:space="preserve">and privately </w:t>
      </w:r>
      <w:r w:rsidR="00803466" w:rsidRPr="00A307C6">
        <w:rPr>
          <w:lang w:val="en-GB"/>
        </w:rPr>
        <w:t>rebuked by authorities.</w:t>
      </w:r>
    </w:p>
    <w:p w14:paraId="771D7138" w14:textId="12CCB74E" w:rsidR="000934E9" w:rsidRPr="00A307C6" w:rsidRDefault="000934E9" w:rsidP="009E6E96">
      <w:pPr>
        <w:pStyle w:val="H1G"/>
      </w:pPr>
      <w:bookmarkStart w:id="41" w:name="_Toc98226815"/>
      <w:bookmarkStart w:id="42" w:name="_Toc98606456"/>
      <w:r w:rsidRPr="00A307C6">
        <w:t>Western Equatoria State</w:t>
      </w:r>
      <w:bookmarkEnd w:id="41"/>
      <w:bookmarkEnd w:id="42"/>
    </w:p>
    <w:p w14:paraId="7D36F645" w14:textId="35D04B1D" w:rsidR="00ED5A09" w:rsidRPr="00A307C6" w:rsidRDefault="0025142A" w:rsidP="00FA295D">
      <w:pPr>
        <w:pStyle w:val="Paragraph"/>
        <w:rPr>
          <w:lang w:val="en-GB"/>
        </w:rPr>
      </w:pPr>
      <w:r w:rsidRPr="00A307C6">
        <w:rPr>
          <w:lang w:val="en-GB"/>
        </w:rPr>
        <w:t xml:space="preserve">Sexual violence </w:t>
      </w:r>
      <w:r w:rsidR="00B455CA" w:rsidRPr="00A307C6">
        <w:rPr>
          <w:lang w:val="en-GB"/>
        </w:rPr>
        <w:t xml:space="preserve">was </w:t>
      </w:r>
      <w:r w:rsidRPr="00A307C6">
        <w:rPr>
          <w:lang w:val="en-GB"/>
        </w:rPr>
        <w:t xml:space="preserve">a </w:t>
      </w:r>
      <w:r w:rsidR="00D76D96" w:rsidRPr="00A307C6">
        <w:rPr>
          <w:lang w:val="en-GB"/>
        </w:rPr>
        <w:t xml:space="preserve">key characteristic </w:t>
      </w:r>
      <w:r w:rsidRPr="00A307C6">
        <w:rPr>
          <w:lang w:val="en-GB"/>
        </w:rPr>
        <w:t>of the conflict in Western Equatoria during 2021</w:t>
      </w:r>
      <w:r w:rsidR="00347A7E" w:rsidRPr="00A307C6">
        <w:rPr>
          <w:lang w:val="en-GB"/>
        </w:rPr>
        <w:t xml:space="preserve">, which </w:t>
      </w:r>
      <w:r w:rsidR="00A307C6" w:rsidRPr="00A307C6">
        <w:rPr>
          <w:lang w:val="en-GB"/>
        </w:rPr>
        <w:t>centred</w:t>
      </w:r>
      <w:r w:rsidR="00347A7E" w:rsidRPr="00A307C6">
        <w:rPr>
          <w:lang w:val="en-GB"/>
        </w:rPr>
        <w:t xml:space="preserve"> around Tambura County but </w:t>
      </w:r>
      <w:r w:rsidR="00A15B3F" w:rsidRPr="00A307C6">
        <w:rPr>
          <w:lang w:val="en-GB"/>
        </w:rPr>
        <w:t xml:space="preserve">also </w:t>
      </w:r>
      <w:r w:rsidR="00347A7E" w:rsidRPr="00A307C6">
        <w:rPr>
          <w:lang w:val="en-GB"/>
        </w:rPr>
        <w:t xml:space="preserve">affected other areas including </w:t>
      </w:r>
      <w:proofErr w:type="spellStart"/>
      <w:r w:rsidR="00347A7E" w:rsidRPr="00A307C6">
        <w:rPr>
          <w:lang w:val="en-GB"/>
        </w:rPr>
        <w:t>Yambio</w:t>
      </w:r>
      <w:proofErr w:type="spellEnd"/>
      <w:r w:rsidR="00347A7E" w:rsidRPr="00A307C6">
        <w:rPr>
          <w:lang w:val="en-GB"/>
        </w:rPr>
        <w:t xml:space="preserve"> and </w:t>
      </w:r>
      <w:proofErr w:type="spellStart"/>
      <w:r w:rsidR="00347A7E" w:rsidRPr="00A307C6">
        <w:rPr>
          <w:lang w:val="en-GB"/>
        </w:rPr>
        <w:t>Ezo</w:t>
      </w:r>
      <w:proofErr w:type="spellEnd"/>
      <w:r w:rsidR="00347A7E" w:rsidRPr="00A307C6">
        <w:rPr>
          <w:lang w:val="en-GB"/>
        </w:rPr>
        <w:t xml:space="preserve"> counties</w:t>
      </w:r>
      <w:r w:rsidR="00ED5A09" w:rsidRPr="00A307C6">
        <w:rPr>
          <w:lang w:val="en-GB"/>
        </w:rPr>
        <w:t xml:space="preserve">. </w:t>
      </w:r>
      <w:r w:rsidR="00B455CA" w:rsidRPr="00A307C6">
        <w:rPr>
          <w:lang w:val="en-GB"/>
        </w:rPr>
        <w:t>T</w:t>
      </w:r>
      <w:r w:rsidR="00ED5A09" w:rsidRPr="00A307C6">
        <w:rPr>
          <w:lang w:val="en-GB"/>
        </w:rPr>
        <w:t>he Commission’s inquiries found that many survivors did not report their cases for fear of reprisals and stigma as well as from distrust of State institutions and local authorities</w:t>
      </w:r>
      <w:r w:rsidR="00B455CA" w:rsidRPr="00A307C6">
        <w:rPr>
          <w:lang w:val="en-GB"/>
        </w:rPr>
        <w:t>.</w:t>
      </w:r>
      <w:r w:rsidR="00ED5A09" w:rsidRPr="00A307C6">
        <w:rPr>
          <w:lang w:val="en-GB"/>
        </w:rPr>
        <w:t xml:space="preserve"> </w:t>
      </w:r>
      <w:r w:rsidR="00B455CA" w:rsidRPr="00A307C6">
        <w:rPr>
          <w:lang w:val="en-GB"/>
        </w:rPr>
        <w:t>N</w:t>
      </w:r>
      <w:r w:rsidR="00ED5A09" w:rsidRPr="00A307C6">
        <w:rPr>
          <w:lang w:val="en-GB"/>
        </w:rPr>
        <w:t>evertheless, the Commission was able to obtain evidence from interviews conducted with victims and witnesses, as well as from service providers</w:t>
      </w:r>
      <w:r w:rsidR="00B455CA" w:rsidRPr="00A307C6">
        <w:rPr>
          <w:lang w:val="en-GB"/>
        </w:rPr>
        <w:t xml:space="preserve"> and authorities</w:t>
      </w:r>
      <w:r w:rsidR="00ED5A09" w:rsidRPr="00A307C6">
        <w:rPr>
          <w:lang w:val="en-GB"/>
        </w:rPr>
        <w:t xml:space="preserve">, which confirmed that rape and other forms of sexual violence were </w:t>
      </w:r>
      <w:r w:rsidR="00ED5A09" w:rsidRPr="00A307C6">
        <w:rPr>
          <w:lang w:val="en-GB"/>
        </w:rPr>
        <w:lastRenderedPageBreak/>
        <w:t>extensive and widespread.</w:t>
      </w:r>
      <w:r w:rsidR="00ED5A09" w:rsidRPr="00A307C6">
        <w:rPr>
          <w:rStyle w:val="FootnoteReference"/>
          <w:lang w:val="en-GB"/>
        </w:rPr>
        <w:footnoteReference w:id="150"/>
      </w:r>
      <w:r w:rsidR="00ED5A09" w:rsidRPr="00A307C6">
        <w:rPr>
          <w:lang w:val="en-GB"/>
        </w:rPr>
        <w:t xml:space="preserve"> These crimes </w:t>
      </w:r>
      <w:r w:rsidR="00D57133">
        <w:rPr>
          <w:lang w:val="en-GB"/>
        </w:rPr>
        <w:t>were</w:t>
      </w:r>
      <w:r w:rsidR="00D3581B" w:rsidRPr="00A307C6">
        <w:rPr>
          <w:lang w:val="en-GB"/>
        </w:rPr>
        <w:t xml:space="preserve"> </w:t>
      </w:r>
      <w:r w:rsidRPr="00A307C6">
        <w:rPr>
          <w:lang w:val="en-GB"/>
        </w:rPr>
        <w:t xml:space="preserve">perpetrated against women and girls by </w:t>
      </w:r>
      <w:r w:rsidR="00ED5A09" w:rsidRPr="00A307C6">
        <w:rPr>
          <w:lang w:val="en-GB"/>
        </w:rPr>
        <w:t xml:space="preserve">members of </w:t>
      </w:r>
      <w:r w:rsidRPr="00A307C6">
        <w:rPr>
          <w:lang w:val="en-GB"/>
        </w:rPr>
        <w:t xml:space="preserve">multiple armed groups. </w:t>
      </w:r>
    </w:p>
    <w:p w14:paraId="1227253A" w14:textId="080E8B41" w:rsidR="000D6F3B" w:rsidRPr="00A307C6" w:rsidRDefault="00ED5A09" w:rsidP="00EE7881">
      <w:pPr>
        <w:pStyle w:val="Paragraph"/>
        <w:rPr>
          <w:lang w:val="en-GB"/>
        </w:rPr>
      </w:pPr>
      <w:r w:rsidRPr="00A307C6">
        <w:rPr>
          <w:lang w:val="en-GB"/>
        </w:rPr>
        <w:t xml:space="preserve">Prior to the conflict of 2021, significant fighting had taken place in Western Equatoria between 2015 to 2018 involving several armed groups, including the then-SPLM/A forces and SPLM/A-IO forces. </w:t>
      </w:r>
      <w:r w:rsidR="000B1301" w:rsidRPr="00A307C6">
        <w:rPr>
          <w:lang w:val="en-GB"/>
        </w:rPr>
        <w:t xml:space="preserve">During this time, members of both groups were involved in committing rape and other forms of sexual violence. </w:t>
      </w:r>
      <w:r w:rsidR="006C24BD" w:rsidRPr="00A307C6">
        <w:rPr>
          <w:lang w:val="en-GB"/>
        </w:rPr>
        <w:t xml:space="preserve">In the Yambio area, this </w:t>
      </w:r>
      <w:r w:rsidR="000B1301" w:rsidRPr="00A307C6">
        <w:rPr>
          <w:lang w:val="en-GB"/>
        </w:rPr>
        <w:t>included the abduction of hundreds of civilians, and more than five hundred women and girls, who suffered rape, sexual violence, and sexual slavery.</w:t>
      </w:r>
      <w:r w:rsidR="000B1301" w:rsidRPr="00A307C6">
        <w:rPr>
          <w:rStyle w:val="FootnoteReference"/>
          <w:lang w:val="en-GB"/>
        </w:rPr>
        <w:footnoteReference w:id="151"/>
      </w:r>
      <w:r w:rsidR="000B1301" w:rsidRPr="00A307C6">
        <w:rPr>
          <w:lang w:val="en-GB"/>
        </w:rPr>
        <w:t xml:space="preserve"> Perpetrators included members of the SPLM/A-IO under the command and effective control of Lieutenant General Alfred </w:t>
      </w:r>
      <w:proofErr w:type="spellStart"/>
      <w:r w:rsidR="000B1301" w:rsidRPr="00A307C6">
        <w:rPr>
          <w:lang w:val="en-GB"/>
        </w:rPr>
        <w:t>Futuyo</w:t>
      </w:r>
      <w:proofErr w:type="spellEnd"/>
      <w:r w:rsidR="000B1301" w:rsidRPr="00A307C6">
        <w:rPr>
          <w:lang w:val="en-GB"/>
        </w:rPr>
        <w:t>, and involving General James Nando who at the time was an SPLM/A-IO officer.</w:t>
      </w:r>
      <w:r w:rsidR="000B1301" w:rsidRPr="00A307C6">
        <w:rPr>
          <w:rStyle w:val="FootnoteReference"/>
          <w:lang w:val="en-GB"/>
        </w:rPr>
        <w:footnoteReference w:id="152"/>
      </w:r>
      <w:r w:rsidR="000B1301" w:rsidRPr="00A307C6">
        <w:rPr>
          <w:lang w:val="en-GB"/>
        </w:rPr>
        <w:t xml:space="preserve"> In 2019, SPLM/A-IO leader General </w:t>
      </w:r>
      <w:proofErr w:type="spellStart"/>
      <w:r w:rsidR="000B1301" w:rsidRPr="00A307C6">
        <w:rPr>
          <w:lang w:val="en-GB"/>
        </w:rPr>
        <w:t>Riek</w:t>
      </w:r>
      <w:proofErr w:type="spellEnd"/>
      <w:r w:rsidR="000B1301" w:rsidRPr="00A307C6">
        <w:rPr>
          <w:lang w:val="en-GB"/>
        </w:rPr>
        <w:t xml:space="preserve"> </w:t>
      </w:r>
      <w:proofErr w:type="spellStart"/>
      <w:r w:rsidR="000B1301" w:rsidRPr="00A307C6">
        <w:rPr>
          <w:lang w:val="en-GB"/>
        </w:rPr>
        <w:t>Machar</w:t>
      </w:r>
      <w:proofErr w:type="spellEnd"/>
      <w:r w:rsidR="000B1301" w:rsidRPr="00A307C6">
        <w:rPr>
          <w:lang w:val="en-GB"/>
        </w:rPr>
        <w:t xml:space="preserve"> issued an order to subordinates, including </w:t>
      </w:r>
      <w:proofErr w:type="spellStart"/>
      <w:r w:rsidR="000B1301" w:rsidRPr="00A307C6">
        <w:rPr>
          <w:lang w:val="en-GB"/>
        </w:rPr>
        <w:t>Futuyo</w:t>
      </w:r>
      <w:proofErr w:type="spellEnd"/>
      <w:r w:rsidR="000B1301" w:rsidRPr="00A307C6">
        <w:rPr>
          <w:lang w:val="en-GB"/>
        </w:rPr>
        <w:t xml:space="preserve"> and </w:t>
      </w:r>
      <w:proofErr w:type="spellStart"/>
      <w:r w:rsidR="000B1301" w:rsidRPr="00A307C6">
        <w:rPr>
          <w:lang w:val="en-GB"/>
        </w:rPr>
        <w:t>Nando</w:t>
      </w:r>
      <w:proofErr w:type="spellEnd"/>
      <w:r w:rsidR="000B1301" w:rsidRPr="00A307C6">
        <w:rPr>
          <w:lang w:val="en-GB"/>
        </w:rPr>
        <w:t>, to release the hundreds of women and children being held in their bases.</w:t>
      </w:r>
      <w:r w:rsidR="000B1301" w:rsidRPr="00A307C6">
        <w:rPr>
          <w:rStyle w:val="FootnoteReference"/>
          <w:lang w:val="en-GB"/>
        </w:rPr>
        <w:footnoteReference w:id="153"/>
      </w:r>
      <w:r w:rsidR="00790DD7" w:rsidRPr="00A307C6">
        <w:rPr>
          <w:lang w:val="en-GB"/>
        </w:rPr>
        <w:t xml:space="preserve"> The Commission </w:t>
      </w:r>
      <w:r w:rsidR="00904DF7" w:rsidRPr="00A307C6">
        <w:rPr>
          <w:lang w:val="en-GB"/>
        </w:rPr>
        <w:t>had learnt</w:t>
      </w:r>
      <w:r w:rsidR="00790DD7" w:rsidRPr="00A307C6">
        <w:rPr>
          <w:lang w:val="en-GB"/>
        </w:rPr>
        <w:t xml:space="preserve"> at the time that local commanders were dismissive of the order, and stalled in </w:t>
      </w:r>
      <w:r w:rsidR="00D57133">
        <w:rPr>
          <w:lang w:val="en-GB"/>
        </w:rPr>
        <w:t xml:space="preserve">complying with </w:t>
      </w:r>
      <w:r w:rsidR="00790DD7" w:rsidRPr="00A307C6">
        <w:rPr>
          <w:lang w:val="en-GB"/>
        </w:rPr>
        <w:t>it.</w:t>
      </w:r>
      <w:r w:rsidR="00790DD7" w:rsidRPr="00A307C6">
        <w:rPr>
          <w:rStyle w:val="FootnoteReference"/>
          <w:lang w:val="en-GB"/>
        </w:rPr>
        <w:footnoteReference w:id="154"/>
      </w:r>
      <w:r w:rsidR="00790DD7" w:rsidRPr="00A307C6">
        <w:rPr>
          <w:lang w:val="en-GB"/>
        </w:rPr>
        <w:t xml:space="preserve"> In February 2020, over 100 women and girls were released, but the bulk of abductees remained captive for some time.</w:t>
      </w:r>
      <w:r w:rsidR="00790DD7" w:rsidRPr="00A307C6">
        <w:rPr>
          <w:rStyle w:val="FootnoteReference"/>
          <w:lang w:val="en-GB"/>
        </w:rPr>
        <w:footnoteReference w:id="155"/>
      </w:r>
      <w:r w:rsidR="00790DD7" w:rsidRPr="00A307C6">
        <w:rPr>
          <w:lang w:val="en-GB"/>
        </w:rPr>
        <w:t xml:space="preserve"> </w:t>
      </w:r>
      <w:r w:rsidR="00124680" w:rsidRPr="00A307C6">
        <w:rPr>
          <w:lang w:val="en-GB"/>
        </w:rPr>
        <w:t xml:space="preserve">Ultimately, even following further releases, scores of </w:t>
      </w:r>
      <w:r w:rsidR="00EE7881" w:rsidRPr="00A307C6">
        <w:rPr>
          <w:lang w:val="en-GB"/>
        </w:rPr>
        <w:t xml:space="preserve">released abductees returned to the SPLM/A-IO </w:t>
      </w:r>
      <w:r w:rsidR="00D57133">
        <w:rPr>
          <w:lang w:val="en-GB"/>
        </w:rPr>
        <w:t xml:space="preserve">bases </w:t>
      </w:r>
      <w:r w:rsidR="00EE7881" w:rsidRPr="00A307C6">
        <w:rPr>
          <w:lang w:val="en-GB"/>
        </w:rPr>
        <w:t xml:space="preserve">having </w:t>
      </w:r>
      <w:r w:rsidR="00124680" w:rsidRPr="00A307C6">
        <w:rPr>
          <w:lang w:val="en-GB"/>
        </w:rPr>
        <w:t xml:space="preserve">involuntarily become interdependent with or reliant on their captors. Many women </w:t>
      </w:r>
      <w:r w:rsidR="00EE7881" w:rsidRPr="00A307C6">
        <w:rPr>
          <w:lang w:val="en-GB"/>
        </w:rPr>
        <w:t xml:space="preserve">and girls </w:t>
      </w:r>
      <w:r w:rsidR="00124680" w:rsidRPr="00A307C6">
        <w:rPr>
          <w:lang w:val="en-GB"/>
        </w:rPr>
        <w:t>had established</w:t>
      </w:r>
      <w:r w:rsidR="00EE7881" w:rsidRPr="00A307C6">
        <w:rPr>
          <w:lang w:val="en-GB"/>
        </w:rPr>
        <w:t xml:space="preserve">, under coercion, </w:t>
      </w:r>
      <w:r w:rsidR="00124680" w:rsidRPr="00A307C6">
        <w:rPr>
          <w:lang w:val="en-GB"/>
        </w:rPr>
        <w:t xml:space="preserve">relationships with men there including through bearing children; for many, they could not locate the families from which they had </w:t>
      </w:r>
      <w:r w:rsidR="00124680" w:rsidRPr="00A307C6">
        <w:rPr>
          <w:lang w:val="en-GB"/>
        </w:rPr>
        <w:lastRenderedPageBreak/>
        <w:t>been dislocated</w:t>
      </w:r>
      <w:r w:rsidR="00D57133">
        <w:rPr>
          <w:lang w:val="en-GB"/>
        </w:rPr>
        <w:t xml:space="preserve">. They also found </w:t>
      </w:r>
      <w:r w:rsidR="00124680" w:rsidRPr="00A307C6">
        <w:rPr>
          <w:lang w:val="en-GB"/>
        </w:rPr>
        <w:t>or believed that the</w:t>
      </w:r>
      <w:r w:rsidR="00904DF7" w:rsidRPr="00A307C6">
        <w:rPr>
          <w:lang w:val="en-GB"/>
        </w:rPr>
        <w:t>y</w:t>
      </w:r>
      <w:r w:rsidR="00124680" w:rsidRPr="00A307C6">
        <w:rPr>
          <w:lang w:val="en-GB"/>
        </w:rPr>
        <w:t xml:space="preserve"> and their children would face stigma if they were to return</w:t>
      </w:r>
      <w:r w:rsidR="00D57133">
        <w:rPr>
          <w:lang w:val="en-GB"/>
        </w:rPr>
        <w:t xml:space="preserve"> to their homes</w:t>
      </w:r>
      <w:r w:rsidR="00124680" w:rsidRPr="00A307C6">
        <w:rPr>
          <w:lang w:val="en-GB"/>
        </w:rPr>
        <w:t>.</w:t>
      </w:r>
      <w:r w:rsidR="00124680" w:rsidRPr="00A307C6">
        <w:rPr>
          <w:rStyle w:val="FootnoteReference"/>
          <w:lang w:val="en-GB"/>
        </w:rPr>
        <w:footnoteReference w:id="156"/>
      </w:r>
      <w:r w:rsidR="00124680" w:rsidRPr="00A307C6">
        <w:rPr>
          <w:lang w:val="en-GB"/>
        </w:rPr>
        <w:t xml:space="preserve"> </w:t>
      </w:r>
    </w:p>
    <w:p w14:paraId="1839502F" w14:textId="249D5F7B" w:rsidR="00663DB1" w:rsidRPr="00A307C6" w:rsidRDefault="00D57133" w:rsidP="00D57133">
      <w:pPr>
        <w:pStyle w:val="Paragraph"/>
        <w:rPr>
          <w:lang w:val="en-GB"/>
        </w:rPr>
      </w:pPr>
      <w:r>
        <w:rPr>
          <w:lang w:val="en-GB"/>
        </w:rPr>
        <w:t xml:space="preserve">Following the </w:t>
      </w:r>
      <w:r w:rsidR="0025142A" w:rsidRPr="00A307C6">
        <w:rPr>
          <w:lang w:val="en-GB"/>
        </w:rPr>
        <w:t>signing of the Revitali</w:t>
      </w:r>
      <w:r w:rsidR="00457759" w:rsidRPr="00A307C6">
        <w:rPr>
          <w:lang w:val="en-GB"/>
        </w:rPr>
        <w:t>z</w:t>
      </w:r>
      <w:r w:rsidR="0025142A" w:rsidRPr="00A307C6">
        <w:rPr>
          <w:lang w:val="en-GB"/>
        </w:rPr>
        <w:t xml:space="preserve">ed Agreement </w:t>
      </w:r>
      <w:r>
        <w:rPr>
          <w:lang w:val="en-GB"/>
        </w:rPr>
        <w:t xml:space="preserve">in September 2018, </w:t>
      </w:r>
      <w:r w:rsidR="0025142A" w:rsidRPr="00A307C6">
        <w:rPr>
          <w:lang w:val="en-GB"/>
        </w:rPr>
        <w:t>four states</w:t>
      </w:r>
      <w:r w:rsidR="00027E33" w:rsidRPr="00A307C6">
        <w:rPr>
          <w:lang w:val="en-GB"/>
        </w:rPr>
        <w:t xml:space="preserve"> </w:t>
      </w:r>
      <w:r>
        <w:rPr>
          <w:lang w:val="en-GB"/>
        </w:rPr>
        <w:t xml:space="preserve">were </w:t>
      </w:r>
      <w:r w:rsidR="00D76D96" w:rsidRPr="00A307C6">
        <w:rPr>
          <w:lang w:val="en-GB"/>
        </w:rPr>
        <w:t xml:space="preserve">merged </w:t>
      </w:r>
      <w:r>
        <w:rPr>
          <w:lang w:val="en-GB"/>
        </w:rPr>
        <w:t xml:space="preserve">in February 2020, </w:t>
      </w:r>
      <w:r w:rsidR="0025142A" w:rsidRPr="00A307C6">
        <w:rPr>
          <w:lang w:val="en-GB"/>
        </w:rPr>
        <w:t xml:space="preserve">to </w:t>
      </w:r>
      <w:r w:rsidR="00D3581B" w:rsidRPr="00A307C6">
        <w:rPr>
          <w:lang w:val="en-GB"/>
        </w:rPr>
        <w:t>re-</w:t>
      </w:r>
      <w:r w:rsidR="00027E33" w:rsidRPr="00A307C6">
        <w:rPr>
          <w:lang w:val="en-GB"/>
        </w:rPr>
        <w:t xml:space="preserve">establish the </w:t>
      </w:r>
      <w:r w:rsidR="0025142A" w:rsidRPr="00A307C6">
        <w:rPr>
          <w:lang w:val="en-GB"/>
        </w:rPr>
        <w:t>Western Equatoria State</w:t>
      </w:r>
      <w:r w:rsidR="00D3581B" w:rsidRPr="00A307C6">
        <w:rPr>
          <w:lang w:val="en-GB"/>
        </w:rPr>
        <w:t xml:space="preserve">. This </w:t>
      </w:r>
      <w:r>
        <w:rPr>
          <w:lang w:val="en-GB"/>
        </w:rPr>
        <w:t xml:space="preserve">process </w:t>
      </w:r>
      <w:r w:rsidR="004C35DB" w:rsidRPr="00A307C6">
        <w:rPr>
          <w:lang w:val="en-GB"/>
        </w:rPr>
        <w:t xml:space="preserve">contributed to </w:t>
      </w:r>
      <w:r w:rsidR="00ED5A09" w:rsidRPr="00A307C6">
        <w:rPr>
          <w:lang w:val="en-GB"/>
        </w:rPr>
        <w:t xml:space="preserve">an </w:t>
      </w:r>
      <w:r w:rsidR="004C35DB" w:rsidRPr="00A307C6">
        <w:rPr>
          <w:lang w:val="en-GB"/>
        </w:rPr>
        <w:t>increase</w:t>
      </w:r>
      <w:r w:rsidR="00ED5A09" w:rsidRPr="00A307C6">
        <w:rPr>
          <w:lang w:val="en-GB"/>
        </w:rPr>
        <w:t xml:space="preserve"> in</w:t>
      </w:r>
      <w:r w:rsidR="004C35DB" w:rsidRPr="00A307C6">
        <w:rPr>
          <w:lang w:val="en-GB"/>
        </w:rPr>
        <w:t xml:space="preserve"> </w:t>
      </w:r>
      <w:r w:rsidR="0025142A" w:rsidRPr="00A307C6">
        <w:rPr>
          <w:lang w:val="en-GB"/>
        </w:rPr>
        <w:t xml:space="preserve">political </w:t>
      </w:r>
      <w:r w:rsidR="00027E33" w:rsidRPr="00A307C6">
        <w:rPr>
          <w:lang w:val="en-GB"/>
        </w:rPr>
        <w:t xml:space="preserve">competition and </w:t>
      </w:r>
      <w:r w:rsidR="0025142A" w:rsidRPr="00A307C6">
        <w:rPr>
          <w:lang w:val="en-GB"/>
        </w:rPr>
        <w:t xml:space="preserve">tension between the </w:t>
      </w:r>
      <w:r w:rsidR="0027112E" w:rsidRPr="00A307C6">
        <w:rPr>
          <w:lang w:val="en-GB"/>
        </w:rPr>
        <w:t>Sudan People’s Liberation Movement</w:t>
      </w:r>
      <w:r w:rsidR="00C67775" w:rsidRPr="00A307C6" w:rsidDel="00C67775">
        <w:rPr>
          <w:lang w:val="en-GB"/>
        </w:rPr>
        <w:t xml:space="preserve"> </w:t>
      </w:r>
      <w:r w:rsidR="0027112E" w:rsidRPr="00A307C6">
        <w:rPr>
          <w:lang w:val="en-GB"/>
        </w:rPr>
        <w:t>-In Government (</w:t>
      </w:r>
      <w:r w:rsidR="0025142A" w:rsidRPr="00A307C6">
        <w:rPr>
          <w:lang w:val="en-GB"/>
        </w:rPr>
        <w:t>SPLM-IG</w:t>
      </w:r>
      <w:r w:rsidR="0027112E" w:rsidRPr="00A307C6">
        <w:rPr>
          <w:lang w:val="en-GB"/>
        </w:rPr>
        <w:t>)</w:t>
      </w:r>
      <w:r w:rsidR="0025142A" w:rsidRPr="00A307C6">
        <w:rPr>
          <w:lang w:val="en-GB"/>
        </w:rPr>
        <w:t xml:space="preserve"> and SPLM/A-IO</w:t>
      </w:r>
      <w:r w:rsidR="00027E33" w:rsidRPr="00A307C6">
        <w:rPr>
          <w:lang w:val="en-GB"/>
        </w:rPr>
        <w:t>.</w:t>
      </w:r>
      <w:r w:rsidR="0025142A" w:rsidRPr="00A307C6">
        <w:rPr>
          <w:lang w:val="en-GB"/>
        </w:rPr>
        <w:t xml:space="preserve"> In March</w:t>
      </w:r>
      <w:r w:rsidR="009E5715" w:rsidRPr="00A307C6">
        <w:rPr>
          <w:lang w:val="en-GB"/>
        </w:rPr>
        <w:t xml:space="preserve"> 2020</w:t>
      </w:r>
      <w:r w:rsidR="0025142A" w:rsidRPr="00A307C6">
        <w:rPr>
          <w:lang w:val="en-GB"/>
        </w:rPr>
        <w:t xml:space="preserve">, local SPLM/A-IO Commander General Nando and </w:t>
      </w:r>
      <w:r w:rsidR="009E5715" w:rsidRPr="00A307C6">
        <w:rPr>
          <w:lang w:val="en-GB"/>
        </w:rPr>
        <w:t>f</w:t>
      </w:r>
      <w:r w:rsidR="0025142A" w:rsidRPr="00A307C6">
        <w:rPr>
          <w:lang w:val="en-GB"/>
        </w:rPr>
        <w:t>orces loyal to him</w:t>
      </w:r>
      <w:r w:rsidR="00D26A72">
        <w:rPr>
          <w:lang w:val="en-GB"/>
        </w:rPr>
        <w:t xml:space="preserve"> defected to the Government and the SSPDF</w:t>
      </w:r>
      <w:r w:rsidR="00EE7881" w:rsidRPr="00A307C6">
        <w:rPr>
          <w:lang w:val="en-GB"/>
        </w:rPr>
        <w:t xml:space="preserve">. </w:t>
      </w:r>
      <w:r w:rsidR="009E5715" w:rsidRPr="00A307C6">
        <w:rPr>
          <w:lang w:val="en-GB"/>
        </w:rPr>
        <w:t>I</w:t>
      </w:r>
      <w:r w:rsidR="0025142A" w:rsidRPr="00A307C6">
        <w:rPr>
          <w:lang w:val="en-GB"/>
        </w:rPr>
        <w:t xml:space="preserve">n June, SPLM/A-IO </w:t>
      </w:r>
      <w:r w:rsidR="00413031" w:rsidRPr="00A307C6">
        <w:rPr>
          <w:lang w:val="en-GB"/>
        </w:rPr>
        <w:t xml:space="preserve">Lieutenant </w:t>
      </w:r>
      <w:r w:rsidR="0025142A" w:rsidRPr="00A307C6">
        <w:rPr>
          <w:lang w:val="en-GB"/>
        </w:rPr>
        <w:t xml:space="preserve">General </w:t>
      </w:r>
      <w:r w:rsidR="00413031" w:rsidRPr="00A307C6">
        <w:rPr>
          <w:lang w:val="en-GB"/>
        </w:rPr>
        <w:t xml:space="preserve">Alfred </w:t>
      </w:r>
      <w:proofErr w:type="spellStart"/>
      <w:r w:rsidR="0025142A" w:rsidRPr="00A307C6">
        <w:rPr>
          <w:lang w:val="en-GB"/>
        </w:rPr>
        <w:t>Futuyo</w:t>
      </w:r>
      <w:proofErr w:type="spellEnd"/>
      <w:r w:rsidR="009E5715" w:rsidRPr="00A307C6">
        <w:rPr>
          <w:lang w:val="en-GB"/>
        </w:rPr>
        <w:t xml:space="preserve"> </w:t>
      </w:r>
      <w:r w:rsidR="00964913" w:rsidRPr="00A307C6">
        <w:rPr>
          <w:lang w:val="en-GB"/>
        </w:rPr>
        <w:t>became Governor of Western Equatoria</w:t>
      </w:r>
      <w:r w:rsidR="004C35DB" w:rsidRPr="00A307C6">
        <w:rPr>
          <w:lang w:val="en-GB"/>
        </w:rPr>
        <w:t>, while retaining his position as the SPLM/A-IO Commander for the state</w:t>
      </w:r>
      <w:r w:rsidR="00413031" w:rsidRPr="00A307C6">
        <w:rPr>
          <w:lang w:val="en-GB"/>
        </w:rPr>
        <w:t>.</w:t>
      </w:r>
      <w:r w:rsidR="000A6C16" w:rsidRPr="00A307C6">
        <w:rPr>
          <w:rStyle w:val="FootnoteReference"/>
          <w:lang w:val="en-GB"/>
        </w:rPr>
        <w:footnoteReference w:id="157"/>
      </w:r>
      <w:r w:rsidR="00413031" w:rsidRPr="00A307C6">
        <w:rPr>
          <w:lang w:val="en-GB"/>
        </w:rPr>
        <w:t xml:space="preserve"> </w:t>
      </w:r>
      <w:proofErr w:type="spellStart"/>
      <w:r w:rsidR="00663DB1" w:rsidRPr="00A307C6">
        <w:rPr>
          <w:lang w:val="en-GB"/>
        </w:rPr>
        <w:t>Futuyo</w:t>
      </w:r>
      <w:proofErr w:type="spellEnd"/>
      <w:r w:rsidR="00663DB1" w:rsidRPr="00A307C6">
        <w:rPr>
          <w:lang w:val="en-GB"/>
        </w:rPr>
        <w:t xml:space="preserve"> was nominated by the SPLM/A-IO led by </w:t>
      </w:r>
      <w:proofErr w:type="spellStart"/>
      <w:r w:rsidR="00663DB1" w:rsidRPr="00A307C6">
        <w:rPr>
          <w:lang w:val="en-GB"/>
        </w:rPr>
        <w:t>Riek</w:t>
      </w:r>
      <w:proofErr w:type="spellEnd"/>
      <w:r w:rsidR="00663DB1" w:rsidRPr="00A307C6">
        <w:rPr>
          <w:lang w:val="en-GB"/>
        </w:rPr>
        <w:t xml:space="preserve"> </w:t>
      </w:r>
      <w:proofErr w:type="spellStart"/>
      <w:r w:rsidR="00663DB1" w:rsidRPr="00A307C6">
        <w:rPr>
          <w:lang w:val="en-GB"/>
        </w:rPr>
        <w:t>Machar</w:t>
      </w:r>
      <w:proofErr w:type="spellEnd"/>
      <w:r w:rsidR="00663DB1" w:rsidRPr="00A307C6">
        <w:rPr>
          <w:lang w:val="en-GB"/>
        </w:rPr>
        <w:t xml:space="preserve"> and appointed by SPLM</w:t>
      </w:r>
      <w:r w:rsidR="00C67775" w:rsidRPr="00A307C6" w:rsidDel="00C67775">
        <w:rPr>
          <w:lang w:val="en-GB"/>
        </w:rPr>
        <w:t xml:space="preserve"> </w:t>
      </w:r>
      <w:r w:rsidR="00663DB1" w:rsidRPr="00A307C6">
        <w:rPr>
          <w:lang w:val="en-GB"/>
        </w:rPr>
        <w:t>-IG leader President Salva Kiir, as part of the implementation of power-sharing arrangements set out in the Revitalized Agreement.</w:t>
      </w:r>
      <w:r w:rsidR="00663DB1" w:rsidRPr="00A307C6">
        <w:rPr>
          <w:rStyle w:val="FootnoteReference"/>
          <w:lang w:val="en-GB"/>
        </w:rPr>
        <w:footnoteReference w:id="158"/>
      </w:r>
    </w:p>
    <w:p w14:paraId="0624D083" w14:textId="53B8F2A4" w:rsidR="00663DB1" w:rsidRPr="00A307C6" w:rsidRDefault="00EE7881" w:rsidP="00FA295D">
      <w:pPr>
        <w:pStyle w:val="Paragraph"/>
        <w:rPr>
          <w:lang w:val="en-GB"/>
        </w:rPr>
      </w:pPr>
      <w:proofErr w:type="spellStart"/>
      <w:r w:rsidRPr="00A307C6">
        <w:rPr>
          <w:lang w:val="en-GB"/>
        </w:rPr>
        <w:t>Futuyo</w:t>
      </w:r>
      <w:proofErr w:type="spellEnd"/>
      <w:r w:rsidRPr="00A307C6">
        <w:rPr>
          <w:lang w:val="en-GB"/>
        </w:rPr>
        <w:t xml:space="preserve"> and </w:t>
      </w:r>
      <w:proofErr w:type="spellStart"/>
      <w:r w:rsidRPr="00A307C6">
        <w:rPr>
          <w:lang w:val="en-GB"/>
        </w:rPr>
        <w:t>Nando</w:t>
      </w:r>
      <w:proofErr w:type="spellEnd"/>
      <w:r w:rsidRPr="00A307C6">
        <w:rPr>
          <w:lang w:val="en-GB"/>
        </w:rPr>
        <w:t xml:space="preserve">, </w:t>
      </w:r>
      <w:r w:rsidR="00D26A72">
        <w:rPr>
          <w:lang w:val="en-GB"/>
        </w:rPr>
        <w:t xml:space="preserve">who </w:t>
      </w:r>
      <w:r w:rsidR="00473C07">
        <w:rPr>
          <w:lang w:val="en-GB"/>
        </w:rPr>
        <w:t xml:space="preserve">in the opposition at political and military level </w:t>
      </w:r>
      <w:r w:rsidR="004C3F06">
        <w:rPr>
          <w:lang w:val="en-GB"/>
        </w:rPr>
        <w:t xml:space="preserve">are both implicated </w:t>
      </w:r>
      <w:r w:rsidR="00663DB1" w:rsidRPr="00A307C6">
        <w:rPr>
          <w:lang w:val="en-GB"/>
        </w:rPr>
        <w:t xml:space="preserve">in the </w:t>
      </w:r>
      <w:r w:rsidR="004C3F06">
        <w:rPr>
          <w:lang w:val="en-GB"/>
        </w:rPr>
        <w:t xml:space="preserve">incidents of </w:t>
      </w:r>
      <w:r w:rsidR="00663DB1" w:rsidRPr="00A307C6">
        <w:rPr>
          <w:lang w:val="en-GB"/>
        </w:rPr>
        <w:t>sexual violence described above, ha</w:t>
      </w:r>
      <w:r w:rsidR="00473C07">
        <w:rPr>
          <w:lang w:val="en-GB"/>
        </w:rPr>
        <w:t xml:space="preserve">ve </w:t>
      </w:r>
      <w:r w:rsidR="00663DB1" w:rsidRPr="00A307C6">
        <w:rPr>
          <w:lang w:val="en-GB"/>
        </w:rPr>
        <w:t>been embraced by the SPLM/A-IO and SPLM</w:t>
      </w:r>
      <w:r w:rsidR="00C67775" w:rsidRPr="00A307C6" w:rsidDel="00C67775">
        <w:rPr>
          <w:lang w:val="en-GB"/>
        </w:rPr>
        <w:t xml:space="preserve"> </w:t>
      </w:r>
      <w:r w:rsidR="00663DB1" w:rsidRPr="00A307C6">
        <w:rPr>
          <w:lang w:val="en-GB"/>
        </w:rPr>
        <w:t xml:space="preserve">-IG, respectively. </w:t>
      </w:r>
    </w:p>
    <w:p w14:paraId="15555162" w14:textId="79415AB6" w:rsidR="000B1301" w:rsidRPr="00A307C6" w:rsidRDefault="004C35DB" w:rsidP="00B8644C">
      <w:pPr>
        <w:pStyle w:val="Paragraph"/>
        <w:rPr>
          <w:lang w:val="en-GB"/>
        </w:rPr>
      </w:pPr>
      <w:r w:rsidRPr="00A307C6">
        <w:rPr>
          <w:lang w:val="en-GB"/>
        </w:rPr>
        <w:t xml:space="preserve">From mid-2020, </w:t>
      </w:r>
      <w:r w:rsidR="00473C07">
        <w:rPr>
          <w:lang w:val="en-GB"/>
        </w:rPr>
        <w:t xml:space="preserve">and </w:t>
      </w:r>
      <w:r w:rsidRPr="00A307C6">
        <w:rPr>
          <w:lang w:val="en-GB"/>
        </w:rPr>
        <w:t xml:space="preserve">around the time of Governor </w:t>
      </w:r>
      <w:proofErr w:type="spellStart"/>
      <w:r w:rsidRPr="00A307C6">
        <w:rPr>
          <w:lang w:val="en-GB"/>
        </w:rPr>
        <w:t>Futuyo’s</w:t>
      </w:r>
      <w:proofErr w:type="spellEnd"/>
      <w:r w:rsidRPr="00A307C6">
        <w:rPr>
          <w:lang w:val="en-GB"/>
        </w:rPr>
        <w:t xml:space="preserve"> appointment, the escalating political conflict increasingly took on an ethnic dimension. </w:t>
      </w:r>
      <w:proofErr w:type="spellStart"/>
      <w:r w:rsidRPr="00A307C6">
        <w:rPr>
          <w:lang w:val="en-GB"/>
        </w:rPr>
        <w:t>Futuyo</w:t>
      </w:r>
      <w:proofErr w:type="spellEnd"/>
      <w:r w:rsidRPr="00A307C6">
        <w:rPr>
          <w:lang w:val="en-GB"/>
        </w:rPr>
        <w:t xml:space="preserve"> identifies as </w:t>
      </w:r>
      <w:proofErr w:type="spellStart"/>
      <w:r w:rsidRPr="00A307C6">
        <w:rPr>
          <w:lang w:val="en-GB"/>
        </w:rPr>
        <w:t>Balanda</w:t>
      </w:r>
      <w:proofErr w:type="spellEnd"/>
      <w:r w:rsidRPr="00A307C6">
        <w:rPr>
          <w:lang w:val="en-GB"/>
        </w:rPr>
        <w:t>,</w:t>
      </w:r>
      <w:r w:rsidRPr="00A307C6">
        <w:rPr>
          <w:rStyle w:val="FootnoteReference"/>
          <w:lang w:val="en-GB"/>
        </w:rPr>
        <w:footnoteReference w:id="159"/>
      </w:r>
      <w:r w:rsidRPr="00A307C6">
        <w:rPr>
          <w:lang w:val="en-GB"/>
        </w:rPr>
        <w:t xml:space="preserve"> a minority ethnic group in the state, and was the first person of Balanda origin to take up a significant political position in the area, where positions of political authority are traditionally held by members of the majority Azande ethnic group (most of whom are from the </w:t>
      </w:r>
      <w:proofErr w:type="spellStart"/>
      <w:r w:rsidRPr="00A307C6">
        <w:rPr>
          <w:lang w:val="en-GB"/>
        </w:rPr>
        <w:t>Avungara</w:t>
      </w:r>
      <w:proofErr w:type="spellEnd"/>
      <w:r w:rsidRPr="00A307C6">
        <w:rPr>
          <w:lang w:val="en-GB"/>
        </w:rPr>
        <w:t xml:space="preserve"> sub-clan). On the other hand, other key positions of authority in Western Equatoria are held by Azande SPLM</w:t>
      </w:r>
      <w:r w:rsidR="00C67775" w:rsidRPr="00A307C6" w:rsidDel="00C67775">
        <w:rPr>
          <w:lang w:val="en-GB"/>
        </w:rPr>
        <w:t xml:space="preserve"> </w:t>
      </w:r>
      <w:r w:rsidRPr="00A307C6">
        <w:rPr>
          <w:lang w:val="en-GB"/>
        </w:rPr>
        <w:t xml:space="preserve">-IG members, including the </w:t>
      </w:r>
      <w:r w:rsidRPr="00A307C6">
        <w:rPr>
          <w:lang w:val="en-GB"/>
        </w:rPr>
        <w:lastRenderedPageBreak/>
        <w:t>Deputy Governor, and both the County Commissioner and Paramount Chief of Tambura. General Nando is also ethnically an Azande.</w:t>
      </w:r>
    </w:p>
    <w:p w14:paraId="0C1213CE" w14:textId="5B41EFDA" w:rsidR="00050D66" w:rsidRPr="00A307C6" w:rsidRDefault="0025142A" w:rsidP="00FF077A">
      <w:pPr>
        <w:pStyle w:val="Paragraph"/>
        <w:rPr>
          <w:lang w:val="en-GB"/>
        </w:rPr>
      </w:pPr>
      <w:r w:rsidRPr="00A307C6">
        <w:rPr>
          <w:lang w:val="en-GB"/>
        </w:rPr>
        <w:t>Leading into 2021, the political conflict in Western Equatoria between the SPLM</w:t>
      </w:r>
      <w:r w:rsidR="00C67775" w:rsidRPr="00A307C6" w:rsidDel="00C67775">
        <w:rPr>
          <w:lang w:val="en-GB"/>
        </w:rPr>
        <w:t xml:space="preserve"> </w:t>
      </w:r>
      <w:r w:rsidRPr="00A307C6">
        <w:rPr>
          <w:lang w:val="en-GB"/>
        </w:rPr>
        <w:t xml:space="preserve">-IG and the SPLM/A-IO </w:t>
      </w:r>
      <w:r w:rsidR="00D3581B" w:rsidRPr="00A307C6">
        <w:rPr>
          <w:lang w:val="en-GB"/>
        </w:rPr>
        <w:t>involved</w:t>
      </w:r>
      <w:r w:rsidRPr="00A307C6">
        <w:rPr>
          <w:lang w:val="en-GB"/>
        </w:rPr>
        <w:t xml:space="preserve"> clashes between </w:t>
      </w:r>
      <w:r w:rsidR="00973B0E" w:rsidRPr="00A307C6">
        <w:rPr>
          <w:lang w:val="en-GB"/>
        </w:rPr>
        <w:t>the rival f</w:t>
      </w:r>
      <w:r w:rsidRPr="00A307C6">
        <w:rPr>
          <w:lang w:val="en-GB"/>
        </w:rPr>
        <w:t>orces and</w:t>
      </w:r>
      <w:r w:rsidR="00973B0E" w:rsidRPr="00A307C6">
        <w:rPr>
          <w:lang w:val="en-GB"/>
        </w:rPr>
        <w:t xml:space="preserve"> </w:t>
      </w:r>
      <w:r w:rsidRPr="00A307C6">
        <w:rPr>
          <w:lang w:val="en-GB"/>
        </w:rPr>
        <w:t xml:space="preserve">attacks on </w:t>
      </w:r>
      <w:r w:rsidR="00973B0E" w:rsidRPr="00A307C6">
        <w:rPr>
          <w:lang w:val="en-GB"/>
        </w:rPr>
        <w:t xml:space="preserve">the </w:t>
      </w:r>
      <w:r w:rsidRPr="00A307C6">
        <w:rPr>
          <w:lang w:val="en-GB"/>
        </w:rPr>
        <w:t xml:space="preserve">civilian population. By mid-2021, an Azande youth militia </w:t>
      </w:r>
      <w:r w:rsidR="00861FC3" w:rsidRPr="00A307C6">
        <w:rPr>
          <w:lang w:val="en-GB"/>
        </w:rPr>
        <w:t xml:space="preserve">had been mobilized by the County Commissioner and Paramount Chief of Tambura to </w:t>
      </w:r>
      <w:r w:rsidRPr="00A307C6">
        <w:rPr>
          <w:lang w:val="en-GB"/>
        </w:rPr>
        <w:t>carry out attacks against the SPLM/A-IO and predominantly Balanda civilian communities</w:t>
      </w:r>
      <w:r w:rsidR="00861FC3" w:rsidRPr="00A307C6">
        <w:rPr>
          <w:lang w:val="en-GB"/>
        </w:rPr>
        <w:t>.</w:t>
      </w:r>
      <w:r w:rsidR="00964913" w:rsidRPr="00A307C6">
        <w:rPr>
          <w:rStyle w:val="FootnoteReference"/>
          <w:lang w:val="en-GB"/>
        </w:rPr>
        <w:footnoteReference w:id="160"/>
      </w:r>
      <w:r w:rsidR="00861FC3" w:rsidRPr="00A307C6">
        <w:rPr>
          <w:lang w:val="en-GB"/>
        </w:rPr>
        <w:t xml:space="preserve"> These were increasingly carried out </w:t>
      </w:r>
      <w:r w:rsidRPr="00A307C6">
        <w:rPr>
          <w:lang w:val="en-GB"/>
        </w:rPr>
        <w:t>in coordination with Government Forces under the command of General Nando.</w:t>
      </w:r>
      <w:r w:rsidR="00861FC3" w:rsidRPr="00A307C6">
        <w:rPr>
          <w:rStyle w:val="FootnoteReference"/>
          <w:lang w:val="en-GB"/>
        </w:rPr>
        <w:footnoteReference w:id="161"/>
      </w:r>
      <w:r w:rsidRPr="00A307C6">
        <w:rPr>
          <w:lang w:val="en-GB"/>
        </w:rPr>
        <w:t xml:space="preserve"> </w:t>
      </w:r>
      <w:r w:rsidR="00973B0E" w:rsidRPr="00A307C6">
        <w:rPr>
          <w:lang w:val="en-GB"/>
        </w:rPr>
        <w:t>In response, a</w:t>
      </w:r>
      <w:r w:rsidRPr="00A307C6">
        <w:rPr>
          <w:lang w:val="en-GB"/>
        </w:rPr>
        <w:t>nother youth militia emerged, m</w:t>
      </w:r>
      <w:r w:rsidR="00973B0E" w:rsidRPr="00A307C6">
        <w:rPr>
          <w:lang w:val="en-GB"/>
        </w:rPr>
        <w:t xml:space="preserve">ainly </w:t>
      </w:r>
      <w:r w:rsidRPr="00A307C6">
        <w:rPr>
          <w:lang w:val="en-GB"/>
        </w:rPr>
        <w:t xml:space="preserve">constituted </w:t>
      </w:r>
      <w:r w:rsidR="00973B0E" w:rsidRPr="00A307C6">
        <w:rPr>
          <w:lang w:val="en-GB"/>
        </w:rPr>
        <w:t xml:space="preserve">by </w:t>
      </w:r>
      <w:r w:rsidRPr="00A307C6">
        <w:rPr>
          <w:lang w:val="en-GB"/>
        </w:rPr>
        <w:t>Balanda men and boys, under the command of Angelo Davide, an Azande who reportedly refused to join the Azande militia.</w:t>
      </w:r>
    </w:p>
    <w:p w14:paraId="1F823471" w14:textId="64377F49" w:rsidR="00050D66" w:rsidRPr="00A307C6" w:rsidRDefault="0025142A" w:rsidP="00FF077A">
      <w:pPr>
        <w:pStyle w:val="Paragraph"/>
        <w:rPr>
          <w:lang w:val="en-GB"/>
        </w:rPr>
      </w:pPr>
      <w:r w:rsidRPr="00A307C6">
        <w:rPr>
          <w:lang w:val="en-GB"/>
        </w:rPr>
        <w:t xml:space="preserve">The conflict </w:t>
      </w:r>
      <w:r w:rsidR="00050D66" w:rsidRPr="00A307C6">
        <w:rPr>
          <w:lang w:val="en-GB"/>
        </w:rPr>
        <w:t xml:space="preserve">involved clashes between </w:t>
      </w:r>
      <w:r w:rsidR="00973B0E" w:rsidRPr="00A307C6">
        <w:rPr>
          <w:lang w:val="en-GB"/>
        </w:rPr>
        <w:t xml:space="preserve">these </w:t>
      </w:r>
      <w:r w:rsidR="00050D66" w:rsidRPr="00A307C6">
        <w:rPr>
          <w:lang w:val="en-GB"/>
        </w:rPr>
        <w:t xml:space="preserve">armed groups </w:t>
      </w:r>
      <w:r w:rsidR="00973B0E" w:rsidRPr="00A307C6">
        <w:rPr>
          <w:lang w:val="en-GB"/>
        </w:rPr>
        <w:t xml:space="preserve">including the youth militias </w:t>
      </w:r>
      <w:r w:rsidR="00050D66" w:rsidRPr="00A307C6">
        <w:rPr>
          <w:lang w:val="en-GB"/>
        </w:rPr>
        <w:t xml:space="preserve">and attacks on villages and urban </w:t>
      </w:r>
      <w:r w:rsidR="00A307C6" w:rsidRPr="00A307C6">
        <w:rPr>
          <w:lang w:val="en-GB"/>
        </w:rPr>
        <w:t>centres</w:t>
      </w:r>
      <w:r w:rsidR="00050D66" w:rsidRPr="00A307C6">
        <w:rPr>
          <w:lang w:val="en-GB"/>
        </w:rPr>
        <w:t xml:space="preserve">, </w:t>
      </w:r>
      <w:r w:rsidRPr="00A307C6">
        <w:rPr>
          <w:lang w:val="en-GB"/>
        </w:rPr>
        <w:t>result</w:t>
      </w:r>
      <w:r w:rsidR="00050D66" w:rsidRPr="00A307C6">
        <w:rPr>
          <w:lang w:val="en-GB"/>
        </w:rPr>
        <w:t>ing</w:t>
      </w:r>
      <w:r w:rsidRPr="00A307C6">
        <w:rPr>
          <w:lang w:val="en-GB"/>
        </w:rPr>
        <w:t xml:space="preserve"> in the displacement of </w:t>
      </w:r>
      <w:r w:rsidR="00491E6B" w:rsidRPr="00A307C6">
        <w:rPr>
          <w:lang w:val="en-GB"/>
        </w:rPr>
        <w:t xml:space="preserve">more than </w:t>
      </w:r>
      <w:r w:rsidRPr="00A307C6">
        <w:rPr>
          <w:lang w:val="en-GB"/>
        </w:rPr>
        <w:t xml:space="preserve">100,000 civilians during the period </w:t>
      </w:r>
      <w:r w:rsidR="00060280" w:rsidRPr="00A307C6">
        <w:rPr>
          <w:lang w:val="en-GB"/>
        </w:rPr>
        <w:t xml:space="preserve">from around </w:t>
      </w:r>
      <w:r w:rsidRPr="00A307C6">
        <w:rPr>
          <w:lang w:val="en-GB"/>
        </w:rPr>
        <w:t>April to September 2021.</w:t>
      </w:r>
      <w:r w:rsidRPr="00A307C6">
        <w:rPr>
          <w:rStyle w:val="FootnoteReference"/>
          <w:lang w:val="en-GB"/>
        </w:rPr>
        <w:footnoteReference w:id="162"/>
      </w:r>
      <w:r w:rsidRPr="00A307C6">
        <w:rPr>
          <w:lang w:val="en-GB"/>
        </w:rPr>
        <w:t xml:space="preserve"> </w:t>
      </w:r>
      <w:r w:rsidR="00050D66" w:rsidRPr="00A307C6">
        <w:rPr>
          <w:lang w:val="en-GB"/>
        </w:rPr>
        <w:t>T</w:t>
      </w:r>
      <w:r w:rsidRPr="00A307C6">
        <w:rPr>
          <w:lang w:val="en-GB"/>
        </w:rPr>
        <w:t>he Commission documented extensive human rights violations and abuses perpetrated by all parties during this period</w:t>
      </w:r>
      <w:r w:rsidR="00973B0E" w:rsidRPr="00A307C6">
        <w:rPr>
          <w:lang w:val="en-GB"/>
        </w:rPr>
        <w:t>.</w:t>
      </w:r>
      <w:r w:rsidR="00E678E3" w:rsidRPr="00A307C6">
        <w:rPr>
          <w:lang w:val="en-GB"/>
        </w:rPr>
        <w:t xml:space="preserve"> These violations have </w:t>
      </w:r>
      <w:r w:rsidR="00973B0E" w:rsidRPr="00A307C6">
        <w:rPr>
          <w:lang w:val="en-GB"/>
        </w:rPr>
        <w:t xml:space="preserve">also </w:t>
      </w:r>
      <w:r w:rsidR="00E678E3" w:rsidRPr="00A307C6">
        <w:rPr>
          <w:lang w:val="en-GB"/>
        </w:rPr>
        <w:t xml:space="preserve">been </w:t>
      </w:r>
      <w:r w:rsidR="00973B0E" w:rsidRPr="00A307C6">
        <w:rPr>
          <w:lang w:val="en-GB"/>
        </w:rPr>
        <w:t xml:space="preserve">independently </w:t>
      </w:r>
      <w:r w:rsidR="00491E6B" w:rsidRPr="00A307C6">
        <w:rPr>
          <w:lang w:val="en-GB"/>
        </w:rPr>
        <w:t>confirmed by the Human Rights Division of UNMISS</w:t>
      </w:r>
      <w:r w:rsidR="00973B0E" w:rsidRPr="00A307C6">
        <w:rPr>
          <w:lang w:val="en-GB"/>
        </w:rPr>
        <w:t>.</w:t>
      </w:r>
      <w:r w:rsidRPr="00A307C6">
        <w:rPr>
          <w:rStyle w:val="FootnoteReference"/>
          <w:lang w:val="en-GB"/>
        </w:rPr>
        <w:footnoteReference w:id="163"/>
      </w:r>
      <w:r w:rsidRPr="00A307C6">
        <w:rPr>
          <w:lang w:val="en-GB"/>
        </w:rPr>
        <w:t xml:space="preserve"> </w:t>
      </w:r>
      <w:r w:rsidR="00027E33" w:rsidRPr="00A307C6">
        <w:rPr>
          <w:lang w:val="en-GB"/>
        </w:rPr>
        <w:t xml:space="preserve">The Commission and UNMISS </w:t>
      </w:r>
      <w:r w:rsidR="00973B0E" w:rsidRPr="00A307C6">
        <w:rPr>
          <w:lang w:val="en-GB"/>
        </w:rPr>
        <w:t xml:space="preserve">both </w:t>
      </w:r>
      <w:r w:rsidR="00027E33" w:rsidRPr="00A307C6">
        <w:rPr>
          <w:lang w:val="en-GB"/>
        </w:rPr>
        <w:t>document</w:t>
      </w:r>
      <w:r w:rsidR="00060280" w:rsidRPr="00A307C6">
        <w:rPr>
          <w:lang w:val="en-GB"/>
        </w:rPr>
        <w:t>ed</w:t>
      </w:r>
      <w:r w:rsidR="00027E33" w:rsidRPr="00A307C6">
        <w:rPr>
          <w:lang w:val="en-GB"/>
        </w:rPr>
        <w:t xml:space="preserve"> that rape and s</w:t>
      </w:r>
      <w:r w:rsidR="00050D66" w:rsidRPr="00A307C6">
        <w:rPr>
          <w:lang w:val="en-GB"/>
        </w:rPr>
        <w:t xml:space="preserve">exual violence </w:t>
      </w:r>
      <w:r w:rsidR="00060280" w:rsidRPr="00A307C6">
        <w:rPr>
          <w:lang w:val="en-GB"/>
        </w:rPr>
        <w:t xml:space="preserve">appeared to be </w:t>
      </w:r>
      <w:r w:rsidR="00050D66" w:rsidRPr="00A307C6">
        <w:rPr>
          <w:lang w:val="en-GB"/>
        </w:rPr>
        <w:t>rampant</w:t>
      </w:r>
      <w:r w:rsidR="00027E33" w:rsidRPr="00A307C6">
        <w:rPr>
          <w:lang w:val="en-GB"/>
        </w:rPr>
        <w:t>,</w:t>
      </w:r>
      <w:r w:rsidR="00050D66" w:rsidRPr="00A307C6">
        <w:rPr>
          <w:lang w:val="en-GB"/>
        </w:rPr>
        <w:t xml:space="preserve"> widespread</w:t>
      </w:r>
      <w:r w:rsidR="00491E6B" w:rsidRPr="00A307C6">
        <w:rPr>
          <w:lang w:val="en-GB"/>
        </w:rPr>
        <w:t>,</w:t>
      </w:r>
      <w:r w:rsidR="003E04D0" w:rsidRPr="00A307C6">
        <w:rPr>
          <w:lang w:val="en-GB"/>
        </w:rPr>
        <w:t xml:space="preserve"> </w:t>
      </w:r>
      <w:r w:rsidR="00027E33" w:rsidRPr="00A307C6">
        <w:rPr>
          <w:lang w:val="en-GB"/>
        </w:rPr>
        <w:t>and extensive</w:t>
      </w:r>
      <w:r w:rsidR="00133990" w:rsidRPr="00A307C6">
        <w:rPr>
          <w:lang w:val="en-GB"/>
        </w:rPr>
        <w:t xml:space="preserve">, </w:t>
      </w:r>
      <w:r w:rsidR="00050D66" w:rsidRPr="00A307C6">
        <w:rPr>
          <w:lang w:val="en-GB"/>
        </w:rPr>
        <w:t>implicat</w:t>
      </w:r>
      <w:r w:rsidR="00491E6B" w:rsidRPr="00A307C6">
        <w:rPr>
          <w:lang w:val="en-GB"/>
        </w:rPr>
        <w:t xml:space="preserve">ing </w:t>
      </w:r>
      <w:r w:rsidR="00050D66" w:rsidRPr="00A307C6">
        <w:rPr>
          <w:lang w:val="en-GB"/>
        </w:rPr>
        <w:t>members of all</w:t>
      </w:r>
      <w:r w:rsidR="00491E6B" w:rsidRPr="00A307C6">
        <w:rPr>
          <w:lang w:val="en-GB"/>
        </w:rPr>
        <w:t xml:space="preserve"> </w:t>
      </w:r>
      <w:r w:rsidR="00050D66" w:rsidRPr="00A307C6">
        <w:rPr>
          <w:lang w:val="en-GB"/>
        </w:rPr>
        <w:t xml:space="preserve">the armed </w:t>
      </w:r>
      <w:r w:rsidR="00133990" w:rsidRPr="00A307C6">
        <w:rPr>
          <w:lang w:val="en-GB"/>
        </w:rPr>
        <w:t xml:space="preserve">entities </w:t>
      </w:r>
      <w:r w:rsidR="00491E6B" w:rsidRPr="00A307C6">
        <w:rPr>
          <w:lang w:val="en-GB"/>
        </w:rPr>
        <w:t>operating in Tambura</w:t>
      </w:r>
      <w:r w:rsidR="00050D66" w:rsidRPr="00A307C6">
        <w:rPr>
          <w:lang w:val="en-GB"/>
        </w:rPr>
        <w:t>.</w:t>
      </w:r>
    </w:p>
    <w:p w14:paraId="13235852" w14:textId="466D7240" w:rsidR="00393D3F" w:rsidRPr="00A307C6" w:rsidRDefault="00393D3F" w:rsidP="00FF077A">
      <w:pPr>
        <w:pStyle w:val="Paragraph"/>
        <w:rPr>
          <w:lang w:val="en-GB"/>
        </w:rPr>
      </w:pPr>
      <w:r w:rsidRPr="00A307C6">
        <w:rPr>
          <w:lang w:val="en-GB"/>
        </w:rPr>
        <w:lastRenderedPageBreak/>
        <w:t>Report</w:t>
      </w:r>
      <w:r w:rsidR="002949A9" w:rsidRPr="00A307C6">
        <w:rPr>
          <w:lang w:val="en-GB"/>
        </w:rPr>
        <w:t xml:space="preserve">s of </w:t>
      </w:r>
      <w:r w:rsidRPr="00A307C6">
        <w:rPr>
          <w:lang w:val="en-GB"/>
        </w:rPr>
        <w:t>abductions of Azande women by Balanda men indicate tha</w:t>
      </w:r>
      <w:r w:rsidR="00491E6B" w:rsidRPr="00A307C6">
        <w:rPr>
          <w:lang w:val="en-GB"/>
        </w:rPr>
        <w:t xml:space="preserve">t </w:t>
      </w:r>
      <w:r w:rsidR="002949A9" w:rsidRPr="00A307C6">
        <w:rPr>
          <w:lang w:val="en-GB"/>
        </w:rPr>
        <w:t xml:space="preserve">rape and </w:t>
      </w:r>
      <w:r w:rsidRPr="00A307C6">
        <w:rPr>
          <w:lang w:val="en-GB"/>
        </w:rPr>
        <w:t xml:space="preserve">sexual violence occurred, </w:t>
      </w:r>
      <w:r w:rsidR="002949A9" w:rsidRPr="00A307C6">
        <w:rPr>
          <w:lang w:val="en-GB"/>
        </w:rPr>
        <w:t xml:space="preserve">and that the patterns of rape and sexual violence is </w:t>
      </w:r>
      <w:r w:rsidRPr="00A307C6">
        <w:rPr>
          <w:lang w:val="en-GB"/>
        </w:rPr>
        <w:t xml:space="preserve">consistent with </w:t>
      </w:r>
      <w:r w:rsidR="00491E6B" w:rsidRPr="00A307C6">
        <w:rPr>
          <w:lang w:val="en-GB"/>
        </w:rPr>
        <w:t xml:space="preserve">sexual violence perpetrated by </w:t>
      </w:r>
      <w:r w:rsidRPr="00A307C6">
        <w:rPr>
          <w:lang w:val="en-GB"/>
        </w:rPr>
        <w:t>SPLM/A-IO Forces during other recent conflict in the area</w:t>
      </w:r>
      <w:r w:rsidR="00904DF7" w:rsidRPr="00A307C6">
        <w:rPr>
          <w:lang w:val="en-GB"/>
        </w:rPr>
        <w:t>, as noted above</w:t>
      </w:r>
      <w:r w:rsidRPr="00A307C6">
        <w:rPr>
          <w:lang w:val="en-GB"/>
        </w:rPr>
        <w:t>.</w:t>
      </w:r>
      <w:r w:rsidR="004C35DB" w:rsidRPr="00A307C6">
        <w:rPr>
          <w:rStyle w:val="FootnoteReference"/>
          <w:lang w:val="en-GB"/>
        </w:rPr>
        <w:footnoteReference w:id="164"/>
      </w:r>
    </w:p>
    <w:p w14:paraId="2DBB92F3" w14:textId="6314115A" w:rsidR="00D1483D" w:rsidRPr="00A307C6" w:rsidRDefault="00050D66" w:rsidP="00FF077A">
      <w:pPr>
        <w:pStyle w:val="Paragraph"/>
        <w:rPr>
          <w:lang w:val="en-GB"/>
        </w:rPr>
      </w:pPr>
      <w:r w:rsidRPr="00A307C6">
        <w:rPr>
          <w:lang w:val="en-GB"/>
        </w:rPr>
        <w:t xml:space="preserve">The Commission has </w:t>
      </w:r>
      <w:r w:rsidR="002949A9" w:rsidRPr="00A307C6">
        <w:rPr>
          <w:lang w:val="en-GB"/>
        </w:rPr>
        <w:t xml:space="preserve">also </w:t>
      </w:r>
      <w:r w:rsidRPr="00A307C6">
        <w:rPr>
          <w:lang w:val="en-GB"/>
        </w:rPr>
        <w:t xml:space="preserve">documented </w:t>
      </w:r>
      <w:r w:rsidR="002949A9" w:rsidRPr="00A307C6">
        <w:rPr>
          <w:lang w:val="en-GB"/>
        </w:rPr>
        <w:t xml:space="preserve">incidents of </w:t>
      </w:r>
      <w:r w:rsidRPr="00A307C6">
        <w:rPr>
          <w:lang w:val="en-GB"/>
        </w:rPr>
        <w:t>rape</w:t>
      </w:r>
      <w:r w:rsidR="002949A9" w:rsidRPr="00A307C6">
        <w:rPr>
          <w:lang w:val="en-GB"/>
        </w:rPr>
        <w:t xml:space="preserve"> and sexual violence perpetrated against </w:t>
      </w:r>
      <w:r w:rsidRPr="00A307C6">
        <w:rPr>
          <w:lang w:val="en-GB"/>
        </w:rPr>
        <w:t xml:space="preserve">Balanda women and girls by groups of Azande males armed with guns </w:t>
      </w:r>
      <w:r w:rsidR="002949A9" w:rsidRPr="00A307C6">
        <w:rPr>
          <w:lang w:val="en-GB"/>
        </w:rPr>
        <w:t xml:space="preserve">and </w:t>
      </w:r>
      <w:r w:rsidRPr="00A307C6">
        <w:rPr>
          <w:lang w:val="en-GB"/>
        </w:rPr>
        <w:t>machetes</w:t>
      </w:r>
      <w:r w:rsidR="004C35DB" w:rsidRPr="00A307C6">
        <w:rPr>
          <w:lang w:val="en-GB"/>
        </w:rPr>
        <w:t>.</w:t>
      </w:r>
      <w:r w:rsidR="004C35DB" w:rsidRPr="00A307C6">
        <w:rPr>
          <w:rStyle w:val="FootnoteReference"/>
          <w:lang w:val="en-GB"/>
        </w:rPr>
        <w:footnoteReference w:id="165"/>
      </w:r>
      <w:r w:rsidRPr="00A307C6">
        <w:rPr>
          <w:lang w:val="en-GB"/>
        </w:rPr>
        <w:t xml:space="preserve"> The rape</w:t>
      </w:r>
      <w:r w:rsidR="002949A9" w:rsidRPr="00A307C6">
        <w:rPr>
          <w:lang w:val="en-GB"/>
        </w:rPr>
        <w:t xml:space="preserve"> and sexual violence </w:t>
      </w:r>
      <w:r w:rsidRPr="00A307C6">
        <w:rPr>
          <w:lang w:val="en-GB"/>
        </w:rPr>
        <w:t xml:space="preserve">were carried out along ethnic lines, </w:t>
      </w:r>
      <w:r w:rsidR="00F86715" w:rsidRPr="00A307C6">
        <w:rPr>
          <w:lang w:val="en-GB"/>
        </w:rPr>
        <w:t xml:space="preserve">and </w:t>
      </w:r>
      <w:r w:rsidR="00D1483D" w:rsidRPr="00A307C6">
        <w:rPr>
          <w:lang w:val="en-GB"/>
        </w:rPr>
        <w:t xml:space="preserve">in </w:t>
      </w:r>
      <w:r w:rsidR="00473C07">
        <w:rPr>
          <w:lang w:val="en-GB"/>
        </w:rPr>
        <w:t xml:space="preserve">numerous </w:t>
      </w:r>
      <w:r w:rsidR="00D1483D" w:rsidRPr="00A307C6">
        <w:rPr>
          <w:lang w:val="en-GB"/>
        </w:rPr>
        <w:t>instances</w:t>
      </w:r>
      <w:r w:rsidR="00473C07">
        <w:rPr>
          <w:lang w:val="en-GB"/>
        </w:rPr>
        <w:t>,</w:t>
      </w:r>
      <w:r w:rsidR="00D1483D" w:rsidRPr="00A307C6">
        <w:rPr>
          <w:lang w:val="en-GB"/>
        </w:rPr>
        <w:t xml:space="preserve"> </w:t>
      </w:r>
      <w:r w:rsidRPr="00A307C6">
        <w:rPr>
          <w:lang w:val="en-GB"/>
        </w:rPr>
        <w:t>with male family members forced to watch.</w:t>
      </w:r>
      <w:r w:rsidR="004C35DB" w:rsidRPr="00A307C6">
        <w:rPr>
          <w:rStyle w:val="FootnoteReference"/>
          <w:lang w:val="en-GB"/>
        </w:rPr>
        <w:footnoteReference w:id="166"/>
      </w:r>
      <w:r w:rsidR="00D1483D" w:rsidRPr="00A307C6">
        <w:rPr>
          <w:lang w:val="en-GB"/>
        </w:rPr>
        <w:t xml:space="preserve"> The</w:t>
      </w:r>
      <w:r w:rsidR="00F86715" w:rsidRPr="00A307C6">
        <w:rPr>
          <w:lang w:val="en-GB"/>
        </w:rPr>
        <w:t xml:space="preserve"> Commission also documented </w:t>
      </w:r>
      <w:r w:rsidR="00DD50CC" w:rsidRPr="00A307C6">
        <w:rPr>
          <w:lang w:val="en-GB"/>
        </w:rPr>
        <w:t xml:space="preserve">the incitement of </w:t>
      </w:r>
      <w:r w:rsidR="00D1483D" w:rsidRPr="00A307C6">
        <w:rPr>
          <w:lang w:val="en-GB"/>
        </w:rPr>
        <w:t>ethnic-based hatred</w:t>
      </w:r>
      <w:r w:rsidR="00DD50CC" w:rsidRPr="00A307C6">
        <w:rPr>
          <w:lang w:val="en-GB"/>
        </w:rPr>
        <w:t xml:space="preserve"> and hate speech</w:t>
      </w:r>
      <w:r w:rsidR="00F86715" w:rsidRPr="00A307C6">
        <w:rPr>
          <w:lang w:val="en-GB"/>
        </w:rPr>
        <w:t>,</w:t>
      </w:r>
      <w:r w:rsidR="00D1483D" w:rsidRPr="00A307C6">
        <w:rPr>
          <w:lang w:val="en-GB"/>
        </w:rPr>
        <w:t xml:space="preserve"> </w:t>
      </w:r>
      <w:r w:rsidR="00DD50CC" w:rsidRPr="00A307C6">
        <w:rPr>
          <w:lang w:val="en-GB"/>
        </w:rPr>
        <w:t xml:space="preserve">primarily </w:t>
      </w:r>
      <w:r w:rsidR="00D1483D" w:rsidRPr="00A307C6">
        <w:rPr>
          <w:lang w:val="en-GB"/>
        </w:rPr>
        <w:t>by political forces</w:t>
      </w:r>
      <w:r w:rsidR="00DD50CC" w:rsidRPr="00A307C6">
        <w:rPr>
          <w:lang w:val="en-GB"/>
        </w:rPr>
        <w:t xml:space="preserve">, </w:t>
      </w:r>
      <w:r w:rsidR="00F86715" w:rsidRPr="00A307C6">
        <w:rPr>
          <w:lang w:val="en-GB"/>
        </w:rPr>
        <w:t xml:space="preserve">which </w:t>
      </w:r>
      <w:r w:rsidR="00D1483D" w:rsidRPr="00A307C6">
        <w:rPr>
          <w:lang w:val="en-GB"/>
        </w:rPr>
        <w:t xml:space="preserve">spread into households including couples </w:t>
      </w:r>
      <w:r w:rsidR="00F86715" w:rsidRPr="00A307C6">
        <w:rPr>
          <w:lang w:val="en-GB"/>
        </w:rPr>
        <w:t xml:space="preserve">in </w:t>
      </w:r>
      <w:r w:rsidR="00D1483D" w:rsidRPr="00A307C6">
        <w:rPr>
          <w:lang w:val="en-GB"/>
        </w:rPr>
        <w:t xml:space="preserve">mixed </w:t>
      </w:r>
      <w:r w:rsidR="00F86715" w:rsidRPr="00A307C6">
        <w:rPr>
          <w:lang w:val="en-GB"/>
        </w:rPr>
        <w:t xml:space="preserve">marriages. </w:t>
      </w:r>
      <w:r w:rsidR="00D1483D" w:rsidRPr="00A307C6">
        <w:rPr>
          <w:lang w:val="en-GB"/>
        </w:rPr>
        <w:t>A Balanda</w:t>
      </w:r>
      <w:r w:rsidR="00F86715" w:rsidRPr="00A307C6">
        <w:rPr>
          <w:lang w:val="en-GB"/>
        </w:rPr>
        <w:t xml:space="preserve"> woman </w:t>
      </w:r>
      <w:r w:rsidR="00D1483D" w:rsidRPr="00A307C6">
        <w:rPr>
          <w:lang w:val="en-GB"/>
        </w:rPr>
        <w:t xml:space="preserve">resident </w:t>
      </w:r>
      <w:r w:rsidR="00F86715" w:rsidRPr="00A307C6">
        <w:rPr>
          <w:lang w:val="en-GB"/>
        </w:rPr>
        <w:t xml:space="preserve">in </w:t>
      </w:r>
      <w:r w:rsidR="00D1483D" w:rsidRPr="00A307C6">
        <w:rPr>
          <w:lang w:val="en-GB"/>
        </w:rPr>
        <w:t>Tambura Town described to the Commission how she was violently raped and then abandoned by her Azande husband of five years, who said he was “doing my part” to avenge the death of his relatives.</w:t>
      </w:r>
      <w:r w:rsidR="00D1483D" w:rsidRPr="00A307C6">
        <w:rPr>
          <w:rStyle w:val="FootnoteReference"/>
          <w:lang w:val="en-GB"/>
        </w:rPr>
        <w:footnoteReference w:id="167"/>
      </w:r>
      <w:r w:rsidR="00D1483D" w:rsidRPr="00A307C6">
        <w:rPr>
          <w:lang w:val="en-GB"/>
        </w:rPr>
        <w:t xml:space="preserve"> </w:t>
      </w:r>
    </w:p>
    <w:p w14:paraId="554A6925" w14:textId="720AF4BD" w:rsidR="00D1483D" w:rsidRPr="00A307C6" w:rsidRDefault="00D1483D" w:rsidP="00FF077A">
      <w:pPr>
        <w:pStyle w:val="Paragraph"/>
        <w:rPr>
          <w:lang w:val="en-GB"/>
        </w:rPr>
      </w:pPr>
      <w:r w:rsidRPr="00A307C6">
        <w:rPr>
          <w:lang w:val="en-GB"/>
        </w:rPr>
        <w:t xml:space="preserve">Multiple Balanda women </w:t>
      </w:r>
      <w:r w:rsidR="00F86715" w:rsidRPr="00A307C6">
        <w:rPr>
          <w:lang w:val="en-GB"/>
        </w:rPr>
        <w:t xml:space="preserve">described </w:t>
      </w:r>
      <w:r w:rsidRPr="00A307C6">
        <w:rPr>
          <w:lang w:val="en-GB"/>
        </w:rPr>
        <w:t xml:space="preserve">being </w:t>
      </w:r>
      <w:r w:rsidR="00060280" w:rsidRPr="00A307C6">
        <w:rPr>
          <w:lang w:val="en-GB"/>
        </w:rPr>
        <w:t xml:space="preserve">raped </w:t>
      </w:r>
      <w:r w:rsidR="00F86715" w:rsidRPr="00A307C6">
        <w:rPr>
          <w:lang w:val="en-GB"/>
        </w:rPr>
        <w:t xml:space="preserve">and </w:t>
      </w:r>
      <w:r w:rsidR="00DD50CC" w:rsidRPr="00A307C6">
        <w:rPr>
          <w:lang w:val="en-GB"/>
        </w:rPr>
        <w:t xml:space="preserve">gang </w:t>
      </w:r>
      <w:r w:rsidRPr="00A307C6">
        <w:rPr>
          <w:lang w:val="en-GB"/>
        </w:rPr>
        <w:t>raped by armed Azande men, while some victims were reluctant to identify the perpetrators.</w:t>
      </w:r>
    </w:p>
    <w:p w14:paraId="22B083FD" w14:textId="3E8E2A42" w:rsidR="00D1483D" w:rsidRPr="00A307C6" w:rsidRDefault="00D1483D" w:rsidP="002170A7">
      <w:pPr>
        <w:pStyle w:val="Paragraph"/>
        <w:numPr>
          <w:ilvl w:val="0"/>
          <w:numId w:val="0"/>
        </w:numPr>
        <w:ind w:left="1134"/>
        <w:rPr>
          <w:lang w:val="en-GB"/>
        </w:rPr>
      </w:pPr>
      <w:r w:rsidRPr="00A307C6">
        <w:rPr>
          <w:lang w:val="en-GB"/>
        </w:rPr>
        <w:t>“They all raped me. They were not wearing uniforms. Their faces were covered and only their eyes were free. One person had a gun, the others had machetes and sticks” – a Balanda woman.</w:t>
      </w:r>
      <w:r w:rsidRPr="00A307C6">
        <w:rPr>
          <w:rStyle w:val="FootnoteReference"/>
          <w:lang w:val="en-GB"/>
        </w:rPr>
        <w:footnoteReference w:id="168"/>
      </w:r>
      <w:r w:rsidRPr="00A307C6">
        <w:rPr>
          <w:lang w:val="en-GB"/>
        </w:rPr>
        <w:t xml:space="preserve"> </w:t>
      </w:r>
    </w:p>
    <w:p w14:paraId="02BFA998" w14:textId="4A9B5972" w:rsidR="00393D3F" w:rsidRPr="00A307C6" w:rsidRDefault="00393D3F" w:rsidP="002170A7">
      <w:pPr>
        <w:pStyle w:val="Paragraph"/>
        <w:numPr>
          <w:ilvl w:val="0"/>
          <w:numId w:val="0"/>
        </w:numPr>
        <w:ind w:left="1134"/>
        <w:rPr>
          <w:lang w:val="en-GB"/>
        </w:rPr>
      </w:pPr>
      <w:r w:rsidRPr="00A307C6">
        <w:rPr>
          <w:lang w:val="en-GB"/>
        </w:rPr>
        <w:t>“I was captured by two armed men speaking Arabic language, and was dragged to a nearby bush, where one of them raped me… the other man attempted to rape me, but failed because a group of people approached the bush”</w:t>
      </w:r>
      <w:r w:rsidR="00DB75EE" w:rsidRPr="00A307C6">
        <w:rPr>
          <w:lang w:val="en-GB"/>
        </w:rPr>
        <w:t xml:space="preserve"> – an Azande woman.</w:t>
      </w:r>
      <w:r w:rsidRPr="00A307C6">
        <w:rPr>
          <w:rStyle w:val="FootnoteReference"/>
          <w:lang w:val="en-GB"/>
        </w:rPr>
        <w:t xml:space="preserve"> </w:t>
      </w:r>
      <w:r w:rsidRPr="00A307C6">
        <w:rPr>
          <w:rStyle w:val="FootnoteReference"/>
          <w:lang w:val="en-GB"/>
        </w:rPr>
        <w:footnoteReference w:id="169"/>
      </w:r>
    </w:p>
    <w:p w14:paraId="1C8D7B0A" w14:textId="21A0714F" w:rsidR="00A30EF0" w:rsidRPr="00A307C6" w:rsidRDefault="00F86715" w:rsidP="00FF077A">
      <w:pPr>
        <w:pStyle w:val="Paragraph"/>
        <w:rPr>
          <w:lang w:val="en-GB"/>
        </w:rPr>
      </w:pPr>
      <w:r w:rsidRPr="00A307C6">
        <w:rPr>
          <w:lang w:val="en-GB"/>
        </w:rPr>
        <w:lastRenderedPageBreak/>
        <w:t>In many</w:t>
      </w:r>
      <w:r w:rsidR="00326DEA" w:rsidRPr="00A307C6">
        <w:rPr>
          <w:lang w:val="en-GB"/>
        </w:rPr>
        <w:t xml:space="preserve"> </w:t>
      </w:r>
      <w:r w:rsidRPr="00A307C6">
        <w:rPr>
          <w:lang w:val="en-GB"/>
        </w:rPr>
        <w:t>of the incidents of r</w:t>
      </w:r>
      <w:r w:rsidR="00A30EF0" w:rsidRPr="00A307C6">
        <w:rPr>
          <w:lang w:val="en-GB"/>
        </w:rPr>
        <w:t>ape</w:t>
      </w:r>
      <w:r w:rsidRPr="00A307C6">
        <w:rPr>
          <w:lang w:val="en-GB"/>
        </w:rPr>
        <w:t xml:space="preserve"> and sexual violence, </w:t>
      </w:r>
      <w:r w:rsidR="00A30EF0" w:rsidRPr="00A307C6">
        <w:rPr>
          <w:lang w:val="en-GB"/>
        </w:rPr>
        <w:t xml:space="preserve">the </w:t>
      </w:r>
      <w:r w:rsidRPr="00A307C6">
        <w:rPr>
          <w:lang w:val="en-GB"/>
        </w:rPr>
        <w:t xml:space="preserve">victims were unable to identify the </w:t>
      </w:r>
      <w:r w:rsidR="00A30EF0" w:rsidRPr="00A307C6">
        <w:rPr>
          <w:lang w:val="en-GB"/>
        </w:rPr>
        <w:t xml:space="preserve">perpetrators, and </w:t>
      </w:r>
      <w:r w:rsidR="00E678E3" w:rsidRPr="00A307C6">
        <w:rPr>
          <w:lang w:val="en-GB"/>
        </w:rPr>
        <w:t xml:space="preserve">the assaults </w:t>
      </w:r>
      <w:r w:rsidR="00A30EF0" w:rsidRPr="00A307C6">
        <w:rPr>
          <w:lang w:val="en-GB"/>
        </w:rPr>
        <w:t xml:space="preserve">appear to have been carried out in the </w:t>
      </w:r>
      <w:r w:rsidR="00326DEA" w:rsidRPr="00A307C6">
        <w:rPr>
          <w:lang w:val="en-GB"/>
        </w:rPr>
        <w:t xml:space="preserve">general </w:t>
      </w:r>
      <w:r w:rsidR="00A30EF0" w:rsidRPr="00A307C6">
        <w:rPr>
          <w:lang w:val="en-GB"/>
        </w:rPr>
        <w:t>context of lawlessness and impunity</w:t>
      </w:r>
      <w:r w:rsidR="00326DEA" w:rsidRPr="00A307C6">
        <w:rPr>
          <w:lang w:val="en-GB"/>
        </w:rPr>
        <w:t>.</w:t>
      </w:r>
    </w:p>
    <w:p w14:paraId="5BD8D5A5" w14:textId="7D5F1761" w:rsidR="00A30EF0" w:rsidRPr="00A307C6" w:rsidRDefault="00A30EF0" w:rsidP="002170A7">
      <w:pPr>
        <w:pStyle w:val="Paragraph"/>
        <w:numPr>
          <w:ilvl w:val="0"/>
          <w:numId w:val="0"/>
        </w:numPr>
        <w:ind w:left="1134"/>
        <w:rPr>
          <w:lang w:val="en-GB"/>
        </w:rPr>
      </w:pPr>
      <w:r w:rsidRPr="00A307C6">
        <w:rPr>
          <w:lang w:val="en-GB"/>
        </w:rPr>
        <w:t>“I was walking from the compound to conduct some chores at the nearby compound, located a few minutes’ walk. The armed men who were in civilian clothing approached me from behind and asked where I was going.  They then told me that they were going to sleep with me because they had taken long without sleeping with a woman… One of them removed my dress and undergarments by force and raped me while the other one held my hands.”</w:t>
      </w:r>
      <w:r w:rsidRPr="00A307C6">
        <w:rPr>
          <w:rStyle w:val="FootnoteReference"/>
          <w:lang w:val="en-GB"/>
        </w:rPr>
        <w:footnoteReference w:id="170"/>
      </w:r>
    </w:p>
    <w:p w14:paraId="4D258897" w14:textId="171CA652" w:rsidR="00D1483D" w:rsidRPr="00A307C6" w:rsidRDefault="00473C07" w:rsidP="00FF077A">
      <w:pPr>
        <w:pStyle w:val="Paragraph"/>
        <w:rPr>
          <w:lang w:val="en-GB"/>
        </w:rPr>
      </w:pPr>
      <w:r>
        <w:rPr>
          <w:lang w:val="en-GB"/>
        </w:rPr>
        <w:t xml:space="preserve">Indicative of </w:t>
      </w:r>
      <w:r w:rsidR="00DD50CC" w:rsidRPr="00A307C6">
        <w:rPr>
          <w:lang w:val="en-GB"/>
        </w:rPr>
        <w:t xml:space="preserve">the </w:t>
      </w:r>
      <w:r w:rsidR="00D1483D" w:rsidRPr="00A307C6">
        <w:rPr>
          <w:lang w:val="en-GB"/>
        </w:rPr>
        <w:t>prevailing impunity as well as the lack of healthcare support available, a rape victim said that police did not follow-up after she had reported the crime, and that upon visiting a hospital she was told there was no medication available for her.</w:t>
      </w:r>
      <w:r w:rsidR="00D1483D" w:rsidRPr="00A307C6">
        <w:rPr>
          <w:rStyle w:val="FootnoteReference"/>
          <w:lang w:val="en-GB"/>
        </w:rPr>
        <w:footnoteReference w:id="171"/>
      </w:r>
      <w:r w:rsidR="00D1483D" w:rsidRPr="00A307C6">
        <w:rPr>
          <w:lang w:val="en-GB"/>
        </w:rPr>
        <w:t xml:space="preserve"> </w:t>
      </w:r>
    </w:p>
    <w:p w14:paraId="27232459" w14:textId="13EA9213" w:rsidR="00663DB1" w:rsidRPr="00A307C6" w:rsidRDefault="003D4C66" w:rsidP="00FF077A">
      <w:pPr>
        <w:pStyle w:val="Paragraph"/>
        <w:rPr>
          <w:bCs/>
          <w:lang w:val="en-GB"/>
        </w:rPr>
      </w:pPr>
      <w:r w:rsidRPr="00A307C6">
        <w:rPr>
          <w:lang w:val="en-GB"/>
        </w:rPr>
        <w:t>Th</w:t>
      </w:r>
      <w:r w:rsidR="001A7F8D" w:rsidRPr="00A307C6">
        <w:rPr>
          <w:lang w:val="en-GB"/>
        </w:rPr>
        <w:t xml:space="preserve">e Commission notes that the Revitalized Government based in Juba </w:t>
      </w:r>
      <w:r w:rsidR="00DD50CC" w:rsidRPr="00A307C6">
        <w:rPr>
          <w:lang w:val="en-GB"/>
        </w:rPr>
        <w:t xml:space="preserve">intervened </w:t>
      </w:r>
      <w:r w:rsidR="001A7F8D" w:rsidRPr="00A307C6">
        <w:rPr>
          <w:lang w:val="en-GB"/>
        </w:rPr>
        <w:t>in Tambura during 2021,</w:t>
      </w:r>
      <w:r w:rsidR="00904DF7" w:rsidRPr="00A307C6">
        <w:rPr>
          <w:lang w:val="en-GB"/>
        </w:rPr>
        <w:t xml:space="preserve"> </w:t>
      </w:r>
      <w:r w:rsidR="001A7F8D" w:rsidRPr="00A307C6">
        <w:rPr>
          <w:lang w:val="en-GB"/>
        </w:rPr>
        <w:t xml:space="preserve">facilitating talks and commissioning investigative inquiries, </w:t>
      </w:r>
      <w:r w:rsidR="00DD50CC" w:rsidRPr="00A307C6">
        <w:rPr>
          <w:lang w:val="en-GB"/>
        </w:rPr>
        <w:t xml:space="preserve">which </w:t>
      </w:r>
      <w:r w:rsidR="00D47299" w:rsidRPr="00A307C6">
        <w:rPr>
          <w:lang w:val="en-GB"/>
        </w:rPr>
        <w:t>both the SPLM</w:t>
      </w:r>
      <w:r w:rsidR="00C67775" w:rsidRPr="00A307C6" w:rsidDel="00C67775">
        <w:rPr>
          <w:lang w:val="en-GB"/>
        </w:rPr>
        <w:t xml:space="preserve"> </w:t>
      </w:r>
      <w:r w:rsidR="00D47299" w:rsidRPr="00A307C6">
        <w:rPr>
          <w:lang w:val="en-GB"/>
        </w:rPr>
        <w:t xml:space="preserve">-IG and the SPLM/A-IO </w:t>
      </w:r>
      <w:r w:rsidR="00DD50CC" w:rsidRPr="00A307C6">
        <w:rPr>
          <w:lang w:val="en-GB"/>
        </w:rPr>
        <w:t xml:space="preserve">have </w:t>
      </w:r>
      <w:r w:rsidR="00D47299" w:rsidRPr="00A307C6">
        <w:rPr>
          <w:lang w:val="en-GB"/>
        </w:rPr>
        <w:t>previously endorsed</w:t>
      </w:r>
      <w:r w:rsidR="00C0276F" w:rsidRPr="00A307C6">
        <w:rPr>
          <w:lang w:val="en-GB"/>
        </w:rPr>
        <w:t>.</w:t>
      </w:r>
      <w:r w:rsidR="00EC3AB7" w:rsidRPr="00A307C6">
        <w:rPr>
          <w:rStyle w:val="FootnoteReference"/>
          <w:lang w:val="en-GB"/>
        </w:rPr>
        <w:footnoteReference w:id="172"/>
      </w:r>
      <w:r w:rsidR="00DD50CC" w:rsidRPr="00A307C6">
        <w:rPr>
          <w:lang w:val="en-GB"/>
        </w:rPr>
        <w:t xml:space="preserve"> </w:t>
      </w:r>
    </w:p>
    <w:p w14:paraId="3D072AA0" w14:textId="28F2975B" w:rsidR="00663DB1" w:rsidRPr="00A307C6" w:rsidRDefault="00C0276F" w:rsidP="00663DB1">
      <w:pPr>
        <w:pStyle w:val="Paragraph"/>
        <w:rPr>
          <w:lang w:val="en-GB"/>
        </w:rPr>
      </w:pPr>
      <w:r w:rsidRPr="00A307C6">
        <w:rPr>
          <w:lang w:val="en-GB"/>
        </w:rPr>
        <w:t>N</w:t>
      </w:r>
      <w:r w:rsidR="00DD50CC" w:rsidRPr="00A307C6">
        <w:rPr>
          <w:lang w:val="en-GB"/>
        </w:rPr>
        <w:t>evertheless</w:t>
      </w:r>
      <w:r w:rsidRPr="00A307C6">
        <w:rPr>
          <w:lang w:val="en-GB"/>
        </w:rPr>
        <w:t xml:space="preserve">, the </w:t>
      </w:r>
      <w:r w:rsidR="00EC3AB7" w:rsidRPr="00A307C6">
        <w:rPr>
          <w:lang w:val="en-GB"/>
        </w:rPr>
        <w:t>SPLM</w:t>
      </w:r>
      <w:r w:rsidR="00C67775" w:rsidRPr="00A307C6" w:rsidDel="00C67775">
        <w:rPr>
          <w:lang w:val="en-GB"/>
        </w:rPr>
        <w:t xml:space="preserve"> </w:t>
      </w:r>
      <w:r w:rsidR="00EC3AB7" w:rsidRPr="00A307C6">
        <w:rPr>
          <w:lang w:val="en-GB"/>
        </w:rPr>
        <w:t xml:space="preserve">-IG and the SPLM/A-IO </w:t>
      </w:r>
      <w:r w:rsidR="00D47299" w:rsidRPr="00A307C6">
        <w:rPr>
          <w:lang w:val="en-GB"/>
        </w:rPr>
        <w:t xml:space="preserve">continue to back General </w:t>
      </w:r>
      <w:proofErr w:type="spellStart"/>
      <w:r w:rsidR="00D47299" w:rsidRPr="00A307C6">
        <w:rPr>
          <w:lang w:val="en-GB"/>
        </w:rPr>
        <w:t>Nando</w:t>
      </w:r>
      <w:proofErr w:type="spellEnd"/>
      <w:r w:rsidR="00D47299" w:rsidRPr="00A307C6">
        <w:rPr>
          <w:lang w:val="en-GB"/>
        </w:rPr>
        <w:t xml:space="preserve"> and General </w:t>
      </w:r>
      <w:proofErr w:type="spellStart"/>
      <w:r w:rsidR="00D47299" w:rsidRPr="00A307C6">
        <w:rPr>
          <w:lang w:val="en-GB"/>
        </w:rPr>
        <w:t>Futuyo</w:t>
      </w:r>
      <w:proofErr w:type="spellEnd"/>
      <w:r w:rsidR="00D47299" w:rsidRPr="00A307C6">
        <w:rPr>
          <w:lang w:val="en-GB"/>
        </w:rPr>
        <w:t xml:space="preserve">, respectively, </w:t>
      </w:r>
      <w:r w:rsidR="00DD50CC" w:rsidRPr="00A307C6">
        <w:rPr>
          <w:lang w:val="en-GB"/>
        </w:rPr>
        <w:t xml:space="preserve">both of whom </w:t>
      </w:r>
      <w:r w:rsidR="001C440A" w:rsidRPr="00A307C6">
        <w:rPr>
          <w:lang w:val="en-GB"/>
        </w:rPr>
        <w:t xml:space="preserve">have been </w:t>
      </w:r>
      <w:r w:rsidR="00D47299" w:rsidRPr="00A307C6">
        <w:rPr>
          <w:lang w:val="en-GB"/>
        </w:rPr>
        <w:t xml:space="preserve">implicated </w:t>
      </w:r>
      <w:r w:rsidR="00DD50CC" w:rsidRPr="00A307C6">
        <w:rPr>
          <w:lang w:val="en-GB"/>
        </w:rPr>
        <w:t xml:space="preserve">as </w:t>
      </w:r>
      <w:r w:rsidR="00D47299" w:rsidRPr="00A307C6">
        <w:rPr>
          <w:lang w:val="en-GB"/>
        </w:rPr>
        <w:t xml:space="preserve">commanding </w:t>
      </w:r>
      <w:r w:rsidR="00904DF7" w:rsidRPr="00A307C6">
        <w:rPr>
          <w:lang w:val="en-GB"/>
        </w:rPr>
        <w:t>officers</w:t>
      </w:r>
      <w:r w:rsidR="00D47299" w:rsidRPr="00A307C6">
        <w:rPr>
          <w:lang w:val="en-GB"/>
        </w:rPr>
        <w:t xml:space="preserve"> </w:t>
      </w:r>
      <w:r w:rsidR="00DD50CC" w:rsidRPr="00A307C6">
        <w:rPr>
          <w:lang w:val="en-GB"/>
        </w:rPr>
        <w:t xml:space="preserve">responsible for committing </w:t>
      </w:r>
      <w:r w:rsidR="00D47299" w:rsidRPr="00A307C6">
        <w:rPr>
          <w:lang w:val="en-GB"/>
        </w:rPr>
        <w:t xml:space="preserve">sexual violence against women and girls before 2020. </w:t>
      </w:r>
      <w:r w:rsidR="00663DB1" w:rsidRPr="00A307C6">
        <w:rPr>
          <w:lang w:val="en-GB"/>
        </w:rPr>
        <w:t xml:space="preserve">Despite their criminal conduct involving sexual violence in conflict against women and girls, these men have continued to serve in officer positions and in </w:t>
      </w:r>
      <w:proofErr w:type="spellStart"/>
      <w:r w:rsidR="00663DB1" w:rsidRPr="00A307C6">
        <w:rPr>
          <w:lang w:val="en-GB"/>
        </w:rPr>
        <w:t>Futuyo’s</w:t>
      </w:r>
      <w:proofErr w:type="spellEnd"/>
      <w:r w:rsidR="00663DB1" w:rsidRPr="00A307C6">
        <w:rPr>
          <w:lang w:val="en-GB"/>
        </w:rPr>
        <w:t xml:space="preserve"> case he was nominated and subsequently appointed as one of the SPLM/A-IO’s three Governors nation-wide, a position he still holds. </w:t>
      </w:r>
      <w:r w:rsidR="00663DB1" w:rsidRPr="00A307C6">
        <w:rPr>
          <w:rStyle w:val="FootnoteReference"/>
          <w:lang w:val="en-GB"/>
        </w:rPr>
        <w:footnoteReference w:id="173"/>
      </w:r>
    </w:p>
    <w:p w14:paraId="696F7BE0" w14:textId="46449C9D" w:rsidR="00EF11DB" w:rsidRPr="00A307C6" w:rsidRDefault="00DD50CC" w:rsidP="00FF077A">
      <w:pPr>
        <w:pStyle w:val="Paragraph"/>
        <w:rPr>
          <w:bCs/>
          <w:lang w:val="en-GB"/>
        </w:rPr>
      </w:pPr>
      <w:r w:rsidRPr="00A307C6">
        <w:rPr>
          <w:lang w:val="en-GB"/>
        </w:rPr>
        <w:lastRenderedPageBreak/>
        <w:t xml:space="preserve">The </w:t>
      </w:r>
      <w:r w:rsidR="001C440A" w:rsidRPr="00A307C6">
        <w:rPr>
          <w:lang w:val="en-GB"/>
        </w:rPr>
        <w:t>l</w:t>
      </w:r>
      <w:r w:rsidR="008E672A" w:rsidRPr="00A307C6">
        <w:rPr>
          <w:lang w:val="en-GB"/>
        </w:rPr>
        <w:t xml:space="preserve">eadership of </w:t>
      </w:r>
      <w:r w:rsidR="001C440A" w:rsidRPr="00A307C6">
        <w:rPr>
          <w:lang w:val="en-GB"/>
        </w:rPr>
        <w:t xml:space="preserve">both </w:t>
      </w:r>
      <w:r w:rsidR="008E672A" w:rsidRPr="00A307C6">
        <w:rPr>
          <w:lang w:val="en-GB"/>
        </w:rPr>
        <w:t>the SPLM</w:t>
      </w:r>
      <w:r w:rsidR="00C67775" w:rsidRPr="00A307C6" w:rsidDel="00C67775">
        <w:rPr>
          <w:lang w:val="en-GB"/>
        </w:rPr>
        <w:t xml:space="preserve"> </w:t>
      </w:r>
      <w:r w:rsidR="008E672A" w:rsidRPr="00A307C6">
        <w:rPr>
          <w:lang w:val="en-GB"/>
        </w:rPr>
        <w:t xml:space="preserve">-IG and SPLM/A-IO allowed </w:t>
      </w:r>
      <w:r w:rsidR="00443A85" w:rsidRPr="00A307C6">
        <w:rPr>
          <w:lang w:val="en-GB"/>
        </w:rPr>
        <w:t>th</w:t>
      </w:r>
      <w:r w:rsidR="001C440A" w:rsidRPr="00A307C6">
        <w:rPr>
          <w:lang w:val="en-GB"/>
        </w:rPr>
        <w:t>e</w:t>
      </w:r>
      <w:r w:rsidR="00443A85" w:rsidRPr="00A307C6">
        <w:rPr>
          <w:lang w:val="en-GB"/>
        </w:rPr>
        <w:t xml:space="preserve">se acts to go unpunished, </w:t>
      </w:r>
      <w:r w:rsidR="001C440A" w:rsidRPr="00A307C6">
        <w:rPr>
          <w:lang w:val="en-GB"/>
        </w:rPr>
        <w:t xml:space="preserve">disregarding the </w:t>
      </w:r>
      <w:r w:rsidR="00F3105E">
        <w:rPr>
          <w:lang w:val="en-GB"/>
        </w:rPr>
        <w:t xml:space="preserve">criminal </w:t>
      </w:r>
      <w:r w:rsidR="007202B3" w:rsidRPr="00A307C6">
        <w:rPr>
          <w:lang w:val="en-GB"/>
        </w:rPr>
        <w:t xml:space="preserve">conduct </w:t>
      </w:r>
      <w:r w:rsidR="00F3105E">
        <w:rPr>
          <w:lang w:val="en-GB"/>
        </w:rPr>
        <w:t xml:space="preserve">of both generals, </w:t>
      </w:r>
      <w:r w:rsidRPr="00A307C6">
        <w:rPr>
          <w:lang w:val="en-GB"/>
        </w:rPr>
        <w:t xml:space="preserve">by </w:t>
      </w:r>
      <w:r w:rsidR="008E672A" w:rsidRPr="00A307C6">
        <w:rPr>
          <w:lang w:val="en-GB"/>
        </w:rPr>
        <w:t>promot</w:t>
      </w:r>
      <w:r w:rsidRPr="00A307C6">
        <w:rPr>
          <w:lang w:val="en-GB"/>
        </w:rPr>
        <w:t>i</w:t>
      </w:r>
      <w:r w:rsidR="007202B3" w:rsidRPr="00A307C6">
        <w:rPr>
          <w:lang w:val="en-GB"/>
        </w:rPr>
        <w:t xml:space="preserve">ng them </w:t>
      </w:r>
      <w:r w:rsidRPr="00A307C6">
        <w:rPr>
          <w:lang w:val="en-GB"/>
        </w:rPr>
        <w:t>to the rank</w:t>
      </w:r>
      <w:r w:rsidR="00E678E3" w:rsidRPr="00A307C6">
        <w:rPr>
          <w:lang w:val="en-GB"/>
        </w:rPr>
        <w:t>s</w:t>
      </w:r>
      <w:r w:rsidRPr="00A307C6">
        <w:rPr>
          <w:lang w:val="en-GB"/>
        </w:rPr>
        <w:t xml:space="preserve"> of </w:t>
      </w:r>
      <w:r w:rsidR="00443A85" w:rsidRPr="00A307C6">
        <w:rPr>
          <w:lang w:val="en-GB"/>
        </w:rPr>
        <w:t>commander</w:t>
      </w:r>
      <w:r w:rsidR="007202B3" w:rsidRPr="00A307C6">
        <w:rPr>
          <w:lang w:val="en-GB"/>
        </w:rPr>
        <w:t>, and in effect rewarding them</w:t>
      </w:r>
      <w:r w:rsidR="008E672A" w:rsidRPr="00A307C6">
        <w:rPr>
          <w:lang w:val="en-GB"/>
        </w:rPr>
        <w:t xml:space="preserve">. </w:t>
      </w:r>
      <w:r w:rsidRPr="00A307C6">
        <w:rPr>
          <w:lang w:val="en-GB"/>
        </w:rPr>
        <w:t xml:space="preserve">In the case of General </w:t>
      </w:r>
      <w:proofErr w:type="spellStart"/>
      <w:r w:rsidRPr="00A307C6">
        <w:rPr>
          <w:lang w:val="en-GB"/>
        </w:rPr>
        <w:t>Futuy</w:t>
      </w:r>
      <w:r w:rsidR="00C0276F" w:rsidRPr="00A307C6">
        <w:rPr>
          <w:lang w:val="en-GB"/>
        </w:rPr>
        <w:t>o</w:t>
      </w:r>
      <w:proofErr w:type="spellEnd"/>
      <w:r w:rsidRPr="00A307C6">
        <w:rPr>
          <w:lang w:val="en-GB"/>
        </w:rPr>
        <w:t>, h</w:t>
      </w:r>
      <w:r w:rsidR="007202B3" w:rsidRPr="00A307C6">
        <w:rPr>
          <w:lang w:val="en-GB"/>
        </w:rPr>
        <w:t xml:space="preserve">is </w:t>
      </w:r>
      <w:r w:rsidRPr="00A307C6">
        <w:rPr>
          <w:lang w:val="en-GB"/>
        </w:rPr>
        <w:t>appoint</w:t>
      </w:r>
      <w:r w:rsidR="007202B3" w:rsidRPr="00A307C6">
        <w:rPr>
          <w:lang w:val="en-GB"/>
        </w:rPr>
        <w:t xml:space="preserve">ment as </w:t>
      </w:r>
      <w:r w:rsidRPr="00A307C6">
        <w:rPr>
          <w:lang w:val="en-GB"/>
        </w:rPr>
        <w:t>Governor of Western Equatoria</w:t>
      </w:r>
      <w:r w:rsidR="007202B3" w:rsidRPr="00A307C6">
        <w:rPr>
          <w:lang w:val="en-GB"/>
        </w:rPr>
        <w:t xml:space="preserve">, </w:t>
      </w:r>
      <w:r w:rsidR="00121C82" w:rsidRPr="00A307C6">
        <w:rPr>
          <w:lang w:val="en-GB"/>
        </w:rPr>
        <w:t>send</w:t>
      </w:r>
      <w:r w:rsidR="007202B3" w:rsidRPr="00A307C6">
        <w:rPr>
          <w:lang w:val="en-GB"/>
        </w:rPr>
        <w:t>s</w:t>
      </w:r>
      <w:r w:rsidR="00121C82" w:rsidRPr="00A307C6">
        <w:rPr>
          <w:lang w:val="en-GB"/>
        </w:rPr>
        <w:t xml:space="preserve"> a message that there is no accountability for the crimes of rape and sexual violence and officially endorses </w:t>
      </w:r>
      <w:r w:rsidR="007202B3" w:rsidRPr="00A307C6">
        <w:rPr>
          <w:lang w:val="en-GB"/>
        </w:rPr>
        <w:t xml:space="preserve">the </w:t>
      </w:r>
      <w:r w:rsidR="00121C82" w:rsidRPr="00A307C6">
        <w:rPr>
          <w:lang w:val="en-GB"/>
        </w:rPr>
        <w:t xml:space="preserve">ongoing impunity for serious international crimes. The </w:t>
      </w:r>
      <w:r w:rsidR="00443A85" w:rsidRPr="00A307C6">
        <w:rPr>
          <w:lang w:val="en-GB"/>
        </w:rPr>
        <w:t xml:space="preserve">ongoing </w:t>
      </w:r>
      <w:r w:rsidR="00121C82" w:rsidRPr="00A307C6">
        <w:rPr>
          <w:lang w:val="en-GB"/>
        </w:rPr>
        <w:t xml:space="preserve">unrelenting campaign </w:t>
      </w:r>
      <w:r w:rsidR="00443A85" w:rsidRPr="00A307C6">
        <w:rPr>
          <w:lang w:val="en-GB"/>
        </w:rPr>
        <w:t xml:space="preserve">of </w:t>
      </w:r>
      <w:r w:rsidR="00121C82" w:rsidRPr="00A307C6">
        <w:rPr>
          <w:lang w:val="en-GB"/>
        </w:rPr>
        <w:t xml:space="preserve">rape and </w:t>
      </w:r>
      <w:r w:rsidR="00443A85" w:rsidRPr="00A307C6">
        <w:rPr>
          <w:lang w:val="en-GB"/>
        </w:rPr>
        <w:t xml:space="preserve">sexual violence </w:t>
      </w:r>
      <w:r w:rsidR="007202B3" w:rsidRPr="00A307C6">
        <w:rPr>
          <w:lang w:val="en-GB"/>
        </w:rPr>
        <w:t xml:space="preserve">against women and girls </w:t>
      </w:r>
      <w:r w:rsidR="00443A85" w:rsidRPr="00A307C6">
        <w:rPr>
          <w:lang w:val="en-GB"/>
        </w:rPr>
        <w:t xml:space="preserve">by armed actors in Western Equatoria </w:t>
      </w:r>
      <w:r w:rsidR="007202B3" w:rsidRPr="00A307C6">
        <w:rPr>
          <w:lang w:val="en-GB"/>
        </w:rPr>
        <w:t xml:space="preserve">owes its origins to </w:t>
      </w:r>
      <w:r w:rsidR="00121C82" w:rsidRPr="00A307C6">
        <w:rPr>
          <w:lang w:val="en-GB"/>
        </w:rPr>
        <w:t xml:space="preserve">the </w:t>
      </w:r>
      <w:r w:rsidR="007202B3" w:rsidRPr="00A307C6">
        <w:rPr>
          <w:lang w:val="en-GB"/>
        </w:rPr>
        <w:t xml:space="preserve">environment of </w:t>
      </w:r>
      <w:r w:rsidR="00121C82" w:rsidRPr="00A307C6">
        <w:rPr>
          <w:lang w:val="en-GB"/>
        </w:rPr>
        <w:t xml:space="preserve">impunity </w:t>
      </w:r>
      <w:r w:rsidR="007202B3" w:rsidRPr="00A307C6">
        <w:rPr>
          <w:lang w:val="en-GB"/>
        </w:rPr>
        <w:t>that has become entrenched. I</w:t>
      </w:r>
      <w:r w:rsidR="00443A85" w:rsidRPr="00A307C6">
        <w:rPr>
          <w:lang w:val="en-GB"/>
        </w:rPr>
        <w:t xml:space="preserve">f this pattern persists, </w:t>
      </w:r>
      <w:r w:rsidR="009F73E2" w:rsidRPr="00A307C6">
        <w:rPr>
          <w:lang w:val="en-GB"/>
        </w:rPr>
        <w:t xml:space="preserve">rape and sexual violence will continue unchecked and </w:t>
      </w:r>
      <w:r w:rsidR="005D3870" w:rsidRPr="00A307C6">
        <w:rPr>
          <w:lang w:val="en-GB"/>
        </w:rPr>
        <w:t xml:space="preserve">for </w:t>
      </w:r>
      <w:r w:rsidR="009F73E2" w:rsidRPr="00A307C6">
        <w:rPr>
          <w:lang w:val="en-GB"/>
        </w:rPr>
        <w:t xml:space="preserve">which </w:t>
      </w:r>
      <w:r w:rsidR="005D3870" w:rsidRPr="00A307C6">
        <w:rPr>
          <w:lang w:val="en-GB"/>
        </w:rPr>
        <w:t xml:space="preserve">the Government </w:t>
      </w:r>
      <w:r w:rsidR="003179F0" w:rsidRPr="00A307C6">
        <w:rPr>
          <w:lang w:val="en-GB"/>
        </w:rPr>
        <w:t>bear</w:t>
      </w:r>
      <w:r w:rsidR="009F73E2" w:rsidRPr="00A307C6">
        <w:rPr>
          <w:lang w:val="en-GB"/>
        </w:rPr>
        <w:t>s</w:t>
      </w:r>
      <w:r w:rsidR="003179F0" w:rsidRPr="00A307C6">
        <w:rPr>
          <w:lang w:val="en-GB"/>
        </w:rPr>
        <w:t xml:space="preserve"> </w:t>
      </w:r>
      <w:r w:rsidR="005D3870" w:rsidRPr="00A307C6">
        <w:rPr>
          <w:lang w:val="en-GB"/>
        </w:rPr>
        <w:t xml:space="preserve">responsibility. </w:t>
      </w:r>
      <w:bookmarkStart w:id="43" w:name="_Hlk97730937"/>
      <w:bookmarkEnd w:id="38"/>
    </w:p>
    <w:p w14:paraId="68A6710F" w14:textId="7C885741" w:rsidR="007C7F7F" w:rsidRPr="00A307C6" w:rsidRDefault="007C7F7F" w:rsidP="00B8644C">
      <w:pPr>
        <w:pStyle w:val="HChG"/>
        <w:numPr>
          <w:ilvl w:val="0"/>
          <w:numId w:val="10"/>
        </w:numPr>
        <w:outlineLvl w:val="0"/>
      </w:pPr>
      <w:bookmarkStart w:id="44" w:name="_Toc98226816"/>
      <w:bookmarkStart w:id="45" w:name="_Toc98606457"/>
      <w:r w:rsidRPr="00A307C6">
        <w:t>Patterns of perpetration and drivers of sexual violence</w:t>
      </w:r>
      <w:bookmarkEnd w:id="44"/>
      <w:bookmarkEnd w:id="45"/>
    </w:p>
    <w:p w14:paraId="7F5B3F32" w14:textId="77777777" w:rsidR="00A06624" w:rsidRPr="00A307C6" w:rsidRDefault="00D43561" w:rsidP="00A06624">
      <w:pPr>
        <w:pStyle w:val="Paragraph"/>
        <w:rPr>
          <w:lang w:val="en-GB"/>
        </w:rPr>
      </w:pPr>
      <w:bookmarkStart w:id="46" w:name="_Hlk97551358"/>
      <w:bookmarkEnd w:id="43"/>
      <w:r w:rsidRPr="00A307C6">
        <w:rPr>
          <w:lang w:val="en-GB"/>
        </w:rPr>
        <w:t xml:space="preserve">Four </w:t>
      </w:r>
      <w:r w:rsidR="00F4493E" w:rsidRPr="00A307C6">
        <w:rPr>
          <w:lang w:val="en-GB"/>
        </w:rPr>
        <w:t xml:space="preserve">distinct patterns driving conflict-related sexual violence have been identified by the Commission: attacks linked to military </w:t>
      </w:r>
      <w:r w:rsidR="009F73E2" w:rsidRPr="00A307C6">
        <w:rPr>
          <w:lang w:val="en-GB"/>
        </w:rPr>
        <w:t xml:space="preserve">and </w:t>
      </w:r>
      <w:r w:rsidR="00F4493E" w:rsidRPr="00A307C6">
        <w:rPr>
          <w:lang w:val="en-GB"/>
        </w:rPr>
        <w:t xml:space="preserve">political objectives; sexual and other forms of abusive exploitation of women and girls who </w:t>
      </w:r>
      <w:r w:rsidR="009F73E2" w:rsidRPr="00A307C6">
        <w:rPr>
          <w:lang w:val="en-GB"/>
        </w:rPr>
        <w:t xml:space="preserve">are abducted </w:t>
      </w:r>
      <w:r w:rsidR="00F4493E" w:rsidRPr="00A307C6">
        <w:rPr>
          <w:lang w:val="en-GB"/>
        </w:rPr>
        <w:t xml:space="preserve">by members of armed groups; </w:t>
      </w:r>
      <w:r w:rsidR="009D3481" w:rsidRPr="00A307C6">
        <w:rPr>
          <w:lang w:val="en-GB"/>
        </w:rPr>
        <w:t>a culture of entitlement to women and girls as the spoils of conflict</w:t>
      </w:r>
      <w:r w:rsidR="00F15E32" w:rsidRPr="00A307C6">
        <w:rPr>
          <w:lang w:val="en-GB"/>
        </w:rPr>
        <w:t>,</w:t>
      </w:r>
      <w:r w:rsidR="009D3481" w:rsidRPr="00A307C6">
        <w:rPr>
          <w:lang w:val="en-GB"/>
        </w:rPr>
        <w:t xml:space="preserve"> </w:t>
      </w:r>
      <w:r w:rsidR="00F4493E" w:rsidRPr="00A307C6">
        <w:rPr>
          <w:lang w:val="en-GB"/>
        </w:rPr>
        <w:t xml:space="preserve">and criminal acts </w:t>
      </w:r>
      <w:r w:rsidR="009F73E2" w:rsidRPr="00A307C6">
        <w:rPr>
          <w:lang w:val="en-GB"/>
        </w:rPr>
        <w:t xml:space="preserve">carried out by armed actors </w:t>
      </w:r>
      <w:r w:rsidR="00F4493E" w:rsidRPr="00A307C6">
        <w:rPr>
          <w:lang w:val="en-GB"/>
        </w:rPr>
        <w:t xml:space="preserve">in the </w:t>
      </w:r>
      <w:r w:rsidR="009F73E2" w:rsidRPr="00A307C6">
        <w:rPr>
          <w:lang w:val="en-GB"/>
        </w:rPr>
        <w:t xml:space="preserve">prevailing </w:t>
      </w:r>
      <w:r w:rsidR="00F4493E" w:rsidRPr="00A307C6">
        <w:rPr>
          <w:lang w:val="en-GB"/>
        </w:rPr>
        <w:t xml:space="preserve">context of </w:t>
      </w:r>
      <w:r w:rsidR="00001C4C" w:rsidRPr="00A307C6">
        <w:rPr>
          <w:lang w:val="en-GB"/>
        </w:rPr>
        <w:t>o</w:t>
      </w:r>
      <w:r w:rsidR="009F73E2" w:rsidRPr="00A307C6">
        <w:rPr>
          <w:lang w:val="en-GB"/>
        </w:rPr>
        <w:t xml:space="preserve">ngoing </w:t>
      </w:r>
      <w:r w:rsidR="00F4493E" w:rsidRPr="00A307C6">
        <w:rPr>
          <w:lang w:val="en-GB"/>
        </w:rPr>
        <w:t>conflict, lawlessness and impunity.</w:t>
      </w:r>
    </w:p>
    <w:p w14:paraId="39FAA08B" w14:textId="0C42F26F" w:rsidR="00F4493E" w:rsidRPr="00A307C6" w:rsidRDefault="00F4493E" w:rsidP="009E6E96">
      <w:pPr>
        <w:pStyle w:val="H1G"/>
      </w:pPr>
      <w:bookmarkStart w:id="47" w:name="_Toc98226817"/>
      <w:bookmarkStart w:id="48" w:name="_Toc98606458"/>
      <w:r w:rsidRPr="00A307C6">
        <w:t>Military and political objectives</w:t>
      </w:r>
      <w:bookmarkEnd w:id="47"/>
      <w:bookmarkEnd w:id="48"/>
    </w:p>
    <w:p w14:paraId="0321C32E" w14:textId="04633934" w:rsidR="00A06624" w:rsidRPr="00A307C6" w:rsidRDefault="00F4493E" w:rsidP="00A06624">
      <w:pPr>
        <w:pStyle w:val="Paragraph"/>
        <w:rPr>
          <w:lang w:val="en-GB"/>
        </w:rPr>
      </w:pPr>
      <w:r w:rsidRPr="00A307C6">
        <w:rPr>
          <w:lang w:val="en-GB"/>
        </w:rPr>
        <w:t xml:space="preserve">In many attacks involving rape and other forms of sexual violence, these acts are linked to military and political objectives intended to pressure </w:t>
      </w:r>
      <w:r w:rsidR="009D3481" w:rsidRPr="00A307C6">
        <w:rPr>
          <w:lang w:val="en-GB"/>
        </w:rPr>
        <w:t xml:space="preserve">and expel </w:t>
      </w:r>
      <w:r w:rsidRPr="00A307C6">
        <w:rPr>
          <w:lang w:val="en-GB"/>
        </w:rPr>
        <w:t xml:space="preserve">the civilian population </w:t>
      </w:r>
      <w:r w:rsidR="009D3481" w:rsidRPr="00A307C6">
        <w:rPr>
          <w:lang w:val="en-GB"/>
        </w:rPr>
        <w:t xml:space="preserve">from </w:t>
      </w:r>
      <w:r w:rsidRPr="00A307C6">
        <w:rPr>
          <w:lang w:val="en-GB"/>
        </w:rPr>
        <w:t>the area</w:t>
      </w:r>
      <w:r w:rsidR="009D3481" w:rsidRPr="00A307C6">
        <w:rPr>
          <w:lang w:val="en-GB"/>
        </w:rPr>
        <w:t>. Acts includ</w:t>
      </w:r>
      <w:r w:rsidR="00D57133">
        <w:rPr>
          <w:lang w:val="en-GB"/>
        </w:rPr>
        <w:t>e</w:t>
      </w:r>
      <w:r w:rsidR="009D3481" w:rsidRPr="00A307C6">
        <w:rPr>
          <w:lang w:val="en-GB"/>
        </w:rPr>
        <w:t xml:space="preserve"> attacks on villages, the </w:t>
      </w:r>
      <w:r w:rsidRPr="00A307C6">
        <w:rPr>
          <w:lang w:val="en-GB"/>
        </w:rPr>
        <w:t>burning of homes</w:t>
      </w:r>
      <w:r w:rsidR="006E02E8" w:rsidRPr="00A307C6">
        <w:rPr>
          <w:lang w:val="en-GB"/>
        </w:rPr>
        <w:t>, killings</w:t>
      </w:r>
      <w:r w:rsidRPr="00A307C6">
        <w:rPr>
          <w:lang w:val="en-GB"/>
        </w:rPr>
        <w:t xml:space="preserve"> and looting of property</w:t>
      </w:r>
      <w:r w:rsidR="00F15E32" w:rsidRPr="00A307C6">
        <w:rPr>
          <w:lang w:val="en-GB"/>
        </w:rPr>
        <w:t>,</w:t>
      </w:r>
      <w:r w:rsidR="009D3481" w:rsidRPr="00A307C6">
        <w:rPr>
          <w:lang w:val="en-GB"/>
        </w:rPr>
        <w:t xml:space="preserve"> and the abduction of women and girls with the purpose of rape and sexual violence</w:t>
      </w:r>
      <w:r w:rsidRPr="00A307C6">
        <w:rPr>
          <w:lang w:val="en-GB"/>
        </w:rPr>
        <w:t>. In this context, sexual violence involv</w:t>
      </w:r>
      <w:r w:rsidR="009D3481" w:rsidRPr="00A307C6">
        <w:rPr>
          <w:lang w:val="en-GB"/>
        </w:rPr>
        <w:t xml:space="preserve">es </w:t>
      </w:r>
      <w:r w:rsidRPr="00A307C6">
        <w:rPr>
          <w:lang w:val="en-GB"/>
        </w:rPr>
        <w:t xml:space="preserve">repeated </w:t>
      </w:r>
      <w:r w:rsidR="009D3481" w:rsidRPr="00A307C6">
        <w:rPr>
          <w:lang w:val="en-GB"/>
        </w:rPr>
        <w:t xml:space="preserve">multiple incidents of </w:t>
      </w:r>
      <w:r w:rsidRPr="00A307C6">
        <w:rPr>
          <w:lang w:val="en-GB"/>
        </w:rPr>
        <w:t>rape</w:t>
      </w:r>
      <w:r w:rsidR="009D3481" w:rsidRPr="00A307C6">
        <w:rPr>
          <w:lang w:val="en-GB"/>
        </w:rPr>
        <w:t xml:space="preserve"> and gang rape by groups of armed men</w:t>
      </w:r>
      <w:r w:rsidRPr="00A307C6">
        <w:rPr>
          <w:lang w:val="en-GB"/>
        </w:rPr>
        <w:t xml:space="preserve">, accompanied by </w:t>
      </w:r>
      <w:r w:rsidR="006E02E8" w:rsidRPr="00A307C6">
        <w:rPr>
          <w:lang w:val="en-GB"/>
        </w:rPr>
        <w:t xml:space="preserve">torture and </w:t>
      </w:r>
      <w:r w:rsidRPr="00A307C6">
        <w:rPr>
          <w:lang w:val="en-GB"/>
        </w:rPr>
        <w:t xml:space="preserve">extremely violent beatings. </w:t>
      </w:r>
      <w:r w:rsidR="006E02E8" w:rsidRPr="00A307C6">
        <w:rPr>
          <w:lang w:val="en-GB"/>
        </w:rPr>
        <w:t xml:space="preserve">There is </w:t>
      </w:r>
      <w:r w:rsidRPr="00A307C6">
        <w:rPr>
          <w:lang w:val="en-GB"/>
        </w:rPr>
        <w:t xml:space="preserve">a clear intention to inflict severe pain and suffering, </w:t>
      </w:r>
      <w:r w:rsidR="006E02E8" w:rsidRPr="00A307C6">
        <w:rPr>
          <w:lang w:val="en-GB"/>
        </w:rPr>
        <w:t xml:space="preserve">which is </w:t>
      </w:r>
      <w:r w:rsidRPr="00A307C6">
        <w:rPr>
          <w:lang w:val="en-GB"/>
        </w:rPr>
        <w:t>targeted and directed at both individual victims and the broader community,</w:t>
      </w:r>
      <w:r w:rsidR="00C0276F" w:rsidRPr="00A307C6">
        <w:rPr>
          <w:lang w:val="en-GB"/>
        </w:rPr>
        <w:t xml:space="preserve"> </w:t>
      </w:r>
      <w:r w:rsidR="006E02E8" w:rsidRPr="00A307C6">
        <w:rPr>
          <w:lang w:val="en-GB"/>
        </w:rPr>
        <w:t xml:space="preserve">so as </w:t>
      </w:r>
      <w:r w:rsidRPr="00A307C6">
        <w:rPr>
          <w:lang w:val="en-GB"/>
        </w:rPr>
        <w:t>to punish them for being members of a particular ethnic group, a</w:t>
      </w:r>
      <w:r w:rsidR="009D3481" w:rsidRPr="00A307C6">
        <w:rPr>
          <w:lang w:val="en-GB"/>
        </w:rPr>
        <w:t xml:space="preserve">nd </w:t>
      </w:r>
      <w:r w:rsidR="00F15E32" w:rsidRPr="00A307C6">
        <w:rPr>
          <w:lang w:val="en-GB"/>
        </w:rPr>
        <w:t>because</w:t>
      </w:r>
      <w:r w:rsidR="009D3481" w:rsidRPr="00A307C6">
        <w:rPr>
          <w:lang w:val="en-GB"/>
        </w:rPr>
        <w:t xml:space="preserve"> they are </w:t>
      </w:r>
      <w:r w:rsidRPr="00A307C6">
        <w:rPr>
          <w:lang w:val="en-GB"/>
        </w:rPr>
        <w:t>perceive</w:t>
      </w:r>
      <w:r w:rsidR="00D26A72">
        <w:rPr>
          <w:lang w:val="en-GB"/>
        </w:rPr>
        <w:t>d</w:t>
      </w:r>
      <w:r w:rsidRPr="00A307C6">
        <w:rPr>
          <w:lang w:val="en-GB"/>
        </w:rPr>
        <w:t xml:space="preserve"> as being aligned to </w:t>
      </w:r>
      <w:r w:rsidR="009A4FB4" w:rsidRPr="00A307C6">
        <w:rPr>
          <w:lang w:val="en-GB"/>
        </w:rPr>
        <w:t xml:space="preserve">the </w:t>
      </w:r>
      <w:r w:rsidRPr="00A307C6">
        <w:rPr>
          <w:lang w:val="en-GB"/>
        </w:rPr>
        <w:t xml:space="preserve">opposing armed group. The attacks by SSPDF soldiers on Central Equatoria villages in early 2020, detailed above, is a case in point: </w:t>
      </w:r>
      <w:proofErr w:type="spellStart"/>
      <w:r w:rsidRPr="00A307C6">
        <w:rPr>
          <w:lang w:val="en-GB"/>
        </w:rPr>
        <w:t>Equatorians</w:t>
      </w:r>
      <w:proofErr w:type="spellEnd"/>
      <w:r w:rsidRPr="00A307C6">
        <w:rPr>
          <w:lang w:val="en-GB"/>
        </w:rPr>
        <w:t xml:space="preserve"> were targeted by SSPDF soldiers</w:t>
      </w:r>
      <w:r w:rsidR="00C43608" w:rsidRPr="00A307C6">
        <w:rPr>
          <w:lang w:val="en-GB"/>
        </w:rPr>
        <w:t xml:space="preserve">, who </w:t>
      </w:r>
      <w:r w:rsidR="009A4FB4" w:rsidRPr="00A307C6">
        <w:rPr>
          <w:lang w:val="en-GB"/>
        </w:rPr>
        <w:t>rape</w:t>
      </w:r>
      <w:r w:rsidR="00C43608" w:rsidRPr="00A307C6">
        <w:rPr>
          <w:lang w:val="en-GB"/>
        </w:rPr>
        <w:t>d</w:t>
      </w:r>
      <w:r w:rsidR="009A4FB4" w:rsidRPr="00A307C6">
        <w:rPr>
          <w:lang w:val="en-GB"/>
        </w:rPr>
        <w:t xml:space="preserve"> and </w:t>
      </w:r>
      <w:r w:rsidRPr="00A307C6">
        <w:rPr>
          <w:lang w:val="en-GB"/>
        </w:rPr>
        <w:t>sexual</w:t>
      </w:r>
      <w:r w:rsidR="00D26A72">
        <w:rPr>
          <w:lang w:val="en-GB"/>
        </w:rPr>
        <w:t>ly</w:t>
      </w:r>
      <w:r w:rsidRPr="00A307C6">
        <w:rPr>
          <w:lang w:val="en-GB"/>
        </w:rPr>
        <w:t xml:space="preserve"> viol</w:t>
      </w:r>
      <w:r w:rsidR="00C43608" w:rsidRPr="00A307C6">
        <w:rPr>
          <w:lang w:val="en-GB"/>
        </w:rPr>
        <w:t xml:space="preserve">ated women and girls </w:t>
      </w:r>
      <w:r w:rsidRPr="00A307C6">
        <w:rPr>
          <w:lang w:val="en-GB"/>
        </w:rPr>
        <w:t>in an area where the perpetrators regarded all civilians as being supporters of the enemy who had recently attacked them</w:t>
      </w:r>
      <w:r w:rsidR="009A4FB4" w:rsidRPr="00A307C6">
        <w:rPr>
          <w:lang w:val="en-GB"/>
        </w:rPr>
        <w:t xml:space="preserve"> in retaliation</w:t>
      </w:r>
      <w:r w:rsidRPr="00A307C6">
        <w:rPr>
          <w:lang w:val="en-GB"/>
        </w:rPr>
        <w:t xml:space="preserve">. Similarly, in </w:t>
      </w:r>
      <w:r w:rsidR="00D26A72">
        <w:rPr>
          <w:lang w:val="en-GB"/>
        </w:rPr>
        <w:t>Western</w:t>
      </w:r>
      <w:r w:rsidR="00D26A72" w:rsidRPr="00A307C6">
        <w:rPr>
          <w:lang w:val="en-GB"/>
        </w:rPr>
        <w:t xml:space="preserve"> </w:t>
      </w:r>
      <w:r w:rsidRPr="00A307C6">
        <w:rPr>
          <w:lang w:val="en-GB"/>
        </w:rPr>
        <w:t>Equatoria, an armed ethnic-</w:t>
      </w:r>
      <w:r w:rsidRPr="00A307C6">
        <w:rPr>
          <w:lang w:val="en-GB"/>
        </w:rPr>
        <w:lastRenderedPageBreak/>
        <w:t>Azande militia appeared to have used targeted sexual violence as a tactic to forcibly displace and relocate Balanda civilians.</w:t>
      </w:r>
    </w:p>
    <w:p w14:paraId="6062B555" w14:textId="47898E38" w:rsidR="00F4493E" w:rsidRPr="00A307C6" w:rsidRDefault="00F4493E" w:rsidP="009E6E96">
      <w:pPr>
        <w:pStyle w:val="H1G"/>
      </w:pPr>
      <w:bookmarkStart w:id="49" w:name="_Toc98226818"/>
      <w:bookmarkStart w:id="50" w:name="_Toc98606459"/>
      <w:r w:rsidRPr="00A307C6">
        <w:t>Sexual slavery and servitude</w:t>
      </w:r>
      <w:bookmarkEnd w:id="49"/>
      <w:bookmarkEnd w:id="50"/>
    </w:p>
    <w:p w14:paraId="553B4EDD" w14:textId="4E363B92" w:rsidR="00A06624" w:rsidRPr="00A307C6" w:rsidRDefault="00F4493E" w:rsidP="00A06624">
      <w:pPr>
        <w:pStyle w:val="Paragraph"/>
        <w:rPr>
          <w:lang w:val="en-GB"/>
        </w:rPr>
      </w:pPr>
      <w:r w:rsidRPr="00A307C6">
        <w:rPr>
          <w:lang w:val="en-GB"/>
        </w:rPr>
        <w:t xml:space="preserve">Sexual slavery and related forms of servitude present another pattern of violence perpetrated by armed groups </w:t>
      </w:r>
      <w:r w:rsidR="009A4FB4" w:rsidRPr="00A307C6">
        <w:rPr>
          <w:lang w:val="en-GB"/>
        </w:rPr>
        <w:t xml:space="preserve">in order </w:t>
      </w:r>
      <w:r w:rsidRPr="00A307C6">
        <w:rPr>
          <w:lang w:val="en-GB"/>
        </w:rPr>
        <w:t xml:space="preserve">to pursue a variety of strategic and tactical purposes, including to build and sustain their forces, and to control local populations. Abducted women and girls commonly are forced to provide sexual services as slaves, and they are often also forced to take on domestic duties such as cooking, cleaning and washing clothes for soldiers. Captive women and girls may also be tasked with other additional functions such as searching for water and food, and carrying these and other camp supplies. They may also be coerced to act as spies to gain information of operational utility for their armed captors, and they may even </w:t>
      </w:r>
      <w:r w:rsidR="009A4FB4" w:rsidRPr="00A307C6">
        <w:rPr>
          <w:lang w:val="en-GB"/>
        </w:rPr>
        <w:t xml:space="preserve">be compelled </w:t>
      </w:r>
      <w:r w:rsidRPr="00A307C6">
        <w:rPr>
          <w:lang w:val="en-GB"/>
        </w:rPr>
        <w:t>to carry out atrocities themselves</w:t>
      </w:r>
      <w:r w:rsidR="00AB6399" w:rsidRPr="00A307C6">
        <w:rPr>
          <w:lang w:val="en-GB"/>
        </w:rPr>
        <w:t xml:space="preserve">. </w:t>
      </w:r>
    </w:p>
    <w:p w14:paraId="5920B0C5" w14:textId="330B57FD" w:rsidR="00F4493E" w:rsidRPr="00A307C6" w:rsidRDefault="00F4493E" w:rsidP="009E6E96">
      <w:pPr>
        <w:pStyle w:val="H1G"/>
      </w:pPr>
      <w:bookmarkStart w:id="51" w:name="_Toc98226819"/>
      <w:bookmarkStart w:id="52" w:name="_Toc98606460"/>
      <w:r w:rsidRPr="00A307C6">
        <w:t>Crimes occurring in an enabling environment of impunity</w:t>
      </w:r>
      <w:bookmarkEnd w:id="51"/>
      <w:bookmarkEnd w:id="52"/>
    </w:p>
    <w:p w14:paraId="562A6BE1" w14:textId="0F78A4A6" w:rsidR="00F4493E" w:rsidRPr="00A307C6" w:rsidRDefault="00F4493E" w:rsidP="00FF077A">
      <w:pPr>
        <w:pStyle w:val="Paragraph"/>
        <w:rPr>
          <w:lang w:val="en-GB"/>
        </w:rPr>
      </w:pPr>
      <w:r w:rsidRPr="00A307C6">
        <w:rPr>
          <w:lang w:val="en-GB"/>
        </w:rPr>
        <w:t>Another pattern involves sexual violence perpetrated without military or political objectives as primary motivators</w:t>
      </w:r>
      <w:r w:rsidR="00AB6399" w:rsidRPr="00A307C6">
        <w:rPr>
          <w:lang w:val="en-GB"/>
        </w:rPr>
        <w:t xml:space="preserve">. Such violence </w:t>
      </w:r>
      <w:r w:rsidR="009A4FB4" w:rsidRPr="00A307C6">
        <w:rPr>
          <w:lang w:val="en-GB"/>
        </w:rPr>
        <w:t xml:space="preserve">is </w:t>
      </w:r>
      <w:r w:rsidRPr="00A307C6">
        <w:rPr>
          <w:lang w:val="en-GB"/>
        </w:rPr>
        <w:t xml:space="preserve">often accompanied by other crimes such as theft, carried out </w:t>
      </w:r>
      <w:r w:rsidR="00AB6399" w:rsidRPr="00A307C6">
        <w:rPr>
          <w:lang w:val="en-GB"/>
        </w:rPr>
        <w:t xml:space="preserve">in the context of </w:t>
      </w:r>
      <w:r w:rsidRPr="00A307C6">
        <w:rPr>
          <w:lang w:val="en-GB"/>
        </w:rPr>
        <w:t xml:space="preserve">lawlessness and impunity. Perpetrators act in the knowledge that the State institutions mandated to provide security and justice are absent, and that their crimes do not carry </w:t>
      </w:r>
      <w:r w:rsidR="009A4FB4" w:rsidRPr="00A307C6">
        <w:rPr>
          <w:lang w:val="en-GB"/>
        </w:rPr>
        <w:t xml:space="preserve">any </w:t>
      </w:r>
      <w:r w:rsidRPr="00A307C6">
        <w:rPr>
          <w:lang w:val="en-GB"/>
        </w:rPr>
        <w:t>consequence</w:t>
      </w:r>
      <w:r w:rsidR="009A4FB4" w:rsidRPr="00A307C6">
        <w:rPr>
          <w:lang w:val="en-GB"/>
        </w:rPr>
        <w:t>s</w:t>
      </w:r>
      <w:r w:rsidR="00AB6399" w:rsidRPr="00A307C6">
        <w:rPr>
          <w:lang w:val="en-GB"/>
        </w:rPr>
        <w:t xml:space="preserve">, least of all </w:t>
      </w:r>
      <w:r w:rsidR="009A4FB4" w:rsidRPr="00A307C6">
        <w:rPr>
          <w:lang w:val="en-GB"/>
        </w:rPr>
        <w:t xml:space="preserve">criminal </w:t>
      </w:r>
      <w:r w:rsidR="00C0276F" w:rsidRPr="00A307C6">
        <w:rPr>
          <w:lang w:val="en-GB"/>
        </w:rPr>
        <w:t>accountability</w:t>
      </w:r>
      <w:r w:rsidRPr="00A307C6">
        <w:rPr>
          <w:lang w:val="en-GB"/>
        </w:rPr>
        <w:t xml:space="preserve">. All </w:t>
      </w:r>
      <w:r w:rsidR="009A4FB4" w:rsidRPr="00A307C6">
        <w:rPr>
          <w:lang w:val="en-GB"/>
        </w:rPr>
        <w:t xml:space="preserve">of the </w:t>
      </w:r>
      <w:r w:rsidRPr="00A307C6">
        <w:rPr>
          <w:lang w:val="en-GB"/>
        </w:rPr>
        <w:t>armed groups</w:t>
      </w:r>
      <w:r w:rsidR="009A4FB4" w:rsidRPr="00A307C6">
        <w:rPr>
          <w:lang w:val="en-GB"/>
        </w:rPr>
        <w:t xml:space="preserve"> operating in these areas </w:t>
      </w:r>
      <w:r w:rsidRPr="00A307C6">
        <w:rPr>
          <w:lang w:val="en-GB"/>
        </w:rPr>
        <w:t xml:space="preserve">have been found to have </w:t>
      </w:r>
      <w:r w:rsidR="009A4FB4" w:rsidRPr="00A307C6">
        <w:rPr>
          <w:lang w:val="en-GB"/>
        </w:rPr>
        <w:t xml:space="preserve">committed </w:t>
      </w:r>
      <w:r w:rsidRPr="00A307C6">
        <w:rPr>
          <w:lang w:val="en-GB"/>
        </w:rPr>
        <w:t>crimes in this context, from State security forces through to insurgent groups</w:t>
      </w:r>
      <w:r w:rsidR="009A4FB4" w:rsidRPr="00A307C6">
        <w:rPr>
          <w:lang w:val="en-GB"/>
        </w:rPr>
        <w:t xml:space="preserve">, militias </w:t>
      </w:r>
      <w:r w:rsidRPr="00A307C6">
        <w:rPr>
          <w:lang w:val="en-GB"/>
        </w:rPr>
        <w:t xml:space="preserve">and organized cattle-rustling </w:t>
      </w:r>
      <w:r w:rsidR="009A4FB4" w:rsidRPr="00A307C6">
        <w:rPr>
          <w:lang w:val="en-GB"/>
        </w:rPr>
        <w:t xml:space="preserve">groups operating </w:t>
      </w:r>
      <w:r w:rsidRPr="00A307C6">
        <w:rPr>
          <w:lang w:val="en-GB"/>
        </w:rPr>
        <w:t>in conflict-affected areas.</w:t>
      </w:r>
    </w:p>
    <w:p w14:paraId="0A109D22" w14:textId="6D9625F4" w:rsidR="00C43608" w:rsidRPr="00A307C6" w:rsidRDefault="00991AB7" w:rsidP="009E6E96">
      <w:pPr>
        <w:pStyle w:val="H1G"/>
      </w:pPr>
      <w:bookmarkStart w:id="53" w:name="_Toc98226820"/>
      <w:bookmarkStart w:id="54" w:name="_Toc98606461"/>
      <w:r>
        <w:t xml:space="preserve">Culture of </w:t>
      </w:r>
      <w:r w:rsidR="00D26A72">
        <w:t>e</w:t>
      </w:r>
      <w:r w:rsidR="00C43608" w:rsidRPr="00A307C6">
        <w:t xml:space="preserve">ntitlement </w:t>
      </w:r>
      <w:r w:rsidR="00B2634C">
        <w:t xml:space="preserve">and </w:t>
      </w:r>
      <w:r w:rsidR="00D26A72">
        <w:t>e</w:t>
      </w:r>
      <w:r w:rsidR="000D7EC6">
        <w:t>xploit</w:t>
      </w:r>
      <w:r w:rsidR="00B2634C">
        <w:t xml:space="preserve">ation of </w:t>
      </w:r>
      <w:r w:rsidR="00C43608" w:rsidRPr="00A307C6">
        <w:t xml:space="preserve">women and </w:t>
      </w:r>
      <w:r w:rsidR="00D26A72">
        <w:t>g</w:t>
      </w:r>
      <w:r w:rsidR="00C43608" w:rsidRPr="00A307C6">
        <w:t>irl</w:t>
      </w:r>
      <w:r w:rsidR="0042722A" w:rsidRPr="00A307C6">
        <w:t>s</w:t>
      </w:r>
      <w:bookmarkEnd w:id="53"/>
      <w:bookmarkEnd w:id="54"/>
    </w:p>
    <w:p w14:paraId="07698F19" w14:textId="0F7A5471" w:rsidR="008A462E" w:rsidRPr="00A307C6" w:rsidRDefault="003A0078" w:rsidP="00FF077A">
      <w:pPr>
        <w:pStyle w:val="Paragraph"/>
        <w:rPr>
          <w:lang w:val="en-GB"/>
        </w:rPr>
      </w:pPr>
      <w:r>
        <w:rPr>
          <w:lang w:val="en-GB"/>
        </w:rPr>
        <w:t>G</w:t>
      </w:r>
      <w:r w:rsidR="001C7135" w:rsidRPr="00A307C6">
        <w:rPr>
          <w:lang w:val="en-GB"/>
        </w:rPr>
        <w:t xml:space="preserve">endered power relations </w:t>
      </w:r>
      <w:r>
        <w:rPr>
          <w:lang w:val="en-GB"/>
        </w:rPr>
        <w:t>and patriarchy re</w:t>
      </w:r>
      <w:r w:rsidR="001C7135" w:rsidRPr="00A307C6">
        <w:rPr>
          <w:lang w:val="en-GB"/>
        </w:rPr>
        <w:t>produce sexual violence</w:t>
      </w:r>
      <w:r>
        <w:rPr>
          <w:lang w:val="en-GB"/>
        </w:rPr>
        <w:t xml:space="preserve">, in which </w:t>
      </w:r>
      <w:r w:rsidR="001C7135" w:rsidRPr="00A307C6">
        <w:rPr>
          <w:lang w:val="en-GB"/>
        </w:rPr>
        <w:t xml:space="preserve">rape </w:t>
      </w:r>
      <w:r>
        <w:rPr>
          <w:lang w:val="en-GB"/>
        </w:rPr>
        <w:t>i</w:t>
      </w:r>
      <w:r w:rsidR="001C7135" w:rsidRPr="00A307C6">
        <w:rPr>
          <w:lang w:val="en-GB"/>
        </w:rPr>
        <w:t xml:space="preserve">s “nothing more or less than a conscious process of </w:t>
      </w:r>
      <w:r w:rsidR="00991AB7">
        <w:rPr>
          <w:lang w:val="en-GB"/>
        </w:rPr>
        <w:t>terrorisation</w:t>
      </w:r>
      <w:r w:rsidR="001C7135" w:rsidRPr="00A307C6">
        <w:rPr>
          <w:lang w:val="en-GB"/>
        </w:rPr>
        <w:t xml:space="preserve"> by which women are kept in a state of fear</w:t>
      </w:r>
      <w:r w:rsidRPr="003A0078">
        <w:rPr>
          <w:lang w:val="en-GB"/>
        </w:rPr>
        <w:t xml:space="preserve"> </w:t>
      </w:r>
      <w:r w:rsidRPr="00A307C6">
        <w:rPr>
          <w:lang w:val="en-GB"/>
        </w:rPr>
        <w:t xml:space="preserve">and where </w:t>
      </w:r>
      <w:r w:rsidRPr="00A307C6">
        <w:rPr>
          <w:lang w:val="en-GB"/>
        </w:rPr>
        <w:lastRenderedPageBreak/>
        <w:t>rape and sexual violence are instrumentalized, including for maintaining the status quo.</w:t>
      </w:r>
      <w:r w:rsidR="00AB6399" w:rsidRPr="00A307C6">
        <w:rPr>
          <w:lang w:val="en-GB"/>
        </w:rPr>
        <w:t>”</w:t>
      </w:r>
      <w:r w:rsidR="00AB6399" w:rsidRPr="00A307C6">
        <w:rPr>
          <w:rStyle w:val="FootnoteReference"/>
          <w:lang w:val="en-GB"/>
        </w:rPr>
        <w:footnoteReference w:id="174"/>
      </w:r>
      <w:r w:rsidR="001C7135" w:rsidRPr="00A307C6">
        <w:rPr>
          <w:lang w:val="en-GB"/>
        </w:rPr>
        <w:t xml:space="preserve"> </w:t>
      </w:r>
      <w:r w:rsidR="008A462E" w:rsidRPr="00A307C6">
        <w:rPr>
          <w:lang w:val="en-GB"/>
        </w:rPr>
        <w:t xml:space="preserve">Rape and sexual violence </w:t>
      </w:r>
      <w:r w:rsidR="002D06C9">
        <w:rPr>
          <w:lang w:val="en-GB"/>
        </w:rPr>
        <w:t xml:space="preserve">also </w:t>
      </w:r>
      <w:r w:rsidR="008A462E" w:rsidRPr="00A307C6">
        <w:rPr>
          <w:lang w:val="en-GB"/>
        </w:rPr>
        <w:t>assert the domination and power of men over women, which is  deeply imbedded in patriarchal societal attitudes.</w:t>
      </w:r>
    </w:p>
    <w:p w14:paraId="7AB626C3" w14:textId="6801DD13" w:rsidR="002D06C9" w:rsidRDefault="001C7135" w:rsidP="00FF077A">
      <w:pPr>
        <w:pStyle w:val="Paragraph"/>
        <w:rPr>
          <w:lang w:val="en-GB"/>
        </w:rPr>
      </w:pPr>
      <w:r w:rsidRPr="00A307C6">
        <w:rPr>
          <w:lang w:val="en-GB"/>
        </w:rPr>
        <w:t>The</w:t>
      </w:r>
      <w:r w:rsidR="002D06C9">
        <w:rPr>
          <w:lang w:val="en-GB"/>
        </w:rPr>
        <w:t>se</w:t>
      </w:r>
      <w:r w:rsidRPr="00A307C6">
        <w:rPr>
          <w:lang w:val="en-GB"/>
        </w:rPr>
        <w:t xml:space="preserve"> </w:t>
      </w:r>
      <w:r w:rsidR="00F4493E" w:rsidRPr="00A307C6">
        <w:rPr>
          <w:lang w:val="en-GB"/>
        </w:rPr>
        <w:t xml:space="preserve">patterns </w:t>
      </w:r>
      <w:r w:rsidR="0044188D" w:rsidRPr="00A307C6">
        <w:rPr>
          <w:lang w:val="en-GB"/>
        </w:rPr>
        <w:t xml:space="preserve">of rape and sexual violence perpetrated </w:t>
      </w:r>
      <w:r w:rsidR="002D06C9">
        <w:rPr>
          <w:lang w:val="en-GB"/>
        </w:rPr>
        <w:t xml:space="preserve">are </w:t>
      </w:r>
      <w:r w:rsidR="00F4493E" w:rsidRPr="00A307C6">
        <w:rPr>
          <w:lang w:val="en-GB"/>
        </w:rPr>
        <w:t xml:space="preserve">underpinned by </w:t>
      </w:r>
      <w:r w:rsidR="0044188D" w:rsidRPr="00A307C6">
        <w:rPr>
          <w:lang w:val="en-GB"/>
        </w:rPr>
        <w:t>gender inequality and the low status held by women</w:t>
      </w:r>
      <w:r w:rsidR="002D06C9">
        <w:rPr>
          <w:lang w:val="en-GB"/>
        </w:rPr>
        <w:t xml:space="preserve">, leading to </w:t>
      </w:r>
      <w:r w:rsidR="0044188D" w:rsidRPr="00A307C6">
        <w:rPr>
          <w:lang w:val="en-GB"/>
        </w:rPr>
        <w:t xml:space="preserve">their commodification in South Sudanese society, </w:t>
      </w:r>
      <w:r w:rsidR="002D06C9">
        <w:rPr>
          <w:lang w:val="en-GB"/>
        </w:rPr>
        <w:t xml:space="preserve">and represent a </w:t>
      </w:r>
      <w:r w:rsidR="00F4493E" w:rsidRPr="00A307C6">
        <w:rPr>
          <w:lang w:val="en-GB"/>
        </w:rPr>
        <w:t>violent expres</w:t>
      </w:r>
      <w:r w:rsidR="002D06C9">
        <w:rPr>
          <w:lang w:val="en-GB"/>
        </w:rPr>
        <w:t xml:space="preserve">sion </w:t>
      </w:r>
      <w:r w:rsidR="00F4493E" w:rsidRPr="00A307C6">
        <w:rPr>
          <w:lang w:val="en-GB"/>
        </w:rPr>
        <w:t xml:space="preserve">by </w:t>
      </w:r>
      <w:r w:rsidR="0071211B" w:rsidRPr="00A307C6">
        <w:rPr>
          <w:lang w:val="en-GB"/>
        </w:rPr>
        <w:t xml:space="preserve">armed </w:t>
      </w:r>
      <w:r w:rsidR="00F4493E" w:rsidRPr="00A307C6">
        <w:rPr>
          <w:lang w:val="en-GB"/>
        </w:rPr>
        <w:t xml:space="preserve">men </w:t>
      </w:r>
      <w:r w:rsidR="0071211B" w:rsidRPr="00A307C6">
        <w:rPr>
          <w:lang w:val="en-GB"/>
        </w:rPr>
        <w:t>in context</w:t>
      </w:r>
      <w:r w:rsidR="00D26A72">
        <w:rPr>
          <w:lang w:val="en-GB"/>
        </w:rPr>
        <w:t>s of conflict and insecurity</w:t>
      </w:r>
      <w:r w:rsidR="0071211B" w:rsidRPr="00A307C6">
        <w:rPr>
          <w:lang w:val="en-GB"/>
        </w:rPr>
        <w:t xml:space="preserve"> in which masculinity is shored up by rape and sexual violence</w:t>
      </w:r>
      <w:r w:rsidR="002D06C9">
        <w:rPr>
          <w:lang w:val="en-GB"/>
        </w:rPr>
        <w:t>. This is carried out</w:t>
      </w:r>
      <w:r w:rsidR="0071211B" w:rsidRPr="00A307C6">
        <w:rPr>
          <w:lang w:val="en-GB"/>
        </w:rPr>
        <w:t xml:space="preserve"> </w:t>
      </w:r>
      <w:r w:rsidR="0044188D" w:rsidRPr="00A307C6">
        <w:rPr>
          <w:lang w:val="en-GB"/>
        </w:rPr>
        <w:t xml:space="preserve">in the full </w:t>
      </w:r>
      <w:r w:rsidR="00F4493E" w:rsidRPr="00A307C6">
        <w:rPr>
          <w:lang w:val="en-GB"/>
        </w:rPr>
        <w:t xml:space="preserve">knowledge that impunity </w:t>
      </w:r>
      <w:r w:rsidR="0044188D" w:rsidRPr="00A307C6">
        <w:rPr>
          <w:lang w:val="en-GB"/>
        </w:rPr>
        <w:t>is pervasive</w:t>
      </w:r>
      <w:r w:rsidR="00AB6399" w:rsidRPr="00A307C6">
        <w:rPr>
          <w:lang w:val="en-GB"/>
        </w:rPr>
        <w:t>,</w:t>
      </w:r>
      <w:r w:rsidR="0044188D" w:rsidRPr="00A307C6">
        <w:rPr>
          <w:lang w:val="en-GB"/>
        </w:rPr>
        <w:t xml:space="preserve"> and justice and accountability for these crimes </w:t>
      </w:r>
      <w:r w:rsidR="00A80B41" w:rsidRPr="00A307C6">
        <w:rPr>
          <w:lang w:val="en-GB"/>
        </w:rPr>
        <w:t xml:space="preserve">is extremely </w:t>
      </w:r>
      <w:r w:rsidR="0044188D" w:rsidRPr="00A307C6">
        <w:rPr>
          <w:lang w:val="en-GB"/>
        </w:rPr>
        <w:t>remote.</w:t>
      </w:r>
      <w:r w:rsidR="00F4493E" w:rsidRPr="00A307C6">
        <w:rPr>
          <w:lang w:val="en-GB"/>
        </w:rPr>
        <w:t xml:space="preserve"> </w:t>
      </w:r>
    </w:p>
    <w:p w14:paraId="30C9DBFC" w14:textId="78642BD1" w:rsidR="00F4493E" w:rsidRPr="00A307C6" w:rsidRDefault="002D06C9" w:rsidP="00FF077A">
      <w:pPr>
        <w:pStyle w:val="Paragraph"/>
        <w:rPr>
          <w:lang w:val="en-GB"/>
        </w:rPr>
      </w:pPr>
      <w:r>
        <w:rPr>
          <w:lang w:val="en-GB"/>
        </w:rPr>
        <w:t>F</w:t>
      </w:r>
      <w:r w:rsidR="006D6334" w:rsidRPr="00A307C6">
        <w:rPr>
          <w:lang w:val="en-GB"/>
        </w:rPr>
        <w:t xml:space="preserve">emale </w:t>
      </w:r>
      <w:r w:rsidR="00F4493E" w:rsidRPr="00A307C6">
        <w:rPr>
          <w:lang w:val="en-GB"/>
        </w:rPr>
        <w:t>bod</w:t>
      </w:r>
      <w:r w:rsidR="0044188D" w:rsidRPr="00A307C6">
        <w:rPr>
          <w:lang w:val="en-GB"/>
        </w:rPr>
        <w:t xml:space="preserve">ies are </w:t>
      </w:r>
      <w:r w:rsidR="00F4493E" w:rsidRPr="00A307C6">
        <w:rPr>
          <w:lang w:val="en-GB"/>
        </w:rPr>
        <w:t>perceived as an entitlement</w:t>
      </w:r>
      <w:r w:rsidR="00AB6399" w:rsidRPr="00A307C6">
        <w:rPr>
          <w:lang w:val="en-GB"/>
        </w:rPr>
        <w:t>,</w:t>
      </w:r>
      <w:r w:rsidR="00F4493E" w:rsidRPr="00A307C6">
        <w:rPr>
          <w:lang w:val="en-GB"/>
        </w:rPr>
        <w:t xml:space="preserve"> as territory to use, control </w:t>
      </w:r>
      <w:r>
        <w:rPr>
          <w:lang w:val="en-GB"/>
        </w:rPr>
        <w:t xml:space="preserve">and </w:t>
      </w:r>
      <w:r w:rsidR="00F4493E" w:rsidRPr="00A307C6">
        <w:rPr>
          <w:lang w:val="en-GB"/>
        </w:rPr>
        <w:t>own</w:t>
      </w:r>
      <w:r>
        <w:rPr>
          <w:lang w:val="en-GB"/>
        </w:rPr>
        <w:t xml:space="preserve"> and trade for benefit</w:t>
      </w:r>
      <w:r w:rsidR="00F4493E" w:rsidRPr="00A307C6">
        <w:rPr>
          <w:lang w:val="en-GB"/>
        </w:rPr>
        <w:t xml:space="preserve">. </w:t>
      </w:r>
      <w:r w:rsidR="00B2634C">
        <w:rPr>
          <w:lang w:val="en-GB"/>
        </w:rPr>
        <w:t xml:space="preserve">Perpetrators </w:t>
      </w:r>
      <w:r w:rsidR="00F4493E" w:rsidRPr="00A307C6">
        <w:rPr>
          <w:lang w:val="en-GB"/>
        </w:rPr>
        <w:t xml:space="preserve">include SSDPF soldiers </w:t>
      </w:r>
      <w:r w:rsidR="0044188D" w:rsidRPr="00A307C6">
        <w:rPr>
          <w:lang w:val="en-GB"/>
        </w:rPr>
        <w:t xml:space="preserve">and members of other armed groups </w:t>
      </w:r>
      <w:r w:rsidR="00F4493E" w:rsidRPr="00A307C6">
        <w:rPr>
          <w:lang w:val="en-GB"/>
        </w:rPr>
        <w:t>who feel entitled to treat women as the spoils of war,</w:t>
      </w:r>
      <w:r w:rsidR="0044188D" w:rsidRPr="00A307C6">
        <w:rPr>
          <w:lang w:val="en-GB"/>
        </w:rPr>
        <w:t xml:space="preserve"> </w:t>
      </w:r>
      <w:r w:rsidR="00F4493E" w:rsidRPr="00A307C6">
        <w:rPr>
          <w:lang w:val="en-GB"/>
        </w:rPr>
        <w:t>fuelled by the</w:t>
      </w:r>
      <w:r w:rsidR="0044188D" w:rsidRPr="00A307C6">
        <w:rPr>
          <w:lang w:val="en-GB"/>
        </w:rPr>
        <w:t xml:space="preserve"> non</w:t>
      </w:r>
      <w:r w:rsidR="00A80B41" w:rsidRPr="00A307C6">
        <w:rPr>
          <w:lang w:val="en-GB"/>
        </w:rPr>
        <w:t>-</w:t>
      </w:r>
      <w:r w:rsidR="0044188D" w:rsidRPr="00A307C6">
        <w:rPr>
          <w:lang w:val="en-GB"/>
        </w:rPr>
        <w:t xml:space="preserve">payment of salaries, </w:t>
      </w:r>
      <w:r>
        <w:rPr>
          <w:lang w:val="en-GB"/>
        </w:rPr>
        <w:t xml:space="preserve">and the unwillingness </w:t>
      </w:r>
      <w:r w:rsidR="0044188D" w:rsidRPr="00A307C6">
        <w:rPr>
          <w:lang w:val="en-GB"/>
        </w:rPr>
        <w:t>of the</w:t>
      </w:r>
      <w:r w:rsidR="00F4493E" w:rsidRPr="00A307C6">
        <w:rPr>
          <w:lang w:val="en-GB"/>
        </w:rPr>
        <w:t xml:space="preserve">ir leaders </w:t>
      </w:r>
      <w:r w:rsidR="0044188D" w:rsidRPr="00A307C6">
        <w:rPr>
          <w:lang w:val="en-GB"/>
        </w:rPr>
        <w:t xml:space="preserve">to support them by </w:t>
      </w:r>
      <w:r w:rsidR="00F4493E" w:rsidRPr="00A307C6">
        <w:rPr>
          <w:lang w:val="en-GB"/>
        </w:rPr>
        <w:t>provid</w:t>
      </w:r>
      <w:r w:rsidR="0044188D" w:rsidRPr="00A307C6">
        <w:rPr>
          <w:lang w:val="en-GB"/>
        </w:rPr>
        <w:t xml:space="preserve">ing </w:t>
      </w:r>
      <w:r w:rsidR="00F4493E" w:rsidRPr="00A307C6">
        <w:rPr>
          <w:lang w:val="en-GB"/>
        </w:rPr>
        <w:t>the</w:t>
      </w:r>
      <w:r w:rsidR="0044188D" w:rsidRPr="00A307C6">
        <w:rPr>
          <w:lang w:val="en-GB"/>
        </w:rPr>
        <w:t xml:space="preserve">m with the </w:t>
      </w:r>
      <w:r w:rsidR="00F4493E" w:rsidRPr="00A307C6">
        <w:rPr>
          <w:lang w:val="en-GB"/>
        </w:rPr>
        <w:t xml:space="preserve">resources necessary for their soldiers’ wellbeing. It also includes armed groups implicated in cattle-raiding, age-set clashes and other conflicts occurring within and between communities. The acceptance of this sense of entitlement is institutional, </w:t>
      </w:r>
      <w:r>
        <w:rPr>
          <w:lang w:val="en-GB"/>
        </w:rPr>
        <w:t xml:space="preserve">and </w:t>
      </w:r>
      <w:r w:rsidR="00F4493E" w:rsidRPr="00A307C6">
        <w:rPr>
          <w:lang w:val="en-GB"/>
        </w:rPr>
        <w:t>tak</w:t>
      </w:r>
      <w:r>
        <w:rPr>
          <w:lang w:val="en-GB"/>
        </w:rPr>
        <w:t>es</w:t>
      </w:r>
      <w:r w:rsidR="00F4493E" w:rsidRPr="00A307C6">
        <w:rPr>
          <w:lang w:val="en-GB"/>
        </w:rPr>
        <w:t xml:space="preserve"> place in the broader context of deeply patriarchal social and political beliefs and structures prevalent in the country.</w:t>
      </w:r>
    </w:p>
    <w:p w14:paraId="37B4FE1B" w14:textId="2271B3ED" w:rsidR="001D28A5" w:rsidRPr="00A307C6" w:rsidRDefault="00F4493E" w:rsidP="00FF077A">
      <w:pPr>
        <w:pStyle w:val="Paragraph"/>
        <w:rPr>
          <w:lang w:val="en-GB"/>
        </w:rPr>
      </w:pPr>
      <w:r w:rsidRPr="00A307C6">
        <w:rPr>
          <w:lang w:val="en-GB"/>
        </w:rPr>
        <w:t xml:space="preserve">The Commission has also identified that sexual violence perpetrated by groups of armed men, either soldiers or civilians, </w:t>
      </w:r>
      <w:r w:rsidR="0071211B" w:rsidRPr="00A307C6">
        <w:rPr>
          <w:lang w:val="en-GB"/>
        </w:rPr>
        <w:t xml:space="preserve">often </w:t>
      </w:r>
      <w:r w:rsidRPr="00A307C6">
        <w:rPr>
          <w:lang w:val="en-GB"/>
        </w:rPr>
        <w:t>serve</w:t>
      </w:r>
      <w:r w:rsidR="0071211B" w:rsidRPr="00A307C6">
        <w:rPr>
          <w:lang w:val="en-GB"/>
        </w:rPr>
        <w:t>s</w:t>
      </w:r>
      <w:r w:rsidRPr="00A307C6">
        <w:rPr>
          <w:lang w:val="en-GB"/>
        </w:rPr>
        <w:t xml:space="preserve"> as a reward for participation in the group that is linked to the </w:t>
      </w:r>
      <w:r w:rsidR="008A462E" w:rsidRPr="00A307C6">
        <w:rPr>
          <w:lang w:val="en-GB"/>
        </w:rPr>
        <w:t xml:space="preserve">notion of </w:t>
      </w:r>
      <w:r w:rsidR="0071211B" w:rsidRPr="00A307C6">
        <w:rPr>
          <w:lang w:val="en-GB"/>
        </w:rPr>
        <w:t xml:space="preserve">entitlement over female bodies, </w:t>
      </w:r>
      <w:r w:rsidR="008A462E" w:rsidRPr="00A307C6">
        <w:rPr>
          <w:lang w:val="en-GB"/>
        </w:rPr>
        <w:t xml:space="preserve">cementing </w:t>
      </w:r>
      <w:r w:rsidR="0071211B" w:rsidRPr="00A307C6">
        <w:rPr>
          <w:lang w:val="en-GB"/>
        </w:rPr>
        <w:t xml:space="preserve">hierarchies and camaraderie, which reinforce solidarity within the group. Rape and sexual violence are also used as methods of initiation or manipulation so that younger members become complicit in the groups’ crimes. </w:t>
      </w:r>
    </w:p>
    <w:p w14:paraId="01A70AB4" w14:textId="184F86C5" w:rsidR="0042722A" w:rsidRPr="00A307C6" w:rsidRDefault="0071211B" w:rsidP="0042722A">
      <w:pPr>
        <w:pStyle w:val="Paragraph"/>
        <w:rPr>
          <w:lang w:val="en-GB"/>
        </w:rPr>
      </w:pPr>
      <w:r w:rsidRPr="00A307C6">
        <w:rPr>
          <w:lang w:val="en-GB"/>
        </w:rPr>
        <w:t>Rape and s</w:t>
      </w:r>
      <w:r w:rsidR="00F4493E" w:rsidRPr="00A307C6">
        <w:rPr>
          <w:lang w:val="en-GB"/>
        </w:rPr>
        <w:t xml:space="preserve">exual violence </w:t>
      </w:r>
      <w:r w:rsidRPr="00A307C6">
        <w:rPr>
          <w:lang w:val="en-GB"/>
        </w:rPr>
        <w:t>are</w:t>
      </w:r>
      <w:r w:rsidR="00F4493E" w:rsidRPr="00A307C6">
        <w:rPr>
          <w:lang w:val="en-GB"/>
        </w:rPr>
        <w:t xml:space="preserve"> </w:t>
      </w:r>
      <w:r w:rsidRPr="00A307C6">
        <w:rPr>
          <w:lang w:val="en-GB"/>
        </w:rPr>
        <w:t xml:space="preserve">also </w:t>
      </w:r>
      <w:r w:rsidR="00F4493E" w:rsidRPr="00A307C6">
        <w:rPr>
          <w:lang w:val="en-GB"/>
        </w:rPr>
        <w:t>instrumenta</w:t>
      </w:r>
      <w:r w:rsidRPr="00A307C6">
        <w:rPr>
          <w:lang w:val="en-GB"/>
        </w:rPr>
        <w:t xml:space="preserve">lized </w:t>
      </w:r>
      <w:r w:rsidR="00F4493E" w:rsidRPr="00A307C6">
        <w:rPr>
          <w:lang w:val="en-GB"/>
        </w:rPr>
        <w:t xml:space="preserve">to destroy the very fabric of communities, </w:t>
      </w:r>
      <w:r w:rsidR="00775C74" w:rsidRPr="00A307C6">
        <w:rPr>
          <w:lang w:val="en-GB"/>
        </w:rPr>
        <w:t xml:space="preserve">including </w:t>
      </w:r>
      <w:r w:rsidR="00F4493E" w:rsidRPr="00A307C6">
        <w:rPr>
          <w:lang w:val="en-GB"/>
        </w:rPr>
        <w:t xml:space="preserve">to pursue strategies of ethnic-based displacement of civilians and to terrorize the population. This is reflected </w:t>
      </w:r>
      <w:r w:rsidR="008A462E" w:rsidRPr="00A307C6">
        <w:rPr>
          <w:lang w:val="en-GB"/>
        </w:rPr>
        <w:t xml:space="preserve">in the conflict </w:t>
      </w:r>
      <w:r w:rsidR="00F4493E" w:rsidRPr="00A307C6">
        <w:rPr>
          <w:lang w:val="en-GB"/>
        </w:rPr>
        <w:t xml:space="preserve">at </w:t>
      </w:r>
      <w:r w:rsidR="008A462E" w:rsidRPr="00A307C6">
        <w:rPr>
          <w:lang w:val="en-GB"/>
        </w:rPr>
        <w:t xml:space="preserve">sub-national </w:t>
      </w:r>
      <w:r w:rsidR="00F4493E" w:rsidRPr="00A307C6">
        <w:rPr>
          <w:lang w:val="en-GB"/>
        </w:rPr>
        <w:t>level</w:t>
      </w:r>
      <w:r w:rsidR="008A462E" w:rsidRPr="00A307C6">
        <w:rPr>
          <w:lang w:val="en-GB"/>
        </w:rPr>
        <w:t xml:space="preserve"> in South Sudan</w:t>
      </w:r>
      <w:r w:rsidR="00F4493E" w:rsidRPr="00A307C6">
        <w:rPr>
          <w:lang w:val="en-GB"/>
        </w:rPr>
        <w:t xml:space="preserve">, in </w:t>
      </w:r>
      <w:r w:rsidR="001D28A5" w:rsidRPr="00A307C6">
        <w:rPr>
          <w:lang w:val="en-GB"/>
        </w:rPr>
        <w:t xml:space="preserve">a </w:t>
      </w:r>
      <w:r w:rsidR="00F4493E" w:rsidRPr="00A307C6">
        <w:rPr>
          <w:lang w:val="en-GB"/>
        </w:rPr>
        <w:t xml:space="preserve">context where sexual violence </w:t>
      </w:r>
      <w:r w:rsidR="00F4493E" w:rsidRPr="00A307C6">
        <w:rPr>
          <w:lang w:val="en-GB"/>
        </w:rPr>
        <w:lastRenderedPageBreak/>
        <w:t xml:space="preserve">is used in pursuit of military or political objectives and </w:t>
      </w:r>
      <w:r w:rsidR="00775C74" w:rsidRPr="00A307C6">
        <w:rPr>
          <w:lang w:val="en-GB"/>
        </w:rPr>
        <w:t xml:space="preserve">is linked </w:t>
      </w:r>
      <w:r w:rsidR="00F4493E" w:rsidRPr="00A307C6">
        <w:rPr>
          <w:lang w:val="en-GB"/>
        </w:rPr>
        <w:t xml:space="preserve">to building and sustaining </w:t>
      </w:r>
      <w:r w:rsidR="00775C74" w:rsidRPr="00A307C6">
        <w:rPr>
          <w:lang w:val="en-GB"/>
        </w:rPr>
        <w:t xml:space="preserve">the military </w:t>
      </w:r>
      <w:r w:rsidR="00F4493E" w:rsidRPr="00A307C6">
        <w:rPr>
          <w:lang w:val="en-GB"/>
        </w:rPr>
        <w:t xml:space="preserve">forces and their control over populations. </w:t>
      </w:r>
    </w:p>
    <w:p w14:paraId="52D76D3D" w14:textId="33F46BE5" w:rsidR="0042722A" w:rsidRPr="00A307C6" w:rsidRDefault="0042722A" w:rsidP="0042722A">
      <w:pPr>
        <w:pStyle w:val="Paragraph"/>
        <w:jc w:val="left"/>
        <w:rPr>
          <w:lang w:val="en-GB"/>
        </w:rPr>
      </w:pPr>
      <w:r w:rsidRPr="00A307C6">
        <w:rPr>
          <w:lang w:val="en-GB"/>
        </w:rPr>
        <w:t>In the prevailing context of impunity, rape and sexual violence also reflect the breakdown in the social fabric compounded by systemic insecurity, linked to unending and cyclical violent conflict, which reinforce and exacerbat</w:t>
      </w:r>
      <w:r w:rsidR="00912D5B" w:rsidRPr="00A307C6">
        <w:rPr>
          <w:lang w:val="en-GB"/>
        </w:rPr>
        <w:t>e</w:t>
      </w:r>
      <w:r w:rsidRPr="00A307C6">
        <w:rPr>
          <w:lang w:val="en-GB"/>
        </w:rPr>
        <w:t xml:space="preserve"> these trends.</w:t>
      </w:r>
    </w:p>
    <w:p w14:paraId="2DE4550E" w14:textId="5698674F" w:rsidR="005D378A" w:rsidRPr="00A307C6" w:rsidRDefault="00BF5116" w:rsidP="006C5969">
      <w:pPr>
        <w:pStyle w:val="HChG"/>
        <w:outlineLvl w:val="0"/>
      </w:pPr>
      <w:bookmarkStart w:id="55" w:name="_Toc98226821"/>
      <w:bookmarkStart w:id="56" w:name="_Toc98606462"/>
      <w:r>
        <w:t>H</w:t>
      </w:r>
      <w:r w:rsidR="006C5969" w:rsidRPr="00A307C6">
        <w:t xml:space="preserve">arms </w:t>
      </w:r>
      <w:r>
        <w:t xml:space="preserve">and </w:t>
      </w:r>
      <w:r w:rsidR="00D26A72">
        <w:t>i</w:t>
      </w:r>
      <w:r>
        <w:t>mpact</w:t>
      </w:r>
      <w:r w:rsidR="00B70440">
        <w:t>s</w:t>
      </w:r>
      <w:r>
        <w:t xml:space="preserve"> </w:t>
      </w:r>
      <w:r w:rsidR="00C20DA5" w:rsidRPr="00A307C6">
        <w:t>of conflict-related sexual violence</w:t>
      </w:r>
      <w:bookmarkEnd w:id="55"/>
      <w:bookmarkEnd w:id="56"/>
    </w:p>
    <w:p w14:paraId="5BD17C95" w14:textId="73E158DA" w:rsidR="001367B1" w:rsidRPr="00A307C6" w:rsidRDefault="00833E1E" w:rsidP="00FF077A">
      <w:pPr>
        <w:pStyle w:val="Paragraph"/>
        <w:rPr>
          <w:lang w:val="en-GB"/>
        </w:rPr>
      </w:pPr>
      <w:r w:rsidRPr="00A307C6">
        <w:rPr>
          <w:lang w:val="en-GB"/>
        </w:rPr>
        <w:t xml:space="preserve">Survivors of conflict-related sexual violence experience a range of </w:t>
      </w:r>
      <w:r w:rsidR="001B1F5D" w:rsidRPr="00A307C6">
        <w:rPr>
          <w:lang w:val="en-GB"/>
        </w:rPr>
        <w:t>harm</w:t>
      </w:r>
      <w:r w:rsidR="0044144C" w:rsidRPr="00A307C6">
        <w:rPr>
          <w:lang w:val="en-GB"/>
        </w:rPr>
        <w:t>s</w:t>
      </w:r>
      <w:r w:rsidR="001B1F5D" w:rsidRPr="00A307C6">
        <w:rPr>
          <w:lang w:val="en-GB"/>
        </w:rPr>
        <w:t xml:space="preserve"> impacting on </w:t>
      </w:r>
      <w:r w:rsidRPr="00A307C6">
        <w:rPr>
          <w:lang w:val="en-GB"/>
        </w:rPr>
        <w:t>their health and lived experiences</w:t>
      </w:r>
      <w:r w:rsidR="00991CAD" w:rsidRPr="00A307C6">
        <w:rPr>
          <w:lang w:val="en-GB"/>
        </w:rPr>
        <w:t xml:space="preserve">. </w:t>
      </w:r>
      <w:r w:rsidR="001B1F5D" w:rsidRPr="00A307C6">
        <w:rPr>
          <w:lang w:val="en-GB"/>
        </w:rPr>
        <w:t xml:space="preserve">Their experiences of </w:t>
      </w:r>
      <w:r w:rsidRPr="00A307C6">
        <w:rPr>
          <w:lang w:val="en-GB"/>
        </w:rPr>
        <w:t xml:space="preserve">conflict, </w:t>
      </w:r>
      <w:r w:rsidR="001B1F5D" w:rsidRPr="00A307C6">
        <w:rPr>
          <w:lang w:val="en-GB"/>
        </w:rPr>
        <w:t xml:space="preserve">and the </w:t>
      </w:r>
      <w:r w:rsidRPr="00A307C6">
        <w:rPr>
          <w:lang w:val="en-GB"/>
        </w:rPr>
        <w:t xml:space="preserve">adverse health and life </w:t>
      </w:r>
      <w:r w:rsidR="001B1F5D" w:rsidRPr="00A307C6">
        <w:rPr>
          <w:lang w:val="en-GB"/>
        </w:rPr>
        <w:t xml:space="preserve">consequences </w:t>
      </w:r>
      <w:r w:rsidRPr="00A307C6">
        <w:rPr>
          <w:lang w:val="en-GB"/>
        </w:rPr>
        <w:t xml:space="preserve">are </w:t>
      </w:r>
      <w:r w:rsidR="001B1F5D" w:rsidRPr="00A307C6">
        <w:rPr>
          <w:lang w:val="en-GB"/>
        </w:rPr>
        <w:t xml:space="preserve">not </w:t>
      </w:r>
      <w:r w:rsidRPr="00A307C6">
        <w:rPr>
          <w:lang w:val="en-GB"/>
        </w:rPr>
        <w:t xml:space="preserve">exclusively related to their experience of sexual violence. </w:t>
      </w:r>
      <w:r w:rsidR="001B1F5D" w:rsidRPr="00A307C6">
        <w:rPr>
          <w:lang w:val="en-GB"/>
        </w:rPr>
        <w:t>C</w:t>
      </w:r>
      <w:r w:rsidRPr="00A307C6">
        <w:rPr>
          <w:lang w:val="en-GB"/>
        </w:rPr>
        <w:t xml:space="preserve">onflict-related sexual violence </w:t>
      </w:r>
      <w:r w:rsidR="001367B1" w:rsidRPr="00A307C6">
        <w:rPr>
          <w:lang w:val="en-GB"/>
        </w:rPr>
        <w:t xml:space="preserve">usually </w:t>
      </w:r>
      <w:r w:rsidRPr="00A307C6">
        <w:rPr>
          <w:lang w:val="en-GB"/>
        </w:rPr>
        <w:t>takes place in the context of a range of other human rights violations or abuses</w:t>
      </w:r>
      <w:r w:rsidR="001367B1" w:rsidRPr="00A307C6">
        <w:rPr>
          <w:lang w:val="en-GB"/>
        </w:rPr>
        <w:t xml:space="preserve">; </w:t>
      </w:r>
      <w:r w:rsidR="001B1F5D" w:rsidRPr="00A307C6">
        <w:rPr>
          <w:lang w:val="en-GB"/>
        </w:rPr>
        <w:t xml:space="preserve">including </w:t>
      </w:r>
      <w:r w:rsidR="001367B1" w:rsidRPr="00A307C6">
        <w:rPr>
          <w:lang w:val="en-GB"/>
        </w:rPr>
        <w:t xml:space="preserve">witnessing family members </w:t>
      </w:r>
      <w:r w:rsidR="009E7334" w:rsidRPr="00A307C6">
        <w:rPr>
          <w:lang w:val="en-GB"/>
        </w:rPr>
        <w:t xml:space="preserve">and community members </w:t>
      </w:r>
      <w:r w:rsidR="001367B1" w:rsidRPr="00A307C6">
        <w:rPr>
          <w:lang w:val="en-GB"/>
        </w:rPr>
        <w:t>killed or being otherwise disconnected from them, having homes and property destroyed, being subjected to other acts of physical violence, and, commonly in South Sudan, being displaced from their homes and livelihoods.</w:t>
      </w:r>
    </w:p>
    <w:p w14:paraId="198CF413" w14:textId="1D40B639" w:rsidR="00833E1E" w:rsidRPr="00A307C6" w:rsidRDefault="001367B1" w:rsidP="00FF077A">
      <w:pPr>
        <w:pStyle w:val="Paragraph"/>
        <w:rPr>
          <w:lang w:val="en-GB"/>
        </w:rPr>
      </w:pPr>
      <w:r w:rsidRPr="00A307C6">
        <w:rPr>
          <w:lang w:val="en-GB"/>
        </w:rPr>
        <w:t xml:space="preserve">The impact of sexual violence </w:t>
      </w:r>
      <w:r w:rsidR="00BC2905" w:rsidRPr="00A307C6">
        <w:rPr>
          <w:lang w:val="en-GB"/>
        </w:rPr>
        <w:t>extend</w:t>
      </w:r>
      <w:r w:rsidR="001B1F5D" w:rsidRPr="00A307C6">
        <w:rPr>
          <w:lang w:val="en-GB"/>
        </w:rPr>
        <w:t>s</w:t>
      </w:r>
      <w:r w:rsidR="00BC2905" w:rsidRPr="00A307C6">
        <w:rPr>
          <w:lang w:val="en-GB"/>
        </w:rPr>
        <w:t xml:space="preserve"> beyond direct victim</w:t>
      </w:r>
      <w:r w:rsidR="009627BE" w:rsidRPr="00A307C6">
        <w:rPr>
          <w:lang w:val="en-GB"/>
        </w:rPr>
        <w:t>s</w:t>
      </w:r>
      <w:r w:rsidR="00BC2905" w:rsidRPr="00A307C6">
        <w:rPr>
          <w:lang w:val="en-GB"/>
        </w:rPr>
        <w:t xml:space="preserve">, especially </w:t>
      </w:r>
      <w:r w:rsidR="0044144C" w:rsidRPr="00A307C6">
        <w:rPr>
          <w:lang w:val="en-GB"/>
        </w:rPr>
        <w:t xml:space="preserve">when armed </w:t>
      </w:r>
      <w:r w:rsidR="00BC2905" w:rsidRPr="00A307C6">
        <w:rPr>
          <w:lang w:val="en-GB"/>
        </w:rPr>
        <w:t>campaigns</w:t>
      </w:r>
      <w:r w:rsidR="0044144C" w:rsidRPr="00A307C6">
        <w:rPr>
          <w:lang w:val="en-GB"/>
        </w:rPr>
        <w:t xml:space="preserve"> are </w:t>
      </w:r>
      <w:r w:rsidR="00BC2905" w:rsidRPr="00A307C6">
        <w:rPr>
          <w:lang w:val="en-GB"/>
        </w:rPr>
        <w:t>designed to terrori</w:t>
      </w:r>
      <w:r w:rsidR="0042722A" w:rsidRPr="00A307C6">
        <w:rPr>
          <w:lang w:val="en-GB"/>
        </w:rPr>
        <w:t>z</w:t>
      </w:r>
      <w:r w:rsidR="00BC2905" w:rsidRPr="00A307C6">
        <w:rPr>
          <w:lang w:val="en-GB"/>
        </w:rPr>
        <w:t>e communities, affecting</w:t>
      </w:r>
      <w:r w:rsidR="00833E1E" w:rsidRPr="00A307C6">
        <w:rPr>
          <w:lang w:val="en-GB"/>
        </w:rPr>
        <w:t xml:space="preserve"> family members and communities, </w:t>
      </w:r>
      <w:r w:rsidR="00BC2905" w:rsidRPr="00A307C6">
        <w:rPr>
          <w:lang w:val="en-GB"/>
        </w:rPr>
        <w:t xml:space="preserve">including </w:t>
      </w:r>
      <w:r w:rsidR="00833E1E" w:rsidRPr="00A307C6">
        <w:rPr>
          <w:lang w:val="en-GB"/>
        </w:rPr>
        <w:t>impacting on the integrity or cohesion of the family unit</w:t>
      </w:r>
      <w:r w:rsidR="00BC2905" w:rsidRPr="00A307C6">
        <w:rPr>
          <w:lang w:val="en-GB"/>
        </w:rPr>
        <w:t xml:space="preserve">. Months or even years after the sexual violations, </w:t>
      </w:r>
      <w:r w:rsidR="00D5704F" w:rsidRPr="00A307C6">
        <w:rPr>
          <w:lang w:val="en-GB"/>
        </w:rPr>
        <w:t>re-establishing</w:t>
      </w:r>
      <w:r w:rsidR="00BC2905" w:rsidRPr="00A307C6">
        <w:rPr>
          <w:lang w:val="en-GB"/>
        </w:rPr>
        <w:t xml:space="preserve"> </w:t>
      </w:r>
      <w:r w:rsidR="00833E1E" w:rsidRPr="00A307C6">
        <w:rPr>
          <w:lang w:val="en-GB"/>
        </w:rPr>
        <w:t>livelihood</w:t>
      </w:r>
      <w:r w:rsidR="00BC2905" w:rsidRPr="00A307C6">
        <w:rPr>
          <w:lang w:val="en-GB"/>
        </w:rPr>
        <w:t xml:space="preserve">s </w:t>
      </w:r>
      <w:r w:rsidR="00833E1E" w:rsidRPr="00A307C6">
        <w:rPr>
          <w:lang w:val="en-GB"/>
        </w:rPr>
        <w:t xml:space="preserve">and </w:t>
      </w:r>
      <w:r w:rsidR="00BC2905" w:rsidRPr="00A307C6">
        <w:rPr>
          <w:lang w:val="en-GB"/>
        </w:rPr>
        <w:t xml:space="preserve">ensuring </w:t>
      </w:r>
      <w:r w:rsidR="00833E1E" w:rsidRPr="00A307C6">
        <w:rPr>
          <w:lang w:val="en-GB"/>
        </w:rPr>
        <w:t>access to basic needs</w:t>
      </w:r>
      <w:r w:rsidR="00BC2905" w:rsidRPr="00A307C6">
        <w:rPr>
          <w:lang w:val="en-GB"/>
        </w:rPr>
        <w:t xml:space="preserve"> are often prevailing struggles for women and girls in South Sudan</w:t>
      </w:r>
      <w:r w:rsidR="00833E1E" w:rsidRPr="00A307C6">
        <w:rPr>
          <w:lang w:val="en-GB"/>
        </w:rPr>
        <w:t xml:space="preserve">, </w:t>
      </w:r>
      <w:r w:rsidR="00BC2905" w:rsidRPr="00A307C6">
        <w:rPr>
          <w:lang w:val="en-GB"/>
        </w:rPr>
        <w:t>particularly but by no means only for those who have been displaced</w:t>
      </w:r>
      <w:r w:rsidR="00833E1E" w:rsidRPr="00A307C6">
        <w:rPr>
          <w:lang w:val="en-GB"/>
        </w:rPr>
        <w:t xml:space="preserve">. </w:t>
      </w:r>
      <w:r w:rsidR="00912D5B" w:rsidRPr="00A307C6">
        <w:rPr>
          <w:lang w:val="en-GB"/>
        </w:rPr>
        <w:t>The i</w:t>
      </w:r>
      <w:r w:rsidR="0097019A" w:rsidRPr="00A307C6">
        <w:rPr>
          <w:lang w:val="en-GB"/>
        </w:rPr>
        <w:t xml:space="preserve">mpacts of </w:t>
      </w:r>
      <w:r w:rsidR="00BC2905" w:rsidRPr="00A307C6">
        <w:rPr>
          <w:lang w:val="en-GB"/>
        </w:rPr>
        <w:t xml:space="preserve">conflict-related </w:t>
      </w:r>
      <w:r w:rsidR="0097019A" w:rsidRPr="00A307C6">
        <w:rPr>
          <w:lang w:val="en-GB"/>
        </w:rPr>
        <w:t xml:space="preserve">sexual violence </w:t>
      </w:r>
      <w:r w:rsidR="00BC2905" w:rsidRPr="00A307C6">
        <w:rPr>
          <w:lang w:val="en-GB"/>
        </w:rPr>
        <w:t xml:space="preserve">thereby </w:t>
      </w:r>
      <w:r w:rsidR="0097019A" w:rsidRPr="00A307C6">
        <w:rPr>
          <w:lang w:val="en-GB"/>
        </w:rPr>
        <w:t xml:space="preserve">need </w:t>
      </w:r>
      <w:r w:rsidR="00912D5B" w:rsidRPr="00A307C6">
        <w:rPr>
          <w:lang w:val="en-GB"/>
        </w:rPr>
        <w:t xml:space="preserve">to </w:t>
      </w:r>
      <w:r w:rsidR="0097019A" w:rsidRPr="00A307C6">
        <w:rPr>
          <w:lang w:val="en-GB"/>
        </w:rPr>
        <w:t>be understood in this context, and not viewed in isolation from other experiences</w:t>
      </w:r>
      <w:r w:rsidR="00BC2905" w:rsidRPr="00A307C6">
        <w:rPr>
          <w:lang w:val="en-GB"/>
        </w:rPr>
        <w:t>, even in</w:t>
      </w:r>
      <w:r w:rsidR="0097019A" w:rsidRPr="00A307C6">
        <w:rPr>
          <w:lang w:val="en-GB"/>
        </w:rPr>
        <w:t xml:space="preserve"> </w:t>
      </w:r>
      <w:r w:rsidR="00BC2905" w:rsidRPr="00A307C6">
        <w:rPr>
          <w:lang w:val="en-GB"/>
        </w:rPr>
        <w:t xml:space="preserve">a </w:t>
      </w:r>
      <w:r w:rsidR="006E297A">
        <w:rPr>
          <w:lang w:val="en-GB"/>
        </w:rPr>
        <w:t>paper</w:t>
      </w:r>
      <w:r w:rsidR="006E297A" w:rsidRPr="00A307C6">
        <w:rPr>
          <w:lang w:val="en-GB"/>
        </w:rPr>
        <w:t xml:space="preserve"> </w:t>
      </w:r>
      <w:r w:rsidR="00BC2905" w:rsidRPr="00A307C6">
        <w:rPr>
          <w:lang w:val="en-GB"/>
        </w:rPr>
        <w:t xml:space="preserve">primarily focused </w:t>
      </w:r>
      <w:r w:rsidR="00DF493E" w:rsidRPr="00A307C6">
        <w:rPr>
          <w:lang w:val="en-GB"/>
        </w:rPr>
        <w:t xml:space="preserve">on the </w:t>
      </w:r>
      <w:r w:rsidR="00BC2905" w:rsidRPr="00A307C6">
        <w:rPr>
          <w:lang w:val="en-GB"/>
        </w:rPr>
        <w:t>direct impacts of the sexual violence</w:t>
      </w:r>
      <w:r w:rsidR="0097019A" w:rsidRPr="00A307C6">
        <w:rPr>
          <w:lang w:val="en-GB"/>
        </w:rPr>
        <w:t>.</w:t>
      </w:r>
      <w:r w:rsidR="00534A60" w:rsidRPr="00A307C6">
        <w:rPr>
          <w:rStyle w:val="FootnoteReference"/>
          <w:lang w:val="en-GB"/>
        </w:rPr>
        <w:footnoteReference w:id="175"/>
      </w:r>
    </w:p>
    <w:p w14:paraId="1674A3C0" w14:textId="327A44C6" w:rsidR="00912D5B" w:rsidRPr="00A307C6" w:rsidRDefault="00177DFA" w:rsidP="0042722A">
      <w:pPr>
        <w:pStyle w:val="Paragraph"/>
        <w:rPr>
          <w:lang w:val="en-GB"/>
        </w:rPr>
      </w:pPr>
      <w:r w:rsidRPr="00A307C6">
        <w:rPr>
          <w:lang w:val="en-GB"/>
        </w:rPr>
        <w:t xml:space="preserve">The health and socio-economic impact of conflict-related sexual violence and </w:t>
      </w:r>
      <w:r w:rsidR="00E05851" w:rsidRPr="00A307C6">
        <w:rPr>
          <w:lang w:val="en-GB"/>
        </w:rPr>
        <w:t xml:space="preserve">the </w:t>
      </w:r>
      <w:r w:rsidRPr="00A307C6">
        <w:rPr>
          <w:lang w:val="en-GB"/>
        </w:rPr>
        <w:t xml:space="preserve">need for </w:t>
      </w:r>
      <w:r w:rsidR="00E05851" w:rsidRPr="00A307C6">
        <w:rPr>
          <w:lang w:val="en-GB"/>
        </w:rPr>
        <w:t xml:space="preserve">support </w:t>
      </w:r>
      <w:r w:rsidRPr="00A307C6">
        <w:rPr>
          <w:lang w:val="en-GB"/>
        </w:rPr>
        <w:t xml:space="preserve">services </w:t>
      </w:r>
      <w:r w:rsidR="00E05851" w:rsidRPr="00A307C6">
        <w:rPr>
          <w:lang w:val="en-GB"/>
        </w:rPr>
        <w:t xml:space="preserve">to survivors </w:t>
      </w:r>
      <w:r w:rsidRPr="00A307C6">
        <w:rPr>
          <w:lang w:val="en-GB"/>
        </w:rPr>
        <w:t xml:space="preserve">must be understood against the backdrop </w:t>
      </w:r>
      <w:r w:rsidR="00E05851" w:rsidRPr="00A307C6">
        <w:rPr>
          <w:lang w:val="en-GB"/>
        </w:rPr>
        <w:t>of the</w:t>
      </w:r>
      <w:r w:rsidRPr="00A307C6">
        <w:rPr>
          <w:lang w:val="en-GB"/>
        </w:rPr>
        <w:t xml:space="preserve"> dire humanitarian crisis in South </w:t>
      </w:r>
      <w:r w:rsidRPr="00A307C6">
        <w:rPr>
          <w:lang w:val="en-GB"/>
        </w:rPr>
        <w:lastRenderedPageBreak/>
        <w:t>Sudan which is of epic proportions</w:t>
      </w:r>
      <w:r w:rsidR="00912D5B" w:rsidRPr="00A307C6">
        <w:rPr>
          <w:lang w:val="en-GB"/>
        </w:rPr>
        <w:t>,</w:t>
      </w:r>
      <w:r w:rsidRPr="00A307C6">
        <w:rPr>
          <w:lang w:val="en-GB"/>
        </w:rPr>
        <w:t xml:space="preserve"> and </w:t>
      </w:r>
      <w:r w:rsidR="00E05851" w:rsidRPr="00A307C6">
        <w:rPr>
          <w:lang w:val="en-GB"/>
        </w:rPr>
        <w:t xml:space="preserve">has resulted in </w:t>
      </w:r>
      <w:r w:rsidRPr="00A307C6">
        <w:rPr>
          <w:lang w:val="en-GB"/>
        </w:rPr>
        <w:t>the largest refugee crisis in Africa.</w:t>
      </w:r>
      <w:r w:rsidRPr="00A307C6">
        <w:rPr>
          <w:rStyle w:val="FootnoteReference"/>
          <w:lang w:val="en-GB"/>
        </w:rPr>
        <w:footnoteReference w:id="176"/>
      </w:r>
      <w:r w:rsidRPr="00A307C6">
        <w:rPr>
          <w:lang w:val="en-GB"/>
        </w:rPr>
        <w:t xml:space="preserve"> </w:t>
      </w:r>
      <w:r w:rsidR="00A876A8" w:rsidRPr="00A307C6">
        <w:rPr>
          <w:lang w:val="en-GB"/>
        </w:rPr>
        <w:t>More than 7 million people (over 60 per cent of the population) experienced acute food insecurity in 2021.</w:t>
      </w:r>
      <w:r w:rsidR="00FE1E93" w:rsidRPr="00A307C6">
        <w:rPr>
          <w:rStyle w:val="FootnoteReference"/>
          <w:lang w:val="en-GB"/>
        </w:rPr>
        <w:footnoteReference w:id="177"/>
      </w:r>
      <w:r w:rsidR="00A876A8" w:rsidRPr="00A307C6">
        <w:rPr>
          <w:lang w:val="en-GB"/>
        </w:rPr>
        <w:t xml:space="preserve"> And with </w:t>
      </w:r>
      <w:r w:rsidRPr="00A307C6">
        <w:rPr>
          <w:lang w:val="en-GB"/>
        </w:rPr>
        <w:t xml:space="preserve">more than 70 per cent of the population requiring humanitarian assistance, the needs of survivors of conflict-related sexual violence intersect and overlap with the needs of other </w:t>
      </w:r>
      <w:r w:rsidR="00D740E2" w:rsidRPr="00A307C6">
        <w:rPr>
          <w:lang w:val="en-GB"/>
        </w:rPr>
        <w:t xml:space="preserve">parts </w:t>
      </w:r>
      <w:r w:rsidRPr="00A307C6">
        <w:rPr>
          <w:lang w:val="en-GB"/>
        </w:rPr>
        <w:t xml:space="preserve">of the population, underscoring some of the difficulties of targeted service provision by humanitarian </w:t>
      </w:r>
      <w:r w:rsidR="00912D5B" w:rsidRPr="00A307C6">
        <w:rPr>
          <w:lang w:val="en-GB"/>
        </w:rPr>
        <w:t xml:space="preserve">actors </w:t>
      </w:r>
      <w:r w:rsidRPr="00A307C6">
        <w:rPr>
          <w:lang w:val="en-GB"/>
        </w:rPr>
        <w:t>and to far a lesser extent Government agencies in this protracted humanitarian and human rights crisis</w:t>
      </w:r>
      <w:r w:rsidR="00D26A72">
        <w:rPr>
          <w:lang w:val="en-GB"/>
        </w:rPr>
        <w:t>,</w:t>
      </w:r>
      <w:r w:rsidRPr="00A307C6">
        <w:rPr>
          <w:lang w:val="en-GB"/>
        </w:rPr>
        <w:t xml:space="preserve"> driven by conflict and extreme weather.</w:t>
      </w:r>
      <w:r w:rsidRPr="00A307C6">
        <w:rPr>
          <w:rStyle w:val="FootnoteReference"/>
          <w:lang w:val="en-GB"/>
        </w:rPr>
        <w:footnoteReference w:id="178"/>
      </w:r>
    </w:p>
    <w:p w14:paraId="2BBC01EA" w14:textId="13BAB82C" w:rsidR="005D378A" w:rsidRPr="00A307C6" w:rsidRDefault="00BE79A9" w:rsidP="00B8644C">
      <w:pPr>
        <w:pStyle w:val="HChG"/>
        <w:numPr>
          <w:ilvl w:val="0"/>
          <w:numId w:val="14"/>
        </w:numPr>
        <w:outlineLvl w:val="0"/>
      </w:pPr>
      <w:bookmarkStart w:id="57" w:name="_Toc98226822"/>
      <w:bookmarkStart w:id="58" w:name="_Toc98606463"/>
      <w:r w:rsidRPr="00A307C6">
        <w:t>Health impacts</w:t>
      </w:r>
      <w:bookmarkEnd w:id="57"/>
      <w:bookmarkEnd w:id="58"/>
    </w:p>
    <w:p w14:paraId="21C10E5B" w14:textId="6EA76591" w:rsidR="004C0512" w:rsidRPr="00A307C6" w:rsidRDefault="00AA1B2C" w:rsidP="004C0512">
      <w:pPr>
        <w:pStyle w:val="Paragraph"/>
        <w:rPr>
          <w:lang w:val="en-GB"/>
        </w:rPr>
      </w:pPr>
      <w:r w:rsidRPr="00A307C6">
        <w:rPr>
          <w:lang w:val="en-GB"/>
        </w:rPr>
        <w:t xml:space="preserve">Access to medical care is </w:t>
      </w:r>
      <w:r w:rsidR="00E05851" w:rsidRPr="00A307C6">
        <w:rPr>
          <w:lang w:val="en-GB"/>
        </w:rPr>
        <w:t xml:space="preserve">practically </w:t>
      </w:r>
      <w:r w:rsidRPr="00A307C6">
        <w:rPr>
          <w:lang w:val="en-GB"/>
        </w:rPr>
        <w:t>non-existent</w:t>
      </w:r>
      <w:r w:rsidR="00E05851" w:rsidRPr="00A307C6">
        <w:rPr>
          <w:lang w:val="en-GB"/>
        </w:rPr>
        <w:t xml:space="preserve"> for survivors given </w:t>
      </w:r>
      <w:r w:rsidRPr="00A307C6">
        <w:rPr>
          <w:lang w:val="en-GB"/>
        </w:rPr>
        <w:t xml:space="preserve">the prevalence of physical </w:t>
      </w:r>
      <w:r w:rsidR="00414503" w:rsidRPr="00A307C6">
        <w:rPr>
          <w:lang w:val="en-GB"/>
        </w:rPr>
        <w:t xml:space="preserve">harm and trauma </w:t>
      </w:r>
      <w:r w:rsidR="00E05851" w:rsidRPr="00A307C6">
        <w:rPr>
          <w:lang w:val="en-GB"/>
        </w:rPr>
        <w:t xml:space="preserve">arising </w:t>
      </w:r>
      <w:r w:rsidR="00414503" w:rsidRPr="00A307C6">
        <w:rPr>
          <w:lang w:val="en-GB"/>
        </w:rPr>
        <w:t>from sexual violence</w:t>
      </w:r>
      <w:r w:rsidRPr="00A307C6">
        <w:rPr>
          <w:lang w:val="en-GB"/>
        </w:rPr>
        <w:t>.</w:t>
      </w:r>
      <w:r w:rsidR="00E05851" w:rsidRPr="00A307C6">
        <w:rPr>
          <w:lang w:val="en-GB"/>
        </w:rPr>
        <w:t xml:space="preserve"> </w:t>
      </w:r>
      <w:r w:rsidR="00370477" w:rsidRPr="00A307C6">
        <w:rPr>
          <w:lang w:val="en-GB"/>
        </w:rPr>
        <w:t xml:space="preserve">The </w:t>
      </w:r>
      <w:r w:rsidR="00D378DC" w:rsidRPr="00A307C6">
        <w:rPr>
          <w:lang w:val="en-GB"/>
        </w:rPr>
        <w:t xml:space="preserve">various </w:t>
      </w:r>
      <w:r w:rsidR="00370477" w:rsidRPr="00A307C6">
        <w:rPr>
          <w:lang w:val="en-GB"/>
        </w:rPr>
        <w:t xml:space="preserve">One Stop Shop centres </w:t>
      </w:r>
      <w:r w:rsidR="00D378DC" w:rsidRPr="00A307C6">
        <w:rPr>
          <w:lang w:val="en-GB"/>
        </w:rPr>
        <w:t xml:space="preserve">recently </w:t>
      </w:r>
      <w:r w:rsidR="00370477" w:rsidRPr="00A307C6">
        <w:rPr>
          <w:lang w:val="en-GB"/>
        </w:rPr>
        <w:t>established appear to be a significant step toward addressing these gaps</w:t>
      </w:r>
      <w:r w:rsidR="00912D5B" w:rsidRPr="00A307C6">
        <w:rPr>
          <w:lang w:val="en-GB"/>
        </w:rPr>
        <w:t>,</w:t>
      </w:r>
      <w:r w:rsidR="00370477" w:rsidRPr="00A307C6">
        <w:rPr>
          <w:lang w:val="en-GB"/>
        </w:rPr>
        <w:t xml:space="preserve"> but the scale of the violations and the limitations on resources mean</w:t>
      </w:r>
      <w:r w:rsidR="00D378DC" w:rsidRPr="00A307C6">
        <w:rPr>
          <w:lang w:val="en-GB"/>
        </w:rPr>
        <w:t>s that</w:t>
      </w:r>
      <w:r w:rsidR="00370477" w:rsidRPr="00A307C6">
        <w:rPr>
          <w:lang w:val="en-GB"/>
        </w:rPr>
        <w:t xml:space="preserve"> </w:t>
      </w:r>
      <w:r w:rsidR="00D378DC" w:rsidRPr="00A307C6">
        <w:rPr>
          <w:lang w:val="en-GB"/>
        </w:rPr>
        <w:t xml:space="preserve">for most women and girls </w:t>
      </w:r>
      <w:r w:rsidR="00370477" w:rsidRPr="00A307C6">
        <w:rPr>
          <w:lang w:val="en-GB"/>
        </w:rPr>
        <w:t>access to these is limited</w:t>
      </w:r>
      <w:r w:rsidR="00D378DC" w:rsidRPr="00A307C6">
        <w:rPr>
          <w:lang w:val="en-GB"/>
        </w:rPr>
        <w:t>,</w:t>
      </w:r>
      <w:r w:rsidR="00370477" w:rsidRPr="00A307C6">
        <w:rPr>
          <w:lang w:val="en-GB"/>
        </w:rPr>
        <w:t xml:space="preserve"> if </w:t>
      </w:r>
      <w:r w:rsidR="00912D5B" w:rsidRPr="00A307C6">
        <w:rPr>
          <w:lang w:val="en-GB"/>
        </w:rPr>
        <w:t xml:space="preserve">it is </w:t>
      </w:r>
      <w:r w:rsidR="00370477" w:rsidRPr="00A307C6">
        <w:rPr>
          <w:lang w:val="en-GB"/>
        </w:rPr>
        <w:t>available at all.</w:t>
      </w:r>
      <w:r w:rsidRPr="00A307C6">
        <w:rPr>
          <w:lang w:val="en-GB"/>
        </w:rPr>
        <w:t xml:space="preserve"> Where care is available, survivors </w:t>
      </w:r>
      <w:r w:rsidR="00977ECA" w:rsidRPr="00A307C6">
        <w:rPr>
          <w:lang w:val="en-GB"/>
        </w:rPr>
        <w:t xml:space="preserve">still face </w:t>
      </w:r>
      <w:r w:rsidRPr="00A307C6">
        <w:rPr>
          <w:lang w:val="en-GB"/>
        </w:rPr>
        <w:t>significant economic and social barriers to access it.</w:t>
      </w:r>
      <w:r w:rsidRPr="00A307C6">
        <w:rPr>
          <w:rStyle w:val="FootnoteReference"/>
          <w:lang w:val="en-GB"/>
        </w:rPr>
        <w:footnoteReference w:id="179"/>
      </w:r>
    </w:p>
    <w:p w14:paraId="141AA7A3" w14:textId="250A9349" w:rsidR="00BE79A9" w:rsidRPr="00A307C6" w:rsidRDefault="00BE79A9" w:rsidP="009E6E96">
      <w:pPr>
        <w:pStyle w:val="H1G"/>
      </w:pPr>
      <w:bookmarkStart w:id="59" w:name="_Toc98226823"/>
      <w:bookmarkStart w:id="60" w:name="_Toc98606464"/>
      <w:r w:rsidRPr="00A307C6">
        <w:t>Physical health</w:t>
      </w:r>
      <w:bookmarkEnd w:id="59"/>
      <w:bookmarkEnd w:id="60"/>
    </w:p>
    <w:p w14:paraId="660BF9E4" w14:textId="33A4190D" w:rsidR="00F76564" w:rsidRPr="00A307C6" w:rsidRDefault="00E05851" w:rsidP="00FF077A">
      <w:pPr>
        <w:pStyle w:val="Paragraph"/>
        <w:rPr>
          <w:lang w:val="en-GB"/>
        </w:rPr>
      </w:pPr>
      <w:r w:rsidRPr="00A307C6">
        <w:rPr>
          <w:lang w:val="en-GB"/>
        </w:rPr>
        <w:t>S</w:t>
      </w:r>
      <w:r w:rsidR="00664451" w:rsidRPr="00A307C6">
        <w:rPr>
          <w:lang w:val="en-GB"/>
        </w:rPr>
        <w:t>urvivors of rape and other forms of sexual violence experience immediate a</w:t>
      </w:r>
      <w:r w:rsidRPr="00A307C6">
        <w:rPr>
          <w:lang w:val="en-GB"/>
        </w:rPr>
        <w:t>nd long</w:t>
      </w:r>
      <w:r w:rsidR="00DF493E" w:rsidRPr="00A307C6">
        <w:rPr>
          <w:lang w:val="en-GB"/>
        </w:rPr>
        <w:t>-</w:t>
      </w:r>
      <w:r w:rsidRPr="00A307C6">
        <w:rPr>
          <w:lang w:val="en-GB"/>
        </w:rPr>
        <w:t xml:space="preserve">term </w:t>
      </w:r>
      <w:r w:rsidR="00664451" w:rsidRPr="00A307C6">
        <w:rPr>
          <w:lang w:val="en-GB"/>
        </w:rPr>
        <w:t xml:space="preserve">physical injuries and </w:t>
      </w:r>
      <w:r w:rsidRPr="00A307C6">
        <w:rPr>
          <w:lang w:val="en-GB"/>
        </w:rPr>
        <w:t xml:space="preserve">face </w:t>
      </w:r>
      <w:r w:rsidR="00664451" w:rsidRPr="00A307C6">
        <w:rPr>
          <w:lang w:val="en-GB"/>
        </w:rPr>
        <w:t xml:space="preserve">the prospect of </w:t>
      </w:r>
      <w:r w:rsidRPr="00A307C6">
        <w:rPr>
          <w:lang w:val="en-GB"/>
        </w:rPr>
        <w:t xml:space="preserve">being at risk </w:t>
      </w:r>
      <w:r w:rsidR="00912D5B" w:rsidRPr="00A307C6">
        <w:rPr>
          <w:lang w:val="en-GB"/>
        </w:rPr>
        <w:t xml:space="preserve">of </w:t>
      </w:r>
      <w:r w:rsidRPr="00A307C6">
        <w:rPr>
          <w:lang w:val="en-GB"/>
        </w:rPr>
        <w:t xml:space="preserve">contracting </w:t>
      </w:r>
      <w:r w:rsidR="00664451" w:rsidRPr="00A307C6">
        <w:rPr>
          <w:lang w:val="en-GB"/>
        </w:rPr>
        <w:t xml:space="preserve">sexually transmitted diseases. </w:t>
      </w:r>
      <w:r w:rsidR="00F76564" w:rsidRPr="00A307C6">
        <w:rPr>
          <w:lang w:val="en-GB"/>
        </w:rPr>
        <w:t xml:space="preserve">Clinicians </w:t>
      </w:r>
      <w:r w:rsidRPr="00A307C6">
        <w:rPr>
          <w:lang w:val="en-GB"/>
        </w:rPr>
        <w:t xml:space="preserve">supporting survivors </w:t>
      </w:r>
      <w:r w:rsidR="00F76564" w:rsidRPr="00A307C6">
        <w:rPr>
          <w:lang w:val="en-GB"/>
        </w:rPr>
        <w:t xml:space="preserve">informed the Commission that in most rape cases </w:t>
      </w:r>
      <w:r w:rsidR="00664451" w:rsidRPr="00A307C6">
        <w:rPr>
          <w:lang w:val="en-GB"/>
        </w:rPr>
        <w:t xml:space="preserve">they </w:t>
      </w:r>
      <w:r w:rsidR="00F76564" w:rsidRPr="00A307C6">
        <w:rPr>
          <w:lang w:val="en-GB"/>
        </w:rPr>
        <w:t xml:space="preserve">also </w:t>
      </w:r>
      <w:r w:rsidR="00664451" w:rsidRPr="00A307C6">
        <w:rPr>
          <w:lang w:val="en-GB"/>
        </w:rPr>
        <w:t xml:space="preserve">see </w:t>
      </w:r>
      <w:r w:rsidR="00F76564" w:rsidRPr="00A307C6">
        <w:rPr>
          <w:lang w:val="en-GB"/>
        </w:rPr>
        <w:t xml:space="preserve">signs of torture </w:t>
      </w:r>
      <w:r w:rsidR="00F76564" w:rsidRPr="00A307C6">
        <w:rPr>
          <w:lang w:val="en-GB"/>
        </w:rPr>
        <w:lastRenderedPageBreak/>
        <w:t>and</w:t>
      </w:r>
      <w:r w:rsidR="00912D5B" w:rsidRPr="00A307C6">
        <w:rPr>
          <w:lang w:val="en-GB"/>
        </w:rPr>
        <w:t xml:space="preserve"> </w:t>
      </w:r>
      <w:r w:rsidR="00F76564" w:rsidRPr="00A307C6">
        <w:rPr>
          <w:lang w:val="en-GB"/>
        </w:rPr>
        <w:t xml:space="preserve">a range of injuries and health conditions, physical and psychological, requiring </w:t>
      </w:r>
      <w:r w:rsidRPr="00A307C6">
        <w:rPr>
          <w:lang w:val="en-GB"/>
        </w:rPr>
        <w:t xml:space="preserve">support and </w:t>
      </w:r>
      <w:r w:rsidR="00F76564" w:rsidRPr="00A307C6">
        <w:rPr>
          <w:lang w:val="en-GB"/>
        </w:rPr>
        <w:t>management.</w:t>
      </w:r>
      <w:r w:rsidR="00F76564" w:rsidRPr="00A307C6">
        <w:rPr>
          <w:rStyle w:val="FootnoteReference"/>
          <w:lang w:val="en-GB"/>
        </w:rPr>
        <w:footnoteReference w:id="180"/>
      </w:r>
      <w:r w:rsidR="00F76564" w:rsidRPr="00A307C6">
        <w:rPr>
          <w:lang w:val="en-GB"/>
        </w:rPr>
        <w:t xml:space="preserve"> </w:t>
      </w:r>
      <w:r w:rsidRPr="00A307C6">
        <w:rPr>
          <w:lang w:val="en-GB"/>
        </w:rPr>
        <w:t xml:space="preserve">Incidents of rape and sexual violence </w:t>
      </w:r>
      <w:r w:rsidR="00F76564" w:rsidRPr="00A307C6">
        <w:rPr>
          <w:lang w:val="en-GB"/>
        </w:rPr>
        <w:t xml:space="preserve">perpetrated in the context of conflict in South Sudan, </w:t>
      </w:r>
      <w:r w:rsidRPr="00A307C6">
        <w:rPr>
          <w:lang w:val="en-GB"/>
        </w:rPr>
        <w:t xml:space="preserve">result in severe </w:t>
      </w:r>
      <w:r w:rsidR="00664451" w:rsidRPr="00A307C6">
        <w:rPr>
          <w:lang w:val="en-GB"/>
        </w:rPr>
        <w:t xml:space="preserve">injuries </w:t>
      </w:r>
      <w:r w:rsidR="0080355C" w:rsidRPr="00A307C6">
        <w:rPr>
          <w:lang w:val="en-GB"/>
        </w:rPr>
        <w:t xml:space="preserve">and death in some instances because of the </w:t>
      </w:r>
      <w:r w:rsidR="00F76564" w:rsidRPr="00A307C6">
        <w:rPr>
          <w:lang w:val="en-GB"/>
        </w:rPr>
        <w:t>brutal</w:t>
      </w:r>
      <w:r w:rsidR="0080355C" w:rsidRPr="00A307C6">
        <w:rPr>
          <w:lang w:val="en-GB"/>
        </w:rPr>
        <w:t>ity</w:t>
      </w:r>
      <w:r w:rsidR="00912D5B" w:rsidRPr="00A307C6">
        <w:rPr>
          <w:lang w:val="en-GB"/>
        </w:rPr>
        <w:t>, duration</w:t>
      </w:r>
      <w:r w:rsidR="0080355C" w:rsidRPr="00A307C6">
        <w:rPr>
          <w:lang w:val="en-GB"/>
        </w:rPr>
        <w:t xml:space="preserve"> and severity</w:t>
      </w:r>
      <w:r w:rsidR="00F76564" w:rsidRPr="00A307C6">
        <w:rPr>
          <w:lang w:val="en-GB"/>
        </w:rPr>
        <w:t xml:space="preserve"> </w:t>
      </w:r>
      <w:r w:rsidR="0080355C" w:rsidRPr="00A307C6">
        <w:rPr>
          <w:lang w:val="en-GB"/>
        </w:rPr>
        <w:t xml:space="preserve">of </w:t>
      </w:r>
      <w:r w:rsidR="00912D5B" w:rsidRPr="00A307C6">
        <w:rPr>
          <w:lang w:val="en-GB"/>
        </w:rPr>
        <w:t xml:space="preserve">the </w:t>
      </w:r>
      <w:r w:rsidR="0080355C" w:rsidRPr="00A307C6">
        <w:rPr>
          <w:lang w:val="en-GB"/>
        </w:rPr>
        <w:t>rape and sexual violence</w:t>
      </w:r>
      <w:r w:rsidR="00912D5B" w:rsidRPr="00A307C6">
        <w:rPr>
          <w:lang w:val="en-GB"/>
        </w:rPr>
        <w:t xml:space="preserve">. The injuries are </w:t>
      </w:r>
      <w:r w:rsidR="00F76564" w:rsidRPr="00A307C6">
        <w:rPr>
          <w:lang w:val="en-GB"/>
        </w:rPr>
        <w:t xml:space="preserve">exacerbated by </w:t>
      </w:r>
      <w:r w:rsidR="0080355C" w:rsidRPr="00A307C6">
        <w:rPr>
          <w:lang w:val="en-GB"/>
        </w:rPr>
        <w:t xml:space="preserve">the </w:t>
      </w:r>
      <w:r w:rsidR="00F76564" w:rsidRPr="00A307C6">
        <w:rPr>
          <w:lang w:val="en-GB"/>
        </w:rPr>
        <w:t xml:space="preserve">limited access to prompt </w:t>
      </w:r>
      <w:r w:rsidR="00664451" w:rsidRPr="00A307C6">
        <w:rPr>
          <w:lang w:val="en-GB"/>
        </w:rPr>
        <w:t xml:space="preserve">or </w:t>
      </w:r>
      <w:r w:rsidR="00F76564" w:rsidRPr="00A307C6">
        <w:rPr>
          <w:lang w:val="en-GB"/>
        </w:rPr>
        <w:t>adequate medical attention</w:t>
      </w:r>
      <w:r w:rsidR="00912D5B" w:rsidRPr="00A307C6">
        <w:rPr>
          <w:lang w:val="en-GB"/>
        </w:rPr>
        <w:t>.</w:t>
      </w:r>
      <w:r w:rsidR="00F76564" w:rsidRPr="00A307C6">
        <w:rPr>
          <w:lang w:val="en-GB"/>
        </w:rPr>
        <w:t xml:space="preserve"> </w:t>
      </w:r>
    </w:p>
    <w:p w14:paraId="34ACE0BB" w14:textId="2E10186C" w:rsidR="00E33060" w:rsidRPr="00A307C6" w:rsidRDefault="000B7F99" w:rsidP="00E33060">
      <w:pPr>
        <w:pStyle w:val="Paragraph"/>
        <w:rPr>
          <w:lang w:val="en-GB"/>
        </w:rPr>
      </w:pPr>
      <w:r w:rsidRPr="00A307C6">
        <w:rPr>
          <w:lang w:val="en-GB"/>
        </w:rPr>
        <w:t xml:space="preserve">Common impacts of sexual violence described to the Commission included genital and rectal injuries including traumatic tears and fistula, pelvic pain and dysfunction, and sexually transmitted infections, among others. </w:t>
      </w:r>
      <w:bookmarkStart w:id="61" w:name="_Hlk98288014"/>
      <w:r w:rsidR="00484320" w:rsidRPr="00A307C6">
        <w:rPr>
          <w:lang w:val="en-GB"/>
        </w:rPr>
        <w:t xml:space="preserve">A </w:t>
      </w:r>
      <w:r w:rsidR="006F2E7D" w:rsidRPr="00A307C6">
        <w:rPr>
          <w:lang w:val="en-GB"/>
        </w:rPr>
        <w:t xml:space="preserve">survivor of a gang rape </w:t>
      </w:r>
      <w:r w:rsidR="00E33060" w:rsidRPr="00A307C6">
        <w:rPr>
          <w:lang w:val="en-GB"/>
        </w:rPr>
        <w:t xml:space="preserve">said that she was </w:t>
      </w:r>
      <w:r w:rsidR="00BF5116">
        <w:rPr>
          <w:lang w:val="en-GB"/>
        </w:rPr>
        <w:t xml:space="preserve">penetrated and </w:t>
      </w:r>
      <w:r w:rsidR="00E33060" w:rsidRPr="00A307C6">
        <w:rPr>
          <w:lang w:val="en-GB"/>
        </w:rPr>
        <w:t xml:space="preserve">raped </w:t>
      </w:r>
      <w:r w:rsidR="00BF5116">
        <w:rPr>
          <w:lang w:val="en-GB"/>
        </w:rPr>
        <w:t xml:space="preserve">both </w:t>
      </w:r>
      <w:r w:rsidR="00E33060" w:rsidRPr="00A307C6">
        <w:rPr>
          <w:lang w:val="en-GB"/>
        </w:rPr>
        <w:t xml:space="preserve">in </w:t>
      </w:r>
      <w:r w:rsidR="00BF5116">
        <w:rPr>
          <w:lang w:val="en-GB"/>
        </w:rPr>
        <w:t xml:space="preserve">her </w:t>
      </w:r>
      <w:r w:rsidR="00E33060" w:rsidRPr="00A307C6">
        <w:rPr>
          <w:lang w:val="en-GB"/>
        </w:rPr>
        <w:t xml:space="preserve">vagina and anus while also being beaten all over </w:t>
      </w:r>
      <w:r w:rsidR="00BF5116">
        <w:rPr>
          <w:lang w:val="en-GB"/>
        </w:rPr>
        <w:t xml:space="preserve">her </w:t>
      </w:r>
      <w:r w:rsidR="00E33060" w:rsidRPr="00A307C6">
        <w:rPr>
          <w:lang w:val="en-GB"/>
        </w:rPr>
        <w:t>body, that she carries persistent pain requiring ongoing medication, and that surgery was required to address her haemorrhoids (the severity of which may have been aggravated by the anal rape).</w:t>
      </w:r>
      <w:r w:rsidR="00E33060" w:rsidRPr="00A307C6">
        <w:rPr>
          <w:rStyle w:val="FootnoteReference"/>
          <w:lang w:val="en-GB"/>
        </w:rPr>
        <w:footnoteReference w:id="181"/>
      </w:r>
      <w:r w:rsidR="00E33060" w:rsidRPr="00A307C6">
        <w:rPr>
          <w:rStyle w:val="FootnoteReference"/>
          <w:lang w:val="en-GB"/>
        </w:rPr>
        <w:t xml:space="preserve"> </w:t>
      </w:r>
      <w:r w:rsidR="00E33060" w:rsidRPr="00A307C6">
        <w:rPr>
          <w:lang w:val="en-GB"/>
        </w:rPr>
        <w:t>According to one doctor, some women he has seen, who have been  sexual</w:t>
      </w:r>
      <w:r w:rsidR="00B2634C">
        <w:rPr>
          <w:lang w:val="en-GB"/>
        </w:rPr>
        <w:t xml:space="preserve">ly </w:t>
      </w:r>
      <w:r w:rsidR="00E33060" w:rsidRPr="00A307C6">
        <w:rPr>
          <w:lang w:val="en-GB"/>
        </w:rPr>
        <w:t xml:space="preserve"> assault</w:t>
      </w:r>
      <w:r w:rsidR="00B2634C">
        <w:rPr>
          <w:lang w:val="en-GB"/>
        </w:rPr>
        <w:t>ed</w:t>
      </w:r>
      <w:r w:rsidR="00E33060" w:rsidRPr="00A307C6">
        <w:rPr>
          <w:lang w:val="en-GB"/>
        </w:rPr>
        <w:t xml:space="preserve"> </w:t>
      </w:r>
      <w:r w:rsidR="00B2634C">
        <w:rPr>
          <w:lang w:val="en-GB"/>
        </w:rPr>
        <w:t xml:space="preserve">using </w:t>
      </w:r>
      <w:r w:rsidR="00E33060" w:rsidRPr="00A307C6">
        <w:rPr>
          <w:lang w:val="en-GB"/>
        </w:rPr>
        <w:t>foreign objects, have found these cannot be removed, and so they remain lodged in their bodies, causing persistent pain and health complications.</w:t>
      </w:r>
      <w:r w:rsidR="007D62DE">
        <w:rPr>
          <w:rStyle w:val="FootnoteReference"/>
        </w:rPr>
        <w:footnoteReference w:id="182"/>
      </w:r>
    </w:p>
    <w:p w14:paraId="19C6CEEA" w14:textId="6FE4B97D" w:rsidR="00E33060" w:rsidRPr="00A307C6" w:rsidRDefault="00E33060" w:rsidP="00E33060">
      <w:pPr>
        <w:pStyle w:val="Paragraph"/>
        <w:rPr>
          <w:lang w:val="en-GB"/>
        </w:rPr>
      </w:pPr>
      <w:r w:rsidRPr="00A307C6">
        <w:rPr>
          <w:lang w:val="en-GB"/>
        </w:rPr>
        <w:t>Other forms of injury sustained while being beaten in the context of a sexual assault are common and lasting, with effects including chronic back pain, pain involving muscular tears or bone fractures that have not fully or properly healed, misalignment of joints, and a range of other injuries including to eyes and ears linked to being hit in the face or head.</w:t>
      </w:r>
      <w:r w:rsidRPr="00A307C6">
        <w:rPr>
          <w:rStyle w:val="FootnoteReference"/>
          <w:lang w:val="en-GB"/>
        </w:rPr>
        <w:footnoteReference w:id="183"/>
      </w:r>
      <w:r w:rsidRPr="00A307C6">
        <w:rPr>
          <w:lang w:val="en-GB"/>
        </w:rPr>
        <w:t xml:space="preserve"> Some rapes of pregnant women have led to miscarriage, pregnancy complications or infertility, which can be linked to related damage to the uterus or other gynaecological disorders. </w:t>
      </w:r>
    </w:p>
    <w:bookmarkEnd w:id="61"/>
    <w:p w14:paraId="66B67E5E" w14:textId="425E7803" w:rsidR="00F76564" w:rsidRPr="00A307C6" w:rsidRDefault="000B7F99" w:rsidP="00FF077A">
      <w:pPr>
        <w:pStyle w:val="Paragraph"/>
        <w:rPr>
          <w:lang w:val="en-GB"/>
        </w:rPr>
      </w:pPr>
      <w:r w:rsidRPr="00A307C6">
        <w:rPr>
          <w:lang w:val="en-GB"/>
        </w:rPr>
        <w:t>Many women and girls also spoke of pregnancies arising from rape</w:t>
      </w:r>
      <w:r w:rsidR="00912D5B" w:rsidRPr="00A307C6">
        <w:rPr>
          <w:lang w:val="en-GB"/>
        </w:rPr>
        <w:t>. W</w:t>
      </w:r>
      <w:r w:rsidRPr="00A307C6">
        <w:rPr>
          <w:lang w:val="en-GB"/>
        </w:rPr>
        <w:t xml:space="preserve">hile data is limited, certain service providers corroborated that this </w:t>
      </w:r>
      <w:r w:rsidR="00B30EC9" w:rsidRPr="00A307C6">
        <w:rPr>
          <w:lang w:val="en-GB"/>
        </w:rPr>
        <w:t>is a trend.</w:t>
      </w:r>
      <w:r w:rsidR="00B30EC9" w:rsidRPr="00A307C6">
        <w:rPr>
          <w:rStyle w:val="FootnoteReference"/>
          <w:lang w:val="en-GB"/>
        </w:rPr>
        <w:footnoteReference w:id="184"/>
      </w:r>
      <w:r w:rsidR="00B30EC9" w:rsidRPr="00A307C6">
        <w:rPr>
          <w:lang w:val="en-GB"/>
        </w:rPr>
        <w:t xml:space="preserve"> As noted in testimonies above, in many instances of rape the perpetrators had ejaculated into the victim</w:t>
      </w:r>
      <w:r w:rsidR="00D20DF3" w:rsidRPr="00A307C6">
        <w:rPr>
          <w:lang w:val="en-GB"/>
        </w:rPr>
        <w:t xml:space="preserve">, </w:t>
      </w:r>
      <w:r w:rsidR="00967426" w:rsidRPr="00A307C6">
        <w:rPr>
          <w:lang w:val="en-GB"/>
        </w:rPr>
        <w:t xml:space="preserve">often </w:t>
      </w:r>
      <w:r w:rsidR="00D20DF3" w:rsidRPr="00A307C6">
        <w:rPr>
          <w:lang w:val="en-GB"/>
        </w:rPr>
        <w:t>resulting in unwanted pregnancies</w:t>
      </w:r>
      <w:r w:rsidR="00967426" w:rsidRPr="00A307C6">
        <w:rPr>
          <w:lang w:val="en-GB"/>
        </w:rPr>
        <w:t xml:space="preserve"> which, as illustrated in </w:t>
      </w:r>
      <w:r w:rsidR="00D740E2" w:rsidRPr="00A307C6">
        <w:rPr>
          <w:lang w:val="en-GB"/>
        </w:rPr>
        <w:t xml:space="preserve">the </w:t>
      </w:r>
      <w:r w:rsidR="00967426" w:rsidRPr="00A307C6">
        <w:rPr>
          <w:lang w:val="en-GB"/>
        </w:rPr>
        <w:t xml:space="preserve">case-examples </w:t>
      </w:r>
      <w:r w:rsidR="00D740E2" w:rsidRPr="00A307C6">
        <w:rPr>
          <w:lang w:val="en-GB"/>
        </w:rPr>
        <w:t>in this report</w:t>
      </w:r>
      <w:r w:rsidR="00967426" w:rsidRPr="00A307C6">
        <w:rPr>
          <w:lang w:val="en-GB"/>
        </w:rPr>
        <w:t xml:space="preserve">, </w:t>
      </w:r>
      <w:r w:rsidR="00D740E2" w:rsidRPr="00A307C6">
        <w:rPr>
          <w:lang w:val="en-GB"/>
        </w:rPr>
        <w:t xml:space="preserve">may also </w:t>
      </w:r>
      <w:r w:rsidR="00967426" w:rsidRPr="00A307C6">
        <w:rPr>
          <w:lang w:val="en-GB"/>
        </w:rPr>
        <w:t xml:space="preserve"> lead to abandonment and corresponding reduced livelihood options.</w:t>
      </w:r>
      <w:r w:rsidR="00E1043F" w:rsidRPr="00A307C6">
        <w:rPr>
          <w:rStyle w:val="FootnoteReference"/>
          <w:lang w:val="en-GB"/>
        </w:rPr>
        <w:footnoteReference w:id="185"/>
      </w:r>
      <w:r w:rsidR="00967426" w:rsidRPr="00A307C6">
        <w:rPr>
          <w:lang w:val="en-GB"/>
        </w:rPr>
        <w:t xml:space="preserve"> Concurrently, children born of rape face social stigma</w:t>
      </w:r>
      <w:r w:rsidR="009E7334" w:rsidRPr="00A307C6">
        <w:rPr>
          <w:lang w:val="en-GB"/>
        </w:rPr>
        <w:t xml:space="preserve">, in a cultural and </w:t>
      </w:r>
      <w:r w:rsidR="009E7334" w:rsidRPr="00A307C6">
        <w:rPr>
          <w:lang w:val="en-GB"/>
        </w:rPr>
        <w:lastRenderedPageBreak/>
        <w:t xml:space="preserve">traditional context that prizes ethnic purity, and where </w:t>
      </w:r>
      <w:r w:rsidR="00E1043F" w:rsidRPr="00A307C6">
        <w:rPr>
          <w:lang w:val="en-GB"/>
        </w:rPr>
        <w:t xml:space="preserve">community members </w:t>
      </w:r>
      <w:r w:rsidR="009E7334" w:rsidRPr="00A307C6">
        <w:rPr>
          <w:lang w:val="en-GB"/>
        </w:rPr>
        <w:t xml:space="preserve">stigmatize women and girls who have been </w:t>
      </w:r>
      <w:r w:rsidR="00E1043F" w:rsidRPr="00A307C6">
        <w:rPr>
          <w:lang w:val="en-GB"/>
        </w:rPr>
        <w:t>rape</w:t>
      </w:r>
      <w:r w:rsidR="009E7334" w:rsidRPr="00A307C6">
        <w:rPr>
          <w:lang w:val="en-GB"/>
        </w:rPr>
        <w:t>d and sexually violated</w:t>
      </w:r>
      <w:r w:rsidR="00E1043F" w:rsidRPr="00A307C6">
        <w:rPr>
          <w:lang w:val="en-GB"/>
        </w:rPr>
        <w:t>, particularly when the perpetrators are from a different ethnic group.</w:t>
      </w:r>
    </w:p>
    <w:p w14:paraId="69168981" w14:textId="6B077AC0" w:rsidR="0080355C" w:rsidRPr="00A307C6" w:rsidRDefault="0054774D" w:rsidP="00FF077A">
      <w:pPr>
        <w:pStyle w:val="Paragraph"/>
        <w:rPr>
          <w:lang w:val="en-GB"/>
        </w:rPr>
      </w:pPr>
      <w:r w:rsidRPr="00A307C6">
        <w:rPr>
          <w:lang w:val="en-GB"/>
        </w:rPr>
        <w:t>The risk of rape perpetrators passing on s</w:t>
      </w:r>
      <w:r w:rsidR="00234424" w:rsidRPr="00A307C6">
        <w:rPr>
          <w:lang w:val="en-GB"/>
        </w:rPr>
        <w:t>exual</w:t>
      </w:r>
      <w:r w:rsidRPr="00A307C6">
        <w:rPr>
          <w:lang w:val="en-GB"/>
        </w:rPr>
        <w:t>ly</w:t>
      </w:r>
      <w:r w:rsidR="004A2639" w:rsidRPr="00A307C6">
        <w:rPr>
          <w:lang w:val="en-GB"/>
        </w:rPr>
        <w:t xml:space="preserve"> </w:t>
      </w:r>
      <w:r w:rsidRPr="00A307C6">
        <w:rPr>
          <w:lang w:val="en-GB"/>
        </w:rPr>
        <w:t xml:space="preserve">transmitted infections is a fear frequently </w:t>
      </w:r>
      <w:r w:rsidR="0080355C" w:rsidRPr="00A307C6">
        <w:rPr>
          <w:lang w:val="en-GB"/>
        </w:rPr>
        <w:t xml:space="preserve">expressed </w:t>
      </w:r>
      <w:r w:rsidRPr="00A307C6">
        <w:rPr>
          <w:lang w:val="en-GB"/>
        </w:rPr>
        <w:t xml:space="preserve">by </w:t>
      </w:r>
      <w:r w:rsidR="0080355C" w:rsidRPr="00A307C6">
        <w:rPr>
          <w:lang w:val="en-GB"/>
        </w:rPr>
        <w:t>survivors of sexual violence</w:t>
      </w:r>
      <w:r w:rsidRPr="00A307C6">
        <w:rPr>
          <w:lang w:val="en-GB"/>
        </w:rPr>
        <w:t xml:space="preserve">, </w:t>
      </w:r>
      <w:r w:rsidR="0080355C" w:rsidRPr="00A307C6">
        <w:rPr>
          <w:lang w:val="en-GB"/>
        </w:rPr>
        <w:t xml:space="preserve">and the consequences this may have </w:t>
      </w:r>
      <w:r w:rsidRPr="00A307C6">
        <w:rPr>
          <w:lang w:val="en-GB"/>
        </w:rPr>
        <w:t xml:space="preserve">for the social </w:t>
      </w:r>
      <w:r w:rsidR="00DF79C7" w:rsidRPr="00A307C6">
        <w:rPr>
          <w:lang w:val="en-GB"/>
        </w:rPr>
        <w:t xml:space="preserve">and </w:t>
      </w:r>
      <w:r w:rsidR="00D20DF3" w:rsidRPr="00A307C6">
        <w:rPr>
          <w:lang w:val="en-GB"/>
        </w:rPr>
        <w:t xml:space="preserve">cultural </w:t>
      </w:r>
      <w:r w:rsidR="00DF79C7" w:rsidRPr="00A307C6">
        <w:rPr>
          <w:lang w:val="en-GB"/>
        </w:rPr>
        <w:t>relationship</w:t>
      </w:r>
      <w:r w:rsidR="0080355C" w:rsidRPr="00A307C6">
        <w:rPr>
          <w:lang w:val="en-GB"/>
        </w:rPr>
        <w:t>s</w:t>
      </w:r>
      <w:r w:rsidR="00DF79C7" w:rsidRPr="00A307C6">
        <w:rPr>
          <w:lang w:val="en-GB"/>
        </w:rPr>
        <w:t xml:space="preserve"> </w:t>
      </w:r>
      <w:r w:rsidR="0080355C" w:rsidRPr="00A307C6">
        <w:rPr>
          <w:lang w:val="en-GB"/>
        </w:rPr>
        <w:t xml:space="preserve">with their partners and communities </w:t>
      </w:r>
      <w:r w:rsidRPr="00A307C6">
        <w:rPr>
          <w:lang w:val="en-GB"/>
        </w:rPr>
        <w:t>in addition to direct physical health implications</w:t>
      </w:r>
      <w:r w:rsidR="00DF79C7" w:rsidRPr="00A307C6">
        <w:rPr>
          <w:lang w:val="en-GB"/>
        </w:rPr>
        <w:t xml:space="preserve"> for them and their partners</w:t>
      </w:r>
      <w:r w:rsidRPr="00A307C6">
        <w:rPr>
          <w:lang w:val="en-GB"/>
        </w:rPr>
        <w:t>.</w:t>
      </w:r>
      <w:r w:rsidR="00DF79C7" w:rsidRPr="00A307C6">
        <w:rPr>
          <w:rStyle w:val="FootnoteReference"/>
          <w:lang w:val="en-GB"/>
        </w:rPr>
        <w:footnoteReference w:id="186"/>
      </w:r>
      <w:r w:rsidRPr="00A307C6">
        <w:rPr>
          <w:lang w:val="en-GB"/>
        </w:rPr>
        <w:t xml:space="preserve"> </w:t>
      </w:r>
      <w:r w:rsidR="00DF79C7" w:rsidRPr="00A307C6">
        <w:rPr>
          <w:lang w:val="en-GB"/>
        </w:rPr>
        <w:t>While data is limited, the transmission of sexually transmitted infections appears to be common during conflict-related rapes in South Sudan</w:t>
      </w:r>
      <w:r w:rsidR="004A2639" w:rsidRPr="00A307C6">
        <w:rPr>
          <w:lang w:val="en-GB"/>
        </w:rPr>
        <w:t xml:space="preserve">, based upon the Commission’s documentation, and </w:t>
      </w:r>
      <w:r w:rsidR="00DF79C7" w:rsidRPr="00A307C6">
        <w:rPr>
          <w:lang w:val="en-GB"/>
        </w:rPr>
        <w:t xml:space="preserve">corroboration </w:t>
      </w:r>
      <w:r w:rsidR="004A2639" w:rsidRPr="00A307C6">
        <w:rPr>
          <w:lang w:val="en-GB"/>
        </w:rPr>
        <w:t xml:space="preserve">by medical professionals. </w:t>
      </w:r>
      <w:r w:rsidR="005665B6" w:rsidRPr="00A307C6">
        <w:rPr>
          <w:lang w:val="en-GB"/>
        </w:rPr>
        <w:t>Given that many survivors do not have access to</w:t>
      </w:r>
      <w:r w:rsidR="00EB2CF0" w:rsidRPr="00A307C6">
        <w:rPr>
          <w:lang w:val="en-GB"/>
        </w:rPr>
        <w:t>,</w:t>
      </w:r>
      <w:r w:rsidR="005665B6" w:rsidRPr="00A307C6">
        <w:rPr>
          <w:lang w:val="en-GB"/>
        </w:rPr>
        <w:t xml:space="preserve"> or do not seek</w:t>
      </w:r>
      <w:r w:rsidR="00EB2CF0" w:rsidRPr="00A307C6">
        <w:rPr>
          <w:lang w:val="en-GB"/>
        </w:rPr>
        <w:t>,</w:t>
      </w:r>
      <w:r w:rsidR="005665B6" w:rsidRPr="00A307C6">
        <w:rPr>
          <w:lang w:val="en-GB"/>
        </w:rPr>
        <w:t xml:space="preserve"> medical attention, they remain unaware of their status</w:t>
      </w:r>
      <w:r w:rsidR="00C829AB" w:rsidRPr="00A307C6">
        <w:rPr>
          <w:lang w:val="en-GB"/>
        </w:rPr>
        <w:t>, including with regards to HIV</w:t>
      </w:r>
      <w:r w:rsidR="005665B6" w:rsidRPr="00A307C6">
        <w:rPr>
          <w:lang w:val="en-GB"/>
        </w:rPr>
        <w:t xml:space="preserve">. </w:t>
      </w:r>
      <w:r w:rsidR="00C829AB" w:rsidRPr="00A307C6">
        <w:rPr>
          <w:lang w:val="en-GB"/>
        </w:rPr>
        <w:t>A</w:t>
      </w:r>
      <w:r w:rsidR="00DF79C7" w:rsidRPr="00A307C6">
        <w:rPr>
          <w:lang w:val="en-GB"/>
        </w:rPr>
        <w:t>pparently high rate</w:t>
      </w:r>
      <w:r w:rsidR="00DF493E" w:rsidRPr="00A307C6">
        <w:rPr>
          <w:lang w:val="en-GB"/>
        </w:rPr>
        <w:t>s</w:t>
      </w:r>
      <w:r w:rsidR="00DF79C7" w:rsidRPr="00A307C6">
        <w:rPr>
          <w:lang w:val="en-GB"/>
        </w:rPr>
        <w:t xml:space="preserve"> of transmission</w:t>
      </w:r>
      <w:r w:rsidR="00C829AB" w:rsidRPr="00A307C6">
        <w:rPr>
          <w:lang w:val="en-GB"/>
        </w:rPr>
        <w:t>s</w:t>
      </w:r>
      <w:r w:rsidR="00DF79C7" w:rsidRPr="00A307C6">
        <w:rPr>
          <w:lang w:val="en-GB"/>
        </w:rPr>
        <w:t xml:space="preserve"> </w:t>
      </w:r>
      <w:r w:rsidR="00DF493E" w:rsidRPr="00A307C6">
        <w:rPr>
          <w:lang w:val="en-GB"/>
        </w:rPr>
        <w:t>are</w:t>
      </w:r>
      <w:r w:rsidR="00C829AB" w:rsidRPr="00A307C6">
        <w:rPr>
          <w:lang w:val="en-GB"/>
        </w:rPr>
        <w:t xml:space="preserve"> </w:t>
      </w:r>
      <w:r w:rsidR="00DF79C7" w:rsidRPr="00A307C6">
        <w:rPr>
          <w:lang w:val="en-GB"/>
        </w:rPr>
        <w:t xml:space="preserve">not helped by a </w:t>
      </w:r>
      <w:r w:rsidR="004A2639" w:rsidRPr="00A307C6">
        <w:rPr>
          <w:lang w:val="en-GB"/>
        </w:rPr>
        <w:t xml:space="preserve">trend </w:t>
      </w:r>
      <w:r w:rsidR="00DF79C7" w:rsidRPr="00A307C6">
        <w:rPr>
          <w:lang w:val="en-GB"/>
        </w:rPr>
        <w:t xml:space="preserve">of </w:t>
      </w:r>
      <w:r w:rsidR="004A2639" w:rsidRPr="00A307C6">
        <w:rPr>
          <w:lang w:val="en-GB"/>
        </w:rPr>
        <w:t xml:space="preserve">post-rape medical interventions </w:t>
      </w:r>
      <w:r w:rsidR="00DF79C7" w:rsidRPr="00A307C6">
        <w:rPr>
          <w:lang w:val="en-GB"/>
        </w:rPr>
        <w:t xml:space="preserve">typically being </w:t>
      </w:r>
      <w:r w:rsidR="004A2639" w:rsidRPr="00A307C6">
        <w:rPr>
          <w:lang w:val="en-GB"/>
        </w:rPr>
        <w:t>administered late, if at all</w:t>
      </w:r>
      <w:r w:rsidR="00DF79C7" w:rsidRPr="00A307C6">
        <w:rPr>
          <w:lang w:val="en-GB"/>
        </w:rPr>
        <w:t>.</w:t>
      </w:r>
      <w:r w:rsidR="004A2639" w:rsidRPr="00A307C6">
        <w:rPr>
          <w:rStyle w:val="FootnoteReference"/>
          <w:lang w:val="en-GB"/>
        </w:rPr>
        <w:footnoteReference w:id="187"/>
      </w:r>
      <w:r w:rsidR="00AE2C5E" w:rsidRPr="00A307C6">
        <w:rPr>
          <w:lang w:val="en-GB"/>
        </w:rPr>
        <w:t xml:space="preserve"> </w:t>
      </w:r>
      <w:r w:rsidR="00DF79C7" w:rsidRPr="00A307C6">
        <w:rPr>
          <w:lang w:val="en-GB"/>
        </w:rPr>
        <w:t xml:space="preserve">There are </w:t>
      </w:r>
      <w:r w:rsidR="00AE2C5E" w:rsidRPr="00A307C6">
        <w:rPr>
          <w:lang w:val="en-GB"/>
        </w:rPr>
        <w:t>various reasons</w:t>
      </w:r>
      <w:r w:rsidR="00DF79C7" w:rsidRPr="00A307C6">
        <w:rPr>
          <w:lang w:val="en-GB"/>
        </w:rPr>
        <w:t xml:space="preserve"> for this</w:t>
      </w:r>
      <w:r w:rsidR="00AE2C5E" w:rsidRPr="00A307C6">
        <w:rPr>
          <w:lang w:val="en-GB"/>
        </w:rPr>
        <w:t xml:space="preserve">, </w:t>
      </w:r>
      <w:r w:rsidR="00DF79C7" w:rsidRPr="00A307C6">
        <w:rPr>
          <w:lang w:val="en-GB"/>
        </w:rPr>
        <w:t xml:space="preserve">underscored by the </w:t>
      </w:r>
      <w:r w:rsidR="00B12CBA" w:rsidRPr="00A307C6">
        <w:rPr>
          <w:lang w:val="en-GB"/>
        </w:rPr>
        <w:t xml:space="preserve">general </w:t>
      </w:r>
      <w:r w:rsidR="00AE2C5E" w:rsidRPr="00A307C6">
        <w:rPr>
          <w:lang w:val="en-GB"/>
        </w:rPr>
        <w:t>lack of access to health care</w:t>
      </w:r>
      <w:r w:rsidR="004A2639" w:rsidRPr="00A307C6">
        <w:rPr>
          <w:lang w:val="en-GB"/>
        </w:rPr>
        <w:t xml:space="preserve"> </w:t>
      </w:r>
      <w:r w:rsidR="00B12CBA" w:rsidRPr="00A307C6">
        <w:rPr>
          <w:lang w:val="en-GB"/>
        </w:rPr>
        <w:t>in the country</w:t>
      </w:r>
      <w:r w:rsidR="00AE2C5E" w:rsidRPr="00A307C6">
        <w:rPr>
          <w:lang w:val="en-GB"/>
        </w:rPr>
        <w:t>.</w:t>
      </w:r>
    </w:p>
    <w:p w14:paraId="29CD6472" w14:textId="4C6DC40A" w:rsidR="004C0512" w:rsidRPr="00A307C6" w:rsidRDefault="00DF79C7" w:rsidP="004C0512">
      <w:pPr>
        <w:pStyle w:val="Paragraph"/>
        <w:rPr>
          <w:lang w:val="en-GB"/>
        </w:rPr>
      </w:pPr>
      <w:r w:rsidRPr="00A307C6">
        <w:rPr>
          <w:lang w:val="en-GB"/>
        </w:rPr>
        <w:t xml:space="preserve">The lack of consequences for perpetrators, </w:t>
      </w:r>
      <w:r w:rsidR="0080355C" w:rsidRPr="00A307C6">
        <w:rPr>
          <w:lang w:val="en-GB"/>
        </w:rPr>
        <w:t>and consequent impunity</w:t>
      </w:r>
      <w:r w:rsidR="00EB2CF0" w:rsidRPr="00A307C6">
        <w:rPr>
          <w:lang w:val="en-GB"/>
        </w:rPr>
        <w:t>,</w:t>
      </w:r>
      <w:r w:rsidR="0080355C" w:rsidRPr="00A307C6">
        <w:rPr>
          <w:lang w:val="en-GB"/>
        </w:rPr>
        <w:t xml:space="preserve"> </w:t>
      </w:r>
      <w:r w:rsidRPr="00A307C6">
        <w:rPr>
          <w:lang w:val="en-GB"/>
        </w:rPr>
        <w:t xml:space="preserve">enables the repetition of </w:t>
      </w:r>
      <w:r w:rsidR="0080355C" w:rsidRPr="00A307C6">
        <w:rPr>
          <w:lang w:val="en-GB"/>
        </w:rPr>
        <w:t xml:space="preserve">these </w:t>
      </w:r>
      <w:r w:rsidRPr="00A307C6">
        <w:rPr>
          <w:lang w:val="en-GB"/>
        </w:rPr>
        <w:t xml:space="preserve">crimes </w:t>
      </w:r>
      <w:r w:rsidR="0080355C" w:rsidRPr="00A307C6">
        <w:rPr>
          <w:lang w:val="en-GB"/>
        </w:rPr>
        <w:t xml:space="preserve">of rape and sexual violence </w:t>
      </w:r>
      <w:r w:rsidRPr="00A307C6">
        <w:rPr>
          <w:lang w:val="en-GB"/>
        </w:rPr>
        <w:t>by armed men who carry sexually transmitted infections</w:t>
      </w:r>
      <w:r w:rsidR="00692385" w:rsidRPr="00A307C6">
        <w:rPr>
          <w:lang w:val="en-GB"/>
        </w:rPr>
        <w:t xml:space="preserve">. A </w:t>
      </w:r>
      <w:r w:rsidRPr="00A307C6">
        <w:rPr>
          <w:lang w:val="en-GB"/>
        </w:rPr>
        <w:t xml:space="preserve">woman </w:t>
      </w:r>
      <w:r w:rsidR="00692385" w:rsidRPr="00A307C6">
        <w:rPr>
          <w:lang w:val="en-GB"/>
        </w:rPr>
        <w:t xml:space="preserve">who was a victim of a mass rape </w:t>
      </w:r>
      <w:r w:rsidRPr="00A307C6">
        <w:rPr>
          <w:lang w:val="en-GB"/>
        </w:rPr>
        <w:t xml:space="preserve">told the Commission </w:t>
      </w:r>
      <w:r w:rsidR="00692385" w:rsidRPr="00A307C6">
        <w:rPr>
          <w:lang w:val="en-GB"/>
        </w:rPr>
        <w:t>that she could not convince the other victims to seek medical attention, because they feared that their husbands would leave them, and so did not want to draw attention to their situation</w:t>
      </w:r>
      <w:r w:rsidRPr="00A307C6">
        <w:rPr>
          <w:lang w:val="en-GB"/>
        </w:rPr>
        <w:t>.</w:t>
      </w:r>
      <w:r w:rsidRPr="00A307C6">
        <w:rPr>
          <w:rStyle w:val="FootnoteReference"/>
          <w:lang w:val="en-GB"/>
        </w:rPr>
        <w:footnoteReference w:id="188"/>
      </w:r>
      <w:r w:rsidR="009E7334" w:rsidRPr="00A307C6">
        <w:rPr>
          <w:lang w:val="en-GB"/>
        </w:rPr>
        <w:t xml:space="preserve"> </w:t>
      </w:r>
      <w:bookmarkStart w:id="62" w:name="_Hlk97986734"/>
      <w:r w:rsidR="009E7334" w:rsidRPr="00A307C6">
        <w:rPr>
          <w:lang w:val="en-GB"/>
        </w:rPr>
        <w:t xml:space="preserve">Young women spoke </w:t>
      </w:r>
      <w:r w:rsidR="00EA39D1" w:rsidRPr="00A307C6">
        <w:rPr>
          <w:lang w:val="en-GB"/>
        </w:rPr>
        <w:t xml:space="preserve">to the Commission </w:t>
      </w:r>
      <w:r w:rsidR="00EB2CF0" w:rsidRPr="00A307C6">
        <w:rPr>
          <w:lang w:val="en-GB"/>
        </w:rPr>
        <w:t>of</w:t>
      </w:r>
      <w:r w:rsidR="009E7334" w:rsidRPr="00A307C6">
        <w:rPr>
          <w:lang w:val="en-GB"/>
        </w:rPr>
        <w:t xml:space="preserve"> how they had been expelled from their families and </w:t>
      </w:r>
      <w:r w:rsidR="00EB2CF0" w:rsidRPr="00A307C6">
        <w:rPr>
          <w:lang w:val="en-GB"/>
        </w:rPr>
        <w:t xml:space="preserve">that </w:t>
      </w:r>
      <w:r w:rsidR="009E7334" w:rsidRPr="00A307C6">
        <w:rPr>
          <w:lang w:val="en-GB"/>
        </w:rPr>
        <w:t>their husbands had abandoned them after they had been returned by their rapists</w:t>
      </w:r>
      <w:r w:rsidR="009E7334" w:rsidRPr="00A307C6">
        <w:rPr>
          <w:rStyle w:val="FootnoteReference"/>
          <w:lang w:val="en-GB"/>
        </w:rPr>
        <w:footnoteReference w:id="189"/>
      </w:r>
      <w:r w:rsidR="009E7334" w:rsidRPr="00A307C6">
        <w:rPr>
          <w:lang w:val="en-GB"/>
        </w:rPr>
        <w:t xml:space="preserve">. </w:t>
      </w:r>
      <w:bookmarkEnd w:id="62"/>
    </w:p>
    <w:p w14:paraId="5E85D364" w14:textId="2B81B36F" w:rsidR="00BE79A9" w:rsidRPr="00A307C6" w:rsidRDefault="00BE79A9" w:rsidP="009E6E96">
      <w:pPr>
        <w:pStyle w:val="H1G"/>
        <w:rPr>
          <w:bCs/>
        </w:rPr>
      </w:pPr>
      <w:bookmarkStart w:id="63" w:name="_Toc98226824"/>
      <w:bookmarkStart w:id="64" w:name="_Toc98606465"/>
      <w:r w:rsidRPr="00A307C6">
        <w:t>Psychological</w:t>
      </w:r>
      <w:r w:rsidRPr="00A307C6">
        <w:rPr>
          <w:bCs/>
        </w:rPr>
        <w:t xml:space="preserve"> health</w:t>
      </w:r>
      <w:bookmarkEnd w:id="63"/>
      <w:bookmarkEnd w:id="64"/>
      <w:r w:rsidR="00816D0D" w:rsidRPr="00A307C6">
        <w:rPr>
          <w:bCs/>
        </w:rPr>
        <w:t xml:space="preserve"> </w:t>
      </w:r>
    </w:p>
    <w:p w14:paraId="30F63C68" w14:textId="26983F7E" w:rsidR="00890242" w:rsidRPr="00A307C6" w:rsidRDefault="00BF5116" w:rsidP="00FF077A">
      <w:pPr>
        <w:pStyle w:val="Paragraph"/>
        <w:rPr>
          <w:lang w:val="en-GB"/>
        </w:rPr>
      </w:pPr>
      <w:r>
        <w:rPr>
          <w:lang w:val="en-GB"/>
        </w:rPr>
        <w:t>The p</w:t>
      </w:r>
      <w:r w:rsidR="000206E0" w:rsidRPr="00A307C6">
        <w:rPr>
          <w:lang w:val="en-GB"/>
        </w:rPr>
        <w:t xml:space="preserve">sychological effects of sexual violence </w:t>
      </w:r>
      <w:r w:rsidR="00686DB5" w:rsidRPr="00A307C6">
        <w:rPr>
          <w:lang w:val="en-GB"/>
        </w:rPr>
        <w:t xml:space="preserve">in the context of conflict </w:t>
      </w:r>
      <w:r w:rsidR="000206E0" w:rsidRPr="00A307C6">
        <w:rPr>
          <w:lang w:val="en-GB"/>
        </w:rPr>
        <w:t>tend to be compounded</w:t>
      </w:r>
      <w:r w:rsidR="00686DB5" w:rsidRPr="00A307C6">
        <w:rPr>
          <w:lang w:val="en-GB"/>
        </w:rPr>
        <w:t xml:space="preserve">, </w:t>
      </w:r>
      <w:r w:rsidR="000206E0" w:rsidRPr="00A307C6">
        <w:rPr>
          <w:lang w:val="en-GB"/>
        </w:rPr>
        <w:t xml:space="preserve">given that violence of a sexual nature is rarely isolated from other traumatic experiences, including </w:t>
      </w:r>
      <w:r w:rsidR="00686DB5" w:rsidRPr="00A307C6">
        <w:rPr>
          <w:lang w:val="en-GB"/>
        </w:rPr>
        <w:t xml:space="preserve">witnessing </w:t>
      </w:r>
      <w:r w:rsidR="00686DB5" w:rsidRPr="00A307C6">
        <w:rPr>
          <w:lang w:val="en-GB"/>
        </w:rPr>
        <w:lastRenderedPageBreak/>
        <w:t xml:space="preserve">attacks and killings, </w:t>
      </w:r>
      <w:r w:rsidR="000206E0" w:rsidRPr="00A307C6">
        <w:rPr>
          <w:lang w:val="en-GB"/>
        </w:rPr>
        <w:t xml:space="preserve">having one’s life </w:t>
      </w:r>
      <w:r w:rsidR="002551D4" w:rsidRPr="00A307C6">
        <w:rPr>
          <w:lang w:val="en-GB"/>
        </w:rPr>
        <w:t xml:space="preserve">disrupted </w:t>
      </w:r>
      <w:r w:rsidR="000206E0" w:rsidRPr="00A307C6">
        <w:rPr>
          <w:lang w:val="en-GB"/>
        </w:rPr>
        <w:t>by forced displacement</w:t>
      </w:r>
      <w:r w:rsidR="000053AE" w:rsidRPr="00A307C6">
        <w:rPr>
          <w:lang w:val="en-GB"/>
        </w:rPr>
        <w:t xml:space="preserve">, and often also </w:t>
      </w:r>
      <w:r>
        <w:rPr>
          <w:lang w:val="en-GB"/>
        </w:rPr>
        <w:t xml:space="preserve">caused by </w:t>
      </w:r>
      <w:r w:rsidR="002551D4" w:rsidRPr="00A307C6">
        <w:rPr>
          <w:lang w:val="en-GB"/>
        </w:rPr>
        <w:t xml:space="preserve">broken </w:t>
      </w:r>
      <w:r w:rsidR="000053AE" w:rsidRPr="00A307C6">
        <w:rPr>
          <w:lang w:val="en-GB"/>
        </w:rPr>
        <w:t>relationships with partners and social stigma in communities</w:t>
      </w:r>
      <w:r w:rsidR="000206E0" w:rsidRPr="00A307C6">
        <w:rPr>
          <w:lang w:val="en-GB"/>
        </w:rPr>
        <w:t>.</w:t>
      </w:r>
      <w:r w:rsidR="000053AE" w:rsidRPr="00A307C6">
        <w:rPr>
          <w:lang w:val="en-GB"/>
        </w:rPr>
        <w:t xml:space="preserve"> </w:t>
      </w:r>
      <w:r w:rsidR="00890242" w:rsidRPr="00A307C6">
        <w:rPr>
          <w:lang w:val="en-GB"/>
        </w:rPr>
        <w:t xml:space="preserve">The trauma of losing children in conflict, </w:t>
      </w:r>
      <w:r>
        <w:rPr>
          <w:lang w:val="en-GB"/>
        </w:rPr>
        <w:t xml:space="preserve">has also </w:t>
      </w:r>
      <w:r w:rsidR="00890242" w:rsidRPr="00A307C6">
        <w:rPr>
          <w:lang w:val="en-GB"/>
        </w:rPr>
        <w:t>contribute</w:t>
      </w:r>
      <w:r>
        <w:rPr>
          <w:lang w:val="en-GB"/>
        </w:rPr>
        <w:t>d</w:t>
      </w:r>
      <w:r w:rsidR="00890242" w:rsidRPr="00A307C6">
        <w:rPr>
          <w:lang w:val="en-GB"/>
        </w:rPr>
        <w:t xml:space="preserve"> to the loss of </w:t>
      </w:r>
      <w:r>
        <w:rPr>
          <w:lang w:val="en-GB"/>
        </w:rPr>
        <w:t xml:space="preserve">self-worth and </w:t>
      </w:r>
      <w:r w:rsidR="00890242" w:rsidRPr="00A307C6">
        <w:rPr>
          <w:lang w:val="en-GB"/>
        </w:rPr>
        <w:t xml:space="preserve">meaning in life, which </w:t>
      </w:r>
      <w:r>
        <w:rPr>
          <w:lang w:val="en-GB"/>
        </w:rPr>
        <w:t xml:space="preserve">is also of significance </w:t>
      </w:r>
      <w:r w:rsidR="00890242" w:rsidRPr="00A307C6">
        <w:rPr>
          <w:lang w:val="en-GB"/>
        </w:rPr>
        <w:t>to a parent</w:t>
      </w:r>
      <w:r>
        <w:rPr>
          <w:lang w:val="en-GB"/>
        </w:rPr>
        <w:t>.</w:t>
      </w:r>
      <w:r w:rsidR="00890242" w:rsidRPr="00A307C6">
        <w:rPr>
          <w:rStyle w:val="FootnoteReference"/>
          <w:lang w:val="en-GB"/>
        </w:rPr>
        <w:footnoteReference w:id="190"/>
      </w:r>
    </w:p>
    <w:p w14:paraId="15F18D71" w14:textId="3A85A8DF" w:rsidR="008612BA" w:rsidRPr="00A307C6" w:rsidRDefault="005F21E7" w:rsidP="00FF077A">
      <w:pPr>
        <w:pStyle w:val="Paragraph"/>
        <w:rPr>
          <w:lang w:val="en-GB"/>
        </w:rPr>
      </w:pPr>
      <w:r w:rsidRPr="00A307C6">
        <w:rPr>
          <w:lang w:val="en-GB"/>
        </w:rPr>
        <w:t xml:space="preserve">In interviews with survivors of conflict-related sexual violence and </w:t>
      </w:r>
      <w:r w:rsidR="00BF5116">
        <w:rPr>
          <w:lang w:val="en-GB"/>
        </w:rPr>
        <w:t xml:space="preserve">service </w:t>
      </w:r>
      <w:r w:rsidRPr="00A307C6">
        <w:rPr>
          <w:lang w:val="en-GB"/>
        </w:rPr>
        <w:t xml:space="preserve">providers, the Commission </w:t>
      </w:r>
      <w:r w:rsidR="005044CC">
        <w:rPr>
          <w:lang w:val="en-GB"/>
        </w:rPr>
        <w:t xml:space="preserve">noted the patterns of </w:t>
      </w:r>
      <w:r w:rsidRPr="00A307C6">
        <w:rPr>
          <w:lang w:val="en-GB"/>
        </w:rPr>
        <w:t xml:space="preserve">psychological </w:t>
      </w:r>
      <w:r w:rsidR="005044CC">
        <w:rPr>
          <w:lang w:val="en-GB"/>
        </w:rPr>
        <w:t xml:space="preserve">trauma, such </w:t>
      </w:r>
      <w:r w:rsidR="007D62DE">
        <w:rPr>
          <w:lang w:val="en-GB"/>
        </w:rPr>
        <w:t>as</w:t>
      </w:r>
      <w:r w:rsidR="005044CC">
        <w:rPr>
          <w:lang w:val="en-GB"/>
        </w:rPr>
        <w:t xml:space="preserve"> </w:t>
      </w:r>
      <w:r w:rsidRPr="00A307C6">
        <w:rPr>
          <w:lang w:val="en-GB"/>
        </w:rPr>
        <w:t>acute stress, depression, anxiety, emotional numbing, sexual dysfunction and post-traumatic stress disorder</w:t>
      </w:r>
      <w:r w:rsidR="002A0847" w:rsidRPr="00A307C6">
        <w:rPr>
          <w:lang w:val="en-GB"/>
        </w:rPr>
        <w:t xml:space="preserve"> (PTSD)</w:t>
      </w:r>
      <w:r w:rsidRPr="00A307C6">
        <w:rPr>
          <w:lang w:val="en-GB"/>
        </w:rPr>
        <w:t xml:space="preserve">. </w:t>
      </w:r>
      <w:r w:rsidR="005044CC">
        <w:rPr>
          <w:lang w:val="en-GB"/>
        </w:rPr>
        <w:t xml:space="preserve">Besides the incidents </w:t>
      </w:r>
      <w:r w:rsidR="0057119E" w:rsidRPr="00A307C6">
        <w:rPr>
          <w:lang w:val="en-GB"/>
        </w:rPr>
        <w:t xml:space="preserve">of sexual violence themselves, these </w:t>
      </w:r>
      <w:r w:rsidR="005044CC">
        <w:rPr>
          <w:lang w:val="en-GB"/>
        </w:rPr>
        <w:t xml:space="preserve">patterns manifest as </w:t>
      </w:r>
      <w:r w:rsidR="002A0847" w:rsidRPr="00A307C6">
        <w:rPr>
          <w:lang w:val="en-GB"/>
        </w:rPr>
        <w:t xml:space="preserve">secondary </w:t>
      </w:r>
      <w:r w:rsidR="0057119E" w:rsidRPr="00A307C6">
        <w:rPr>
          <w:lang w:val="en-GB"/>
        </w:rPr>
        <w:t>social impact</w:t>
      </w:r>
      <w:r w:rsidR="007D62DE">
        <w:rPr>
          <w:lang w:val="en-GB"/>
        </w:rPr>
        <w:t>s</w:t>
      </w:r>
      <w:r w:rsidR="006940B7" w:rsidRPr="00A307C6">
        <w:rPr>
          <w:lang w:val="en-GB"/>
        </w:rPr>
        <w:t xml:space="preserve">. </w:t>
      </w:r>
    </w:p>
    <w:p w14:paraId="1DEBCCBA" w14:textId="0A9BB283" w:rsidR="00827F27" w:rsidRPr="00A307C6" w:rsidRDefault="00EA4366" w:rsidP="00FF077A">
      <w:pPr>
        <w:pStyle w:val="Paragraph"/>
        <w:rPr>
          <w:lang w:val="en-GB"/>
        </w:rPr>
      </w:pPr>
      <w:r w:rsidRPr="00A307C6">
        <w:rPr>
          <w:lang w:val="en-GB"/>
        </w:rPr>
        <w:t xml:space="preserve">Many survivors suffer from depression and despondency, particularly when they are in </w:t>
      </w:r>
      <w:r w:rsidR="00D5704F" w:rsidRPr="00A307C6">
        <w:rPr>
          <w:lang w:val="en-GB"/>
        </w:rPr>
        <w:t>protracted</w:t>
      </w:r>
      <w:r w:rsidRPr="00A307C6">
        <w:rPr>
          <w:lang w:val="en-GB"/>
        </w:rPr>
        <w:t xml:space="preserve"> and extremely difficult situations of displacement and separation from family members, home and land, and livelihoods, which have arisen around the same time as</w:t>
      </w:r>
      <w:r w:rsidR="00EB2CF0" w:rsidRPr="00A307C6">
        <w:rPr>
          <w:lang w:val="en-GB"/>
        </w:rPr>
        <w:t>,</w:t>
      </w:r>
      <w:r w:rsidRPr="00A307C6">
        <w:rPr>
          <w:lang w:val="en-GB"/>
        </w:rPr>
        <w:t xml:space="preserve"> and in the context of</w:t>
      </w:r>
      <w:r w:rsidR="00EB2CF0" w:rsidRPr="00A307C6">
        <w:rPr>
          <w:lang w:val="en-GB"/>
        </w:rPr>
        <w:t>,</w:t>
      </w:r>
      <w:r w:rsidRPr="00A307C6">
        <w:rPr>
          <w:lang w:val="en-GB"/>
        </w:rPr>
        <w:t xml:space="preserve"> the conflict or insecurity in which they experienced the sexual violence.</w:t>
      </w:r>
      <w:r w:rsidR="00FC5927" w:rsidRPr="00A307C6">
        <w:rPr>
          <w:rStyle w:val="FootnoteReference"/>
          <w:lang w:val="en-GB"/>
        </w:rPr>
        <w:footnoteReference w:id="191"/>
      </w:r>
    </w:p>
    <w:p w14:paraId="1BE6D1F0" w14:textId="79DD3CD0" w:rsidR="008A27EB" w:rsidRPr="00A307C6" w:rsidRDefault="005044CC" w:rsidP="00FF077A">
      <w:pPr>
        <w:pStyle w:val="Paragraph"/>
        <w:rPr>
          <w:lang w:val="en-GB"/>
        </w:rPr>
      </w:pPr>
      <w:r>
        <w:rPr>
          <w:lang w:val="en-GB"/>
        </w:rPr>
        <w:t>Survivors described to the Commission their experiences of</w:t>
      </w:r>
      <w:r w:rsidR="008A27EB" w:rsidRPr="00A307C6">
        <w:rPr>
          <w:lang w:val="en-GB"/>
        </w:rPr>
        <w:t xml:space="preserve"> trauma </w:t>
      </w:r>
      <w:r>
        <w:rPr>
          <w:lang w:val="en-GB"/>
        </w:rPr>
        <w:t xml:space="preserve">associated </w:t>
      </w:r>
      <w:r w:rsidR="008A27EB" w:rsidRPr="00A307C6">
        <w:rPr>
          <w:lang w:val="en-GB"/>
        </w:rPr>
        <w:t>with having lost everything</w:t>
      </w:r>
      <w:r>
        <w:rPr>
          <w:lang w:val="en-GB"/>
        </w:rPr>
        <w:t xml:space="preserve">, </w:t>
      </w:r>
      <w:r w:rsidR="00B2634C">
        <w:rPr>
          <w:lang w:val="en-GB"/>
        </w:rPr>
        <w:t xml:space="preserve">and where in </w:t>
      </w:r>
      <w:r>
        <w:rPr>
          <w:lang w:val="en-GB"/>
        </w:rPr>
        <w:t xml:space="preserve">their </w:t>
      </w:r>
      <w:r w:rsidR="008A27EB" w:rsidRPr="00A307C6">
        <w:rPr>
          <w:lang w:val="en-GB"/>
        </w:rPr>
        <w:t xml:space="preserve">prior </w:t>
      </w:r>
      <w:r>
        <w:rPr>
          <w:lang w:val="en-GB"/>
        </w:rPr>
        <w:t xml:space="preserve">lives they </w:t>
      </w:r>
      <w:r w:rsidR="007D62DE">
        <w:rPr>
          <w:lang w:val="en-GB"/>
        </w:rPr>
        <w:t xml:space="preserve">had some autonomy and </w:t>
      </w:r>
      <w:r w:rsidR="00B2634C">
        <w:rPr>
          <w:lang w:val="en-GB"/>
        </w:rPr>
        <w:t xml:space="preserve">previously owned </w:t>
      </w:r>
      <w:r w:rsidR="007D62DE">
        <w:rPr>
          <w:lang w:val="en-GB"/>
        </w:rPr>
        <w:t xml:space="preserve">assets to a situation whereby they are </w:t>
      </w:r>
      <w:r w:rsidR="00B2634C">
        <w:rPr>
          <w:lang w:val="en-GB"/>
        </w:rPr>
        <w:t xml:space="preserve">now </w:t>
      </w:r>
      <w:r>
        <w:rPr>
          <w:lang w:val="en-GB"/>
        </w:rPr>
        <w:t xml:space="preserve">living in </w:t>
      </w:r>
      <w:r w:rsidR="002551D4" w:rsidRPr="00A307C6">
        <w:rPr>
          <w:lang w:val="en-GB"/>
        </w:rPr>
        <w:t xml:space="preserve">complete </w:t>
      </w:r>
      <w:r w:rsidR="00D5704F" w:rsidRPr="00A307C6">
        <w:rPr>
          <w:lang w:val="en-GB"/>
        </w:rPr>
        <w:t>destitution</w:t>
      </w:r>
      <w:r>
        <w:rPr>
          <w:lang w:val="en-GB"/>
        </w:rPr>
        <w:t>.</w:t>
      </w:r>
      <w:r w:rsidR="008A27EB" w:rsidRPr="00A307C6">
        <w:rPr>
          <w:lang w:val="en-GB"/>
        </w:rPr>
        <w:t xml:space="preserve"> Clinicians working with refugees told the Commission that many survivors of violence, including sexual violence, </w:t>
      </w:r>
      <w:r w:rsidR="002551D4" w:rsidRPr="00A307C6">
        <w:rPr>
          <w:lang w:val="en-GB"/>
        </w:rPr>
        <w:t xml:space="preserve">find </w:t>
      </w:r>
      <w:r w:rsidR="008A27EB" w:rsidRPr="00A307C6">
        <w:rPr>
          <w:lang w:val="en-GB"/>
        </w:rPr>
        <w:t>it hard to lead meaningful lives without hope</w:t>
      </w:r>
      <w:r w:rsidR="00EB2CF0" w:rsidRPr="00A307C6">
        <w:rPr>
          <w:lang w:val="en-GB"/>
        </w:rPr>
        <w:t>,</w:t>
      </w:r>
      <w:r w:rsidR="008A27EB" w:rsidRPr="00A307C6">
        <w:rPr>
          <w:lang w:val="en-GB"/>
        </w:rPr>
        <w:t xml:space="preserve"> particularly given the other difficult circumstances of their situation, and so </w:t>
      </w:r>
      <w:r w:rsidR="008A27EB" w:rsidRPr="00A307C6">
        <w:rPr>
          <w:lang w:val="en-GB"/>
        </w:rPr>
        <w:lastRenderedPageBreak/>
        <w:t>many are resigned to have pitiful lives, with access to counselling and services to address their trauma being very rare.</w:t>
      </w:r>
      <w:r w:rsidR="008A27EB" w:rsidRPr="00A307C6">
        <w:rPr>
          <w:rStyle w:val="FootnoteReference"/>
          <w:lang w:val="en-GB"/>
        </w:rPr>
        <w:footnoteReference w:id="192"/>
      </w:r>
    </w:p>
    <w:p w14:paraId="43F3B617" w14:textId="3772E136" w:rsidR="009042E7" w:rsidRPr="00A307C6" w:rsidRDefault="009771CE" w:rsidP="00FF077A">
      <w:pPr>
        <w:pStyle w:val="Paragraph"/>
        <w:rPr>
          <w:lang w:val="en-GB"/>
        </w:rPr>
      </w:pPr>
      <w:r w:rsidRPr="00A307C6">
        <w:rPr>
          <w:lang w:val="en-GB"/>
        </w:rPr>
        <w:t>Several survivors of sexual violence recounted how trauma was a factor in deciding to flee their home village or town in South Sudan</w:t>
      </w:r>
      <w:r w:rsidR="00EB2CF0" w:rsidRPr="00A307C6">
        <w:rPr>
          <w:lang w:val="en-GB"/>
        </w:rPr>
        <w:t xml:space="preserve">. As they sought </w:t>
      </w:r>
      <w:r w:rsidRPr="00A307C6">
        <w:rPr>
          <w:lang w:val="en-GB"/>
        </w:rPr>
        <w:t xml:space="preserve">refuge in </w:t>
      </w:r>
      <w:r w:rsidR="00A307C6" w:rsidRPr="00A307C6">
        <w:rPr>
          <w:lang w:val="en-GB"/>
        </w:rPr>
        <w:t>neighbouring</w:t>
      </w:r>
      <w:r w:rsidRPr="00A307C6">
        <w:rPr>
          <w:lang w:val="en-GB"/>
        </w:rPr>
        <w:t xml:space="preserve"> countries</w:t>
      </w:r>
      <w:r w:rsidR="00EB2CF0" w:rsidRPr="00A307C6">
        <w:rPr>
          <w:lang w:val="en-GB"/>
        </w:rPr>
        <w:t xml:space="preserve"> the</w:t>
      </w:r>
      <w:r w:rsidRPr="00A307C6">
        <w:rPr>
          <w:lang w:val="en-GB"/>
        </w:rPr>
        <w:t xml:space="preserve"> trauma persists </w:t>
      </w:r>
      <w:r w:rsidR="00D20DF3" w:rsidRPr="00A307C6">
        <w:rPr>
          <w:lang w:val="en-GB"/>
        </w:rPr>
        <w:t xml:space="preserve">given the </w:t>
      </w:r>
      <w:r w:rsidRPr="00A307C6">
        <w:rPr>
          <w:lang w:val="en-GB"/>
        </w:rPr>
        <w:t>barrier</w:t>
      </w:r>
      <w:r w:rsidR="00D20DF3" w:rsidRPr="00A307C6">
        <w:rPr>
          <w:lang w:val="en-GB"/>
        </w:rPr>
        <w:t>s</w:t>
      </w:r>
      <w:r w:rsidRPr="00A307C6">
        <w:rPr>
          <w:lang w:val="en-GB"/>
        </w:rPr>
        <w:t xml:space="preserve"> to their return</w:t>
      </w:r>
      <w:r w:rsidR="00EB2CF0" w:rsidRPr="00A307C6">
        <w:rPr>
          <w:lang w:val="en-GB"/>
        </w:rPr>
        <w:t xml:space="preserve">. This is </w:t>
      </w:r>
      <w:r w:rsidRPr="00A307C6">
        <w:rPr>
          <w:lang w:val="en-GB"/>
        </w:rPr>
        <w:t xml:space="preserve">particularly </w:t>
      </w:r>
      <w:r w:rsidR="00EB2CF0" w:rsidRPr="00A307C6">
        <w:rPr>
          <w:lang w:val="en-GB"/>
        </w:rPr>
        <w:t xml:space="preserve">acute </w:t>
      </w:r>
      <w:r w:rsidRPr="00A307C6">
        <w:rPr>
          <w:lang w:val="en-GB"/>
        </w:rPr>
        <w:t xml:space="preserve">when they understand that armed men are still operative in those areas </w:t>
      </w:r>
      <w:r w:rsidR="00EB2CF0" w:rsidRPr="00A307C6">
        <w:rPr>
          <w:lang w:val="en-GB"/>
        </w:rPr>
        <w:t xml:space="preserve">they have left </w:t>
      </w:r>
      <w:r w:rsidRPr="00A307C6">
        <w:rPr>
          <w:lang w:val="en-GB"/>
        </w:rPr>
        <w:t>in an environment of lawlessness.</w:t>
      </w:r>
      <w:r w:rsidR="009042E7" w:rsidRPr="00A307C6">
        <w:rPr>
          <w:lang w:val="en-GB"/>
        </w:rPr>
        <w:t xml:space="preserve"> It is difficult to imagine a future back home when they risk further violations.</w:t>
      </w:r>
      <w:r w:rsidR="007D62DE">
        <w:rPr>
          <w:rStyle w:val="FootnoteReference"/>
        </w:rPr>
        <w:footnoteReference w:id="193"/>
      </w:r>
    </w:p>
    <w:p w14:paraId="0DAD654F" w14:textId="226323C1" w:rsidR="0075068E" w:rsidRPr="00A307C6" w:rsidRDefault="0075068E" w:rsidP="00FF077A">
      <w:pPr>
        <w:pStyle w:val="Paragraph"/>
        <w:rPr>
          <w:lang w:val="en-GB"/>
        </w:rPr>
      </w:pPr>
      <w:r w:rsidRPr="00A307C6">
        <w:rPr>
          <w:lang w:val="en-GB"/>
        </w:rPr>
        <w:t xml:space="preserve">The psychological impact on survivors of sexual violence extends well beyond the individual victim to encompass families and communities and is evident long after the violation and even when some semblance of normalcy has been attained by a survivor. Many survivors spoke of how stress, anxiety and panic </w:t>
      </w:r>
      <w:r w:rsidR="00A32E14">
        <w:rPr>
          <w:lang w:val="en-GB"/>
        </w:rPr>
        <w:t xml:space="preserve">recur </w:t>
      </w:r>
      <w:r w:rsidRPr="00A307C6">
        <w:rPr>
          <w:lang w:val="en-GB"/>
        </w:rPr>
        <w:t xml:space="preserve">when they hear certain sounds associated with their experience, or how certain </w:t>
      </w:r>
      <w:r w:rsidR="00A307C6" w:rsidRPr="00A307C6">
        <w:rPr>
          <w:lang w:val="en-GB"/>
        </w:rPr>
        <w:t>colours</w:t>
      </w:r>
      <w:r w:rsidRPr="00A307C6">
        <w:rPr>
          <w:lang w:val="en-GB"/>
        </w:rPr>
        <w:t xml:space="preserve">, smells and images work as triggers and take them back to the moments of violation. </w:t>
      </w:r>
      <w:bookmarkStart w:id="65" w:name="_Hlk98201217"/>
      <w:r w:rsidRPr="00A307C6">
        <w:rPr>
          <w:lang w:val="en-GB"/>
        </w:rPr>
        <w:t>Another survivor shared how she did not like it when she sat in a gathering and people spoke at the same time with a lot of noise, she said it “disorgani</w:t>
      </w:r>
      <w:r w:rsidR="0018179F" w:rsidRPr="00A307C6">
        <w:rPr>
          <w:lang w:val="en-GB"/>
        </w:rPr>
        <w:t>z</w:t>
      </w:r>
      <w:r w:rsidRPr="00A307C6">
        <w:rPr>
          <w:lang w:val="en-GB"/>
        </w:rPr>
        <w:t xml:space="preserve">ed” her, referring to how her thoughts and composure were scattered and it reminded her of the chaos </w:t>
      </w:r>
      <w:r w:rsidR="00EA61E1" w:rsidRPr="00A307C6">
        <w:rPr>
          <w:lang w:val="en-GB"/>
        </w:rPr>
        <w:t xml:space="preserve">present </w:t>
      </w:r>
      <w:r w:rsidRPr="00A307C6">
        <w:rPr>
          <w:lang w:val="en-GB"/>
        </w:rPr>
        <w:t>during the time of her experience.</w:t>
      </w:r>
      <w:r w:rsidRPr="00A307C6">
        <w:rPr>
          <w:rStyle w:val="FootnoteReference"/>
          <w:lang w:val="en-GB"/>
        </w:rPr>
        <w:footnoteReference w:id="194"/>
      </w:r>
      <w:bookmarkEnd w:id="65"/>
    </w:p>
    <w:p w14:paraId="56CE04AA" w14:textId="77777777" w:rsidR="004C0512" w:rsidRPr="00A307C6" w:rsidRDefault="001F758C" w:rsidP="004C0512">
      <w:pPr>
        <w:pStyle w:val="Paragraph"/>
        <w:rPr>
          <w:lang w:val="en-GB"/>
        </w:rPr>
      </w:pPr>
      <w:r w:rsidRPr="00A307C6">
        <w:rPr>
          <w:lang w:val="en-GB"/>
        </w:rPr>
        <w:t xml:space="preserve">For many </w:t>
      </w:r>
      <w:r w:rsidR="00EA61E1" w:rsidRPr="00A307C6">
        <w:rPr>
          <w:lang w:val="en-GB"/>
        </w:rPr>
        <w:t>survivors</w:t>
      </w:r>
      <w:r w:rsidRPr="00A307C6">
        <w:rPr>
          <w:lang w:val="en-GB"/>
        </w:rPr>
        <w:t xml:space="preserve">, the </w:t>
      </w:r>
      <w:r w:rsidR="009771CE" w:rsidRPr="00A307C6">
        <w:rPr>
          <w:lang w:val="en-GB"/>
        </w:rPr>
        <w:t xml:space="preserve">passage of time has not healed psychological wounds, it is difficult to forget the traumatic </w:t>
      </w:r>
      <w:r w:rsidRPr="00A307C6">
        <w:rPr>
          <w:lang w:val="en-GB"/>
        </w:rPr>
        <w:t>events</w:t>
      </w:r>
      <w:r w:rsidR="009771CE" w:rsidRPr="00A307C6">
        <w:rPr>
          <w:lang w:val="en-GB"/>
        </w:rPr>
        <w:t xml:space="preserve">, and </w:t>
      </w:r>
      <w:r w:rsidRPr="00A307C6">
        <w:rPr>
          <w:lang w:val="en-GB"/>
        </w:rPr>
        <w:t xml:space="preserve">they still experience </w:t>
      </w:r>
      <w:r w:rsidR="009771CE" w:rsidRPr="00A307C6">
        <w:rPr>
          <w:lang w:val="en-GB"/>
        </w:rPr>
        <w:t>suicidal thoughts.</w:t>
      </w:r>
      <w:r w:rsidR="009771CE" w:rsidRPr="00A307C6">
        <w:rPr>
          <w:rStyle w:val="FootnoteReference"/>
          <w:lang w:val="en-GB"/>
        </w:rPr>
        <w:footnoteReference w:id="195"/>
      </w:r>
      <w:r w:rsidR="0031100A" w:rsidRPr="00A307C6">
        <w:rPr>
          <w:lang w:val="en-GB"/>
        </w:rPr>
        <w:t xml:space="preserve"> Clinicians and service providers for displaced persons </w:t>
      </w:r>
      <w:r w:rsidR="002A0847" w:rsidRPr="00A307C6">
        <w:rPr>
          <w:lang w:val="en-GB"/>
        </w:rPr>
        <w:t>confirmed that PTSD is a phenomenon for survivors of sexual violence particularly in cases where they do not report their experience and thereby guarantee no access to requisite forms of support.</w:t>
      </w:r>
      <w:r w:rsidR="002A0847" w:rsidRPr="00A307C6">
        <w:rPr>
          <w:rStyle w:val="FootnoteReference"/>
          <w:lang w:val="en-GB"/>
        </w:rPr>
        <w:footnoteReference w:id="196"/>
      </w:r>
      <w:r w:rsidR="002A0847" w:rsidRPr="00A307C6">
        <w:rPr>
          <w:lang w:val="en-GB"/>
        </w:rPr>
        <w:t xml:space="preserve"> The Commission was told of severe mental health challenges, including cases of depression and suicidal thoughts, but importantly it must be noted these are not limited to victims of sexual violence, and often are linked also to the displacement experience.</w:t>
      </w:r>
      <w:r w:rsidR="002A0847" w:rsidRPr="00A307C6">
        <w:rPr>
          <w:rStyle w:val="FootnoteReference"/>
          <w:lang w:val="en-GB"/>
        </w:rPr>
        <w:footnoteReference w:id="197"/>
      </w:r>
      <w:r w:rsidR="00E65E7A" w:rsidRPr="00A307C6">
        <w:rPr>
          <w:lang w:val="en-GB"/>
        </w:rPr>
        <w:t xml:space="preserve"> </w:t>
      </w:r>
      <w:r w:rsidR="009042E7" w:rsidRPr="00A307C6">
        <w:rPr>
          <w:lang w:val="en-GB"/>
        </w:rPr>
        <w:t xml:space="preserve">Many survivors spoke of the onset </w:t>
      </w:r>
      <w:r w:rsidR="009042E7" w:rsidRPr="00A307C6">
        <w:rPr>
          <w:lang w:val="en-GB"/>
        </w:rPr>
        <w:lastRenderedPageBreak/>
        <w:t xml:space="preserve">of stress related illnesses following their experiences and loss of basic functionality because of high blood pressure, thyroid conditions, panic attacks, nightmares </w:t>
      </w:r>
      <w:r w:rsidR="00E65E7A" w:rsidRPr="00A307C6">
        <w:rPr>
          <w:lang w:val="en-GB"/>
        </w:rPr>
        <w:t>and other conditions</w:t>
      </w:r>
      <w:r w:rsidR="009042E7" w:rsidRPr="00A307C6">
        <w:rPr>
          <w:lang w:val="en-GB"/>
        </w:rPr>
        <w:t xml:space="preserve">. </w:t>
      </w:r>
    </w:p>
    <w:p w14:paraId="07840E3C" w14:textId="636FE5C1" w:rsidR="00BE79A9" w:rsidRPr="00A307C6" w:rsidRDefault="005B5A9D" w:rsidP="009E6E96">
      <w:pPr>
        <w:pStyle w:val="H1G"/>
      </w:pPr>
      <w:bookmarkStart w:id="66" w:name="_Toc98226825"/>
      <w:bookmarkStart w:id="67" w:name="_Toc98606466"/>
      <w:r w:rsidRPr="00A307C6">
        <w:t xml:space="preserve">Obstacles </w:t>
      </w:r>
      <w:r w:rsidR="00354848" w:rsidRPr="00A307C6">
        <w:t>to a</w:t>
      </w:r>
      <w:r w:rsidR="00BE79A9" w:rsidRPr="00A307C6">
        <w:t>ccess</w:t>
      </w:r>
      <w:r w:rsidR="00354848" w:rsidRPr="00A307C6">
        <w:t>ing</w:t>
      </w:r>
      <w:r w:rsidR="00BE79A9" w:rsidRPr="00A307C6">
        <w:t xml:space="preserve"> health</w:t>
      </w:r>
      <w:r w:rsidR="005E437F" w:rsidRPr="00A307C6">
        <w:t xml:space="preserve"> care and psychosocial support</w:t>
      </w:r>
      <w:bookmarkEnd w:id="66"/>
      <w:bookmarkEnd w:id="67"/>
    </w:p>
    <w:p w14:paraId="0E85ACB2" w14:textId="4D36B2F4" w:rsidR="00AA4247" w:rsidRPr="00A307C6" w:rsidRDefault="00AA4247" w:rsidP="00FF077A">
      <w:pPr>
        <w:pStyle w:val="Paragraph"/>
        <w:rPr>
          <w:lang w:val="en-GB"/>
        </w:rPr>
      </w:pPr>
      <w:r w:rsidRPr="00A307C6">
        <w:rPr>
          <w:lang w:val="en-GB"/>
        </w:rPr>
        <w:t>South Sudan lacks the infrastructure and basic services needed to support the large number of survivors of sexual and gender-based violence and conflict-related sexual violence</w:t>
      </w:r>
      <w:r w:rsidR="00EB2CF0" w:rsidRPr="00A307C6">
        <w:rPr>
          <w:lang w:val="en-GB"/>
        </w:rPr>
        <w:t>.</w:t>
      </w:r>
      <w:r w:rsidRPr="00A307C6">
        <w:rPr>
          <w:lang w:val="en-GB"/>
        </w:rPr>
        <w:t xml:space="preserve"> </w:t>
      </w:r>
      <w:r w:rsidR="00E65E7A" w:rsidRPr="00A307C6">
        <w:rPr>
          <w:lang w:val="en-GB"/>
        </w:rPr>
        <w:t>Survivors of conflict-related sexual violence in South Sudan require health care and psychosocial support in a context where health services and outcomes are already amongst the wors</w:t>
      </w:r>
      <w:r w:rsidR="007D62DE">
        <w:rPr>
          <w:lang w:val="en-GB"/>
        </w:rPr>
        <w:t>t</w:t>
      </w:r>
      <w:r w:rsidR="00E65E7A" w:rsidRPr="00A307C6">
        <w:rPr>
          <w:lang w:val="en-GB"/>
        </w:rPr>
        <w:t xml:space="preserve"> in the world, including in times of normality in urban centres, let alone in conflict settings or displacement camps. </w:t>
      </w:r>
      <w:r w:rsidR="005A24CD" w:rsidRPr="00A307C6">
        <w:rPr>
          <w:lang w:val="en-GB"/>
        </w:rPr>
        <w:t xml:space="preserve">Many humanitarian agencies are </w:t>
      </w:r>
      <w:r w:rsidR="00686DB5" w:rsidRPr="00A307C6">
        <w:rPr>
          <w:lang w:val="en-GB"/>
        </w:rPr>
        <w:t xml:space="preserve">overburdened by the humanitarian needs of survivors and are </w:t>
      </w:r>
      <w:r w:rsidR="005A24CD" w:rsidRPr="00A307C6">
        <w:rPr>
          <w:lang w:val="en-GB"/>
        </w:rPr>
        <w:t xml:space="preserve">chronically and increasingly underfunded. </w:t>
      </w:r>
      <w:r w:rsidR="00686DB5" w:rsidRPr="00A307C6">
        <w:rPr>
          <w:lang w:val="en-GB"/>
        </w:rPr>
        <w:t xml:space="preserve">This is also due to the failure of the </w:t>
      </w:r>
      <w:r w:rsidR="00EB2CF0" w:rsidRPr="00A307C6">
        <w:rPr>
          <w:lang w:val="en-GB"/>
        </w:rPr>
        <w:t>G</w:t>
      </w:r>
      <w:r w:rsidR="00027E33" w:rsidRPr="00A307C6">
        <w:rPr>
          <w:lang w:val="en-GB"/>
        </w:rPr>
        <w:t xml:space="preserve">overnment </w:t>
      </w:r>
      <w:r w:rsidR="00A15F2A" w:rsidRPr="00A307C6">
        <w:rPr>
          <w:lang w:val="en-GB"/>
        </w:rPr>
        <w:t xml:space="preserve">to invest in </w:t>
      </w:r>
      <w:r w:rsidR="00027E33" w:rsidRPr="00A307C6">
        <w:rPr>
          <w:lang w:val="en-GB"/>
        </w:rPr>
        <w:t xml:space="preserve">basic </w:t>
      </w:r>
      <w:r w:rsidR="00A15F2A" w:rsidRPr="00A307C6">
        <w:rPr>
          <w:lang w:val="en-GB"/>
        </w:rPr>
        <w:t>services and support for populations in need</w:t>
      </w:r>
      <w:r w:rsidR="00EB2CF0" w:rsidRPr="00A307C6">
        <w:rPr>
          <w:lang w:val="en-GB"/>
        </w:rPr>
        <w:t xml:space="preserve">. It chooses </w:t>
      </w:r>
      <w:r w:rsidR="00A15F2A" w:rsidRPr="00A307C6">
        <w:rPr>
          <w:lang w:val="en-GB"/>
        </w:rPr>
        <w:t>not to realign State spending and resources towards essential services and infrastructure, and ignor</w:t>
      </w:r>
      <w:r w:rsidR="00EB2CF0" w:rsidRPr="00A307C6">
        <w:rPr>
          <w:lang w:val="en-GB"/>
        </w:rPr>
        <w:t>es</w:t>
      </w:r>
      <w:r w:rsidR="00A15F2A" w:rsidRPr="00A307C6">
        <w:rPr>
          <w:lang w:val="en-GB"/>
        </w:rPr>
        <w:t xml:space="preserve"> rampant corruption and theft of national revenues</w:t>
      </w:r>
      <w:r w:rsidR="00934BB9" w:rsidRPr="00A307C6">
        <w:rPr>
          <w:lang w:val="en-GB"/>
        </w:rPr>
        <w:t>.</w:t>
      </w:r>
      <w:r w:rsidR="0065396B" w:rsidRPr="00A307C6">
        <w:rPr>
          <w:rStyle w:val="FootnoteReference"/>
          <w:lang w:val="en-GB"/>
        </w:rPr>
        <w:footnoteReference w:id="198"/>
      </w:r>
      <w:r w:rsidR="00934BB9" w:rsidRPr="00A307C6">
        <w:rPr>
          <w:lang w:val="en-GB"/>
        </w:rPr>
        <w:t xml:space="preserve"> </w:t>
      </w:r>
      <w:r w:rsidR="00E65E7A" w:rsidRPr="00A307C6">
        <w:rPr>
          <w:lang w:val="en-GB"/>
        </w:rPr>
        <w:t xml:space="preserve">The presence of adequate health facilities is </w:t>
      </w:r>
      <w:r w:rsidR="00A15F2A" w:rsidRPr="00A307C6">
        <w:rPr>
          <w:lang w:val="en-GB"/>
        </w:rPr>
        <w:t xml:space="preserve">thereby </w:t>
      </w:r>
      <w:r w:rsidR="00E65E7A" w:rsidRPr="00A307C6">
        <w:rPr>
          <w:lang w:val="en-GB"/>
        </w:rPr>
        <w:t>extremely rare</w:t>
      </w:r>
      <w:r w:rsidR="003E43D4" w:rsidRPr="00A307C6">
        <w:rPr>
          <w:lang w:val="en-GB"/>
        </w:rPr>
        <w:t xml:space="preserve"> and, where they exist and are known of, persons in need must travel vast distances to access services</w:t>
      </w:r>
      <w:r w:rsidR="00E65E7A" w:rsidRPr="00A307C6">
        <w:rPr>
          <w:lang w:val="en-GB"/>
        </w:rPr>
        <w:t xml:space="preserve">. </w:t>
      </w:r>
      <w:r w:rsidR="000A4075" w:rsidRPr="00A307C6">
        <w:rPr>
          <w:lang w:val="en-GB"/>
        </w:rPr>
        <w:t>The Commission noted many examples of women not receiving any care for this reason.</w:t>
      </w:r>
      <w:r w:rsidR="000A4075" w:rsidRPr="00A307C6">
        <w:rPr>
          <w:rStyle w:val="FootnoteReference"/>
          <w:lang w:val="en-GB"/>
        </w:rPr>
        <w:footnoteReference w:id="199"/>
      </w:r>
      <w:r w:rsidRPr="00A307C6">
        <w:rPr>
          <w:lang w:val="en-GB"/>
        </w:rPr>
        <w:t xml:space="preserve"> </w:t>
      </w:r>
    </w:p>
    <w:p w14:paraId="6CDDD67C" w14:textId="1406FC75" w:rsidR="00D724AA" w:rsidRPr="00A307C6" w:rsidRDefault="00D724AA" w:rsidP="00FF077A">
      <w:pPr>
        <w:pStyle w:val="Paragraph"/>
        <w:rPr>
          <w:lang w:val="en-GB"/>
        </w:rPr>
      </w:pPr>
      <w:r w:rsidRPr="00A307C6">
        <w:rPr>
          <w:lang w:val="en-GB"/>
        </w:rPr>
        <w:t>Timely and adequate medical treatment is rarely on offer for survivors of sexual violence, as clinicians and service providers who offer critical support lack the numbers or resources to provide support at anywhere close to the scale necessary</w:t>
      </w:r>
      <w:r w:rsidR="00EB2CF0" w:rsidRPr="00A307C6">
        <w:rPr>
          <w:lang w:val="en-GB"/>
        </w:rPr>
        <w:t xml:space="preserve">. </w:t>
      </w:r>
    </w:p>
    <w:p w14:paraId="0129BB45" w14:textId="3317D9EA" w:rsidR="00BE79A9" w:rsidRPr="00A307C6" w:rsidRDefault="00E65E7A" w:rsidP="00FF077A">
      <w:pPr>
        <w:pStyle w:val="Paragraph"/>
        <w:rPr>
          <w:lang w:val="en-GB"/>
        </w:rPr>
      </w:pPr>
      <w:r w:rsidRPr="00A307C6">
        <w:rPr>
          <w:lang w:val="en-GB"/>
        </w:rPr>
        <w:t>While medication can address some harms and control lasting conditions, and diagnosis and treatment has significantly improved the quality of life for those who can access these,</w:t>
      </w:r>
      <w:r w:rsidR="00890242" w:rsidRPr="00A307C6">
        <w:rPr>
          <w:rStyle w:val="FootnoteReference"/>
          <w:lang w:val="en-GB"/>
        </w:rPr>
        <w:footnoteReference w:id="200"/>
      </w:r>
      <w:r w:rsidRPr="00A307C6">
        <w:rPr>
          <w:lang w:val="en-GB"/>
        </w:rPr>
        <w:t xml:space="preserve"> most victims will not and do not have access to such services, and so live with severely compromised health because of conditions that could be otherwise managed. Care options are often available only for those who arrive </w:t>
      </w:r>
      <w:r w:rsidRPr="00A307C6">
        <w:rPr>
          <w:lang w:val="en-GB"/>
        </w:rPr>
        <w:lastRenderedPageBreak/>
        <w:t>in displacement camps, and even then, the extent of care can be limited due to resourcing and other social factors.</w:t>
      </w:r>
      <w:r w:rsidRPr="00A307C6">
        <w:rPr>
          <w:rStyle w:val="FootnoteReference"/>
          <w:lang w:val="en-GB"/>
        </w:rPr>
        <w:footnoteReference w:id="201"/>
      </w:r>
    </w:p>
    <w:p w14:paraId="28B16CA3" w14:textId="0FBAA67F" w:rsidR="00CC2511" w:rsidRPr="00A307C6" w:rsidRDefault="00496EFF" w:rsidP="00FF077A">
      <w:pPr>
        <w:pStyle w:val="Paragraph"/>
        <w:rPr>
          <w:lang w:val="en-GB"/>
        </w:rPr>
      </w:pPr>
      <w:r w:rsidRPr="00A307C6">
        <w:rPr>
          <w:lang w:val="en-GB"/>
        </w:rPr>
        <w:t>Professional c</w:t>
      </w:r>
      <w:r w:rsidR="00890242" w:rsidRPr="00A307C6">
        <w:rPr>
          <w:lang w:val="en-GB"/>
        </w:rPr>
        <w:t xml:space="preserve">ounselling support in particular is rarely on offer for those in need. </w:t>
      </w:r>
      <w:r w:rsidR="00AA4247" w:rsidRPr="00A307C6">
        <w:rPr>
          <w:lang w:val="en-GB"/>
        </w:rPr>
        <w:t>Psychiatric and psychological needs are vast in a country with very few practi</w:t>
      </w:r>
      <w:r w:rsidR="0085271F" w:rsidRPr="00A307C6">
        <w:rPr>
          <w:lang w:val="en-GB"/>
        </w:rPr>
        <w:t>s</w:t>
      </w:r>
      <w:r w:rsidR="00AA4247" w:rsidRPr="00A307C6">
        <w:rPr>
          <w:lang w:val="en-GB"/>
        </w:rPr>
        <w:t xml:space="preserve">ing professionals, and the availability of services is highly unequal depending on locations. </w:t>
      </w:r>
      <w:r w:rsidR="00890242" w:rsidRPr="00A307C6">
        <w:rPr>
          <w:lang w:val="en-GB"/>
        </w:rPr>
        <w:t xml:space="preserve">Language and cultural barriers </w:t>
      </w:r>
      <w:r w:rsidR="00CC2511" w:rsidRPr="00A307C6">
        <w:rPr>
          <w:lang w:val="en-GB"/>
        </w:rPr>
        <w:t xml:space="preserve">are </w:t>
      </w:r>
      <w:r w:rsidR="00D5704F" w:rsidRPr="00A307C6">
        <w:rPr>
          <w:lang w:val="en-GB"/>
        </w:rPr>
        <w:t>further</w:t>
      </w:r>
      <w:r w:rsidR="00890242" w:rsidRPr="00A307C6">
        <w:rPr>
          <w:lang w:val="en-GB"/>
        </w:rPr>
        <w:t xml:space="preserve"> </w:t>
      </w:r>
      <w:r w:rsidR="00D5704F" w:rsidRPr="00A307C6">
        <w:rPr>
          <w:lang w:val="en-GB"/>
        </w:rPr>
        <w:t>impediments</w:t>
      </w:r>
      <w:r w:rsidR="00890242" w:rsidRPr="00A307C6">
        <w:rPr>
          <w:lang w:val="en-GB"/>
        </w:rPr>
        <w:t xml:space="preserve"> to </w:t>
      </w:r>
      <w:r w:rsidR="00CC2511" w:rsidRPr="00A307C6">
        <w:rPr>
          <w:lang w:val="en-GB"/>
        </w:rPr>
        <w:t xml:space="preserve">accessing </w:t>
      </w:r>
      <w:r w:rsidR="00890242" w:rsidRPr="00A307C6">
        <w:rPr>
          <w:lang w:val="en-GB"/>
        </w:rPr>
        <w:t>any form of support, as has been noted by service providers.</w:t>
      </w:r>
      <w:r w:rsidR="00890242" w:rsidRPr="00A307C6">
        <w:rPr>
          <w:rStyle w:val="FootnoteReference"/>
          <w:lang w:val="en-GB"/>
        </w:rPr>
        <w:footnoteReference w:id="202"/>
      </w:r>
      <w:r w:rsidR="00890242" w:rsidRPr="00A307C6">
        <w:rPr>
          <w:lang w:val="en-GB"/>
        </w:rPr>
        <w:t xml:space="preserve"> </w:t>
      </w:r>
      <w:r w:rsidR="002404AF" w:rsidRPr="00A307C6">
        <w:rPr>
          <w:lang w:val="en-GB"/>
        </w:rPr>
        <w:t>Rehabilitation</w:t>
      </w:r>
      <w:r w:rsidRPr="00A307C6">
        <w:rPr>
          <w:lang w:val="en-GB"/>
        </w:rPr>
        <w:t xml:space="preserve"> </w:t>
      </w:r>
      <w:r w:rsidR="00D5704F" w:rsidRPr="00A307C6">
        <w:rPr>
          <w:lang w:val="en-GB"/>
        </w:rPr>
        <w:t>activities</w:t>
      </w:r>
      <w:r w:rsidRPr="00A307C6">
        <w:rPr>
          <w:lang w:val="en-GB"/>
        </w:rPr>
        <w:t xml:space="preserve"> and </w:t>
      </w:r>
      <w:r w:rsidR="00D5704F" w:rsidRPr="00A307C6">
        <w:rPr>
          <w:lang w:val="en-GB"/>
        </w:rPr>
        <w:t>Peer</w:t>
      </w:r>
      <w:r w:rsidRPr="00A307C6">
        <w:rPr>
          <w:lang w:val="en-GB"/>
        </w:rPr>
        <w:t xml:space="preserve"> counselling initiatives could be other efficient and effective options, say some clinicians.</w:t>
      </w:r>
    </w:p>
    <w:p w14:paraId="6D9B4BD4" w14:textId="569EAAEA" w:rsidR="00890242" w:rsidRPr="00A307C6" w:rsidRDefault="00CC2511" w:rsidP="00FF077A">
      <w:pPr>
        <w:pStyle w:val="Paragraph"/>
        <w:rPr>
          <w:lang w:val="en-GB"/>
        </w:rPr>
      </w:pPr>
      <w:r w:rsidRPr="00A307C6">
        <w:rPr>
          <w:lang w:val="en-GB"/>
        </w:rPr>
        <w:t>W</w:t>
      </w:r>
      <w:r w:rsidR="006226B8" w:rsidRPr="00A307C6">
        <w:rPr>
          <w:lang w:val="en-GB"/>
        </w:rPr>
        <w:t>here services are available, the living conditions and life prospects influenced by other factors</w:t>
      </w:r>
      <w:r w:rsidR="00977ECA" w:rsidRPr="00A307C6">
        <w:rPr>
          <w:lang w:val="en-GB"/>
        </w:rPr>
        <w:t xml:space="preserve"> such as the ongoing insecurity and lack of livelihoods in their places of origin and the daily struggle to get adequate food and water</w:t>
      </w:r>
      <w:r w:rsidR="006226B8" w:rsidRPr="00A307C6">
        <w:rPr>
          <w:lang w:val="en-GB"/>
        </w:rPr>
        <w:t xml:space="preserve"> </w:t>
      </w:r>
      <w:r w:rsidR="00977ECA" w:rsidRPr="00A307C6">
        <w:rPr>
          <w:lang w:val="en-GB"/>
        </w:rPr>
        <w:t xml:space="preserve">in many displacement settings </w:t>
      </w:r>
      <w:r w:rsidR="006226B8" w:rsidRPr="00A307C6">
        <w:rPr>
          <w:lang w:val="en-GB"/>
        </w:rPr>
        <w:t xml:space="preserve">can drag on the efficacy of </w:t>
      </w:r>
      <w:r w:rsidR="002404AF" w:rsidRPr="00A307C6">
        <w:rPr>
          <w:lang w:val="en-GB"/>
        </w:rPr>
        <w:t>psychosocial</w:t>
      </w:r>
      <w:r w:rsidR="006226B8" w:rsidRPr="00A307C6">
        <w:rPr>
          <w:lang w:val="en-GB"/>
        </w:rPr>
        <w:t xml:space="preserve"> interventions. </w:t>
      </w:r>
      <w:r w:rsidR="00E204B4" w:rsidRPr="00A307C6">
        <w:rPr>
          <w:lang w:val="en-GB"/>
        </w:rPr>
        <w:t>A survivor of multiple instances of displacement and sexual violations, l</w:t>
      </w:r>
      <w:r w:rsidR="00890242" w:rsidRPr="00A307C6">
        <w:rPr>
          <w:lang w:val="en-GB"/>
        </w:rPr>
        <w:t xml:space="preserve">iving in a protracted refugee situation, </w:t>
      </w:r>
      <w:r w:rsidRPr="00A307C6">
        <w:rPr>
          <w:lang w:val="en-GB"/>
        </w:rPr>
        <w:t xml:space="preserve">told the commission that </w:t>
      </w:r>
      <w:r w:rsidR="00890242" w:rsidRPr="00A307C6">
        <w:rPr>
          <w:lang w:val="en-GB"/>
        </w:rPr>
        <w:t>she obtained medical and counselling support facilitated through an NGO, which has in part addressed her trauma, but she says that her pain continues given she has no available means to properly support her children.</w:t>
      </w:r>
      <w:r w:rsidR="00890242" w:rsidRPr="00A307C6">
        <w:rPr>
          <w:rStyle w:val="FootnoteReference"/>
          <w:lang w:val="en-GB"/>
        </w:rPr>
        <w:footnoteReference w:id="203"/>
      </w:r>
    </w:p>
    <w:p w14:paraId="54688F5A" w14:textId="76EAF230" w:rsidR="006226B8" w:rsidRPr="00A307C6" w:rsidRDefault="00AB6B0E" w:rsidP="00FF077A">
      <w:pPr>
        <w:pStyle w:val="Paragraph"/>
        <w:rPr>
          <w:lang w:val="en-GB"/>
        </w:rPr>
      </w:pPr>
      <w:r w:rsidRPr="00A307C6">
        <w:rPr>
          <w:lang w:val="en-GB"/>
        </w:rPr>
        <w:t xml:space="preserve">Access to services in </w:t>
      </w:r>
      <w:r w:rsidR="00A64072" w:rsidRPr="00A307C6">
        <w:rPr>
          <w:lang w:val="en-GB"/>
        </w:rPr>
        <w:t>displacement and refugee camps</w:t>
      </w:r>
      <w:r w:rsidRPr="00A307C6">
        <w:rPr>
          <w:lang w:val="en-GB"/>
        </w:rPr>
        <w:t xml:space="preserve">, </w:t>
      </w:r>
      <w:r w:rsidR="00A64072" w:rsidRPr="00A307C6">
        <w:rPr>
          <w:lang w:val="en-GB"/>
        </w:rPr>
        <w:t xml:space="preserve">is </w:t>
      </w:r>
      <w:r w:rsidRPr="00A307C6">
        <w:rPr>
          <w:lang w:val="en-GB"/>
        </w:rPr>
        <w:t xml:space="preserve">facilitated by </w:t>
      </w:r>
      <w:r w:rsidR="00A64072" w:rsidRPr="00A307C6">
        <w:rPr>
          <w:lang w:val="en-GB"/>
        </w:rPr>
        <w:t>the presence of humanitarian agencies and medical providers</w:t>
      </w:r>
      <w:r w:rsidRPr="00A307C6">
        <w:rPr>
          <w:lang w:val="en-GB"/>
        </w:rPr>
        <w:t xml:space="preserve">. Nevertheless, </w:t>
      </w:r>
      <w:r w:rsidR="00A64072" w:rsidRPr="00A307C6">
        <w:rPr>
          <w:lang w:val="en-GB"/>
        </w:rPr>
        <w:t xml:space="preserve">barriers to seeking support </w:t>
      </w:r>
      <w:r w:rsidRPr="00A307C6">
        <w:rPr>
          <w:lang w:val="en-GB"/>
        </w:rPr>
        <w:t xml:space="preserve">still exist </w:t>
      </w:r>
      <w:r w:rsidR="00A64072" w:rsidRPr="00A307C6">
        <w:rPr>
          <w:lang w:val="en-GB"/>
        </w:rPr>
        <w:t>including a lack of awareness of its utility, its availability, the ability and agency of individuals to take the time to seek out help, and cultural barriers such as not wanting to discuss taboo or otherwise sensitive issues.</w:t>
      </w:r>
    </w:p>
    <w:p w14:paraId="08618441" w14:textId="77777777" w:rsidR="00A32E14" w:rsidRDefault="00AB6B0E" w:rsidP="00FF077A">
      <w:pPr>
        <w:pStyle w:val="Paragraph"/>
        <w:rPr>
          <w:lang w:val="en-GB"/>
        </w:rPr>
      </w:pPr>
      <w:r w:rsidRPr="00A307C6">
        <w:rPr>
          <w:lang w:val="en-GB"/>
        </w:rPr>
        <w:t xml:space="preserve">The Commission noted that </w:t>
      </w:r>
      <w:r w:rsidR="00AA4247" w:rsidRPr="00A307C6">
        <w:rPr>
          <w:lang w:val="en-GB"/>
        </w:rPr>
        <w:t xml:space="preserve">even </w:t>
      </w:r>
      <w:r w:rsidR="0096243D" w:rsidRPr="00A307C6">
        <w:rPr>
          <w:lang w:val="en-GB"/>
        </w:rPr>
        <w:t xml:space="preserve">where services are available many women do not report sexual violence perpetrated against them, or they do not present to clinics in a manner </w:t>
      </w:r>
      <w:r w:rsidR="0085271F" w:rsidRPr="00A307C6">
        <w:rPr>
          <w:lang w:val="en-GB"/>
        </w:rPr>
        <w:t xml:space="preserve">which is </w:t>
      </w:r>
      <w:r w:rsidR="0096243D" w:rsidRPr="00A307C6">
        <w:rPr>
          <w:lang w:val="en-GB"/>
        </w:rPr>
        <w:t xml:space="preserve">timely enough to obtain emergency support. </w:t>
      </w:r>
      <w:r w:rsidR="00DC7F7F" w:rsidRPr="00A307C6">
        <w:rPr>
          <w:lang w:val="en-GB"/>
        </w:rPr>
        <w:t>Following their experience of assault</w:t>
      </w:r>
      <w:r w:rsidR="0085271F" w:rsidRPr="00A307C6">
        <w:rPr>
          <w:lang w:val="en-GB"/>
        </w:rPr>
        <w:t>,</w:t>
      </w:r>
      <w:r w:rsidR="00DC7F7F" w:rsidRPr="00A307C6">
        <w:rPr>
          <w:lang w:val="en-GB"/>
        </w:rPr>
        <w:t xml:space="preserve"> s</w:t>
      </w:r>
      <w:r w:rsidR="000A4075" w:rsidRPr="00A307C6">
        <w:rPr>
          <w:lang w:val="en-GB"/>
        </w:rPr>
        <w:t>ome victims may be incapacitated, physically and or mentally, and unable or unwilling to proactively seek medical attention.</w:t>
      </w:r>
      <w:r w:rsidR="000A4075" w:rsidRPr="00A307C6">
        <w:rPr>
          <w:rStyle w:val="FootnoteReference"/>
          <w:lang w:val="en-GB"/>
        </w:rPr>
        <w:footnoteReference w:id="204"/>
      </w:r>
      <w:r w:rsidR="000A4075" w:rsidRPr="00A307C6">
        <w:rPr>
          <w:lang w:val="en-GB"/>
        </w:rPr>
        <w:t xml:space="preserve"> </w:t>
      </w:r>
      <w:r w:rsidR="008E60F3" w:rsidRPr="00A307C6">
        <w:rPr>
          <w:lang w:val="en-GB"/>
        </w:rPr>
        <w:t xml:space="preserve">Victims also face social pressure not </w:t>
      </w:r>
      <w:r w:rsidR="0085271F" w:rsidRPr="00A307C6">
        <w:rPr>
          <w:lang w:val="en-GB"/>
        </w:rPr>
        <w:t xml:space="preserve">to </w:t>
      </w:r>
      <w:r w:rsidR="008E60F3" w:rsidRPr="00A307C6">
        <w:rPr>
          <w:lang w:val="en-GB"/>
        </w:rPr>
        <w:t xml:space="preserve">attend medical </w:t>
      </w:r>
      <w:r w:rsidR="00D5704F" w:rsidRPr="00A307C6">
        <w:rPr>
          <w:lang w:val="en-GB"/>
        </w:rPr>
        <w:t>facilities</w:t>
      </w:r>
      <w:r w:rsidR="008E60F3" w:rsidRPr="00A307C6">
        <w:rPr>
          <w:lang w:val="en-GB"/>
        </w:rPr>
        <w:t xml:space="preserve">: they may be discouraged against this by </w:t>
      </w:r>
      <w:r w:rsidRPr="00A307C6">
        <w:rPr>
          <w:lang w:val="en-GB"/>
        </w:rPr>
        <w:t xml:space="preserve">other </w:t>
      </w:r>
      <w:r w:rsidR="008E60F3" w:rsidRPr="00A307C6">
        <w:rPr>
          <w:lang w:val="en-GB"/>
        </w:rPr>
        <w:t xml:space="preserve">victims of the same incident, or discouraged by family members such as </w:t>
      </w:r>
      <w:r w:rsidRPr="00A307C6">
        <w:rPr>
          <w:lang w:val="en-GB"/>
        </w:rPr>
        <w:t>males in their families.</w:t>
      </w:r>
      <w:r w:rsidR="008E60F3" w:rsidRPr="00A307C6">
        <w:rPr>
          <w:lang w:val="en-GB"/>
        </w:rPr>
        <w:t xml:space="preserve"> </w:t>
      </w:r>
    </w:p>
    <w:p w14:paraId="5684F0E4" w14:textId="1F5BB92E" w:rsidR="00934BB9" w:rsidRPr="00A307C6" w:rsidRDefault="00AB6B0E" w:rsidP="00FF077A">
      <w:pPr>
        <w:pStyle w:val="Paragraph"/>
        <w:rPr>
          <w:lang w:val="en-GB"/>
        </w:rPr>
      </w:pPr>
      <w:r w:rsidRPr="00A307C6">
        <w:rPr>
          <w:lang w:val="en-GB"/>
        </w:rPr>
        <w:lastRenderedPageBreak/>
        <w:t xml:space="preserve">The Commission has noted that the reasons </w:t>
      </w:r>
      <w:r w:rsidR="00B2634C">
        <w:rPr>
          <w:lang w:val="en-GB"/>
        </w:rPr>
        <w:t xml:space="preserve">many women do </w:t>
      </w:r>
      <w:r w:rsidRPr="00A307C6">
        <w:rPr>
          <w:lang w:val="en-GB"/>
        </w:rPr>
        <w:t xml:space="preserve">not seek medical assistance arise from fear </w:t>
      </w:r>
      <w:r w:rsidR="008E60F3" w:rsidRPr="00A307C6">
        <w:rPr>
          <w:lang w:val="en-GB"/>
        </w:rPr>
        <w:t xml:space="preserve">that </w:t>
      </w:r>
      <w:r w:rsidRPr="00A307C6">
        <w:rPr>
          <w:lang w:val="en-GB"/>
        </w:rPr>
        <w:t xml:space="preserve">it </w:t>
      </w:r>
      <w:r w:rsidR="008E60F3" w:rsidRPr="00A307C6">
        <w:rPr>
          <w:lang w:val="en-GB"/>
        </w:rPr>
        <w:t xml:space="preserve">will lead </w:t>
      </w:r>
      <w:r w:rsidR="0085271F" w:rsidRPr="00A307C6">
        <w:rPr>
          <w:lang w:val="en-GB"/>
        </w:rPr>
        <w:t xml:space="preserve">to, </w:t>
      </w:r>
      <w:r w:rsidR="008E60F3" w:rsidRPr="00A307C6">
        <w:rPr>
          <w:lang w:val="en-GB"/>
        </w:rPr>
        <w:t>or contribute to</w:t>
      </w:r>
      <w:r w:rsidR="0085271F" w:rsidRPr="00A307C6">
        <w:rPr>
          <w:lang w:val="en-GB"/>
        </w:rPr>
        <w:t>,</w:t>
      </w:r>
      <w:r w:rsidR="008E60F3" w:rsidRPr="00A307C6">
        <w:rPr>
          <w:lang w:val="en-GB"/>
        </w:rPr>
        <w:t xml:space="preserve"> public knowledge of the sexual violence, and that this could adversely impact on the </w:t>
      </w:r>
      <w:r w:rsidR="00A307C6" w:rsidRPr="00A307C6">
        <w:rPr>
          <w:lang w:val="en-GB"/>
        </w:rPr>
        <w:t>women’s</w:t>
      </w:r>
      <w:r w:rsidR="008E60F3" w:rsidRPr="00A307C6">
        <w:rPr>
          <w:lang w:val="en-GB"/>
        </w:rPr>
        <w:t xml:space="preserve"> livelihood and income-generating capacities, </w:t>
      </w:r>
      <w:r w:rsidRPr="00A307C6">
        <w:rPr>
          <w:lang w:val="en-GB"/>
        </w:rPr>
        <w:t>given the</w:t>
      </w:r>
      <w:r w:rsidR="008E60F3" w:rsidRPr="00A307C6">
        <w:rPr>
          <w:lang w:val="en-GB"/>
        </w:rPr>
        <w:t xml:space="preserve"> risk their husbands may abandon them, or that the prospects for dowry income may be </w:t>
      </w:r>
      <w:r w:rsidRPr="00A307C6">
        <w:rPr>
          <w:lang w:val="en-GB"/>
        </w:rPr>
        <w:t xml:space="preserve">reduced </w:t>
      </w:r>
      <w:r w:rsidR="008E60F3" w:rsidRPr="00A307C6">
        <w:rPr>
          <w:lang w:val="en-GB"/>
        </w:rPr>
        <w:t xml:space="preserve">in the case of unmarried women. </w:t>
      </w:r>
      <w:r w:rsidRPr="00A307C6">
        <w:rPr>
          <w:lang w:val="en-GB"/>
        </w:rPr>
        <w:t xml:space="preserve">There is also </w:t>
      </w:r>
      <w:r w:rsidR="008E60F3" w:rsidRPr="00A307C6">
        <w:rPr>
          <w:lang w:val="en-GB"/>
        </w:rPr>
        <w:t>an understandable distrust of authority, and fear that medical practitioners may not treat the consultations confidentiall</w:t>
      </w:r>
      <w:r w:rsidR="00F14CC7" w:rsidRPr="00A307C6">
        <w:rPr>
          <w:lang w:val="en-GB"/>
        </w:rPr>
        <w:t>y; this trust deficit may be exacerbated whe</w:t>
      </w:r>
      <w:r w:rsidR="00537314" w:rsidRPr="00A307C6">
        <w:rPr>
          <w:lang w:val="en-GB"/>
        </w:rPr>
        <w:t xml:space="preserve">re </w:t>
      </w:r>
      <w:r w:rsidR="00F14CC7" w:rsidRPr="00A307C6">
        <w:rPr>
          <w:lang w:val="en-GB"/>
        </w:rPr>
        <w:t xml:space="preserve">South Sudanese health workers are </w:t>
      </w:r>
      <w:r w:rsidR="00537314" w:rsidRPr="00A307C6">
        <w:rPr>
          <w:lang w:val="en-GB"/>
        </w:rPr>
        <w:t xml:space="preserve">perceived </w:t>
      </w:r>
      <w:r w:rsidR="00F14CC7" w:rsidRPr="00A307C6">
        <w:rPr>
          <w:lang w:val="en-GB"/>
        </w:rPr>
        <w:t xml:space="preserve">to be aligned </w:t>
      </w:r>
      <w:r w:rsidR="00537314" w:rsidRPr="00A307C6">
        <w:rPr>
          <w:lang w:val="en-GB"/>
        </w:rPr>
        <w:t xml:space="preserve">to </w:t>
      </w:r>
      <w:r w:rsidR="00F14CC7" w:rsidRPr="00A307C6">
        <w:rPr>
          <w:lang w:val="en-GB"/>
        </w:rPr>
        <w:t>an ethnic, geographic-based or other identity group that is different to the victim</w:t>
      </w:r>
      <w:r w:rsidR="008E60F3" w:rsidRPr="00A307C6">
        <w:rPr>
          <w:lang w:val="en-GB"/>
        </w:rPr>
        <w:t>.</w:t>
      </w:r>
      <w:r w:rsidR="008E60F3" w:rsidRPr="00A307C6">
        <w:rPr>
          <w:rStyle w:val="FootnoteReference"/>
          <w:lang w:val="en-GB"/>
        </w:rPr>
        <w:footnoteReference w:id="205"/>
      </w:r>
      <w:r w:rsidR="008E60F3" w:rsidRPr="00A307C6">
        <w:rPr>
          <w:lang w:val="en-GB"/>
        </w:rPr>
        <w:t xml:space="preserve"> </w:t>
      </w:r>
      <w:r w:rsidR="00537314" w:rsidRPr="00A307C6">
        <w:rPr>
          <w:lang w:val="en-GB"/>
        </w:rPr>
        <w:t xml:space="preserve">These </w:t>
      </w:r>
      <w:r w:rsidR="007274CB" w:rsidRPr="00A307C6">
        <w:rPr>
          <w:lang w:val="en-GB"/>
        </w:rPr>
        <w:t>scenarios illustrate the intersectionality of individual and group experiences of conflict-related sexual violence and the interplay with broader processes and structures in society that discriminate against and limit life outcomes for women and girls.</w:t>
      </w:r>
      <w:r w:rsidR="00775F45" w:rsidRPr="00A307C6">
        <w:rPr>
          <w:lang w:val="en-GB"/>
        </w:rPr>
        <w:t xml:space="preserve"> These factors underscore that the limited availability of medical services is not the only dynamic that inhibits or prevents survivors from receiving the treatment necessary to address injuries and support their recovery.</w:t>
      </w:r>
      <w:r w:rsidR="00934BB9" w:rsidRPr="00A307C6">
        <w:rPr>
          <w:lang w:val="en-GB"/>
        </w:rPr>
        <w:t xml:space="preserve"> </w:t>
      </w:r>
    </w:p>
    <w:p w14:paraId="7F7A0665" w14:textId="56BA0C9E" w:rsidR="004833F1" w:rsidRPr="00A307C6" w:rsidRDefault="00BE79A9" w:rsidP="00B8644C">
      <w:pPr>
        <w:pStyle w:val="HChG"/>
        <w:numPr>
          <w:ilvl w:val="0"/>
          <w:numId w:val="14"/>
        </w:numPr>
        <w:outlineLvl w:val="0"/>
      </w:pPr>
      <w:bookmarkStart w:id="68" w:name="_Toc98226826"/>
      <w:bookmarkStart w:id="69" w:name="_Toc98606467"/>
      <w:r w:rsidRPr="00A307C6">
        <w:t xml:space="preserve">Socio-economic </w:t>
      </w:r>
      <w:r w:rsidR="00D50783" w:rsidRPr="00A307C6">
        <w:t>impact</w:t>
      </w:r>
      <w:r w:rsidR="00BF7F59" w:rsidRPr="00A307C6">
        <w:t>s</w:t>
      </w:r>
      <w:bookmarkEnd w:id="68"/>
      <w:bookmarkEnd w:id="69"/>
    </w:p>
    <w:p w14:paraId="49825533" w14:textId="6C712299" w:rsidR="00BD12F3" w:rsidRPr="00A307C6" w:rsidRDefault="001C4E1F" w:rsidP="00FF077A">
      <w:pPr>
        <w:pStyle w:val="Paragraph"/>
        <w:rPr>
          <w:lang w:val="en-GB"/>
        </w:rPr>
      </w:pPr>
      <w:r w:rsidRPr="00A307C6">
        <w:rPr>
          <w:lang w:val="en-GB"/>
        </w:rPr>
        <w:t>S</w:t>
      </w:r>
      <w:r w:rsidR="00BD12F3" w:rsidRPr="00A307C6">
        <w:rPr>
          <w:lang w:val="en-GB"/>
        </w:rPr>
        <w:t xml:space="preserve">exual violence </w:t>
      </w:r>
      <w:r w:rsidRPr="00A307C6">
        <w:rPr>
          <w:lang w:val="en-GB"/>
        </w:rPr>
        <w:t xml:space="preserve">perpetrated </w:t>
      </w:r>
      <w:r w:rsidR="00BD12F3" w:rsidRPr="00A307C6">
        <w:rPr>
          <w:lang w:val="en-GB"/>
        </w:rPr>
        <w:t>against women and girls</w:t>
      </w:r>
      <w:r w:rsidR="0085271F" w:rsidRPr="00A307C6">
        <w:rPr>
          <w:lang w:val="en-GB"/>
        </w:rPr>
        <w:t>,</w:t>
      </w:r>
      <w:r w:rsidR="00BD12F3" w:rsidRPr="00A307C6">
        <w:rPr>
          <w:lang w:val="en-GB"/>
        </w:rPr>
        <w:t xml:space="preserve"> during raids on villages and settlements by armed men</w:t>
      </w:r>
      <w:r w:rsidR="00233AF1" w:rsidRPr="00A307C6">
        <w:rPr>
          <w:lang w:val="en-GB"/>
        </w:rPr>
        <w:t>,</w:t>
      </w:r>
      <w:r w:rsidR="00BD12F3" w:rsidRPr="00A307C6">
        <w:rPr>
          <w:lang w:val="en-GB"/>
        </w:rPr>
        <w:t xml:space="preserve"> </w:t>
      </w:r>
      <w:r w:rsidR="00E33BE3" w:rsidRPr="00A307C6">
        <w:rPr>
          <w:lang w:val="en-GB"/>
        </w:rPr>
        <w:t>are not isolated incide</w:t>
      </w:r>
      <w:r w:rsidR="00DC7504" w:rsidRPr="00A307C6">
        <w:rPr>
          <w:lang w:val="en-GB"/>
        </w:rPr>
        <w:t>n</w:t>
      </w:r>
      <w:r w:rsidR="00E33BE3" w:rsidRPr="00A307C6">
        <w:rPr>
          <w:lang w:val="en-GB"/>
        </w:rPr>
        <w:t xml:space="preserve">ts but take place in the context of </w:t>
      </w:r>
      <w:r w:rsidR="00BD12F3" w:rsidRPr="00A307C6">
        <w:rPr>
          <w:lang w:val="en-GB"/>
        </w:rPr>
        <w:t xml:space="preserve">other crimes, </w:t>
      </w:r>
      <w:r w:rsidR="00E33BE3" w:rsidRPr="00A307C6">
        <w:rPr>
          <w:lang w:val="en-GB"/>
        </w:rPr>
        <w:t xml:space="preserve">such as targeted attacks on villages and settlements, arson, </w:t>
      </w:r>
      <w:r w:rsidR="00BD12F3" w:rsidRPr="00A307C6">
        <w:rPr>
          <w:lang w:val="en-GB"/>
        </w:rPr>
        <w:t>killings, looting and property destruction</w:t>
      </w:r>
      <w:r w:rsidR="00E33BE3" w:rsidRPr="00A307C6">
        <w:rPr>
          <w:lang w:val="en-GB"/>
        </w:rPr>
        <w:t>,</w:t>
      </w:r>
      <w:r w:rsidR="00BD12F3" w:rsidRPr="00A307C6">
        <w:rPr>
          <w:lang w:val="en-GB"/>
        </w:rPr>
        <w:t xml:space="preserve"> </w:t>
      </w:r>
      <w:r w:rsidR="00E33BE3" w:rsidRPr="00A307C6">
        <w:rPr>
          <w:lang w:val="en-GB"/>
        </w:rPr>
        <w:t xml:space="preserve">all  of </w:t>
      </w:r>
      <w:r w:rsidR="00D20DF3" w:rsidRPr="00A307C6">
        <w:rPr>
          <w:lang w:val="en-GB"/>
        </w:rPr>
        <w:t>which ha</w:t>
      </w:r>
      <w:r w:rsidR="00E33BE3" w:rsidRPr="00A307C6">
        <w:rPr>
          <w:lang w:val="en-GB"/>
        </w:rPr>
        <w:t>ve</w:t>
      </w:r>
      <w:r w:rsidR="00D20DF3" w:rsidRPr="00A307C6">
        <w:rPr>
          <w:lang w:val="en-GB"/>
        </w:rPr>
        <w:t xml:space="preserve"> </w:t>
      </w:r>
      <w:r w:rsidR="00BD12F3" w:rsidRPr="00A307C6">
        <w:rPr>
          <w:lang w:val="en-GB"/>
        </w:rPr>
        <w:t>devastating impact</w:t>
      </w:r>
      <w:r w:rsidR="00E33BE3" w:rsidRPr="00A307C6">
        <w:rPr>
          <w:lang w:val="en-GB"/>
        </w:rPr>
        <w:t>s</w:t>
      </w:r>
      <w:r w:rsidR="00BD12F3" w:rsidRPr="00A307C6">
        <w:rPr>
          <w:lang w:val="en-GB"/>
        </w:rPr>
        <w:t xml:space="preserve"> on the </w:t>
      </w:r>
      <w:r w:rsidR="00E33BE3" w:rsidRPr="00A307C6">
        <w:rPr>
          <w:lang w:val="en-GB"/>
        </w:rPr>
        <w:t xml:space="preserve">survivors of sexual violence including </w:t>
      </w:r>
      <w:r w:rsidR="0085271F" w:rsidRPr="00A307C6">
        <w:rPr>
          <w:lang w:val="en-GB"/>
        </w:rPr>
        <w:t xml:space="preserve">on their </w:t>
      </w:r>
      <w:r w:rsidR="00E33BE3" w:rsidRPr="00A307C6">
        <w:rPr>
          <w:lang w:val="en-GB"/>
        </w:rPr>
        <w:t xml:space="preserve">the </w:t>
      </w:r>
      <w:r w:rsidR="00BD12F3" w:rsidRPr="00A307C6">
        <w:rPr>
          <w:lang w:val="en-GB"/>
        </w:rPr>
        <w:t>livelihoods</w:t>
      </w:r>
      <w:r w:rsidR="00E33BE3" w:rsidRPr="00A307C6">
        <w:rPr>
          <w:lang w:val="en-GB"/>
        </w:rPr>
        <w:t>.</w:t>
      </w:r>
      <w:r w:rsidR="00F14CC7" w:rsidRPr="00A307C6">
        <w:rPr>
          <w:rStyle w:val="FootnoteReference"/>
          <w:bCs/>
          <w:sz w:val="20"/>
          <w:lang w:val="en-GB"/>
        </w:rPr>
        <w:footnoteReference w:id="206"/>
      </w:r>
      <w:r w:rsidR="00F14CC7" w:rsidRPr="00A307C6">
        <w:rPr>
          <w:lang w:val="en-GB"/>
        </w:rPr>
        <w:t xml:space="preserve"> </w:t>
      </w:r>
      <w:r w:rsidR="00DF7C93" w:rsidRPr="00A307C6">
        <w:rPr>
          <w:lang w:val="en-GB"/>
        </w:rPr>
        <w:t>In South Sudan, w</w:t>
      </w:r>
      <w:r w:rsidR="005E2040" w:rsidRPr="00A307C6">
        <w:rPr>
          <w:lang w:val="en-GB"/>
        </w:rPr>
        <w:t xml:space="preserve">omen carry the burden of caring for family members including </w:t>
      </w:r>
      <w:r w:rsidR="00091D00" w:rsidRPr="00A307C6">
        <w:rPr>
          <w:lang w:val="en-GB"/>
        </w:rPr>
        <w:t xml:space="preserve">the elderly and </w:t>
      </w:r>
      <w:r w:rsidR="005E2040" w:rsidRPr="00A307C6">
        <w:rPr>
          <w:lang w:val="en-GB"/>
        </w:rPr>
        <w:t xml:space="preserve">children, </w:t>
      </w:r>
      <w:r w:rsidR="00091D00" w:rsidRPr="00A307C6">
        <w:rPr>
          <w:lang w:val="en-GB"/>
        </w:rPr>
        <w:t xml:space="preserve">as </w:t>
      </w:r>
      <w:r w:rsidR="005E2040" w:rsidRPr="00A307C6">
        <w:rPr>
          <w:lang w:val="en-GB"/>
        </w:rPr>
        <w:t xml:space="preserve">male family members are </w:t>
      </w:r>
      <w:r w:rsidR="00091D00" w:rsidRPr="00A307C6">
        <w:rPr>
          <w:lang w:val="en-GB"/>
        </w:rPr>
        <w:t xml:space="preserve">usually </w:t>
      </w:r>
      <w:r w:rsidR="005E2040" w:rsidRPr="00A307C6">
        <w:rPr>
          <w:lang w:val="en-GB"/>
        </w:rPr>
        <w:t xml:space="preserve">involved in fighting or have gone missing </w:t>
      </w:r>
      <w:r w:rsidR="00DF7C93" w:rsidRPr="00A307C6">
        <w:rPr>
          <w:lang w:val="en-GB"/>
        </w:rPr>
        <w:t xml:space="preserve">or </w:t>
      </w:r>
      <w:r w:rsidR="00091D00" w:rsidRPr="00A307C6">
        <w:rPr>
          <w:lang w:val="en-GB"/>
        </w:rPr>
        <w:t>have been injured or killed in the violence</w:t>
      </w:r>
      <w:r w:rsidR="0085271F" w:rsidRPr="00A307C6">
        <w:rPr>
          <w:lang w:val="en-GB"/>
        </w:rPr>
        <w:t>. Furthermore</w:t>
      </w:r>
      <w:r w:rsidR="004373B0">
        <w:rPr>
          <w:lang w:val="en-GB"/>
        </w:rPr>
        <w:t>,</w:t>
      </w:r>
      <w:r w:rsidR="0085271F" w:rsidRPr="00A307C6">
        <w:rPr>
          <w:lang w:val="en-GB"/>
        </w:rPr>
        <w:t xml:space="preserve"> many males are </w:t>
      </w:r>
      <w:r w:rsidR="00221403" w:rsidRPr="00A307C6">
        <w:rPr>
          <w:lang w:val="en-GB"/>
        </w:rPr>
        <w:t>disab</w:t>
      </w:r>
      <w:r w:rsidR="005708BD" w:rsidRPr="00A307C6">
        <w:rPr>
          <w:lang w:val="en-GB"/>
        </w:rPr>
        <w:t>led</w:t>
      </w:r>
      <w:r w:rsidR="00091D00" w:rsidRPr="00A307C6">
        <w:rPr>
          <w:lang w:val="en-GB"/>
        </w:rPr>
        <w:t>,</w:t>
      </w:r>
      <w:r w:rsidR="005708BD" w:rsidRPr="00A307C6">
        <w:rPr>
          <w:lang w:val="en-GB"/>
        </w:rPr>
        <w:t xml:space="preserve"> having </w:t>
      </w:r>
      <w:r w:rsidR="00221403" w:rsidRPr="00A307C6">
        <w:rPr>
          <w:lang w:val="en-GB"/>
        </w:rPr>
        <w:t xml:space="preserve">lost limbs or </w:t>
      </w:r>
      <w:r w:rsidR="005708BD" w:rsidRPr="00A307C6">
        <w:rPr>
          <w:lang w:val="en-GB"/>
        </w:rPr>
        <w:t>sustained physical injuries as well as suffer</w:t>
      </w:r>
      <w:r w:rsidR="00091D00" w:rsidRPr="00A307C6">
        <w:rPr>
          <w:lang w:val="en-GB"/>
        </w:rPr>
        <w:t>ing</w:t>
      </w:r>
      <w:r w:rsidR="005708BD" w:rsidRPr="00A307C6">
        <w:rPr>
          <w:lang w:val="en-GB"/>
        </w:rPr>
        <w:t xml:space="preserve"> </w:t>
      </w:r>
      <w:r w:rsidR="00221403" w:rsidRPr="00A307C6">
        <w:rPr>
          <w:lang w:val="en-GB"/>
        </w:rPr>
        <w:t>debilitating mental health conditions</w:t>
      </w:r>
      <w:r w:rsidR="005708BD" w:rsidRPr="00A307C6">
        <w:rPr>
          <w:lang w:val="en-GB"/>
        </w:rPr>
        <w:t>.</w:t>
      </w:r>
      <w:r w:rsidR="005E2040" w:rsidRPr="00A307C6">
        <w:rPr>
          <w:rStyle w:val="FootnoteReference"/>
          <w:bCs/>
          <w:sz w:val="20"/>
          <w:lang w:val="en-GB"/>
        </w:rPr>
        <w:footnoteReference w:id="207"/>
      </w:r>
      <w:r w:rsidR="005E2040" w:rsidRPr="00A307C6">
        <w:rPr>
          <w:lang w:val="en-GB"/>
        </w:rPr>
        <w:t xml:space="preserve">  </w:t>
      </w:r>
      <w:r w:rsidR="00BD12F3" w:rsidRPr="00A307C6">
        <w:rPr>
          <w:lang w:val="en-GB"/>
        </w:rPr>
        <w:t xml:space="preserve">Attacks on women and girls occur while they travel outside settlements, </w:t>
      </w:r>
      <w:r w:rsidR="00091D00" w:rsidRPr="00A307C6">
        <w:rPr>
          <w:lang w:val="en-GB"/>
        </w:rPr>
        <w:t xml:space="preserve">and given the precarious situation of </w:t>
      </w:r>
      <w:r w:rsidR="00BD12F3" w:rsidRPr="00A307C6">
        <w:rPr>
          <w:lang w:val="en-GB"/>
        </w:rPr>
        <w:t xml:space="preserve">insecurity, </w:t>
      </w:r>
      <w:r w:rsidR="0085271F" w:rsidRPr="00A307C6">
        <w:rPr>
          <w:lang w:val="en-GB"/>
        </w:rPr>
        <w:t xml:space="preserve">this </w:t>
      </w:r>
      <w:r w:rsidR="00091D00" w:rsidRPr="00A307C6">
        <w:rPr>
          <w:lang w:val="en-GB"/>
        </w:rPr>
        <w:t xml:space="preserve">has a </w:t>
      </w:r>
      <w:r w:rsidR="00BD12F3" w:rsidRPr="00A307C6">
        <w:rPr>
          <w:lang w:val="en-GB"/>
        </w:rPr>
        <w:t xml:space="preserve">significant </w:t>
      </w:r>
      <w:r w:rsidR="00DC7504" w:rsidRPr="00A307C6">
        <w:rPr>
          <w:lang w:val="en-GB"/>
        </w:rPr>
        <w:t>e</w:t>
      </w:r>
      <w:r w:rsidR="00BD12F3" w:rsidRPr="00A307C6">
        <w:rPr>
          <w:lang w:val="en-GB"/>
        </w:rPr>
        <w:t xml:space="preserve">ffect </w:t>
      </w:r>
      <w:r w:rsidR="00091D00" w:rsidRPr="00A307C6">
        <w:rPr>
          <w:lang w:val="en-GB"/>
        </w:rPr>
        <w:t xml:space="preserve">on </w:t>
      </w:r>
      <w:r w:rsidR="00BD12F3" w:rsidRPr="00A307C6">
        <w:rPr>
          <w:lang w:val="en-GB"/>
        </w:rPr>
        <w:t>livelihoods</w:t>
      </w:r>
      <w:r w:rsidR="00091D00" w:rsidRPr="00A307C6">
        <w:rPr>
          <w:lang w:val="en-GB"/>
        </w:rPr>
        <w:t xml:space="preserve"> as well</w:t>
      </w:r>
      <w:r w:rsidR="00BD12F3" w:rsidRPr="00A307C6">
        <w:rPr>
          <w:lang w:val="en-GB"/>
        </w:rPr>
        <w:t>, for instance when there is robbery or injury.</w:t>
      </w:r>
      <w:r w:rsidR="005B5BBF" w:rsidRPr="00A307C6">
        <w:rPr>
          <w:lang w:val="en-GB"/>
        </w:rPr>
        <w:t xml:space="preserve"> Displacement is often </w:t>
      </w:r>
      <w:r w:rsidR="005B5BBF" w:rsidRPr="00A307C6">
        <w:rPr>
          <w:lang w:val="en-GB"/>
        </w:rPr>
        <w:lastRenderedPageBreak/>
        <w:t xml:space="preserve">an outcome of such attacks, also drastically undermining the capacity of </w:t>
      </w:r>
      <w:r w:rsidR="00D5704F" w:rsidRPr="00A307C6">
        <w:rPr>
          <w:lang w:val="en-GB"/>
        </w:rPr>
        <w:t>survivors</w:t>
      </w:r>
      <w:r w:rsidR="005B5BBF" w:rsidRPr="00A307C6">
        <w:rPr>
          <w:lang w:val="en-GB"/>
        </w:rPr>
        <w:t xml:space="preserve"> to pursue independent livelihood strategies and to provide for their families.</w:t>
      </w:r>
      <w:r w:rsidR="005E2040" w:rsidRPr="00A307C6">
        <w:rPr>
          <w:lang w:val="en-GB"/>
        </w:rPr>
        <w:t xml:space="preserve"> In displacement contexts, it is women who take on additional caring responsibilities for children who have been orphaned or otherwise separated from their family members as a result of the violence.</w:t>
      </w:r>
      <w:r w:rsidR="005E2040" w:rsidRPr="00A307C6">
        <w:rPr>
          <w:rStyle w:val="FootnoteReference"/>
          <w:bCs/>
          <w:sz w:val="20"/>
          <w:lang w:val="en-GB"/>
        </w:rPr>
        <w:footnoteReference w:id="208"/>
      </w:r>
    </w:p>
    <w:p w14:paraId="441AEEDD" w14:textId="60FBCAE4" w:rsidR="00D01BCE" w:rsidRPr="00A307C6" w:rsidRDefault="002A355C" w:rsidP="00FF077A">
      <w:pPr>
        <w:pStyle w:val="Paragraph"/>
        <w:rPr>
          <w:lang w:val="en-GB"/>
        </w:rPr>
      </w:pPr>
      <w:r w:rsidRPr="00A307C6">
        <w:rPr>
          <w:lang w:val="en-GB"/>
        </w:rPr>
        <w:t xml:space="preserve">The number of female-headed households </w:t>
      </w:r>
      <w:r w:rsidR="00F16EE4" w:rsidRPr="00A307C6">
        <w:rPr>
          <w:lang w:val="en-GB"/>
        </w:rPr>
        <w:t xml:space="preserve">in South Sudan </w:t>
      </w:r>
      <w:r w:rsidRPr="00A307C6">
        <w:rPr>
          <w:lang w:val="en-GB"/>
        </w:rPr>
        <w:t>has increased exponentially as a result of the conflict</w:t>
      </w:r>
      <w:r w:rsidR="0085271F" w:rsidRPr="00A307C6">
        <w:rPr>
          <w:lang w:val="en-GB"/>
        </w:rPr>
        <w:t>.</w:t>
      </w:r>
      <w:r w:rsidR="007A6002" w:rsidRPr="00A307C6">
        <w:rPr>
          <w:rStyle w:val="FootnoteReference"/>
          <w:lang w:val="en-GB"/>
        </w:rPr>
        <w:footnoteReference w:id="209"/>
      </w:r>
      <w:r w:rsidR="00F16EE4" w:rsidRPr="00A307C6">
        <w:rPr>
          <w:lang w:val="en-GB"/>
        </w:rPr>
        <w:t xml:space="preserve"> </w:t>
      </w:r>
      <w:r w:rsidR="004D791F" w:rsidRPr="00A307C6">
        <w:rPr>
          <w:lang w:val="en-GB"/>
        </w:rPr>
        <w:t>The r</w:t>
      </w:r>
      <w:r w:rsidR="00F16EE4" w:rsidRPr="00A307C6">
        <w:rPr>
          <w:lang w:val="en-GB"/>
        </w:rPr>
        <w:t xml:space="preserve">easons for this </w:t>
      </w:r>
      <w:r w:rsidR="004D791F" w:rsidRPr="00A307C6">
        <w:rPr>
          <w:lang w:val="en-GB"/>
        </w:rPr>
        <w:t>are male family members</w:t>
      </w:r>
      <w:r w:rsidR="0085271F" w:rsidRPr="00A307C6">
        <w:rPr>
          <w:lang w:val="en-GB"/>
        </w:rPr>
        <w:t>,</w:t>
      </w:r>
      <w:r w:rsidR="004D791F" w:rsidRPr="00A307C6">
        <w:rPr>
          <w:lang w:val="en-GB"/>
        </w:rPr>
        <w:t xml:space="preserve"> including </w:t>
      </w:r>
      <w:r w:rsidR="00F16EE4" w:rsidRPr="00A307C6">
        <w:rPr>
          <w:lang w:val="en-GB"/>
        </w:rPr>
        <w:t>husbands</w:t>
      </w:r>
      <w:r w:rsidR="004D791F" w:rsidRPr="00A307C6">
        <w:rPr>
          <w:lang w:val="en-GB"/>
        </w:rPr>
        <w:t>,</w:t>
      </w:r>
      <w:r w:rsidR="00F16EE4" w:rsidRPr="00A307C6">
        <w:rPr>
          <w:lang w:val="en-GB"/>
        </w:rPr>
        <w:t xml:space="preserve"> fathers</w:t>
      </w:r>
      <w:r w:rsidR="004D791F" w:rsidRPr="00A307C6">
        <w:rPr>
          <w:lang w:val="en-GB"/>
        </w:rPr>
        <w:t xml:space="preserve">, brothers and </w:t>
      </w:r>
      <w:r w:rsidR="00D01BCE" w:rsidRPr="00A307C6">
        <w:rPr>
          <w:lang w:val="en-GB"/>
        </w:rPr>
        <w:t xml:space="preserve">boys participating in armed groups, </w:t>
      </w:r>
      <w:r w:rsidR="00F16EE4" w:rsidRPr="00A307C6">
        <w:rPr>
          <w:lang w:val="en-GB"/>
        </w:rPr>
        <w:t>being kill</w:t>
      </w:r>
      <w:r w:rsidR="005708BD" w:rsidRPr="00A307C6">
        <w:rPr>
          <w:lang w:val="en-GB"/>
        </w:rPr>
        <w:t>ed</w:t>
      </w:r>
      <w:r w:rsidR="00F16EE4" w:rsidRPr="00A307C6">
        <w:rPr>
          <w:lang w:val="en-GB"/>
        </w:rPr>
        <w:t>, abductions</w:t>
      </w:r>
      <w:r w:rsidR="005708BD" w:rsidRPr="00A307C6">
        <w:rPr>
          <w:lang w:val="en-GB"/>
        </w:rPr>
        <w:t xml:space="preserve">, forced </w:t>
      </w:r>
      <w:r w:rsidR="00F16EE4" w:rsidRPr="00A307C6">
        <w:rPr>
          <w:lang w:val="en-GB"/>
        </w:rPr>
        <w:t xml:space="preserve">recruitment, or separation during conflict under other involuntary circumstances. </w:t>
      </w:r>
      <w:r w:rsidR="004D791F" w:rsidRPr="00A307C6">
        <w:rPr>
          <w:lang w:val="en-GB"/>
        </w:rPr>
        <w:t>The a</w:t>
      </w:r>
      <w:r w:rsidR="00F16EE4" w:rsidRPr="00A307C6">
        <w:rPr>
          <w:lang w:val="en-GB"/>
        </w:rPr>
        <w:t xml:space="preserve">bandonment of wives by their husbands </w:t>
      </w:r>
      <w:r w:rsidR="00A61EC7" w:rsidRPr="00A307C6">
        <w:rPr>
          <w:lang w:val="en-GB"/>
        </w:rPr>
        <w:t xml:space="preserve">following rape and sexual violence </w:t>
      </w:r>
      <w:r w:rsidR="00F16EE4" w:rsidRPr="00A307C6">
        <w:rPr>
          <w:lang w:val="en-GB"/>
        </w:rPr>
        <w:t xml:space="preserve">is another trend </w:t>
      </w:r>
      <w:r w:rsidR="00A61EC7" w:rsidRPr="00A307C6">
        <w:rPr>
          <w:lang w:val="en-GB"/>
        </w:rPr>
        <w:t xml:space="preserve">experienced by </w:t>
      </w:r>
      <w:r w:rsidR="00F16EE4" w:rsidRPr="00A307C6">
        <w:rPr>
          <w:lang w:val="en-GB"/>
        </w:rPr>
        <w:t xml:space="preserve">women and girls </w:t>
      </w:r>
      <w:r w:rsidR="00A61EC7" w:rsidRPr="00A307C6">
        <w:rPr>
          <w:lang w:val="en-GB"/>
        </w:rPr>
        <w:t xml:space="preserve">arising from the ongoing </w:t>
      </w:r>
      <w:r w:rsidR="00F16EE4" w:rsidRPr="00A307C6">
        <w:rPr>
          <w:lang w:val="en-GB"/>
        </w:rPr>
        <w:t>conflict</w:t>
      </w:r>
      <w:r w:rsidR="0085271F" w:rsidRPr="00A307C6">
        <w:rPr>
          <w:lang w:val="en-GB"/>
        </w:rPr>
        <w:t>. W</w:t>
      </w:r>
      <w:r w:rsidR="00F16EE4" w:rsidRPr="00A307C6">
        <w:rPr>
          <w:lang w:val="en-GB"/>
        </w:rPr>
        <w:t xml:space="preserve">hile </w:t>
      </w:r>
      <w:r w:rsidR="0085271F" w:rsidRPr="00A307C6">
        <w:rPr>
          <w:lang w:val="en-GB"/>
        </w:rPr>
        <w:t xml:space="preserve">it is </w:t>
      </w:r>
      <w:r w:rsidR="00F16EE4" w:rsidRPr="00A307C6">
        <w:rPr>
          <w:lang w:val="en-GB"/>
        </w:rPr>
        <w:t>not possible to quantify</w:t>
      </w:r>
      <w:r w:rsidR="00A84D3E" w:rsidRPr="00A307C6">
        <w:rPr>
          <w:lang w:val="en-GB"/>
        </w:rPr>
        <w:t xml:space="preserve"> </w:t>
      </w:r>
      <w:r w:rsidR="0085271F" w:rsidRPr="00A307C6">
        <w:rPr>
          <w:lang w:val="en-GB"/>
        </w:rPr>
        <w:t xml:space="preserve">abandonment </w:t>
      </w:r>
      <w:r w:rsidR="004D791F" w:rsidRPr="00A307C6">
        <w:rPr>
          <w:lang w:val="en-GB"/>
        </w:rPr>
        <w:t xml:space="preserve">given the </w:t>
      </w:r>
      <w:r w:rsidR="00A84D3E" w:rsidRPr="00A307C6">
        <w:rPr>
          <w:lang w:val="en-GB"/>
        </w:rPr>
        <w:t>available data</w:t>
      </w:r>
      <w:r w:rsidR="0085271F" w:rsidRPr="00A307C6">
        <w:rPr>
          <w:lang w:val="en-GB"/>
        </w:rPr>
        <w:t>, n</w:t>
      </w:r>
      <w:r w:rsidR="004D791F" w:rsidRPr="00A307C6">
        <w:rPr>
          <w:lang w:val="en-GB"/>
        </w:rPr>
        <w:t>evertheless</w:t>
      </w:r>
      <w:r w:rsidR="00977ECA" w:rsidRPr="00A307C6">
        <w:rPr>
          <w:lang w:val="en-GB"/>
        </w:rPr>
        <w:t>,</w:t>
      </w:r>
      <w:r w:rsidR="004D791F" w:rsidRPr="00A307C6">
        <w:rPr>
          <w:lang w:val="en-GB"/>
        </w:rPr>
        <w:t xml:space="preserve"> </w:t>
      </w:r>
      <w:r w:rsidR="00F16EE4" w:rsidRPr="00A307C6">
        <w:rPr>
          <w:lang w:val="en-GB"/>
        </w:rPr>
        <w:t xml:space="preserve">the Commission documented numerous cases </w:t>
      </w:r>
      <w:r w:rsidR="00A84D3E" w:rsidRPr="00A307C6">
        <w:rPr>
          <w:lang w:val="en-GB"/>
        </w:rPr>
        <w:t xml:space="preserve">of </w:t>
      </w:r>
      <w:r w:rsidR="00F16EE4" w:rsidRPr="00A307C6">
        <w:rPr>
          <w:lang w:val="en-GB"/>
        </w:rPr>
        <w:t>husbands abandon</w:t>
      </w:r>
      <w:r w:rsidR="00A84D3E" w:rsidRPr="00A307C6">
        <w:rPr>
          <w:lang w:val="en-GB"/>
        </w:rPr>
        <w:t>ing their wife</w:t>
      </w:r>
      <w:r w:rsidR="00F16EE4" w:rsidRPr="00A307C6">
        <w:rPr>
          <w:lang w:val="en-GB"/>
        </w:rPr>
        <w:t xml:space="preserve"> following the</w:t>
      </w:r>
      <w:r w:rsidR="00A84D3E" w:rsidRPr="00A307C6">
        <w:rPr>
          <w:lang w:val="en-GB"/>
        </w:rPr>
        <w:t>ir</w:t>
      </w:r>
      <w:r w:rsidR="00F16EE4" w:rsidRPr="00A307C6">
        <w:rPr>
          <w:lang w:val="en-GB"/>
        </w:rPr>
        <w:t xml:space="preserve"> wife’s rape, </w:t>
      </w:r>
      <w:r w:rsidR="00A84D3E" w:rsidRPr="00A307C6">
        <w:rPr>
          <w:lang w:val="en-GB"/>
        </w:rPr>
        <w:t xml:space="preserve">linked to a variety of factors including </w:t>
      </w:r>
      <w:r w:rsidR="00F16EE4" w:rsidRPr="00A307C6">
        <w:rPr>
          <w:lang w:val="en-GB"/>
        </w:rPr>
        <w:t>attached social stigma or fear of contracting a sexually transmitted disease or related to conception of children through rape.</w:t>
      </w:r>
      <w:r w:rsidR="00F16EE4" w:rsidRPr="00A307C6">
        <w:rPr>
          <w:rStyle w:val="FootnoteReference"/>
          <w:lang w:val="en-GB"/>
        </w:rPr>
        <w:footnoteReference w:id="210"/>
      </w:r>
      <w:r w:rsidR="001771EF" w:rsidRPr="00A307C6">
        <w:rPr>
          <w:lang w:val="en-GB"/>
        </w:rPr>
        <w:t xml:space="preserve"> </w:t>
      </w:r>
    </w:p>
    <w:p w14:paraId="25E9A041" w14:textId="5D9AC369" w:rsidR="005B5BBF" w:rsidRPr="00A307C6" w:rsidRDefault="001771EF" w:rsidP="00FF077A">
      <w:pPr>
        <w:pStyle w:val="Paragraph"/>
        <w:rPr>
          <w:lang w:val="en-GB"/>
        </w:rPr>
      </w:pPr>
      <w:r w:rsidRPr="00A307C6">
        <w:rPr>
          <w:lang w:val="en-GB"/>
        </w:rPr>
        <w:t>Livelihood opportunities and income-generation capacity are relatively limited for women and girls in South Sudan</w:t>
      </w:r>
      <w:r w:rsidR="007B2663" w:rsidRPr="00A307C6">
        <w:rPr>
          <w:lang w:val="en-GB"/>
        </w:rPr>
        <w:t>,</w:t>
      </w:r>
      <w:r w:rsidRPr="00A307C6">
        <w:rPr>
          <w:lang w:val="en-GB"/>
        </w:rPr>
        <w:t xml:space="preserve"> and so separation from their close male family members</w:t>
      </w:r>
      <w:r w:rsidR="00D01BCE" w:rsidRPr="00A307C6">
        <w:rPr>
          <w:lang w:val="en-GB"/>
        </w:rPr>
        <w:t>, who traditionally have greater income-generation potential,</w:t>
      </w:r>
      <w:r w:rsidRPr="00A307C6">
        <w:rPr>
          <w:lang w:val="en-GB"/>
        </w:rPr>
        <w:t xml:space="preserve"> </w:t>
      </w:r>
      <w:r w:rsidR="00D01BCE" w:rsidRPr="00A307C6">
        <w:rPr>
          <w:lang w:val="en-GB"/>
        </w:rPr>
        <w:t xml:space="preserve">tends to </w:t>
      </w:r>
      <w:r w:rsidRPr="00A307C6">
        <w:rPr>
          <w:lang w:val="en-GB"/>
        </w:rPr>
        <w:t xml:space="preserve">significantly impact the family’s access to </w:t>
      </w:r>
      <w:r w:rsidR="00D01BCE" w:rsidRPr="00A307C6">
        <w:rPr>
          <w:lang w:val="en-GB"/>
        </w:rPr>
        <w:t xml:space="preserve">financial </w:t>
      </w:r>
      <w:r w:rsidRPr="00A307C6">
        <w:rPr>
          <w:lang w:val="en-GB"/>
        </w:rPr>
        <w:t>resources including for school fees and basic needs.</w:t>
      </w:r>
      <w:r w:rsidR="004052BB" w:rsidRPr="00A307C6">
        <w:rPr>
          <w:lang w:val="en-GB"/>
        </w:rPr>
        <w:t xml:space="preserve"> This can also devastate the family’s ability to cope with shocks such as sudden illness.</w:t>
      </w:r>
      <w:r w:rsidR="004052BB" w:rsidRPr="00A307C6">
        <w:rPr>
          <w:rStyle w:val="FootnoteReference"/>
          <w:lang w:val="en-GB"/>
        </w:rPr>
        <w:footnoteReference w:id="211"/>
      </w:r>
    </w:p>
    <w:p w14:paraId="6D370F82" w14:textId="5B8F2AF0" w:rsidR="006E345D" w:rsidRPr="00A307C6" w:rsidRDefault="00C52FC4" w:rsidP="00FF077A">
      <w:pPr>
        <w:pStyle w:val="Paragraph"/>
        <w:rPr>
          <w:lang w:val="en-GB"/>
        </w:rPr>
      </w:pPr>
      <w:bookmarkStart w:id="70" w:name="_Hlk98198850"/>
      <w:r w:rsidRPr="00A307C6">
        <w:rPr>
          <w:lang w:val="en-GB"/>
        </w:rPr>
        <w:t xml:space="preserve">The Commission was informed by service providers in a particular refugee setting that “survival sex” </w:t>
      </w:r>
      <w:r w:rsidR="00B2634C">
        <w:rPr>
          <w:lang w:val="en-GB"/>
        </w:rPr>
        <w:t xml:space="preserve">which is transactional, </w:t>
      </w:r>
      <w:r w:rsidR="00A61EC7" w:rsidRPr="00A307C6">
        <w:rPr>
          <w:lang w:val="en-GB"/>
        </w:rPr>
        <w:t xml:space="preserve">has also become </w:t>
      </w:r>
      <w:r w:rsidR="00D5704F" w:rsidRPr="00A307C6">
        <w:rPr>
          <w:lang w:val="en-GB"/>
        </w:rPr>
        <w:t>prevalent</w:t>
      </w:r>
      <w:r w:rsidRPr="00A307C6">
        <w:rPr>
          <w:lang w:val="en-GB"/>
        </w:rPr>
        <w:t xml:space="preserve"> in settlements </w:t>
      </w:r>
      <w:r w:rsidR="00A61EC7" w:rsidRPr="00A307C6">
        <w:rPr>
          <w:lang w:val="en-GB"/>
        </w:rPr>
        <w:t xml:space="preserve">where </w:t>
      </w:r>
      <w:r w:rsidRPr="00A307C6">
        <w:rPr>
          <w:lang w:val="en-GB"/>
        </w:rPr>
        <w:t>women head</w:t>
      </w:r>
      <w:r w:rsidR="00B2634C">
        <w:rPr>
          <w:lang w:val="en-GB"/>
        </w:rPr>
        <w:t>s’</w:t>
      </w:r>
      <w:r w:rsidRPr="00A307C6">
        <w:rPr>
          <w:lang w:val="en-GB"/>
        </w:rPr>
        <w:t xml:space="preserve"> </w:t>
      </w:r>
      <w:r w:rsidR="00B2634C">
        <w:rPr>
          <w:lang w:val="en-GB"/>
        </w:rPr>
        <w:t xml:space="preserve">of </w:t>
      </w:r>
      <w:r w:rsidRPr="00A307C6">
        <w:rPr>
          <w:lang w:val="en-GB"/>
        </w:rPr>
        <w:t xml:space="preserve">households are struggling to </w:t>
      </w:r>
      <w:r w:rsidR="00A61EC7" w:rsidRPr="00A307C6">
        <w:rPr>
          <w:lang w:val="en-GB"/>
        </w:rPr>
        <w:t xml:space="preserve">maintain their families through </w:t>
      </w:r>
      <w:r w:rsidRPr="00A307C6">
        <w:rPr>
          <w:lang w:val="en-GB"/>
        </w:rPr>
        <w:t xml:space="preserve">providing shelter, food and </w:t>
      </w:r>
      <w:r w:rsidR="00A61EC7" w:rsidRPr="00A307C6">
        <w:rPr>
          <w:lang w:val="en-GB"/>
        </w:rPr>
        <w:t xml:space="preserve">access to healthcare </w:t>
      </w:r>
      <w:r w:rsidR="00A61EC7" w:rsidRPr="00A307C6">
        <w:rPr>
          <w:lang w:val="en-GB"/>
        </w:rPr>
        <w:lastRenderedPageBreak/>
        <w:t xml:space="preserve">and education </w:t>
      </w:r>
      <w:r w:rsidRPr="00A307C6">
        <w:rPr>
          <w:lang w:val="en-GB"/>
        </w:rPr>
        <w:t>for their children.</w:t>
      </w:r>
      <w:r w:rsidRPr="00A307C6">
        <w:rPr>
          <w:rStyle w:val="FootnoteReference"/>
          <w:lang w:val="en-GB"/>
        </w:rPr>
        <w:footnoteReference w:id="212"/>
      </w:r>
      <w:r w:rsidRPr="00A307C6">
        <w:rPr>
          <w:lang w:val="en-GB"/>
        </w:rPr>
        <w:t xml:space="preserve"> </w:t>
      </w:r>
      <w:r w:rsidR="00501D49" w:rsidRPr="00A307C6">
        <w:rPr>
          <w:lang w:val="en-GB"/>
        </w:rPr>
        <w:t xml:space="preserve">In </w:t>
      </w:r>
      <w:r w:rsidRPr="00A307C6">
        <w:rPr>
          <w:lang w:val="en-GB"/>
        </w:rPr>
        <w:t xml:space="preserve">a focus group discussion </w:t>
      </w:r>
      <w:r w:rsidR="00027E33" w:rsidRPr="00A307C6">
        <w:rPr>
          <w:lang w:val="en-GB"/>
        </w:rPr>
        <w:t xml:space="preserve">the Commission held </w:t>
      </w:r>
      <w:r w:rsidRPr="00A307C6">
        <w:rPr>
          <w:lang w:val="en-GB"/>
        </w:rPr>
        <w:t xml:space="preserve">with service providers to </w:t>
      </w:r>
      <w:r w:rsidR="00027E33" w:rsidRPr="00A307C6">
        <w:rPr>
          <w:lang w:val="en-GB"/>
        </w:rPr>
        <w:t xml:space="preserve">the </w:t>
      </w:r>
      <w:r w:rsidRPr="00A307C6">
        <w:rPr>
          <w:lang w:val="en-GB"/>
        </w:rPr>
        <w:t>refugee community</w:t>
      </w:r>
      <w:r w:rsidR="00027E33" w:rsidRPr="00A307C6">
        <w:rPr>
          <w:lang w:val="en-GB"/>
        </w:rPr>
        <w:t xml:space="preserve">, </w:t>
      </w:r>
      <w:r w:rsidRPr="00A307C6">
        <w:rPr>
          <w:lang w:val="en-GB"/>
        </w:rPr>
        <w:t xml:space="preserve">the Commission was told </w:t>
      </w:r>
      <w:r w:rsidR="00027E33" w:rsidRPr="00A307C6">
        <w:rPr>
          <w:lang w:val="en-GB"/>
        </w:rPr>
        <w:t xml:space="preserve">about </w:t>
      </w:r>
      <w:r w:rsidRPr="00A307C6">
        <w:rPr>
          <w:lang w:val="en-GB"/>
        </w:rPr>
        <w:t>the</w:t>
      </w:r>
      <w:r w:rsidR="00027E33" w:rsidRPr="00A307C6">
        <w:rPr>
          <w:lang w:val="en-GB"/>
        </w:rPr>
        <w:t xml:space="preserve"> </w:t>
      </w:r>
      <w:r w:rsidRPr="00A307C6">
        <w:rPr>
          <w:lang w:val="en-GB"/>
        </w:rPr>
        <w:t xml:space="preserve">high </w:t>
      </w:r>
      <w:r w:rsidR="00027E33" w:rsidRPr="00A307C6">
        <w:rPr>
          <w:lang w:val="en-GB"/>
        </w:rPr>
        <w:t xml:space="preserve">levels </w:t>
      </w:r>
      <w:r w:rsidRPr="00A307C6">
        <w:rPr>
          <w:lang w:val="en-GB"/>
        </w:rPr>
        <w:t xml:space="preserve">of </w:t>
      </w:r>
      <w:r w:rsidR="00027E33" w:rsidRPr="00A307C6">
        <w:rPr>
          <w:lang w:val="en-GB"/>
        </w:rPr>
        <w:t xml:space="preserve">transactional </w:t>
      </w:r>
      <w:r w:rsidRPr="00A307C6">
        <w:rPr>
          <w:lang w:val="en-GB"/>
        </w:rPr>
        <w:t>sex and teenage pregnancies among the refugee population</w:t>
      </w:r>
      <w:r w:rsidR="00884FEE" w:rsidRPr="00A307C6">
        <w:rPr>
          <w:lang w:val="en-GB"/>
        </w:rPr>
        <w:t xml:space="preserve">. The increase has been </w:t>
      </w:r>
      <w:r w:rsidRPr="00A307C6">
        <w:rPr>
          <w:lang w:val="en-GB"/>
        </w:rPr>
        <w:t xml:space="preserve">linked to many girls and young women being orphaned </w:t>
      </w:r>
      <w:r w:rsidR="00884FEE" w:rsidRPr="00A307C6">
        <w:rPr>
          <w:lang w:val="en-GB"/>
        </w:rPr>
        <w:t xml:space="preserve">and </w:t>
      </w:r>
      <w:r w:rsidRPr="00A307C6">
        <w:rPr>
          <w:lang w:val="en-GB"/>
        </w:rPr>
        <w:t>unaccompanied by parents</w:t>
      </w:r>
      <w:r w:rsidR="00884FEE" w:rsidRPr="00A307C6">
        <w:rPr>
          <w:lang w:val="en-GB"/>
        </w:rPr>
        <w:t xml:space="preserve"> </w:t>
      </w:r>
      <w:r w:rsidR="007B2663" w:rsidRPr="00A307C6">
        <w:rPr>
          <w:lang w:val="en-GB"/>
        </w:rPr>
        <w:t xml:space="preserve">or </w:t>
      </w:r>
      <w:r w:rsidR="00884FEE" w:rsidRPr="00A307C6">
        <w:rPr>
          <w:lang w:val="en-GB"/>
        </w:rPr>
        <w:t>family member</w:t>
      </w:r>
      <w:r w:rsidR="007B2663" w:rsidRPr="00A307C6">
        <w:rPr>
          <w:lang w:val="en-GB"/>
        </w:rPr>
        <w:t>s</w:t>
      </w:r>
      <w:r w:rsidRPr="00A307C6">
        <w:rPr>
          <w:lang w:val="en-GB"/>
        </w:rPr>
        <w:t xml:space="preserve">, </w:t>
      </w:r>
      <w:r w:rsidR="00884FEE" w:rsidRPr="00A307C6">
        <w:rPr>
          <w:lang w:val="en-GB"/>
        </w:rPr>
        <w:t xml:space="preserve">who have no independent sources of income and are </w:t>
      </w:r>
      <w:r w:rsidR="007D62DE" w:rsidRPr="00A307C6">
        <w:rPr>
          <w:lang w:val="en-GB"/>
        </w:rPr>
        <w:t xml:space="preserve">then </w:t>
      </w:r>
      <w:r w:rsidR="00884FEE" w:rsidRPr="00A307C6">
        <w:rPr>
          <w:lang w:val="en-GB"/>
        </w:rPr>
        <w:t>forced into</w:t>
      </w:r>
      <w:r w:rsidRPr="00A307C6">
        <w:rPr>
          <w:lang w:val="en-GB"/>
        </w:rPr>
        <w:t xml:space="preserve"> </w:t>
      </w:r>
      <w:r w:rsidR="00884FEE" w:rsidRPr="00A307C6">
        <w:rPr>
          <w:lang w:val="en-GB"/>
        </w:rPr>
        <w:t xml:space="preserve">transactional </w:t>
      </w:r>
      <w:r w:rsidRPr="00A307C6">
        <w:rPr>
          <w:lang w:val="en-GB"/>
        </w:rPr>
        <w:t xml:space="preserve">sexual </w:t>
      </w:r>
      <w:r w:rsidR="00884FEE" w:rsidRPr="00A307C6">
        <w:rPr>
          <w:lang w:val="en-GB"/>
        </w:rPr>
        <w:t xml:space="preserve">relationships </w:t>
      </w:r>
      <w:r w:rsidRPr="00A307C6">
        <w:rPr>
          <w:lang w:val="en-GB"/>
        </w:rPr>
        <w:t>which</w:t>
      </w:r>
      <w:r w:rsidR="00884FEE" w:rsidRPr="00A307C6">
        <w:rPr>
          <w:lang w:val="en-GB"/>
        </w:rPr>
        <w:t xml:space="preserve"> are </w:t>
      </w:r>
      <w:r w:rsidRPr="00A307C6">
        <w:rPr>
          <w:lang w:val="en-GB"/>
        </w:rPr>
        <w:t xml:space="preserve">not directly </w:t>
      </w:r>
      <w:r w:rsidR="00884FEE" w:rsidRPr="00A307C6">
        <w:rPr>
          <w:lang w:val="en-GB"/>
        </w:rPr>
        <w:t xml:space="preserve">linked to </w:t>
      </w:r>
      <w:r w:rsidRPr="00A307C6">
        <w:rPr>
          <w:lang w:val="en-GB"/>
        </w:rPr>
        <w:t xml:space="preserve">the conflict, </w:t>
      </w:r>
      <w:r w:rsidR="00884FEE" w:rsidRPr="00A307C6">
        <w:rPr>
          <w:lang w:val="en-GB"/>
        </w:rPr>
        <w:t xml:space="preserve">but </w:t>
      </w:r>
      <w:r w:rsidRPr="00A307C6">
        <w:rPr>
          <w:lang w:val="en-GB"/>
        </w:rPr>
        <w:t>are an outcome of it.</w:t>
      </w:r>
      <w:r w:rsidRPr="00A307C6">
        <w:rPr>
          <w:rStyle w:val="FootnoteReference"/>
          <w:lang w:val="en-GB"/>
        </w:rPr>
        <w:footnoteReference w:id="213"/>
      </w:r>
      <w:r w:rsidRPr="00A307C6">
        <w:rPr>
          <w:lang w:val="en-GB"/>
        </w:rPr>
        <w:t xml:space="preserve"> </w:t>
      </w:r>
      <w:bookmarkStart w:id="71" w:name="_Hlk98197607"/>
      <w:r w:rsidR="00B2634C">
        <w:rPr>
          <w:lang w:val="en-GB"/>
        </w:rPr>
        <w:t>T</w:t>
      </w:r>
      <w:r w:rsidR="006E345D" w:rsidRPr="00A307C6">
        <w:rPr>
          <w:lang w:val="en-GB"/>
        </w:rPr>
        <w:t xml:space="preserve">he Commission </w:t>
      </w:r>
      <w:r w:rsidR="00B2634C">
        <w:rPr>
          <w:lang w:val="en-GB"/>
        </w:rPr>
        <w:t xml:space="preserve">also </w:t>
      </w:r>
      <w:r w:rsidR="006E345D" w:rsidRPr="00A307C6">
        <w:rPr>
          <w:lang w:val="en-GB"/>
        </w:rPr>
        <w:t xml:space="preserve">identified that many women entered </w:t>
      </w:r>
      <w:r w:rsidR="00B2634C">
        <w:rPr>
          <w:lang w:val="en-GB"/>
        </w:rPr>
        <w:t xml:space="preserve">into </w:t>
      </w:r>
      <w:r w:rsidR="006E345D" w:rsidRPr="00A307C6">
        <w:rPr>
          <w:lang w:val="en-GB"/>
        </w:rPr>
        <w:t>relationships or marriages with men from host communities, for various reasons, including for increased economic security.</w:t>
      </w:r>
      <w:bookmarkEnd w:id="71"/>
      <w:r w:rsidR="006E345D" w:rsidRPr="00A307C6">
        <w:rPr>
          <w:rStyle w:val="FootnoteReference"/>
          <w:lang w:val="en-GB"/>
        </w:rPr>
        <w:footnoteReference w:id="214"/>
      </w:r>
    </w:p>
    <w:bookmarkEnd w:id="70"/>
    <w:p w14:paraId="7CFDB22B" w14:textId="032CEAC4" w:rsidR="00C52FC4" w:rsidRPr="00A307C6" w:rsidRDefault="00C52FC4" w:rsidP="00FF077A">
      <w:pPr>
        <w:pStyle w:val="Paragraph"/>
        <w:rPr>
          <w:lang w:val="en-GB"/>
        </w:rPr>
      </w:pPr>
      <w:r w:rsidRPr="00A307C6">
        <w:rPr>
          <w:lang w:val="en-GB"/>
        </w:rPr>
        <w:t>An accompanying factor may be that conditions in both displacement and refugee camps have deteriorated, particularly since 2020 when already-</w:t>
      </w:r>
      <w:r w:rsidR="00D5704F" w:rsidRPr="00A307C6">
        <w:rPr>
          <w:lang w:val="en-GB"/>
        </w:rPr>
        <w:t>stretched</w:t>
      </w:r>
      <w:r w:rsidRPr="00A307C6">
        <w:rPr>
          <w:lang w:val="en-GB"/>
        </w:rPr>
        <w:t xml:space="preserve"> aid budgets recued as many donor governments scaled down funding linked to the COVID-19 pandemic, and given the ongoing absence of significant service provision by the State in South Sudan.</w:t>
      </w:r>
    </w:p>
    <w:p w14:paraId="2BD4006B" w14:textId="28140FE1" w:rsidR="000761E1" w:rsidRPr="00A307C6" w:rsidRDefault="000761E1" w:rsidP="00885D01">
      <w:pPr>
        <w:pStyle w:val="Paragraph"/>
        <w:rPr>
          <w:lang w:val="en-GB"/>
        </w:rPr>
      </w:pPr>
      <w:r w:rsidRPr="00A307C6">
        <w:rPr>
          <w:lang w:val="en-GB"/>
        </w:rPr>
        <w:t xml:space="preserve">The internal displacement of women and girls, or relocation to refugee </w:t>
      </w:r>
      <w:r w:rsidR="004C6C03">
        <w:rPr>
          <w:lang w:val="en-GB"/>
        </w:rPr>
        <w:t>settings</w:t>
      </w:r>
      <w:r w:rsidRPr="00A307C6">
        <w:rPr>
          <w:lang w:val="en-GB"/>
        </w:rPr>
        <w:t xml:space="preserve"> also leaves them vulnerable to sexual violence for several reasons. Women usually f</w:t>
      </w:r>
      <w:r w:rsidR="00A61EC7" w:rsidRPr="00A307C6">
        <w:rPr>
          <w:lang w:val="en-GB"/>
        </w:rPr>
        <w:t>l</w:t>
      </w:r>
      <w:r w:rsidRPr="00A307C6">
        <w:rPr>
          <w:lang w:val="en-GB"/>
        </w:rPr>
        <w:t>ee with children</w:t>
      </w:r>
      <w:r w:rsidR="00083157">
        <w:rPr>
          <w:lang w:val="en-GB"/>
        </w:rPr>
        <w:t>,</w:t>
      </w:r>
      <w:r w:rsidRPr="00A307C6">
        <w:rPr>
          <w:lang w:val="en-GB"/>
        </w:rPr>
        <w:t xml:space="preserve"> the elderly and </w:t>
      </w:r>
      <w:r w:rsidR="00083157">
        <w:rPr>
          <w:lang w:val="en-GB"/>
        </w:rPr>
        <w:t xml:space="preserve">the </w:t>
      </w:r>
      <w:r w:rsidRPr="00A307C6">
        <w:rPr>
          <w:lang w:val="en-GB"/>
        </w:rPr>
        <w:t>sick</w:t>
      </w:r>
      <w:r w:rsidR="00DE092F">
        <w:rPr>
          <w:lang w:val="en-GB"/>
        </w:rPr>
        <w:t>, as well as with community members with disabilities,</w:t>
      </w:r>
      <w:r w:rsidRPr="00A307C6">
        <w:rPr>
          <w:lang w:val="en-GB"/>
        </w:rPr>
        <w:t xml:space="preserve"> and lack the </w:t>
      </w:r>
      <w:r w:rsidR="00885D01">
        <w:rPr>
          <w:lang w:val="en-GB"/>
        </w:rPr>
        <w:t xml:space="preserve">elements of </w:t>
      </w:r>
      <w:r w:rsidRPr="00A307C6">
        <w:rPr>
          <w:lang w:val="en-GB"/>
        </w:rPr>
        <w:t xml:space="preserve">protection </w:t>
      </w:r>
      <w:r w:rsidR="00DE092F">
        <w:rPr>
          <w:lang w:val="en-GB"/>
        </w:rPr>
        <w:t xml:space="preserve">which </w:t>
      </w:r>
      <w:r w:rsidR="00885D01">
        <w:rPr>
          <w:lang w:val="en-GB"/>
        </w:rPr>
        <w:t>are</w:t>
      </w:r>
      <w:r w:rsidR="00DE092F">
        <w:rPr>
          <w:lang w:val="en-GB"/>
        </w:rPr>
        <w:t xml:space="preserve"> associated with the presence </w:t>
      </w:r>
      <w:r w:rsidRPr="00A307C6">
        <w:rPr>
          <w:lang w:val="en-GB"/>
        </w:rPr>
        <w:t>of male family or community members. In addition, the lack of security within the camps places them at risk of sexual violations from other camp residents. The location of bathrooms and showers within camps is an important consideration for the protection of women and girls. A key risk factor exists when women and girls leave the relative safety of a camp to collect water and firewood, or to sell goods at a marketplace, and venture onto open roads and forests which also places them at risk even where they travel in groups with other women.</w:t>
      </w:r>
    </w:p>
    <w:p w14:paraId="7EDCE93D" w14:textId="582AC431" w:rsidR="00DB3247" w:rsidRPr="00A307C6" w:rsidRDefault="00F51B0A" w:rsidP="00FF077A">
      <w:pPr>
        <w:pStyle w:val="Paragraph"/>
        <w:rPr>
          <w:lang w:val="en-GB"/>
        </w:rPr>
      </w:pPr>
      <w:r w:rsidRPr="00A307C6">
        <w:rPr>
          <w:lang w:val="en-GB"/>
        </w:rPr>
        <w:t xml:space="preserve">Women </w:t>
      </w:r>
      <w:r w:rsidR="00E14814">
        <w:rPr>
          <w:lang w:val="en-GB"/>
        </w:rPr>
        <w:t xml:space="preserve">have </w:t>
      </w:r>
      <w:r w:rsidRPr="00A307C6">
        <w:rPr>
          <w:lang w:val="en-GB"/>
        </w:rPr>
        <w:t xml:space="preserve">largely </w:t>
      </w:r>
      <w:r w:rsidR="00E14814">
        <w:rPr>
          <w:lang w:val="en-GB"/>
        </w:rPr>
        <w:t xml:space="preserve">been </w:t>
      </w:r>
      <w:r w:rsidRPr="00A307C6">
        <w:rPr>
          <w:lang w:val="en-GB"/>
        </w:rPr>
        <w:t xml:space="preserve">excluded </w:t>
      </w:r>
      <w:r w:rsidR="000D5BF4" w:rsidRPr="00A307C6">
        <w:rPr>
          <w:lang w:val="en-GB"/>
        </w:rPr>
        <w:t xml:space="preserve">from </w:t>
      </w:r>
      <w:r w:rsidRPr="00A307C6">
        <w:rPr>
          <w:lang w:val="en-GB"/>
        </w:rPr>
        <w:t xml:space="preserve">peace-building processes, as well as from stakeholder engagement and decision-making processes about their situation, including on the governance of displacement settlements and strategies </w:t>
      </w:r>
      <w:r w:rsidR="00E14814">
        <w:rPr>
          <w:lang w:val="en-GB"/>
        </w:rPr>
        <w:t xml:space="preserve">on </w:t>
      </w:r>
      <w:r w:rsidRPr="00A307C6">
        <w:rPr>
          <w:lang w:val="en-GB"/>
        </w:rPr>
        <w:t>returning home.</w:t>
      </w:r>
      <w:r w:rsidRPr="00A307C6">
        <w:rPr>
          <w:rStyle w:val="FootnoteReference"/>
          <w:lang w:val="en-GB"/>
        </w:rPr>
        <w:footnoteReference w:id="215"/>
      </w:r>
      <w:r w:rsidRPr="00A307C6">
        <w:rPr>
          <w:lang w:val="en-GB"/>
        </w:rPr>
        <w:t xml:space="preserve"> This lack of participation has tangible impacts in how conflict resolution and peace building are viewed and planned by actors with authority </w:t>
      </w:r>
      <w:r w:rsidRPr="00A307C6">
        <w:rPr>
          <w:lang w:val="en-GB"/>
        </w:rPr>
        <w:lastRenderedPageBreak/>
        <w:t>and influence; for instance, many displaced women in the Tambura area reportedly want armed men who have been involved in violence to leave areas where they reside, in order to enable the women and their families to safely return home,</w:t>
      </w:r>
      <w:r w:rsidRPr="00A307C6">
        <w:rPr>
          <w:rStyle w:val="FootnoteReference"/>
          <w:lang w:val="en-GB"/>
        </w:rPr>
        <w:footnoteReference w:id="216"/>
      </w:r>
      <w:r w:rsidRPr="00A307C6">
        <w:rPr>
          <w:lang w:val="en-GB"/>
        </w:rPr>
        <w:t xml:space="preserve"> these views do not appear to </w:t>
      </w:r>
      <w:r w:rsidR="00C559CC" w:rsidRPr="00A307C6">
        <w:rPr>
          <w:lang w:val="en-GB"/>
        </w:rPr>
        <w:t xml:space="preserve">have </w:t>
      </w:r>
      <w:r w:rsidR="00795CCB" w:rsidRPr="00A307C6">
        <w:rPr>
          <w:lang w:val="en-GB"/>
        </w:rPr>
        <w:t>be</w:t>
      </w:r>
      <w:r w:rsidR="00C559CC" w:rsidRPr="00A307C6">
        <w:rPr>
          <w:lang w:val="en-GB"/>
        </w:rPr>
        <w:t>en</w:t>
      </w:r>
      <w:r w:rsidR="00795CCB" w:rsidRPr="00A307C6">
        <w:rPr>
          <w:lang w:val="en-GB"/>
        </w:rPr>
        <w:t xml:space="preserve"> </w:t>
      </w:r>
      <w:r w:rsidRPr="00A307C6">
        <w:rPr>
          <w:lang w:val="en-GB"/>
        </w:rPr>
        <w:t xml:space="preserve">accounted </w:t>
      </w:r>
      <w:r w:rsidR="00795CCB" w:rsidRPr="00A307C6">
        <w:rPr>
          <w:lang w:val="en-GB"/>
        </w:rPr>
        <w:t xml:space="preserve">for </w:t>
      </w:r>
      <w:r w:rsidRPr="00A307C6">
        <w:rPr>
          <w:lang w:val="en-GB"/>
        </w:rPr>
        <w:t xml:space="preserve">in discussions where decisions are made on security arrangements. </w:t>
      </w:r>
    </w:p>
    <w:p w14:paraId="23D0D954" w14:textId="70BC9748" w:rsidR="00F51B0A" w:rsidRPr="00A307C6" w:rsidRDefault="00E82108" w:rsidP="00FF077A">
      <w:pPr>
        <w:pStyle w:val="Paragraph"/>
        <w:rPr>
          <w:lang w:val="en-GB"/>
        </w:rPr>
      </w:pPr>
      <w:r>
        <w:rPr>
          <w:lang w:val="en-GB"/>
        </w:rPr>
        <w:t>Women’s</w:t>
      </w:r>
      <w:r w:rsidR="00E14814">
        <w:rPr>
          <w:lang w:val="en-GB"/>
        </w:rPr>
        <w:t xml:space="preserve"> </w:t>
      </w:r>
      <w:r w:rsidR="00F51B0A" w:rsidRPr="00A307C6">
        <w:rPr>
          <w:lang w:val="en-GB"/>
        </w:rPr>
        <w:t>experience</w:t>
      </w:r>
      <w:r w:rsidR="00E14814">
        <w:rPr>
          <w:lang w:val="en-GB"/>
        </w:rPr>
        <w:t>s</w:t>
      </w:r>
      <w:r w:rsidR="00F51B0A" w:rsidRPr="00A307C6">
        <w:rPr>
          <w:lang w:val="en-GB"/>
        </w:rPr>
        <w:t xml:space="preserve"> of sexual violence in conflict, and </w:t>
      </w:r>
      <w:r w:rsidR="00E14814">
        <w:rPr>
          <w:lang w:val="en-GB"/>
        </w:rPr>
        <w:t xml:space="preserve">personal </w:t>
      </w:r>
      <w:r w:rsidR="00F51B0A" w:rsidRPr="00A307C6">
        <w:rPr>
          <w:lang w:val="en-GB"/>
        </w:rPr>
        <w:t xml:space="preserve">knowledge </w:t>
      </w:r>
      <w:proofErr w:type="gramStart"/>
      <w:r w:rsidR="00F51B0A" w:rsidRPr="00A307C6">
        <w:rPr>
          <w:lang w:val="en-GB"/>
        </w:rPr>
        <w:t>of  impunity</w:t>
      </w:r>
      <w:proofErr w:type="gramEnd"/>
      <w:r w:rsidR="00F51B0A" w:rsidRPr="00A307C6">
        <w:rPr>
          <w:lang w:val="en-GB"/>
        </w:rPr>
        <w:t xml:space="preserve"> and persistent insecurity, means that </w:t>
      </w:r>
      <w:r w:rsidR="00E14814">
        <w:rPr>
          <w:lang w:val="en-GB"/>
        </w:rPr>
        <w:t xml:space="preserve">they </w:t>
      </w:r>
      <w:r w:rsidR="00E476A8" w:rsidRPr="00A307C6">
        <w:rPr>
          <w:lang w:val="en-GB"/>
        </w:rPr>
        <w:t xml:space="preserve">often have the best vantage on whether or not displacement camp closures and return to </w:t>
      </w:r>
      <w:r w:rsidR="00E14814">
        <w:rPr>
          <w:lang w:val="en-GB"/>
        </w:rPr>
        <w:t xml:space="preserve">their </w:t>
      </w:r>
      <w:r w:rsidR="00E476A8" w:rsidRPr="00A307C6">
        <w:rPr>
          <w:lang w:val="en-GB"/>
        </w:rPr>
        <w:t xml:space="preserve">communities are viable options, </w:t>
      </w:r>
      <w:r w:rsidR="005A77EC" w:rsidRPr="00A307C6">
        <w:rPr>
          <w:lang w:val="en-GB"/>
        </w:rPr>
        <w:t xml:space="preserve">or </w:t>
      </w:r>
      <w:r w:rsidR="00E14814">
        <w:rPr>
          <w:lang w:val="en-GB"/>
        </w:rPr>
        <w:t xml:space="preserve">whether </w:t>
      </w:r>
      <w:r w:rsidR="005A77EC" w:rsidRPr="00A307C6">
        <w:rPr>
          <w:lang w:val="en-GB"/>
        </w:rPr>
        <w:t xml:space="preserve">there are more feasible </w:t>
      </w:r>
      <w:r w:rsidR="00D5704F" w:rsidRPr="00A307C6">
        <w:rPr>
          <w:lang w:val="en-GB"/>
        </w:rPr>
        <w:t>alternatives</w:t>
      </w:r>
      <w:r w:rsidR="005A77EC" w:rsidRPr="00A307C6">
        <w:rPr>
          <w:lang w:val="en-GB"/>
        </w:rPr>
        <w:t xml:space="preserve"> or not, </w:t>
      </w:r>
      <w:r w:rsidR="00E476A8" w:rsidRPr="00A307C6">
        <w:rPr>
          <w:lang w:val="en-GB"/>
        </w:rPr>
        <w:t xml:space="preserve">and if so, the conditions that need to be in place for these </w:t>
      </w:r>
      <w:r w:rsidR="00F10BDA" w:rsidRPr="00A307C6">
        <w:rPr>
          <w:lang w:val="en-GB"/>
        </w:rPr>
        <w:t xml:space="preserve">processes </w:t>
      </w:r>
      <w:r w:rsidR="00E476A8" w:rsidRPr="00A307C6">
        <w:rPr>
          <w:lang w:val="en-GB"/>
        </w:rPr>
        <w:t>to be safe and sustainable.</w:t>
      </w:r>
    </w:p>
    <w:p w14:paraId="5CF51EDB" w14:textId="5629718B" w:rsidR="00DB3247" w:rsidRPr="00A307C6" w:rsidRDefault="00A61EC7" w:rsidP="00FF077A">
      <w:pPr>
        <w:pStyle w:val="Paragraph"/>
        <w:rPr>
          <w:lang w:val="en-GB"/>
        </w:rPr>
      </w:pPr>
      <w:r w:rsidRPr="00A307C6">
        <w:rPr>
          <w:lang w:val="en-GB"/>
        </w:rPr>
        <w:t xml:space="preserve">Tragically, </w:t>
      </w:r>
      <w:r w:rsidR="00DB3247" w:rsidRPr="00A307C6">
        <w:rPr>
          <w:lang w:val="en-GB"/>
        </w:rPr>
        <w:t>women-led and women’s rights organisations receive the least resources of all local agencies delivering humanitarian and related assistance in the country, according to the South Sudan Non-Government Organization Forum.</w:t>
      </w:r>
      <w:r w:rsidR="00DB3247" w:rsidRPr="00A307C6">
        <w:rPr>
          <w:rStyle w:val="FootnoteReference"/>
          <w:lang w:val="en-GB"/>
        </w:rPr>
        <w:footnoteReference w:id="217"/>
      </w:r>
      <w:r w:rsidR="00DB3247" w:rsidRPr="00A307C6">
        <w:rPr>
          <w:lang w:val="en-GB"/>
        </w:rPr>
        <w:t xml:space="preserve"> This </w:t>
      </w:r>
      <w:r w:rsidRPr="00A307C6">
        <w:rPr>
          <w:lang w:val="en-GB"/>
        </w:rPr>
        <w:t xml:space="preserve">means that </w:t>
      </w:r>
      <w:r w:rsidR="00DB3247" w:rsidRPr="00A307C6">
        <w:rPr>
          <w:lang w:val="en-GB"/>
        </w:rPr>
        <w:t xml:space="preserve">women, particularly those from the country, also have a marginalised role in planning and programming interventions despite South Sudanese females constituting a large if not majority proportion of the intended recipients of such assistance. </w:t>
      </w:r>
    </w:p>
    <w:p w14:paraId="3DA7863E" w14:textId="3EA95ADD" w:rsidR="00967E31" w:rsidRPr="00A307C6" w:rsidRDefault="00967E31" w:rsidP="00FF077A">
      <w:pPr>
        <w:pStyle w:val="Paragraph"/>
        <w:rPr>
          <w:lang w:val="en-GB"/>
        </w:rPr>
      </w:pPr>
      <w:r w:rsidRPr="00A307C6">
        <w:rPr>
          <w:lang w:val="en-GB"/>
        </w:rPr>
        <w:t xml:space="preserve">Trauma from sexual violence in conflict, and </w:t>
      </w:r>
      <w:r w:rsidR="00081956" w:rsidRPr="00A307C6">
        <w:rPr>
          <w:lang w:val="en-GB"/>
        </w:rPr>
        <w:t xml:space="preserve">living with the constant </w:t>
      </w:r>
      <w:r w:rsidRPr="00A307C6">
        <w:rPr>
          <w:lang w:val="en-GB"/>
        </w:rPr>
        <w:t xml:space="preserve">threat of </w:t>
      </w:r>
      <w:r w:rsidR="00081956" w:rsidRPr="00A307C6">
        <w:rPr>
          <w:lang w:val="en-GB"/>
        </w:rPr>
        <w:t>violence arising from the conflict</w:t>
      </w:r>
      <w:r w:rsidR="00056467" w:rsidRPr="00A307C6">
        <w:rPr>
          <w:lang w:val="en-GB"/>
        </w:rPr>
        <w:t>,</w:t>
      </w:r>
      <w:r w:rsidR="00081956" w:rsidRPr="00A307C6">
        <w:rPr>
          <w:lang w:val="en-GB"/>
        </w:rPr>
        <w:t xml:space="preserve"> results in women and girls living with insecurity and the constant threat of </w:t>
      </w:r>
      <w:r w:rsidRPr="00A307C6">
        <w:rPr>
          <w:lang w:val="en-GB"/>
        </w:rPr>
        <w:t xml:space="preserve">repetition </w:t>
      </w:r>
      <w:r w:rsidR="00056467" w:rsidRPr="00A307C6">
        <w:rPr>
          <w:lang w:val="en-GB"/>
        </w:rPr>
        <w:t xml:space="preserve">of the violence </w:t>
      </w:r>
      <w:r w:rsidRPr="00A307C6">
        <w:rPr>
          <w:lang w:val="en-GB"/>
        </w:rPr>
        <w:t>given persistent impunity and instability</w:t>
      </w:r>
      <w:r w:rsidR="00081956" w:rsidRPr="00A307C6">
        <w:rPr>
          <w:lang w:val="en-GB"/>
        </w:rPr>
        <w:t xml:space="preserve">. </w:t>
      </w:r>
      <w:r w:rsidR="00DC7504" w:rsidRPr="00A307C6">
        <w:rPr>
          <w:lang w:val="en-GB"/>
        </w:rPr>
        <w:t>Displaced w</w:t>
      </w:r>
      <w:r w:rsidR="00081956" w:rsidRPr="00A307C6">
        <w:rPr>
          <w:lang w:val="en-GB"/>
        </w:rPr>
        <w:t xml:space="preserve">omen and girls </w:t>
      </w:r>
      <w:r w:rsidRPr="00A307C6">
        <w:rPr>
          <w:lang w:val="en-GB"/>
        </w:rPr>
        <w:t xml:space="preserve">see few opportunities </w:t>
      </w:r>
      <w:r w:rsidR="00081956" w:rsidRPr="00A307C6">
        <w:rPr>
          <w:lang w:val="en-GB"/>
        </w:rPr>
        <w:t xml:space="preserve">for them </w:t>
      </w:r>
      <w:r w:rsidRPr="00A307C6">
        <w:rPr>
          <w:lang w:val="en-GB"/>
        </w:rPr>
        <w:t xml:space="preserve">to safely return </w:t>
      </w:r>
      <w:r w:rsidR="00DC7504" w:rsidRPr="00A307C6">
        <w:rPr>
          <w:lang w:val="en-GB"/>
        </w:rPr>
        <w:t xml:space="preserve">home </w:t>
      </w:r>
      <w:r w:rsidRPr="00A307C6">
        <w:rPr>
          <w:lang w:val="en-GB"/>
        </w:rPr>
        <w:t>or relocate from a displacement setting</w:t>
      </w:r>
      <w:r w:rsidR="00081956" w:rsidRPr="00A307C6">
        <w:rPr>
          <w:lang w:val="en-GB"/>
        </w:rPr>
        <w:t xml:space="preserve"> given issues of safety and the s</w:t>
      </w:r>
      <w:r w:rsidRPr="00A307C6">
        <w:rPr>
          <w:lang w:val="en-GB"/>
        </w:rPr>
        <w:t xml:space="preserve">ecurity challenges. Many survivors the </w:t>
      </w:r>
      <w:r w:rsidR="00D5704F" w:rsidRPr="00A307C6">
        <w:rPr>
          <w:lang w:val="en-GB"/>
        </w:rPr>
        <w:t>Commission</w:t>
      </w:r>
      <w:r w:rsidRPr="00A307C6">
        <w:rPr>
          <w:lang w:val="en-GB"/>
        </w:rPr>
        <w:t xml:space="preserve"> </w:t>
      </w:r>
      <w:r w:rsidR="00D5704F" w:rsidRPr="00A307C6">
        <w:rPr>
          <w:lang w:val="en-GB"/>
        </w:rPr>
        <w:t>interacted</w:t>
      </w:r>
      <w:r w:rsidRPr="00A307C6">
        <w:rPr>
          <w:lang w:val="en-GB"/>
        </w:rPr>
        <w:t xml:space="preserve"> with</w:t>
      </w:r>
      <w:r w:rsidR="00DC7504" w:rsidRPr="00A307C6">
        <w:rPr>
          <w:lang w:val="en-GB"/>
        </w:rPr>
        <w:t xml:space="preserve"> described</w:t>
      </w:r>
      <w:r w:rsidR="00081956" w:rsidRPr="00A307C6">
        <w:rPr>
          <w:lang w:val="en-GB"/>
        </w:rPr>
        <w:t xml:space="preserve"> their </w:t>
      </w:r>
      <w:r w:rsidRPr="00A307C6">
        <w:rPr>
          <w:lang w:val="en-GB"/>
        </w:rPr>
        <w:t xml:space="preserve">sense of dislocation </w:t>
      </w:r>
      <w:r w:rsidR="00081956" w:rsidRPr="00A307C6">
        <w:rPr>
          <w:lang w:val="en-GB"/>
        </w:rPr>
        <w:t xml:space="preserve">arising from the </w:t>
      </w:r>
      <w:r w:rsidRPr="00A307C6">
        <w:rPr>
          <w:lang w:val="en-GB"/>
        </w:rPr>
        <w:t xml:space="preserve">physical </w:t>
      </w:r>
      <w:r w:rsidR="00081956" w:rsidRPr="00A307C6">
        <w:rPr>
          <w:lang w:val="en-GB"/>
        </w:rPr>
        <w:t xml:space="preserve">loss of </w:t>
      </w:r>
      <w:r w:rsidRPr="00A307C6">
        <w:rPr>
          <w:lang w:val="en-GB"/>
        </w:rPr>
        <w:t xml:space="preserve">homes, </w:t>
      </w:r>
      <w:r w:rsidR="00081956" w:rsidRPr="00A307C6">
        <w:rPr>
          <w:lang w:val="en-GB"/>
        </w:rPr>
        <w:t xml:space="preserve">their separation from </w:t>
      </w:r>
      <w:r w:rsidRPr="00A307C6">
        <w:rPr>
          <w:lang w:val="en-GB"/>
        </w:rPr>
        <w:t xml:space="preserve">villages </w:t>
      </w:r>
      <w:r w:rsidR="00081956" w:rsidRPr="00A307C6">
        <w:rPr>
          <w:lang w:val="en-GB"/>
        </w:rPr>
        <w:t xml:space="preserve">and towns and communities as well as </w:t>
      </w:r>
      <w:r w:rsidRPr="00A307C6">
        <w:rPr>
          <w:lang w:val="en-GB"/>
        </w:rPr>
        <w:t>from South Sudan. S</w:t>
      </w:r>
      <w:r w:rsidR="00081956" w:rsidRPr="00A307C6">
        <w:rPr>
          <w:lang w:val="en-GB"/>
        </w:rPr>
        <w:t xml:space="preserve">urvivors </w:t>
      </w:r>
      <w:r w:rsidR="00DC7504" w:rsidRPr="00A307C6">
        <w:rPr>
          <w:lang w:val="en-GB"/>
        </w:rPr>
        <w:t xml:space="preserve">further </w:t>
      </w:r>
      <w:r w:rsidRPr="00A307C6">
        <w:rPr>
          <w:lang w:val="en-GB"/>
        </w:rPr>
        <w:t xml:space="preserve">described </w:t>
      </w:r>
      <w:r w:rsidR="00081956" w:rsidRPr="00A307C6">
        <w:rPr>
          <w:lang w:val="en-GB"/>
        </w:rPr>
        <w:t xml:space="preserve">their </w:t>
      </w:r>
      <w:r w:rsidRPr="00A307C6">
        <w:rPr>
          <w:lang w:val="en-GB"/>
        </w:rPr>
        <w:t xml:space="preserve">sense of non-belonging, and that their experience of sexual violence </w:t>
      </w:r>
      <w:r w:rsidR="00802E86" w:rsidRPr="00A307C6">
        <w:rPr>
          <w:lang w:val="en-GB"/>
        </w:rPr>
        <w:t xml:space="preserve">and </w:t>
      </w:r>
      <w:r w:rsidRPr="00A307C6">
        <w:rPr>
          <w:lang w:val="en-GB"/>
        </w:rPr>
        <w:t xml:space="preserve">being forced to leave their homes, </w:t>
      </w:r>
      <w:r w:rsidR="00802E86" w:rsidRPr="00A307C6">
        <w:rPr>
          <w:lang w:val="en-GB"/>
        </w:rPr>
        <w:t>leav</w:t>
      </w:r>
      <w:r w:rsidR="00056467" w:rsidRPr="00A307C6">
        <w:rPr>
          <w:lang w:val="en-GB"/>
        </w:rPr>
        <w:t>es</w:t>
      </w:r>
      <w:r w:rsidR="00802E86" w:rsidRPr="00A307C6">
        <w:rPr>
          <w:lang w:val="en-GB"/>
        </w:rPr>
        <w:t xml:space="preserve"> them totally </w:t>
      </w:r>
      <w:r w:rsidRPr="00A307C6">
        <w:rPr>
          <w:lang w:val="en-GB"/>
        </w:rPr>
        <w:t xml:space="preserve">disconnected from their places </w:t>
      </w:r>
      <w:r w:rsidR="00056467" w:rsidRPr="00A307C6">
        <w:rPr>
          <w:lang w:val="en-GB"/>
        </w:rPr>
        <w:t xml:space="preserve">of </w:t>
      </w:r>
      <w:r w:rsidRPr="00A307C6">
        <w:rPr>
          <w:lang w:val="en-GB"/>
        </w:rPr>
        <w:t>origin and any future they had planned or imagined there.</w:t>
      </w:r>
      <w:r w:rsidR="0069217D" w:rsidRPr="00A307C6">
        <w:rPr>
          <w:lang w:val="en-GB"/>
        </w:rPr>
        <w:t xml:space="preserve"> </w:t>
      </w:r>
      <w:r w:rsidR="009C74F8" w:rsidRPr="00A307C6">
        <w:rPr>
          <w:lang w:val="en-GB"/>
        </w:rPr>
        <w:t>Numerous r</w:t>
      </w:r>
      <w:r w:rsidR="00BE1B88" w:rsidRPr="00A307C6">
        <w:rPr>
          <w:lang w:val="en-GB"/>
        </w:rPr>
        <w:t xml:space="preserve">efugees </w:t>
      </w:r>
      <w:r w:rsidR="0069217D" w:rsidRPr="00A307C6">
        <w:rPr>
          <w:lang w:val="en-GB"/>
        </w:rPr>
        <w:t xml:space="preserve">told the </w:t>
      </w:r>
      <w:r w:rsidR="00D5704F" w:rsidRPr="00A307C6">
        <w:rPr>
          <w:lang w:val="en-GB"/>
        </w:rPr>
        <w:t>Commission</w:t>
      </w:r>
      <w:r w:rsidR="0069217D" w:rsidRPr="00A307C6">
        <w:rPr>
          <w:lang w:val="en-GB"/>
        </w:rPr>
        <w:t xml:space="preserve"> that they would not return to South Sudan because they would never feel safe.</w:t>
      </w:r>
    </w:p>
    <w:p w14:paraId="1DDB9860" w14:textId="77777777" w:rsidR="00702233" w:rsidRPr="00A307C6" w:rsidRDefault="00702233" w:rsidP="0018460A">
      <w:pPr>
        <w:pStyle w:val="HChG"/>
        <w:outlineLvl w:val="0"/>
      </w:pPr>
      <w:bookmarkStart w:id="72" w:name="_Toc98226827"/>
      <w:bookmarkStart w:id="73" w:name="_Toc98606468"/>
      <w:bookmarkEnd w:id="46"/>
      <w:r w:rsidRPr="00A307C6">
        <w:lastRenderedPageBreak/>
        <w:t>Impunity, accountability and transitional justice</w:t>
      </w:r>
      <w:bookmarkEnd w:id="72"/>
      <w:bookmarkEnd w:id="73"/>
    </w:p>
    <w:p w14:paraId="0C716EE0" w14:textId="77777777" w:rsidR="00702233" w:rsidRPr="00A307C6" w:rsidRDefault="00702233" w:rsidP="00B8644C">
      <w:pPr>
        <w:pStyle w:val="HChG"/>
        <w:numPr>
          <w:ilvl w:val="0"/>
          <w:numId w:val="11"/>
        </w:numPr>
        <w:outlineLvl w:val="0"/>
      </w:pPr>
      <w:bookmarkStart w:id="74" w:name="_Toc98226828"/>
      <w:bookmarkStart w:id="75" w:name="_Toc98606469"/>
      <w:r w:rsidRPr="00A307C6">
        <w:t>Context</w:t>
      </w:r>
      <w:bookmarkEnd w:id="74"/>
      <w:bookmarkEnd w:id="75"/>
    </w:p>
    <w:p w14:paraId="0474EB4F" w14:textId="3D35F0A1" w:rsidR="005C2A9C" w:rsidRPr="005C2A9C" w:rsidRDefault="003F17BD" w:rsidP="006E397D">
      <w:pPr>
        <w:pStyle w:val="Paragraph"/>
      </w:pPr>
      <w:r>
        <w:t>M</w:t>
      </w:r>
      <w:r w:rsidRPr="005C2A9C">
        <w:t>echanisms to address violence against women, gender discrimination and structural inequality</w:t>
      </w:r>
      <w:r>
        <w:t xml:space="preserve"> are provided for in t</w:t>
      </w:r>
      <w:r w:rsidR="005C2A9C" w:rsidRPr="005C2A9C">
        <w:t>he African Charter</w:t>
      </w:r>
      <w:r w:rsidR="006E397D">
        <w:t xml:space="preserve"> on Human and Peoples’ Rights (which South Sudan joined in 2013</w:t>
      </w:r>
      <w:r w:rsidR="00AD0B6B">
        <w:t>)</w:t>
      </w:r>
      <w:r w:rsidR="005C2A9C" w:rsidRPr="005C2A9C">
        <w:t xml:space="preserve">, </w:t>
      </w:r>
      <w:r w:rsidR="006E397D">
        <w:t xml:space="preserve">the </w:t>
      </w:r>
      <w:r w:rsidR="005C2A9C" w:rsidRPr="005C2A9C">
        <w:t>Maputo Protocol</w:t>
      </w:r>
      <w:r w:rsidR="006E397D" w:rsidRPr="006E397D">
        <w:t xml:space="preserve"> to the African Charter on Human and Peoples' Rights on the Rights of Women in Africa</w:t>
      </w:r>
      <w:r w:rsidR="006E397D">
        <w:t xml:space="preserve"> (which South Sudan signed in 2013)</w:t>
      </w:r>
      <w:r w:rsidR="005C2A9C" w:rsidRPr="005C2A9C">
        <w:t>, the Convention on the Elimination of All Forms of Discrimination Against Women</w:t>
      </w:r>
      <w:r w:rsidR="006E397D">
        <w:t xml:space="preserve"> </w:t>
      </w:r>
      <w:r w:rsidR="005C2A9C" w:rsidRPr="005C2A9C">
        <w:t xml:space="preserve">(CEDAW) </w:t>
      </w:r>
      <w:r w:rsidR="006E397D">
        <w:t>(which South Sudan joined in 2015)</w:t>
      </w:r>
      <w:r>
        <w:t>,</w:t>
      </w:r>
      <w:r w:rsidR="006E397D">
        <w:t xml:space="preserve"> and the Optional Protocol to CEDAW (which South Sudan joined in 2015)</w:t>
      </w:r>
      <w:r>
        <w:t>,</w:t>
      </w:r>
      <w:r w:rsidR="006E397D">
        <w:t xml:space="preserve"> </w:t>
      </w:r>
      <w:r w:rsidR="005C2A9C" w:rsidRPr="005C2A9C">
        <w:t>a</w:t>
      </w:r>
      <w:r w:rsidR="005C2A9C">
        <w:t xml:space="preserve">s well </w:t>
      </w:r>
      <w:r w:rsidR="006E397D">
        <w:t>treaties such as the UN Convention</w:t>
      </w:r>
      <w:r w:rsidR="006E397D" w:rsidRPr="006E397D">
        <w:t xml:space="preserve"> against Torture and Other Cruel, Inhuman or Degrading Treatment or Punishment </w:t>
      </w:r>
      <w:r w:rsidR="006E397D">
        <w:t xml:space="preserve">(which South Sudan joined in 2015) along with </w:t>
      </w:r>
      <w:r w:rsidR="005C2A9C">
        <w:t xml:space="preserve">other </w:t>
      </w:r>
      <w:r w:rsidR="00AD0B6B">
        <w:t xml:space="preserve">international and </w:t>
      </w:r>
      <w:r w:rsidR="005C2A9C" w:rsidRPr="005C2A9C">
        <w:t>regional instruments</w:t>
      </w:r>
      <w:r w:rsidR="005C2A9C">
        <w:t>.</w:t>
      </w:r>
    </w:p>
    <w:p w14:paraId="76B72C3D" w14:textId="0A05C37E" w:rsidR="00702233" w:rsidRPr="00A307C6" w:rsidRDefault="00083157" w:rsidP="00977ECA">
      <w:pPr>
        <w:pStyle w:val="Paragraph"/>
        <w:rPr>
          <w:sz w:val="24"/>
          <w:szCs w:val="24"/>
          <w:lang w:val="en-GB"/>
        </w:rPr>
      </w:pPr>
      <w:r>
        <w:rPr>
          <w:lang w:val="en-GB"/>
        </w:rPr>
        <w:t>Unite</w:t>
      </w:r>
      <w:r w:rsidR="0009290A">
        <w:rPr>
          <w:lang w:val="en-GB"/>
        </w:rPr>
        <w:t>d</w:t>
      </w:r>
      <w:r>
        <w:rPr>
          <w:lang w:val="en-GB"/>
        </w:rPr>
        <w:t xml:space="preserve"> Nations </w:t>
      </w:r>
      <w:r w:rsidR="00702233" w:rsidRPr="00A307C6">
        <w:rPr>
          <w:lang w:val="en-GB"/>
        </w:rPr>
        <w:t xml:space="preserve">Security Council </w:t>
      </w:r>
      <w:r>
        <w:rPr>
          <w:lang w:val="en-GB"/>
        </w:rPr>
        <w:t>r</w:t>
      </w:r>
      <w:r w:rsidR="00702233" w:rsidRPr="00A307C6">
        <w:rPr>
          <w:lang w:val="en-GB"/>
        </w:rPr>
        <w:t>esolution</w:t>
      </w:r>
      <w:r w:rsidR="008565EA">
        <w:rPr>
          <w:lang w:val="en-GB"/>
        </w:rPr>
        <w:t>s</w:t>
      </w:r>
      <w:r w:rsidR="00702233" w:rsidRPr="00A307C6">
        <w:rPr>
          <w:lang w:val="en-GB"/>
        </w:rPr>
        <w:t xml:space="preserve"> 1325 </w:t>
      </w:r>
      <w:r w:rsidR="00A32E14">
        <w:rPr>
          <w:lang w:val="en-GB"/>
        </w:rPr>
        <w:t xml:space="preserve">and 1820 </w:t>
      </w:r>
      <w:r w:rsidR="00702233" w:rsidRPr="00A307C6">
        <w:rPr>
          <w:lang w:val="en-GB"/>
        </w:rPr>
        <w:t>call upon all parties to armed conflict to take special measures to protect women and girls from gender-based violence, particularly rape and other forms of sexual abuse, and all other forms of violence in situations of armed conflict.</w:t>
      </w:r>
      <w:r>
        <w:rPr>
          <w:rStyle w:val="FootnoteReference"/>
        </w:rPr>
        <w:footnoteReference w:id="218"/>
      </w:r>
      <w:r w:rsidR="00702233" w:rsidRPr="00A307C6">
        <w:rPr>
          <w:lang w:val="en-GB"/>
        </w:rPr>
        <w:t xml:space="preserve"> </w:t>
      </w:r>
      <w:r w:rsidR="008565EA">
        <w:rPr>
          <w:lang w:val="en-GB"/>
        </w:rPr>
        <w:t>The</w:t>
      </w:r>
      <w:r>
        <w:rPr>
          <w:lang w:val="en-GB"/>
        </w:rPr>
        <w:t>se</w:t>
      </w:r>
      <w:r w:rsidR="008565EA">
        <w:rPr>
          <w:lang w:val="en-GB"/>
        </w:rPr>
        <w:t xml:space="preserve"> </w:t>
      </w:r>
      <w:r w:rsidR="00702233" w:rsidRPr="00A307C6">
        <w:rPr>
          <w:lang w:val="en-GB"/>
        </w:rPr>
        <w:t>emphasis</w:t>
      </w:r>
      <w:r w:rsidR="008565EA">
        <w:rPr>
          <w:lang w:val="en-GB"/>
        </w:rPr>
        <w:t>e</w:t>
      </w:r>
      <w:r w:rsidR="00702233" w:rsidRPr="00A307C6">
        <w:rPr>
          <w:lang w:val="en-GB"/>
        </w:rPr>
        <w:t xml:space="preserve"> the responsibility of all </w:t>
      </w:r>
      <w:r>
        <w:rPr>
          <w:lang w:val="en-GB"/>
        </w:rPr>
        <w:t>Member S</w:t>
      </w:r>
      <w:r w:rsidR="00702233" w:rsidRPr="00A307C6">
        <w:rPr>
          <w:lang w:val="en-GB"/>
        </w:rPr>
        <w:t xml:space="preserve">tates to end impunity for genocide, crimes against humanity and war crimes relating to </w:t>
      </w:r>
      <w:r>
        <w:rPr>
          <w:lang w:val="en-GB"/>
        </w:rPr>
        <w:t xml:space="preserve">acts of </w:t>
      </w:r>
      <w:r w:rsidR="00702233" w:rsidRPr="00A307C6">
        <w:rPr>
          <w:lang w:val="en-GB"/>
        </w:rPr>
        <w:t>sexual violence</w:t>
      </w:r>
      <w:r>
        <w:rPr>
          <w:lang w:val="en-GB"/>
        </w:rPr>
        <w:t>.</w:t>
      </w:r>
      <w:r w:rsidR="008565EA">
        <w:rPr>
          <w:lang w:val="en-GB"/>
        </w:rPr>
        <w:t xml:space="preserve"> Resolution 1820 ‘calls upon </w:t>
      </w:r>
      <w:r w:rsidR="008565EA">
        <w:t>Member States to comply with their obligations for prosecuting persons responsible for such acts, to ensure that all victims of sexual violence, particularly women and girls, have equal protection under the law and equal access to justice, and stresses the importance of ending impunity for such acts as part of a comprehensive approach to seeking sustainable peace, justice, truth, and national reconciliation.’</w:t>
      </w:r>
      <w:r w:rsidR="008565EA">
        <w:rPr>
          <w:lang w:val="en-GB"/>
        </w:rPr>
        <w:t xml:space="preserve"> </w:t>
      </w:r>
    </w:p>
    <w:p w14:paraId="7D280B6E" w14:textId="1558E68A" w:rsidR="00702233" w:rsidRPr="00A307C6" w:rsidRDefault="00702233" w:rsidP="00E70118">
      <w:pPr>
        <w:pStyle w:val="Paragraph"/>
        <w:spacing w:after="0"/>
        <w:ind w:left="714" w:right="1140" w:hanging="357"/>
        <w:rPr>
          <w:sz w:val="24"/>
          <w:szCs w:val="24"/>
          <w:lang w:val="en-GB"/>
        </w:rPr>
      </w:pPr>
      <w:r w:rsidRPr="00A307C6">
        <w:rPr>
          <w:lang w:val="en-GB"/>
        </w:rPr>
        <w:t>Conflict-related sexual violence in South Sudan is egregious in nature, widespread and extensive occurring in homes, fields, places of detention, military sites, and camps for refugees and displaced persons. It occurs at the height of conflict, during population displacement,</w:t>
      </w:r>
      <w:r w:rsidR="00977ECA" w:rsidRPr="00A307C6">
        <w:rPr>
          <w:lang w:val="en-GB"/>
        </w:rPr>
        <w:t xml:space="preserve"> </w:t>
      </w:r>
      <w:r w:rsidRPr="00A307C6">
        <w:rPr>
          <w:lang w:val="en-GB"/>
        </w:rPr>
        <w:t xml:space="preserve">and continues after conflict. Acts of sexual violence are committed during attacks on civilian centres, or during looting raids. Women and girls are often targeted with sexual violence whilst performing daily chores, such as collecting food, water and wood. Women and children have been abducted by armed groups and kept in sexual slavery, or forced into combat roles. Women and men in detention have been raped, subjected </w:t>
      </w:r>
      <w:r w:rsidRPr="00A307C6">
        <w:rPr>
          <w:lang w:val="en-GB"/>
        </w:rPr>
        <w:lastRenderedPageBreak/>
        <w:t xml:space="preserve">to sexual mutilation, humiliation and torture. For displaced women and children, even places of “refuge” may be extremely unsafe. Sexual violence also occurs within and around camps for refugees and displaced persons. Family violence, too, is prevalent </w:t>
      </w:r>
      <w:r w:rsidR="00056467" w:rsidRPr="00A307C6">
        <w:rPr>
          <w:lang w:val="en-GB"/>
        </w:rPr>
        <w:t xml:space="preserve">in </w:t>
      </w:r>
      <w:r w:rsidRPr="00A307C6">
        <w:rPr>
          <w:lang w:val="en-GB"/>
        </w:rPr>
        <w:t>displacement and refugee settings, exacerbated by trauma, fractured community bonds, loss of livelihood and stress.</w:t>
      </w:r>
    </w:p>
    <w:p w14:paraId="332969B3" w14:textId="77777777" w:rsidR="00056467" w:rsidRPr="00A307C6" w:rsidRDefault="00056467" w:rsidP="008F45CC">
      <w:pPr>
        <w:pStyle w:val="Paragraph"/>
        <w:numPr>
          <w:ilvl w:val="0"/>
          <w:numId w:val="0"/>
        </w:numPr>
        <w:spacing w:after="0"/>
        <w:ind w:left="714" w:right="1140"/>
        <w:rPr>
          <w:sz w:val="24"/>
          <w:szCs w:val="24"/>
          <w:lang w:val="en-GB"/>
        </w:rPr>
      </w:pPr>
    </w:p>
    <w:p w14:paraId="5E9E4D8E" w14:textId="1A297F49" w:rsidR="00702233" w:rsidRPr="00A307C6" w:rsidRDefault="00702233" w:rsidP="00FF077A">
      <w:pPr>
        <w:pStyle w:val="Paragraph"/>
        <w:rPr>
          <w:sz w:val="24"/>
          <w:szCs w:val="24"/>
          <w:lang w:val="en-GB"/>
        </w:rPr>
      </w:pPr>
      <w:r w:rsidRPr="00A307C6">
        <w:rPr>
          <w:lang w:val="en-GB"/>
        </w:rPr>
        <w:t>Impunity for sexual and gender</w:t>
      </w:r>
      <w:r w:rsidR="00DC7504" w:rsidRPr="00A307C6">
        <w:rPr>
          <w:lang w:val="en-GB"/>
        </w:rPr>
        <w:t>-</w:t>
      </w:r>
      <w:r w:rsidRPr="00A307C6">
        <w:rPr>
          <w:lang w:val="en-GB"/>
        </w:rPr>
        <w:t>based violence against women and girls at a domestic level and in conflict is the core driver of these crimes, perpetrated without any consequence</w:t>
      </w:r>
      <w:r w:rsidR="00B40EBE" w:rsidRPr="00A307C6">
        <w:rPr>
          <w:lang w:val="en-GB"/>
        </w:rPr>
        <w:t>s</w:t>
      </w:r>
      <w:r w:rsidRPr="00A307C6">
        <w:rPr>
          <w:lang w:val="en-GB"/>
        </w:rPr>
        <w:t xml:space="preserve"> or accountability, thereby enabling and even encouraging the repetition of crimes. This situation is a manifestation of a patriarchal society, in which tradition and culture entrench the low status of women. It is also reflective of the absence of the </w:t>
      </w:r>
      <w:r w:rsidR="002B00D0">
        <w:rPr>
          <w:lang w:val="en-GB"/>
        </w:rPr>
        <w:t>S</w:t>
      </w:r>
      <w:r w:rsidRPr="00A307C6">
        <w:rPr>
          <w:lang w:val="en-GB"/>
        </w:rPr>
        <w:t xml:space="preserve">tate and the rule of law in many parts of the country. In situations of conflict, the impact of sexual violence is exacerbated for the reasons highlighted in this paper, which </w:t>
      </w:r>
      <w:r w:rsidR="00DC7504" w:rsidRPr="00A307C6">
        <w:rPr>
          <w:lang w:val="en-GB"/>
        </w:rPr>
        <w:t xml:space="preserve">underscores </w:t>
      </w:r>
      <w:r w:rsidRPr="00A307C6">
        <w:rPr>
          <w:lang w:val="en-GB"/>
        </w:rPr>
        <w:t xml:space="preserve">the importance of the Revitalized </w:t>
      </w:r>
      <w:r w:rsidR="00DC7504" w:rsidRPr="00A307C6">
        <w:rPr>
          <w:lang w:val="en-GB"/>
        </w:rPr>
        <w:t>G</w:t>
      </w:r>
      <w:r w:rsidRPr="00A307C6">
        <w:rPr>
          <w:lang w:val="en-GB"/>
        </w:rPr>
        <w:t xml:space="preserve">overnment </w:t>
      </w:r>
      <w:r w:rsidR="00DC7504" w:rsidRPr="00A307C6">
        <w:rPr>
          <w:lang w:val="en-GB"/>
        </w:rPr>
        <w:t xml:space="preserve">taking seriously </w:t>
      </w:r>
      <w:r w:rsidRPr="00A307C6">
        <w:rPr>
          <w:lang w:val="en-GB"/>
        </w:rPr>
        <w:t>its responsibility to address impunity</w:t>
      </w:r>
      <w:r w:rsidR="00B40EBE" w:rsidRPr="00A307C6">
        <w:rPr>
          <w:lang w:val="en-GB"/>
        </w:rPr>
        <w:t>.</w:t>
      </w:r>
    </w:p>
    <w:p w14:paraId="26301AE1" w14:textId="4F213A1C" w:rsidR="00702233" w:rsidRPr="00A307C6" w:rsidRDefault="00702233" w:rsidP="00FF077A">
      <w:pPr>
        <w:pStyle w:val="Paragraph"/>
        <w:rPr>
          <w:lang w:val="en-GB"/>
        </w:rPr>
      </w:pPr>
      <w:r w:rsidRPr="00A307C6">
        <w:rPr>
          <w:lang w:val="en-GB"/>
        </w:rPr>
        <w:t xml:space="preserve">Any assessment of measures to address impunity and accountability </w:t>
      </w:r>
      <w:r w:rsidR="003A6E2A" w:rsidRPr="00A307C6">
        <w:rPr>
          <w:lang w:val="en-GB"/>
        </w:rPr>
        <w:t xml:space="preserve">for rape and sexual violence, </w:t>
      </w:r>
      <w:r w:rsidRPr="00A307C6">
        <w:rPr>
          <w:lang w:val="en-GB"/>
        </w:rPr>
        <w:t xml:space="preserve">necessarily involves a discussion of </w:t>
      </w:r>
      <w:r w:rsidR="003A6E2A" w:rsidRPr="00A307C6">
        <w:rPr>
          <w:lang w:val="en-GB"/>
        </w:rPr>
        <w:t xml:space="preserve">the existing </w:t>
      </w:r>
      <w:r w:rsidRPr="00A307C6">
        <w:rPr>
          <w:lang w:val="en-GB"/>
        </w:rPr>
        <w:t xml:space="preserve">judicial </w:t>
      </w:r>
      <w:r w:rsidR="003A6E2A" w:rsidRPr="00A307C6">
        <w:rPr>
          <w:lang w:val="en-GB"/>
        </w:rPr>
        <w:t xml:space="preserve">system and </w:t>
      </w:r>
      <w:r w:rsidRPr="00A307C6">
        <w:rPr>
          <w:lang w:val="en-GB"/>
        </w:rPr>
        <w:t>processes, responses from state actors in the security sector and traditiona</w:t>
      </w:r>
      <w:r w:rsidR="003A6E2A" w:rsidRPr="00A307C6">
        <w:rPr>
          <w:lang w:val="en-GB"/>
        </w:rPr>
        <w:t>l</w:t>
      </w:r>
      <w:r w:rsidRPr="00A307C6">
        <w:rPr>
          <w:lang w:val="en-GB"/>
        </w:rPr>
        <w:t xml:space="preserve"> and customary processes, in </w:t>
      </w:r>
      <w:r w:rsidR="003A6E2A" w:rsidRPr="00A307C6">
        <w:rPr>
          <w:lang w:val="en-GB"/>
        </w:rPr>
        <w:t xml:space="preserve">place which can be </w:t>
      </w:r>
      <w:r w:rsidRPr="00A307C6">
        <w:rPr>
          <w:lang w:val="en-GB"/>
        </w:rPr>
        <w:t>access</w:t>
      </w:r>
      <w:r w:rsidR="003A6E2A" w:rsidRPr="00A307C6">
        <w:rPr>
          <w:lang w:val="en-GB"/>
        </w:rPr>
        <w:t>ed</w:t>
      </w:r>
      <w:r w:rsidRPr="00A307C6">
        <w:rPr>
          <w:lang w:val="en-GB"/>
        </w:rPr>
        <w:t xml:space="preserve"> by victims</w:t>
      </w:r>
      <w:r w:rsidR="003A6E2A" w:rsidRPr="00A307C6">
        <w:rPr>
          <w:lang w:val="en-GB"/>
        </w:rPr>
        <w:t xml:space="preserve"> as well as the </w:t>
      </w:r>
      <w:r w:rsidRPr="00A307C6">
        <w:rPr>
          <w:lang w:val="en-GB"/>
        </w:rPr>
        <w:t xml:space="preserve">effectiveness </w:t>
      </w:r>
      <w:r w:rsidR="003A6E2A" w:rsidRPr="00A307C6">
        <w:rPr>
          <w:lang w:val="en-GB"/>
        </w:rPr>
        <w:t xml:space="preserve">of </w:t>
      </w:r>
      <w:r w:rsidRPr="00A307C6">
        <w:rPr>
          <w:lang w:val="en-GB"/>
        </w:rPr>
        <w:t xml:space="preserve">witness protection </w:t>
      </w:r>
      <w:r w:rsidR="003A6E2A" w:rsidRPr="00A307C6">
        <w:rPr>
          <w:lang w:val="en-GB"/>
        </w:rPr>
        <w:t xml:space="preserve">measures given the heightened </w:t>
      </w:r>
      <w:r w:rsidRPr="00A307C6">
        <w:rPr>
          <w:lang w:val="en-GB"/>
        </w:rPr>
        <w:t>security concerns. In this context, a significant driver of impunity is the absence of the State and its security forces in promoting and protecting human rights. The Commission’s extensive documentation of conflict</w:t>
      </w:r>
      <w:r w:rsidR="00DC7504" w:rsidRPr="00A307C6">
        <w:rPr>
          <w:lang w:val="en-GB"/>
        </w:rPr>
        <w:t>-</w:t>
      </w:r>
      <w:r w:rsidRPr="00A307C6">
        <w:rPr>
          <w:lang w:val="en-GB"/>
        </w:rPr>
        <w:t xml:space="preserve">related sexual violence demonstrates that in many conflict situations in the country, </w:t>
      </w:r>
      <w:r w:rsidR="003A6E2A" w:rsidRPr="00A307C6">
        <w:rPr>
          <w:lang w:val="en-GB"/>
        </w:rPr>
        <w:t>s</w:t>
      </w:r>
      <w:r w:rsidRPr="00A307C6">
        <w:rPr>
          <w:lang w:val="en-GB"/>
        </w:rPr>
        <w:t xml:space="preserve">tate security forces, including military and police, are absent </w:t>
      </w:r>
      <w:r w:rsidR="00056467" w:rsidRPr="00A307C6">
        <w:rPr>
          <w:lang w:val="en-GB"/>
        </w:rPr>
        <w:t xml:space="preserve">and this </w:t>
      </w:r>
      <w:r w:rsidRPr="00A307C6">
        <w:rPr>
          <w:lang w:val="en-GB"/>
        </w:rPr>
        <w:t xml:space="preserve">enables armed actors to commit crimes </w:t>
      </w:r>
      <w:r w:rsidR="003A6E2A" w:rsidRPr="00A307C6">
        <w:rPr>
          <w:lang w:val="en-GB"/>
        </w:rPr>
        <w:t xml:space="preserve">in the full knowledge that there are no </w:t>
      </w:r>
      <w:r w:rsidRPr="00A307C6">
        <w:rPr>
          <w:lang w:val="en-GB"/>
        </w:rPr>
        <w:t>consequence</w:t>
      </w:r>
      <w:r w:rsidR="003A6E2A" w:rsidRPr="00A307C6">
        <w:rPr>
          <w:lang w:val="en-GB"/>
        </w:rPr>
        <w:t>s for such crimes</w:t>
      </w:r>
      <w:r w:rsidRPr="00A307C6">
        <w:rPr>
          <w:lang w:val="en-GB"/>
        </w:rPr>
        <w:t xml:space="preserve">. </w:t>
      </w:r>
    </w:p>
    <w:p w14:paraId="1E83F9D7" w14:textId="69422FFD" w:rsidR="00702233" w:rsidRPr="00A307C6" w:rsidRDefault="00702233" w:rsidP="00FF077A">
      <w:pPr>
        <w:pStyle w:val="Paragraph"/>
        <w:rPr>
          <w:b/>
          <w:bCs/>
          <w:lang w:val="en-GB"/>
        </w:rPr>
      </w:pPr>
      <w:r w:rsidRPr="00A307C6">
        <w:rPr>
          <w:lang w:val="en-GB"/>
        </w:rPr>
        <w:t>The Government has signed various commitments to address conflict-related sexual violence. In January 2021, the Joint Defence Board of South Sudan adopted an action plan for the armed forces on addressing conflict-related sexual violence, for the period January 2021 to December 2023.</w:t>
      </w:r>
      <w:r w:rsidRPr="00A307C6">
        <w:rPr>
          <w:rStyle w:val="FootnoteReference"/>
          <w:lang w:val="en-GB"/>
        </w:rPr>
        <w:footnoteReference w:id="219"/>
      </w:r>
      <w:r w:rsidRPr="00A307C6">
        <w:rPr>
          <w:lang w:val="en-GB"/>
        </w:rPr>
        <w:t xml:space="preserve"> It consolidates and reinforces the commitments made by the parties to the Revitalized Agreement, such as the Joint Communiqu</w:t>
      </w:r>
      <w:r w:rsidR="00056467" w:rsidRPr="00A307C6">
        <w:rPr>
          <w:lang w:val="en-GB"/>
        </w:rPr>
        <w:t>é</w:t>
      </w:r>
      <w:r w:rsidRPr="00A307C6">
        <w:rPr>
          <w:lang w:val="en-GB"/>
        </w:rPr>
        <w:t xml:space="preserve"> on the Prevention of Conflict-Related Sexual Violence signed by the President in 2014, and the National Action Plan signed by authorities and the United Nations in 2016. The Joint Defence Board’s plan lists indicators against which progress can be measured. While the development </w:t>
      </w:r>
      <w:r w:rsidRPr="00A307C6">
        <w:rPr>
          <w:lang w:val="en-GB"/>
        </w:rPr>
        <w:lastRenderedPageBreak/>
        <w:t xml:space="preserve">and endorsement of the plan is to be welcomed, the plan must indeed translate into action, and as such needs be monitored to assess whether actions are taken toward delivering justice and whether political will for accountability exists. </w:t>
      </w:r>
    </w:p>
    <w:p w14:paraId="48146740" w14:textId="2B4BC4B7" w:rsidR="00702233" w:rsidRPr="00A307C6" w:rsidRDefault="003C3C10" w:rsidP="00FF077A">
      <w:pPr>
        <w:pStyle w:val="Paragraph"/>
        <w:rPr>
          <w:b/>
          <w:bCs/>
          <w:lang w:val="en-GB"/>
        </w:rPr>
      </w:pPr>
      <w:r w:rsidRPr="00A307C6">
        <w:rPr>
          <w:lang w:val="en-GB"/>
        </w:rPr>
        <w:t xml:space="preserve">The </w:t>
      </w:r>
      <w:r w:rsidR="00702233" w:rsidRPr="00A307C6">
        <w:rPr>
          <w:lang w:val="en-GB"/>
        </w:rPr>
        <w:t>Commission also notes th</w:t>
      </w:r>
      <w:r w:rsidR="003A6E2A" w:rsidRPr="00A307C6">
        <w:rPr>
          <w:lang w:val="en-GB"/>
        </w:rPr>
        <w:t xml:space="preserve">at the </w:t>
      </w:r>
      <w:r w:rsidR="00702233" w:rsidRPr="00A307C6">
        <w:rPr>
          <w:lang w:val="en-GB"/>
        </w:rPr>
        <w:t xml:space="preserve">Government’s reporting to the Human Rights Council </w:t>
      </w:r>
      <w:r w:rsidR="003A6E2A" w:rsidRPr="00A307C6">
        <w:rPr>
          <w:lang w:val="en-GB"/>
        </w:rPr>
        <w:t xml:space="preserve">has </w:t>
      </w:r>
      <w:r w:rsidR="00101BEC" w:rsidRPr="00A307C6">
        <w:rPr>
          <w:lang w:val="en-GB"/>
        </w:rPr>
        <w:t xml:space="preserve">indicated </w:t>
      </w:r>
      <w:r w:rsidR="00702233" w:rsidRPr="00A307C6">
        <w:rPr>
          <w:lang w:val="en-GB"/>
        </w:rPr>
        <w:t>that orders have been issued to this effect, including through the distribution of a leaflet to commanders, and issuing a related standing order that rape and other forms of violence will be prosecuted.</w:t>
      </w:r>
      <w:r w:rsidR="00702233" w:rsidRPr="00A307C6">
        <w:rPr>
          <w:rStyle w:val="FootnoteReference"/>
          <w:lang w:val="en-GB"/>
        </w:rPr>
        <w:footnoteReference w:id="220"/>
      </w:r>
    </w:p>
    <w:p w14:paraId="51C9DA4A" w14:textId="4504C413" w:rsidR="00702233" w:rsidRPr="00A307C6" w:rsidRDefault="00101BEC" w:rsidP="00FF077A">
      <w:pPr>
        <w:pStyle w:val="Paragraph"/>
        <w:rPr>
          <w:lang w:val="en-GB"/>
        </w:rPr>
      </w:pPr>
      <w:r w:rsidRPr="00A307C6">
        <w:rPr>
          <w:lang w:val="en-GB"/>
        </w:rPr>
        <w:t xml:space="preserve">Despite these initiatives, </w:t>
      </w:r>
      <w:r w:rsidR="00702233" w:rsidRPr="00A307C6">
        <w:rPr>
          <w:lang w:val="en-GB"/>
        </w:rPr>
        <w:t xml:space="preserve">the Commission </w:t>
      </w:r>
      <w:r w:rsidRPr="00A307C6">
        <w:rPr>
          <w:lang w:val="en-GB"/>
        </w:rPr>
        <w:t xml:space="preserve">has </w:t>
      </w:r>
      <w:r w:rsidR="00DC7504" w:rsidRPr="00A307C6">
        <w:rPr>
          <w:lang w:val="en-GB"/>
        </w:rPr>
        <w:t>found</w:t>
      </w:r>
      <w:r w:rsidRPr="00A307C6">
        <w:rPr>
          <w:lang w:val="en-GB"/>
        </w:rPr>
        <w:t xml:space="preserve"> that </w:t>
      </w:r>
      <w:r w:rsidR="00702233" w:rsidRPr="00A307C6">
        <w:rPr>
          <w:lang w:val="en-GB"/>
        </w:rPr>
        <w:t xml:space="preserve">members of </w:t>
      </w:r>
      <w:r w:rsidRPr="00A307C6">
        <w:rPr>
          <w:lang w:val="en-GB"/>
        </w:rPr>
        <w:t xml:space="preserve">the </w:t>
      </w:r>
      <w:r w:rsidR="002B00D0">
        <w:rPr>
          <w:lang w:val="en-GB"/>
        </w:rPr>
        <w:t>s</w:t>
      </w:r>
      <w:r w:rsidR="00702233" w:rsidRPr="00A307C6">
        <w:rPr>
          <w:lang w:val="en-GB"/>
        </w:rPr>
        <w:t xml:space="preserve">tate security forces are also deeply implicated in </w:t>
      </w:r>
      <w:r w:rsidR="00DC7504" w:rsidRPr="00A307C6">
        <w:rPr>
          <w:lang w:val="en-GB"/>
        </w:rPr>
        <w:t xml:space="preserve">the </w:t>
      </w:r>
      <w:r w:rsidR="00702233" w:rsidRPr="00A307C6">
        <w:rPr>
          <w:lang w:val="en-GB"/>
        </w:rPr>
        <w:t>commi</w:t>
      </w:r>
      <w:r w:rsidR="00DC7504" w:rsidRPr="00A307C6">
        <w:rPr>
          <w:lang w:val="en-GB"/>
        </w:rPr>
        <w:t>ssion of</w:t>
      </w:r>
      <w:r w:rsidR="00702233" w:rsidRPr="00A307C6">
        <w:rPr>
          <w:lang w:val="en-GB"/>
        </w:rPr>
        <w:t xml:space="preserve"> sexual and gender</w:t>
      </w:r>
      <w:r w:rsidR="00DC7504" w:rsidRPr="00A307C6">
        <w:rPr>
          <w:lang w:val="en-GB"/>
        </w:rPr>
        <w:t>-</w:t>
      </w:r>
      <w:r w:rsidR="00702233" w:rsidRPr="00A307C6">
        <w:rPr>
          <w:lang w:val="en-GB"/>
        </w:rPr>
        <w:t xml:space="preserve">based violence including at command level. As of March 2022, there have been </w:t>
      </w:r>
      <w:r w:rsidRPr="00A307C6">
        <w:rPr>
          <w:lang w:val="en-GB"/>
        </w:rPr>
        <w:t xml:space="preserve">very </w:t>
      </w:r>
      <w:r w:rsidR="00702233" w:rsidRPr="00A307C6">
        <w:rPr>
          <w:lang w:val="en-GB"/>
        </w:rPr>
        <w:t xml:space="preserve">few indications of significant progress </w:t>
      </w:r>
      <w:r w:rsidRPr="00A307C6">
        <w:rPr>
          <w:lang w:val="en-GB"/>
        </w:rPr>
        <w:t xml:space="preserve">having </w:t>
      </w:r>
      <w:r w:rsidR="00702233" w:rsidRPr="00A307C6">
        <w:rPr>
          <w:lang w:val="en-GB"/>
        </w:rPr>
        <w:t>be</w:t>
      </w:r>
      <w:r w:rsidRPr="00A307C6">
        <w:rPr>
          <w:lang w:val="en-GB"/>
        </w:rPr>
        <w:t xml:space="preserve">en </w:t>
      </w:r>
      <w:r w:rsidR="00702233" w:rsidRPr="00A307C6">
        <w:rPr>
          <w:lang w:val="en-GB"/>
        </w:rPr>
        <w:t xml:space="preserve">made since January 2021 </w:t>
      </w:r>
      <w:r w:rsidRPr="00A307C6">
        <w:rPr>
          <w:lang w:val="en-GB"/>
        </w:rPr>
        <w:t>on accountability in terms of the Action plan</w:t>
      </w:r>
      <w:r w:rsidR="00056467" w:rsidRPr="00A307C6">
        <w:rPr>
          <w:lang w:val="en-GB"/>
        </w:rPr>
        <w:t>.</w:t>
      </w:r>
    </w:p>
    <w:p w14:paraId="47C83322" w14:textId="5A0359F0" w:rsidR="00702233" w:rsidRPr="00A307C6" w:rsidRDefault="00702233" w:rsidP="00FF077A">
      <w:pPr>
        <w:pStyle w:val="Paragraph"/>
        <w:rPr>
          <w:lang w:val="en-GB"/>
        </w:rPr>
      </w:pPr>
      <w:r w:rsidRPr="00A307C6">
        <w:rPr>
          <w:lang w:val="en-GB"/>
        </w:rPr>
        <w:t>The main judicial for</w:t>
      </w:r>
      <w:r w:rsidR="00056467" w:rsidRPr="00A307C6">
        <w:rPr>
          <w:lang w:val="en-GB"/>
        </w:rPr>
        <w:t>a</w:t>
      </w:r>
      <w:r w:rsidRPr="00A307C6">
        <w:rPr>
          <w:lang w:val="en-GB"/>
        </w:rPr>
        <w:t xml:space="preserve"> in which sexual violence is addressed in South Sudan, are</w:t>
      </w:r>
      <w:r w:rsidR="00056467" w:rsidRPr="00A307C6">
        <w:rPr>
          <w:lang w:val="en-GB"/>
        </w:rPr>
        <w:t>:</w:t>
      </w:r>
      <w:r w:rsidRPr="00A307C6">
        <w:rPr>
          <w:lang w:val="en-GB"/>
        </w:rPr>
        <w:t xml:space="preserve"> the formal </w:t>
      </w:r>
      <w:r w:rsidR="00EB2E5D" w:rsidRPr="00A307C6">
        <w:rPr>
          <w:lang w:val="en-GB"/>
        </w:rPr>
        <w:t>s</w:t>
      </w:r>
      <w:r w:rsidRPr="00A307C6">
        <w:rPr>
          <w:lang w:val="en-GB"/>
        </w:rPr>
        <w:t xml:space="preserve">tate judicial system </w:t>
      </w:r>
      <w:r w:rsidR="00EB2E5D" w:rsidRPr="00A307C6">
        <w:rPr>
          <w:lang w:val="en-GB"/>
        </w:rPr>
        <w:t>including the Special Court established to deal with sexual and gender</w:t>
      </w:r>
      <w:r w:rsidR="00DC7504" w:rsidRPr="00A307C6">
        <w:rPr>
          <w:lang w:val="en-GB"/>
        </w:rPr>
        <w:t>-</w:t>
      </w:r>
      <w:r w:rsidR="00EB2E5D" w:rsidRPr="00A307C6">
        <w:rPr>
          <w:lang w:val="en-GB"/>
        </w:rPr>
        <w:t>based violence</w:t>
      </w:r>
      <w:r w:rsidRPr="00A307C6">
        <w:rPr>
          <w:lang w:val="en-GB"/>
        </w:rPr>
        <w:t>, military courts martial, customary courts</w:t>
      </w:r>
      <w:r w:rsidR="00056467" w:rsidRPr="00A307C6">
        <w:rPr>
          <w:lang w:val="en-GB"/>
        </w:rPr>
        <w:t>,</w:t>
      </w:r>
      <w:r w:rsidRPr="00A307C6">
        <w:rPr>
          <w:lang w:val="en-GB"/>
        </w:rPr>
        <w:t xml:space="preserve"> and traditional dispute-resolution systems. </w:t>
      </w:r>
      <w:r w:rsidR="00DC7504" w:rsidRPr="00A307C6">
        <w:rPr>
          <w:lang w:val="en-GB"/>
        </w:rPr>
        <w:t>I</w:t>
      </w:r>
      <w:r w:rsidRPr="00A307C6">
        <w:rPr>
          <w:lang w:val="en-GB"/>
        </w:rPr>
        <w:t xml:space="preserve">n the course of its investigations and consultations with stakeholders throughout the country over several years, </w:t>
      </w:r>
      <w:r w:rsidR="003905AE" w:rsidRPr="00A307C6">
        <w:rPr>
          <w:lang w:val="en-GB"/>
        </w:rPr>
        <w:t xml:space="preserve">the Commission has noted </w:t>
      </w:r>
      <w:r w:rsidRPr="00A307C6">
        <w:rPr>
          <w:lang w:val="en-GB"/>
        </w:rPr>
        <w:t>that victims of conflict-related sexual are unable to access justice</w:t>
      </w:r>
      <w:r w:rsidR="00EB2E5D" w:rsidRPr="00A307C6">
        <w:rPr>
          <w:lang w:val="en-GB"/>
        </w:rPr>
        <w:t>, a</w:t>
      </w:r>
      <w:r w:rsidR="003905AE" w:rsidRPr="00A307C6">
        <w:rPr>
          <w:lang w:val="en-GB"/>
        </w:rPr>
        <w:t>nd that this</w:t>
      </w:r>
      <w:r w:rsidR="00EB2E5D" w:rsidRPr="00A307C6">
        <w:rPr>
          <w:lang w:val="en-GB"/>
        </w:rPr>
        <w:t xml:space="preserve"> situation </w:t>
      </w:r>
      <w:r w:rsidRPr="00A307C6">
        <w:rPr>
          <w:lang w:val="en-GB"/>
        </w:rPr>
        <w:t>is aggravated by the absence of courts and supporting state structures as well as legal and social support</w:t>
      </w:r>
      <w:r w:rsidR="00EB2E5D" w:rsidRPr="00A307C6">
        <w:rPr>
          <w:lang w:val="en-GB"/>
        </w:rPr>
        <w:t>, in many parts of the country</w:t>
      </w:r>
      <w:r w:rsidRPr="00A307C6">
        <w:rPr>
          <w:lang w:val="en-GB"/>
        </w:rPr>
        <w:t xml:space="preserve">. </w:t>
      </w:r>
      <w:r w:rsidR="00EB2E5D" w:rsidRPr="00A307C6">
        <w:rPr>
          <w:lang w:val="en-GB"/>
        </w:rPr>
        <w:t>In addition, t</w:t>
      </w:r>
      <w:r w:rsidRPr="00A307C6">
        <w:rPr>
          <w:lang w:val="en-GB"/>
        </w:rPr>
        <w:t xml:space="preserve">he mass displacement of civilians </w:t>
      </w:r>
      <w:r w:rsidR="00EB2E5D" w:rsidRPr="00A307C6">
        <w:rPr>
          <w:lang w:val="en-GB"/>
        </w:rPr>
        <w:t xml:space="preserve">in which </w:t>
      </w:r>
      <w:r w:rsidRPr="00A307C6">
        <w:rPr>
          <w:lang w:val="en-GB"/>
        </w:rPr>
        <w:t xml:space="preserve">violations and abuses </w:t>
      </w:r>
      <w:r w:rsidR="00EB2E5D" w:rsidRPr="00A307C6">
        <w:rPr>
          <w:lang w:val="en-GB"/>
        </w:rPr>
        <w:t xml:space="preserve">continue to take place </w:t>
      </w:r>
      <w:r w:rsidRPr="00A307C6">
        <w:rPr>
          <w:lang w:val="en-GB"/>
        </w:rPr>
        <w:t xml:space="preserve">also contributes to the </w:t>
      </w:r>
      <w:r w:rsidR="00EB2E5D" w:rsidRPr="00A307C6">
        <w:rPr>
          <w:lang w:val="en-GB"/>
        </w:rPr>
        <w:t xml:space="preserve">underreporting, with the </w:t>
      </w:r>
      <w:r w:rsidR="009A64AD" w:rsidRPr="00A307C6">
        <w:rPr>
          <w:lang w:val="en-GB"/>
        </w:rPr>
        <w:t>collection of data being almost non-existent</w:t>
      </w:r>
      <w:r w:rsidR="00EB2E5D" w:rsidRPr="00A307C6">
        <w:rPr>
          <w:lang w:val="en-GB"/>
        </w:rPr>
        <w:t>.</w:t>
      </w:r>
      <w:r w:rsidRPr="00A307C6">
        <w:rPr>
          <w:lang w:val="en-GB"/>
        </w:rPr>
        <w:t xml:space="preserve"> </w:t>
      </w:r>
    </w:p>
    <w:p w14:paraId="665E688E" w14:textId="5B0CE661" w:rsidR="00702233" w:rsidRPr="00A307C6" w:rsidRDefault="00702233" w:rsidP="00FF077A">
      <w:pPr>
        <w:pStyle w:val="Paragraph"/>
        <w:rPr>
          <w:lang w:val="en-GB"/>
        </w:rPr>
      </w:pPr>
      <w:r w:rsidRPr="00A307C6">
        <w:rPr>
          <w:lang w:val="en-GB"/>
        </w:rPr>
        <w:t xml:space="preserve">Addressing impunity for conflict related sexual violence in South Sudan requires a commitment at the highest levels of government, which </w:t>
      </w:r>
      <w:r w:rsidR="00316E9E" w:rsidRPr="00A307C6">
        <w:rPr>
          <w:lang w:val="en-GB"/>
        </w:rPr>
        <w:t xml:space="preserve">goes beyond </w:t>
      </w:r>
      <w:r w:rsidRPr="00A307C6">
        <w:rPr>
          <w:lang w:val="en-GB"/>
        </w:rPr>
        <w:t xml:space="preserve">messaging </w:t>
      </w:r>
      <w:r w:rsidR="00316E9E" w:rsidRPr="00A307C6">
        <w:rPr>
          <w:lang w:val="en-GB"/>
        </w:rPr>
        <w:t xml:space="preserve">and the distribution of leaflets </w:t>
      </w:r>
      <w:r w:rsidRPr="00A307C6">
        <w:rPr>
          <w:lang w:val="en-GB"/>
        </w:rPr>
        <w:t>that perpetrators of sexual and gender</w:t>
      </w:r>
      <w:r w:rsidR="003905AE" w:rsidRPr="00A307C6">
        <w:rPr>
          <w:lang w:val="en-GB"/>
        </w:rPr>
        <w:t>-</w:t>
      </w:r>
      <w:r w:rsidRPr="00A307C6">
        <w:rPr>
          <w:lang w:val="en-GB"/>
        </w:rPr>
        <w:t>based violence will be held accountab</w:t>
      </w:r>
      <w:r w:rsidR="00316E9E" w:rsidRPr="00A307C6">
        <w:rPr>
          <w:lang w:val="en-GB"/>
        </w:rPr>
        <w:t xml:space="preserve">le </w:t>
      </w:r>
      <w:r w:rsidRPr="00A307C6">
        <w:rPr>
          <w:lang w:val="en-GB"/>
        </w:rPr>
        <w:t xml:space="preserve">irrespective of their position and rank in the society. It is at this level, that the </w:t>
      </w:r>
      <w:r w:rsidR="00056467" w:rsidRPr="00A307C6">
        <w:rPr>
          <w:lang w:val="en-GB"/>
        </w:rPr>
        <w:t>G</w:t>
      </w:r>
      <w:r w:rsidRPr="00A307C6">
        <w:rPr>
          <w:lang w:val="en-GB"/>
        </w:rPr>
        <w:t xml:space="preserve">overnment of South Sudan has failed to demonstrate leadership in holding </w:t>
      </w:r>
      <w:r w:rsidR="0073278F" w:rsidRPr="00A307C6">
        <w:rPr>
          <w:lang w:val="en-GB"/>
        </w:rPr>
        <w:t xml:space="preserve">accountable </w:t>
      </w:r>
      <w:r w:rsidRPr="00A307C6">
        <w:rPr>
          <w:lang w:val="en-GB"/>
        </w:rPr>
        <w:t xml:space="preserve">alleged perpetrators at the highest level. </w:t>
      </w:r>
    </w:p>
    <w:p w14:paraId="4EDDFB2F" w14:textId="62E2DB5A" w:rsidR="00702233" w:rsidRPr="00A307C6" w:rsidRDefault="00702233" w:rsidP="00FF077A">
      <w:pPr>
        <w:pStyle w:val="Paragraph"/>
        <w:rPr>
          <w:lang w:val="en-GB"/>
        </w:rPr>
      </w:pPr>
      <w:r w:rsidRPr="00A307C6">
        <w:rPr>
          <w:lang w:val="en-GB"/>
        </w:rPr>
        <w:t xml:space="preserve">The appointment in 2020 of General </w:t>
      </w:r>
      <w:proofErr w:type="spellStart"/>
      <w:r w:rsidRPr="00A307C6">
        <w:rPr>
          <w:lang w:val="en-GB"/>
        </w:rPr>
        <w:t>Futuyo</w:t>
      </w:r>
      <w:proofErr w:type="spellEnd"/>
      <w:r w:rsidRPr="00A307C6">
        <w:rPr>
          <w:lang w:val="en-GB"/>
        </w:rPr>
        <w:t xml:space="preserve"> as Western </w:t>
      </w:r>
      <w:proofErr w:type="spellStart"/>
      <w:r w:rsidRPr="00A307C6">
        <w:rPr>
          <w:lang w:val="en-GB"/>
        </w:rPr>
        <w:t>Equatoria’s</w:t>
      </w:r>
      <w:proofErr w:type="spellEnd"/>
      <w:r w:rsidRPr="00A307C6">
        <w:rPr>
          <w:lang w:val="en-GB"/>
        </w:rPr>
        <w:t xml:space="preserve"> Governor, despite his complicity in conflict related sexual </w:t>
      </w:r>
      <w:r w:rsidR="0073278F" w:rsidRPr="00A307C6">
        <w:rPr>
          <w:lang w:val="en-GB"/>
        </w:rPr>
        <w:t xml:space="preserve">violence, </w:t>
      </w:r>
      <w:r w:rsidRPr="00A307C6">
        <w:rPr>
          <w:lang w:val="en-GB"/>
        </w:rPr>
        <w:t>including the abduction, rape, torture and sexual slavery of more than 400 women and girls, was endorsed by the top leadership of the SPLM</w:t>
      </w:r>
      <w:r w:rsidR="00C67775" w:rsidRPr="00A307C6" w:rsidDel="00C67775">
        <w:rPr>
          <w:lang w:val="en-GB"/>
        </w:rPr>
        <w:t xml:space="preserve"> </w:t>
      </w:r>
      <w:r w:rsidRPr="00A307C6">
        <w:rPr>
          <w:lang w:val="en-GB"/>
        </w:rPr>
        <w:t xml:space="preserve">-IG and the SPLM/A-IO, </w:t>
      </w:r>
      <w:r w:rsidRPr="00A307C6">
        <w:rPr>
          <w:lang w:val="en-GB"/>
        </w:rPr>
        <w:lastRenderedPageBreak/>
        <w:t xml:space="preserve">and sends a clear message that such crimes </w:t>
      </w:r>
      <w:r w:rsidR="0073278F" w:rsidRPr="00A307C6">
        <w:rPr>
          <w:lang w:val="en-GB"/>
        </w:rPr>
        <w:t xml:space="preserve">are </w:t>
      </w:r>
      <w:r w:rsidRPr="00A307C6">
        <w:rPr>
          <w:lang w:val="en-GB"/>
        </w:rPr>
        <w:t xml:space="preserve">tolerated if you hold a high rank. </w:t>
      </w:r>
      <w:r w:rsidR="003905AE" w:rsidRPr="00A307C6">
        <w:rPr>
          <w:lang w:val="en-GB"/>
        </w:rPr>
        <w:t>Another high</w:t>
      </w:r>
      <w:r w:rsidR="004373B0">
        <w:rPr>
          <w:lang w:val="en-GB"/>
        </w:rPr>
        <w:t>-</w:t>
      </w:r>
      <w:r w:rsidR="003905AE" w:rsidRPr="00A307C6">
        <w:rPr>
          <w:lang w:val="en-GB"/>
        </w:rPr>
        <w:t xml:space="preserve">profile case involves </w:t>
      </w:r>
      <w:r w:rsidRPr="00A307C6">
        <w:rPr>
          <w:lang w:val="en-GB"/>
        </w:rPr>
        <w:t xml:space="preserve">the Minister of Humanitarian Affairs, </w:t>
      </w:r>
      <w:r w:rsidR="00040F70" w:rsidRPr="00A307C6">
        <w:rPr>
          <w:lang w:val="en-GB"/>
        </w:rPr>
        <w:t xml:space="preserve">Peter Mayen </w:t>
      </w:r>
      <w:proofErr w:type="spellStart"/>
      <w:r w:rsidR="00040F70" w:rsidRPr="00A307C6">
        <w:rPr>
          <w:lang w:val="en-GB"/>
        </w:rPr>
        <w:t>Majon</w:t>
      </w:r>
      <w:r w:rsidR="001A1B48">
        <w:rPr>
          <w:lang w:val="en-GB"/>
        </w:rPr>
        <w:t>g</w:t>
      </w:r>
      <w:r w:rsidR="00040F70" w:rsidRPr="00A307C6">
        <w:rPr>
          <w:lang w:val="en-GB"/>
        </w:rPr>
        <w:t>dit</w:t>
      </w:r>
      <w:proofErr w:type="spellEnd"/>
      <w:r w:rsidR="003905AE" w:rsidRPr="00A307C6">
        <w:rPr>
          <w:lang w:val="en-GB"/>
        </w:rPr>
        <w:t xml:space="preserve">, </w:t>
      </w:r>
      <w:r w:rsidRPr="00A307C6">
        <w:rPr>
          <w:lang w:val="en-GB"/>
        </w:rPr>
        <w:t>whose portfolio includes the welfare of South Sudanese women and girls affected by conflict</w:t>
      </w:r>
      <w:r w:rsidR="0073278F" w:rsidRPr="00A307C6">
        <w:rPr>
          <w:lang w:val="en-GB"/>
        </w:rPr>
        <w:t>. I</w:t>
      </w:r>
      <w:r w:rsidR="003905AE" w:rsidRPr="00A307C6">
        <w:rPr>
          <w:lang w:val="en-GB"/>
        </w:rPr>
        <w:t xml:space="preserve">n </w:t>
      </w:r>
      <w:r w:rsidR="008F45CC" w:rsidRPr="00A307C6">
        <w:rPr>
          <w:lang w:val="en-GB"/>
        </w:rPr>
        <w:t xml:space="preserve">August </w:t>
      </w:r>
      <w:r w:rsidR="003905AE" w:rsidRPr="00A307C6">
        <w:rPr>
          <w:lang w:val="en-GB"/>
        </w:rPr>
        <w:t xml:space="preserve">2021, the Minister assaulted his wife, </w:t>
      </w:r>
      <w:r w:rsidR="008F45CC" w:rsidRPr="00A307C6">
        <w:rPr>
          <w:lang w:val="en-GB"/>
        </w:rPr>
        <w:t>only months after publicly disrupting a football match in which she was playing by storming and dragging her from the pitch, with members of his entourage firing gun shots.</w:t>
      </w:r>
      <w:r w:rsidR="008F45CC" w:rsidRPr="00A307C6">
        <w:rPr>
          <w:rStyle w:val="FootnoteReference"/>
          <w:lang w:val="en-GB"/>
        </w:rPr>
        <w:footnoteReference w:id="221"/>
      </w:r>
      <w:r w:rsidR="008F45CC" w:rsidRPr="00A307C6">
        <w:rPr>
          <w:lang w:val="en-GB"/>
        </w:rPr>
        <w:t xml:space="preserve"> </w:t>
      </w:r>
      <w:r w:rsidR="00040F70" w:rsidRPr="00A307C6">
        <w:rPr>
          <w:lang w:val="en-GB"/>
        </w:rPr>
        <w:t xml:space="preserve">There has been no significant criminal or political consequence for his actions, and he has not even received </w:t>
      </w:r>
      <w:r w:rsidR="003905AE" w:rsidRPr="00A307C6">
        <w:rPr>
          <w:lang w:val="en-GB"/>
        </w:rPr>
        <w:t>a reprimand or</w:t>
      </w:r>
      <w:r w:rsidRPr="00A307C6">
        <w:rPr>
          <w:lang w:val="en-GB"/>
        </w:rPr>
        <w:t xml:space="preserve"> public rebuke by other members of the Cabinet.</w:t>
      </w:r>
      <w:r w:rsidRPr="00A307C6">
        <w:rPr>
          <w:rStyle w:val="FootnoteReference"/>
          <w:lang w:val="en-GB"/>
        </w:rPr>
        <w:footnoteReference w:id="222"/>
      </w:r>
      <w:r w:rsidRPr="00A307C6">
        <w:rPr>
          <w:lang w:val="en-GB"/>
        </w:rPr>
        <w:t xml:space="preserve"> The actions and omissions involving top Government officials speak much louder than the words included in action plans and memorand</w:t>
      </w:r>
      <w:r w:rsidR="0073278F" w:rsidRPr="00A307C6">
        <w:rPr>
          <w:lang w:val="en-GB"/>
        </w:rPr>
        <w:t>a</w:t>
      </w:r>
      <w:r w:rsidRPr="00A307C6">
        <w:rPr>
          <w:lang w:val="en-GB"/>
        </w:rPr>
        <w:t xml:space="preserve"> on such violence.</w:t>
      </w:r>
    </w:p>
    <w:p w14:paraId="34FA0D9F" w14:textId="77777777" w:rsidR="00702233" w:rsidRPr="00A307C6" w:rsidRDefault="00702233" w:rsidP="00B8644C">
      <w:pPr>
        <w:pStyle w:val="HChG"/>
        <w:numPr>
          <w:ilvl w:val="0"/>
          <w:numId w:val="11"/>
        </w:numPr>
        <w:outlineLvl w:val="0"/>
      </w:pPr>
      <w:bookmarkStart w:id="76" w:name="_Toc98226829"/>
      <w:bookmarkStart w:id="77" w:name="_Toc98606470"/>
      <w:r w:rsidRPr="00A307C6">
        <w:t>Accountability efforts</w:t>
      </w:r>
      <w:bookmarkEnd w:id="76"/>
      <w:bookmarkEnd w:id="77"/>
    </w:p>
    <w:p w14:paraId="5EA1951C" w14:textId="3405EC5B" w:rsidR="00B10A49" w:rsidRPr="00A307C6" w:rsidRDefault="00A32E14" w:rsidP="009E6E96">
      <w:pPr>
        <w:pStyle w:val="H1G"/>
      </w:pPr>
      <w:bookmarkStart w:id="78" w:name="_Toc98226830"/>
      <w:bookmarkStart w:id="79" w:name="_Toc98606471"/>
      <w:r>
        <w:t xml:space="preserve">Judicial </w:t>
      </w:r>
      <w:r w:rsidR="0009290A">
        <w:t>s</w:t>
      </w:r>
      <w:r>
        <w:t xml:space="preserve">ystem </w:t>
      </w:r>
      <w:r w:rsidR="00B10A49" w:rsidRPr="00A307C6">
        <w:t>in South Sudan</w:t>
      </w:r>
      <w:bookmarkEnd w:id="78"/>
      <w:bookmarkEnd w:id="79"/>
      <w:r w:rsidR="00B10A49" w:rsidRPr="00A307C6">
        <w:t xml:space="preserve"> </w:t>
      </w:r>
    </w:p>
    <w:p w14:paraId="4D5D32C9" w14:textId="2AE4604A" w:rsidR="00702233" w:rsidRPr="00A307C6" w:rsidRDefault="00702233" w:rsidP="0075437A">
      <w:pPr>
        <w:pStyle w:val="Paragraph"/>
        <w:rPr>
          <w:lang w:val="en-GB"/>
        </w:rPr>
      </w:pPr>
      <w:r w:rsidRPr="00A307C6">
        <w:rPr>
          <w:lang w:val="en-GB"/>
        </w:rPr>
        <w:t xml:space="preserve">Courts in South Sudan are chronically under-resourced, as are the police and prosecutors as well as </w:t>
      </w:r>
      <w:r w:rsidR="0073278F" w:rsidRPr="00A307C6">
        <w:rPr>
          <w:lang w:val="en-GB"/>
        </w:rPr>
        <w:t xml:space="preserve">the </w:t>
      </w:r>
      <w:r w:rsidRPr="00A307C6">
        <w:rPr>
          <w:lang w:val="en-GB"/>
        </w:rPr>
        <w:t>prisons.</w:t>
      </w:r>
      <w:r w:rsidR="00534382" w:rsidRPr="00A307C6">
        <w:rPr>
          <w:lang w:val="en-GB"/>
        </w:rPr>
        <w:t xml:space="preserve"> </w:t>
      </w:r>
      <w:r w:rsidR="00A92ADF" w:rsidRPr="00A307C6">
        <w:rPr>
          <w:lang w:val="en-GB"/>
        </w:rPr>
        <w:t xml:space="preserve">The absence of effective State judicial infrastructure in most parts of the country, and this under-resourcing where institutions are present, in </w:t>
      </w:r>
      <w:r w:rsidR="00B10A49" w:rsidRPr="00A307C6">
        <w:rPr>
          <w:lang w:val="en-GB"/>
        </w:rPr>
        <w:t>part contribute to human rights concerns with</w:t>
      </w:r>
      <w:r w:rsidR="00822D3D">
        <w:rPr>
          <w:lang w:val="en-GB"/>
        </w:rPr>
        <w:t>in</w:t>
      </w:r>
      <w:r w:rsidR="00B10A49" w:rsidRPr="00A307C6">
        <w:rPr>
          <w:lang w:val="en-GB"/>
        </w:rPr>
        <w:t xml:space="preserve"> the judicial system.</w:t>
      </w:r>
      <w:r w:rsidR="00534382" w:rsidRPr="00A307C6">
        <w:rPr>
          <w:rStyle w:val="FootnoteReference"/>
          <w:lang w:val="en-GB"/>
        </w:rPr>
        <w:footnoteReference w:id="223"/>
      </w:r>
      <w:r w:rsidR="00B10A49" w:rsidRPr="00A307C6">
        <w:rPr>
          <w:lang w:val="en-GB"/>
        </w:rPr>
        <w:t xml:space="preserve"> </w:t>
      </w:r>
      <w:r w:rsidR="00316E9E" w:rsidRPr="00A307C6">
        <w:rPr>
          <w:lang w:val="en-GB"/>
        </w:rPr>
        <w:t xml:space="preserve">Judges </w:t>
      </w:r>
      <w:r w:rsidR="00B10A49" w:rsidRPr="00A307C6">
        <w:rPr>
          <w:lang w:val="en-GB"/>
        </w:rPr>
        <w:t xml:space="preserve">and police </w:t>
      </w:r>
      <w:r w:rsidR="00316E9E" w:rsidRPr="00A307C6">
        <w:rPr>
          <w:lang w:val="en-GB"/>
        </w:rPr>
        <w:t xml:space="preserve">interviewed by the </w:t>
      </w:r>
      <w:r w:rsidRPr="00A307C6">
        <w:rPr>
          <w:lang w:val="en-GB"/>
        </w:rPr>
        <w:t xml:space="preserve">Commission </w:t>
      </w:r>
      <w:r w:rsidR="00316E9E" w:rsidRPr="00A307C6">
        <w:rPr>
          <w:lang w:val="en-GB"/>
        </w:rPr>
        <w:t>noted that they had not been paid for several months and often found themselves hav</w:t>
      </w:r>
      <w:r w:rsidR="0073278F" w:rsidRPr="00A307C6">
        <w:rPr>
          <w:lang w:val="en-GB"/>
        </w:rPr>
        <w:t>ing</w:t>
      </w:r>
      <w:r w:rsidR="00316E9E" w:rsidRPr="00A307C6">
        <w:rPr>
          <w:lang w:val="en-GB"/>
        </w:rPr>
        <w:t xml:space="preserve"> to pay for paper and the resources required to run the courts</w:t>
      </w:r>
      <w:r w:rsidR="00B10A49" w:rsidRPr="00A307C6">
        <w:rPr>
          <w:lang w:val="en-GB"/>
        </w:rPr>
        <w:t xml:space="preserve"> and police facilities</w:t>
      </w:r>
      <w:r w:rsidR="00316E9E" w:rsidRPr="00A307C6">
        <w:rPr>
          <w:lang w:val="en-GB"/>
        </w:rPr>
        <w:t>.</w:t>
      </w:r>
      <w:r w:rsidR="0009290A">
        <w:rPr>
          <w:rStyle w:val="FootnoteReference"/>
        </w:rPr>
        <w:footnoteReference w:id="224"/>
      </w:r>
    </w:p>
    <w:p w14:paraId="33FDEB9D" w14:textId="32C807BE" w:rsidR="00702233" w:rsidRPr="00A307C6" w:rsidRDefault="00702233" w:rsidP="00FF077A">
      <w:pPr>
        <w:pStyle w:val="Paragraph"/>
        <w:rPr>
          <w:lang w:val="en-GB"/>
        </w:rPr>
      </w:pPr>
      <w:r w:rsidRPr="00A307C6">
        <w:rPr>
          <w:lang w:val="en-GB"/>
        </w:rPr>
        <w:t xml:space="preserve">In 2020, the Government launched a specialised court to deal with sexual and gender based violence in Juba with support from international partners, with personnel trained to process gender-based violence crime cases, with three affiliated mobile units, some in locations where conflict-related sexual </w:t>
      </w:r>
      <w:r w:rsidRPr="00A307C6">
        <w:rPr>
          <w:lang w:val="en-GB"/>
        </w:rPr>
        <w:lastRenderedPageBreak/>
        <w:t>violence has occurred.</w:t>
      </w:r>
      <w:r w:rsidRPr="00A307C6">
        <w:rPr>
          <w:rStyle w:val="FootnoteReference"/>
          <w:lang w:val="en-GB"/>
        </w:rPr>
        <w:footnoteReference w:id="225"/>
      </w:r>
      <w:r w:rsidRPr="00A307C6">
        <w:rPr>
          <w:lang w:val="en-GB"/>
        </w:rPr>
        <w:t xml:space="preserve"> Victims, service providers and judges told the Commission that these initiatives have been welcomed by the civilian populations as important steps toward enhancing access to justice.</w:t>
      </w:r>
      <w:r w:rsidRPr="00A307C6">
        <w:rPr>
          <w:rStyle w:val="FootnoteReference"/>
          <w:lang w:val="en-GB"/>
        </w:rPr>
        <w:footnoteReference w:id="226"/>
      </w:r>
      <w:r w:rsidRPr="00A307C6">
        <w:rPr>
          <w:lang w:val="en-GB"/>
        </w:rPr>
        <w:t xml:space="preserve"> These nascent steps are </w:t>
      </w:r>
      <w:r w:rsidR="0073278F" w:rsidRPr="00A307C6">
        <w:rPr>
          <w:lang w:val="en-GB"/>
        </w:rPr>
        <w:t xml:space="preserve">an </w:t>
      </w:r>
      <w:r w:rsidRPr="00A307C6">
        <w:rPr>
          <w:lang w:val="en-GB"/>
        </w:rPr>
        <w:t>important demonstration of the State</w:t>
      </w:r>
      <w:r w:rsidR="0073278F" w:rsidRPr="00A307C6">
        <w:rPr>
          <w:lang w:val="en-GB"/>
        </w:rPr>
        <w:t xml:space="preserve"> considering its</w:t>
      </w:r>
      <w:r w:rsidRPr="00A307C6">
        <w:rPr>
          <w:lang w:val="en-GB"/>
        </w:rPr>
        <w:t xml:space="preserve"> duty to duly investigate, prosecute and punish perpetrators of sexual violence, including in conflict-areas. At the same time, it must be recalled that these initiatives are still miniscule in terms of </w:t>
      </w:r>
      <w:r w:rsidR="0073278F" w:rsidRPr="00A307C6">
        <w:rPr>
          <w:lang w:val="en-GB"/>
        </w:rPr>
        <w:t xml:space="preserve">meeting the </w:t>
      </w:r>
      <w:r w:rsidRPr="00A307C6">
        <w:rPr>
          <w:lang w:val="en-GB"/>
        </w:rPr>
        <w:t xml:space="preserve">need and </w:t>
      </w:r>
      <w:r w:rsidR="0073278F" w:rsidRPr="00A307C6">
        <w:rPr>
          <w:lang w:val="en-GB"/>
        </w:rPr>
        <w:t xml:space="preserve">rising to </w:t>
      </w:r>
      <w:r w:rsidRPr="00A307C6">
        <w:rPr>
          <w:lang w:val="en-GB"/>
        </w:rPr>
        <w:t>what is required to provide accountability</w:t>
      </w:r>
      <w:r w:rsidR="0073278F" w:rsidRPr="00A307C6">
        <w:rPr>
          <w:lang w:val="en-GB"/>
        </w:rPr>
        <w:t xml:space="preserve"> </w:t>
      </w:r>
      <w:r w:rsidRPr="00A307C6">
        <w:rPr>
          <w:lang w:val="en-GB"/>
        </w:rPr>
        <w:t xml:space="preserve">and </w:t>
      </w:r>
      <w:r w:rsidR="0073278F" w:rsidRPr="00A307C6">
        <w:rPr>
          <w:lang w:val="en-GB"/>
        </w:rPr>
        <w:t>d</w:t>
      </w:r>
      <w:r w:rsidRPr="00A307C6">
        <w:rPr>
          <w:lang w:val="en-GB"/>
        </w:rPr>
        <w:t xml:space="preserve">eter the repetition of all forms of sexual violence in the country. </w:t>
      </w:r>
    </w:p>
    <w:p w14:paraId="4D81094F" w14:textId="63ADD44C" w:rsidR="003C28D3" w:rsidRPr="00A307C6" w:rsidRDefault="003C28D3" w:rsidP="004C0512">
      <w:pPr>
        <w:pStyle w:val="Paragraph"/>
        <w:rPr>
          <w:lang w:val="en-GB"/>
        </w:rPr>
      </w:pPr>
      <w:r w:rsidRPr="00A307C6">
        <w:rPr>
          <w:lang w:val="en-GB"/>
        </w:rPr>
        <w:t xml:space="preserve">The formal judicial system requires financial investment, political support and technical support to ensure access to justice. Sustainability requires that the </w:t>
      </w:r>
      <w:r w:rsidR="0073278F" w:rsidRPr="00A307C6">
        <w:rPr>
          <w:lang w:val="en-GB"/>
        </w:rPr>
        <w:t>G</w:t>
      </w:r>
      <w:r w:rsidRPr="00A307C6">
        <w:rPr>
          <w:lang w:val="en-GB"/>
        </w:rPr>
        <w:t xml:space="preserve">overnment itself funds improvement measures through revenues generated by the Government rather than through a reliance on donors, which is unsustainable and inconsistent with </w:t>
      </w:r>
      <w:r w:rsidR="0073278F" w:rsidRPr="00A307C6">
        <w:rPr>
          <w:lang w:val="en-GB"/>
        </w:rPr>
        <w:t xml:space="preserve">the </w:t>
      </w:r>
      <w:r w:rsidRPr="00A307C6">
        <w:rPr>
          <w:lang w:val="en-GB"/>
        </w:rPr>
        <w:t xml:space="preserve">State </w:t>
      </w:r>
      <w:r w:rsidR="0073278F" w:rsidRPr="00A307C6">
        <w:rPr>
          <w:lang w:val="en-GB"/>
        </w:rPr>
        <w:t xml:space="preserve">assuming its obligations as </w:t>
      </w:r>
      <w:r w:rsidRPr="00A307C6">
        <w:rPr>
          <w:lang w:val="en-GB"/>
        </w:rPr>
        <w:t>the primary duty bearer.</w:t>
      </w:r>
      <w:r w:rsidRPr="00A307C6">
        <w:rPr>
          <w:rStyle w:val="FootnoteReference"/>
          <w:lang w:val="en-GB"/>
        </w:rPr>
        <w:footnoteReference w:id="227"/>
      </w:r>
      <w:r w:rsidRPr="00A307C6">
        <w:rPr>
          <w:lang w:val="en-GB"/>
        </w:rPr>
        <w:t xml:space="preserve"> In the case of both the specialised court and </w:t>
      </w:r>
      <w:r w:rsidR="0073278F" w:rsidRPr="00A307C6">
        <w:rPr>
          <w:lang w:val="en-GB"/>
        </w:rPr>
        <w:t xml:space="preserve">the </w:t>
      </w:r>
      <w:r w:rsidRPr="00A307C6">
        <w:rPr>
          <w:lang w:val="en-GB"/>
        </w:rPr>
        <w:t>mobile courts</w:t>
      </w:r>
      <w:r w:rsidR="0073278F" w:rsidRPr="00A307C6">
        <w:rPr>
          <w:lang w:val="en-GB"/>
        </w:rPr>
        <w:t>,</w:t>
      </w:r>
      <w:r w:rsidRPr="00A307C6">
        <w:rPr>
          <w:lang w:val="en-GB"/>
        </w:rPr>
        <w:t xml:space="preserve"> for example, </w:t>
      </w:r>
      <w:r w:rsidR="0009290A">
        <w:rPr>
          <w:lang w:val="en-GB"/>
        </w:rPr>
        <w:t>g</w:t>
      </w:r>
      <w:r w:rsidRPr="00A307C6">
        <w:rPr>
          <w:lang w:val="en-GB"/>
        </w:rPr>
        <w:t>overnment resources could be re</w:t>
      </w:r>
      <w:r w:rsidR="00A20923">
        <w:rPr>
          <w:lang w:val="en-GB"/>
        </w:rPr>
        <w:t>direc</w:t>
      </w:r>
      <w:r w:rsidRPr="00A307C6">
        <w:rPr>
          <w:lang w:val="en-GB"/>
        </w:rPr>
        <w:t xml:space="preserve">ted from security apparatuses such as the National Security Services, and applied to processes that actually enhance security and access to justice for South Sudanese women and girls. </w:t>
      </w:r>
    </w:p>
    <w:p w14:paraId="2F44B263" w14:textId="4E9BFDB6" w:rsidR="00702233" w:rsidRPr="00A307C6" w:rsidRDefault="00702233" w:rsidP="00FF077A">
      <w:pPr>
        <w:pStyle w:val="Paragraph"/>
        <w:rPr>
          <w:lang w:val="en-GB"/>
        </w:rPr>
      </w:pPr>
      <w:r w:rsidRPr="00A307C6">
        <w:rPr>
          <w:lang w:val="en-GB"/>
        </w:rPr>
        <w:t>Special protection</w:t>
      </w:r>
      <w:r w:rsidR="004373B0">
        <w:rPr>
          <w:lang w:val="en-GB"/>
        </w:rPr>
        <w:t xml:space="preserve"> </w:t>
      </w:r>
      <w:r w:rsidRPr="00A307C6">
        <w:rPr>
          <w:lang w:val="en-GB"/>
        </w:rPr>
        <w:t xml:space="preserve">units of the police that investigate sexual and gender-based violence are operating in several locations, with </w:t>
      </w:r>
      <w:r w:rsidR="003C28D3" w:rsidRPr="00A307C6">
        <w:rPr>
          <w:lang w:val="en-GB"/>
        </w:rPr>
        <w:t xml:space="preserve">financial and logistical </w:t>
      </w:r>
      <w:r w:rsidRPr="00A307C6">
        <w:rPr>
          <w:lang w:val="en-GB"/>
        </w:rPr>
        <w:t xml:space="preserve">support from the United Nations, often located alongside the “One Stop Centres” (see above). In addition to dealing with sexual and gender-based violence occurring in families and other community contexts at a domestic level, many of these special units have begun to deal with incidents of conflict-related sexual violence, including in areas such as Central Equatoria where conflict related sexual violence is endemic. </w:t>
      </w:r>
    </w:p>
    <w:p w14:paraId="797C5D53" w14:textId="720562D2" w:rsidR="00702233" w:rsidRPr="00A307C6" w:rsidRDefault="00702233" w:rsidP="00FF077A">
      <w:pPr>
        <w:pStyle w:val="Paragraph"/>
        <w:rPr>
          <w:lang w:val="en-GB"/>
        </w:rPr>
      </w:pPr>
      <w:r w:rsidRPr="00A307C6">
        <w:rPr>
          <w:lang w:val="en-GB"/>
        </w:rPr>
        <w:t xml:space="preserve">The Commission observed </w:t>
      </w:r>
      <w:r w:rsidR="003C28D3" w:rsidRPr="00A307C6">
        <w:rPr>
          <w:lang w:val="en-GB"/>
        </w:rPr>
        <w:t xml:space="preserve">that </w:t>
      </w:r>
      <w:r w:rsidRPr="00A307C6">
        <w:rPr>
          <w:lang w:val="en-GB"/>
        </w:rPr>
        <w:t xml:space="preserve">these units, like police units, are drastically underfunded, with limited resources for providing safe spaces for interviews, detention facilities and transport arrangements for suspected perpetrators, </w:t>
      </w:r>
      <w:r w:rsidR="0073278F" w:rsidRPr="00A307C6">
        <w:rPr>
          <w:lang w:val="en-GB"/>
        </w:rPr>
        <w:t xml:space="preserve">or </w:t>
      </w:r>
      <w:r w:rsidRPr="00A307C6">
        <w:rPr>
          <w:lang w:val="en-GB"/>
        </w:rPr>
        <w:t xml:space="preserve">even the desks and materials necessary for record keeping. One police </w:t>
      </w:r>
      <w:r w:rsidRPr="00A307C6">
        <w:rPr>
          <w:lang w:val="en-GB"/>
        </w:rPr>
        <w:lastRenderedPageBreak/>
        <w:t xml:space="preserve">officer explained that their monthly salary cannot even be used to purchase a good chicken, and that </w:t>
      </w:r>
      <w:r w:rsidR="0073278F" w:rsidRPr="00A307C6">
        <w:rPr>
          <w:lang w:val="en-GB"/>
        </w:rPr>
        <w:t xml:space="preserve">the salary </w:t>
      </w:r>
      <w:r w:rsidRPr="00A307C6">
        <w:rPr>
          <w:lang w:val="en-GB"/>
        </w:rPr>
        <w:t>is frequently paid late if at all;</w:t>
      </w:r>
      <w:r w:rsidRPr="00A307C6">
        <w:rPr>
          <w:rStyle w:val="FootnoteReference"/>
          <w:lang w:val="en-GB"/>
        </w:rPr>
        <w:footnoteReference w:id="228"/>
      </w:r>
      <w:r w:rsidRPr="00A307C6">
        <w:rPr>
          <w:lang w:val="en-GB"/>
        </w:rPr>
        <w:t xml:space="preserve"> this illustrates, the challenges police face in carrying out their duties</w:t>
      </w:r>
      <w:r w:rsidR="0073278F" w:rsidRPr="00A307C6">
        <w:rPr>
          <w:lang w:val="en-GB"/>
        </w:rPr>
        <w:t xml:space="preserve">. </w:t>
      </w:r>
      <w:r w:rsidRPr="00A307C6">
        <w:rPr>
          <w:lang w:val="en-GB"/>
        </w:rPr>
        <w:t>Furthermore, the lack of salaries for police means that</w:t>
      </w:r>
      <w:r w:rsidR="0073278F" w:rsidRPr="00A307C6">
        <w:rPr>
          <w:lang w:val="en-GB"/>
        </w:rPr>
        <w:t>,</w:t>
      </w:r>
      <w:r w:rsidRPr="00A307C6">
        <w:rPr>
          <w:lang w:val="en-GB"/>
        </w:rPr>
        <w:t xml:space="preserve"> even in rare cases where they are specially trained in </w:t>
      </w:r>
      <w:r w:rsidR="0073278F" w:rsidRPr="00A307C6">
        <w:rPr>
          <w:lang w:val="en-GB"/>
        </w:rPr>
        <w:t xml:space="preserve">tackling </w:t>
      </w:r>
      <w:r w:rsidRPr="00A307C6">
        <w:rPr>
          <w:lang w:val="en-GB"/>
        </w:rPr>
        <w:t xml:space="preserve">sexual violence, there are few incentives for retention, and so many leave, </w:t>
      </w:r>
      <w:r w:rsidR="003C28D3" w:rsidRPr="00A307C6">
        <w:rPr>
          <w:lang w:val="en-GB"/>
        </w:rPr>
        <w:t xml:space="preserve">with </w:t>
      </w:r>
      <w:r w:rsidRPr="00A307C6">
        <w:rPr>
          <w:lang w:val="en-GB"/>
        </w:rPr>
        <w:t xml:space="preserve">those police officers remaining </w:t>
      </w:r>
      <w:r w:rsidR="003C28D3" w:rsidRPr="00A307C6">
        <w:rPr>
          <w:lang w:val="en-GB"/>
        </w:rPr>
        <w:t xml:space="preserve">behind </w:t>
      </w:r>
      <w:r w:rsidRPr="00A307C6">
        <w:rPr>
          <w:lang w:val="en-GB"/>
        </w:rPr>
        <w:t>lack</w:t>
      </w:r>
      <w:r w:rsidR="003C28D3" w:rsidRPr="00A307C6">
        <w:rPr>
          <w:lang w:val="en-GB"/>
        </w:rPr>
        <w:t>ing</w:t>
      </w:r>
      <w:r w:rsidRPr="00A307C6">
        <w:rPr>
          <w:lang w:val="en-GB"/>
        </w:rPr>
        <w:t xml:space="preserve"> the knowledge </w:t>
      </w:r>
      <w:r w:rsidR="003C28D3" w:rsidRPr="00A307C6">
        <w:rPr>
          <w:lang w:val="en-GB"/>
        </w:rPr>
        <w:t xml:space="preserve">and investigative skills </w:t>
      </w:r>
      <w:r w:rsidRPr="00A307C6">
        <w:rPr>
          <w:lang w:val="en-GB"/>
        </w:rPr>
        <w:t xml:space="preserve">to properly investigate </w:t>
      </w:r>
      <w:r w:rsidR="003C28D3" w:rsidRPr="00A307C6">
        <w:rPr>
          <w:lang w:val="en-GB"/>
        </w:rPr>
        <w:t>sexual and gender</w:t>
      </w:r>
      <w:r w:rsidR="009C17D8" w:rsidRPr="00A307C6">
        <w:rPr>
          <w:lang w:val="en-GB"/>
        </w:rPr>
        <w:t>-</w:t>
      </w:r>
      <w:r w:rsidR="003C28D3" w:rsidRPr="00A307C6">
        <w:rPr>
          <w:lang w:val="en-GB"/>
        </w:rPr>
        <w:t>based violence let alone conflict related sexual violence</w:t>
      </w:r>
      <w:r w:rsidRPr="00A307C6">
        <w:rPr>
          <w:lang w:val="en-GB"/>
        </w:rPr>
        <w:t>.</w:t>
      </w:r>
      <w:r w:rsidRPr="00A307C6">
        <w:rPr>
          <w:rStyle w:val="FootnoteReference"/>
          <w:lang w:val="en-GB"/>
        </w:rPr>
        <w:footnoteReference w:id="229"/>
      </w:r>
    </w:p>
    <w:p w14:paraId="33151F6E" w14:textId="29D3FA67" w:rsidR="00702233" w:rsidRPr="00A307C6" w:rsidRDefault="00420A1D" w:rsidP="00FF077A">
      <w:pPr>
        <w:pStyle w:val="Paragraph"/>
        <w:rPr>
          <w:lang w:val="en-GB"/>
        </w:rPr>
      </w:pPr>
      <w:r w:rsidRPr="00A307C6">
        <w:rPr>
          <w:lang w:val="en-GB"/>
        </w:rPr>
        <w:t xml:space="preserve">The </w:t>
      </w:r>
      <w:r w:rsidR="0073278F" w:rsidRPr="00A307C6">
        <w:rPr>
          <w:lang w:val="en-GB"/>
        </w:rPr>
        <w:t>G</w:t>
      </w:r>
      <w:r w:rsidRPr="00A307C6">
        <w:rPr>
          <w:lang w:val="en-GB"/>
        </w:rPr>
        <w:t xml:space="preserve">overnment </w:t>
      </w:r>
      <w:r w:rsidR="0073278F" w:rsidRPr="00A307C6">
        <w:rPr>
          <w:lang w:val="en-GB"/>
        </w:rPr>
        <w:t xml:space="preserve">should </w:t>
      </w:r>
      <w:r w:rsidRPr="00A307C6">
        <w:rPr>
          <w:lang w:val="en-GB"/>
        </w:rPr>
        <w:t xml:space="preserve">ensure that </w:t>
      </w:r>
      <w:r w:rsidR="00702233" w:rsidRPr="00A307C6">
        <w:rPr>
          <w:lang w:val="en-GB"/>
        </w:rPr>
        <w:t xml:space="preserve">measures </w:t>
      </w:r>
      <w:r w:rsidRPr="00A307C6">
        <w:rPr>
          <w:lang w:val="en-GB"/>
        </w:rPr>
        <w:t>taken to address sexual and gender</w:t>
      </w:r>
      <w:r w:rsidR="009C17D8" w:rsidRPr="00A307C6">
        <w:rPr>
          <w:lang w:val="en-GB"/>
        </w:rPr>
        <w:t>-</w:t>
      </w:r>
      <w:r w:rsidRPr="00A307C6">
        <w:rPr>
          <w:lang w:val="en-GB"/>
        </w:rPr>
        <w:t xml:space="preserve">based violence </w:t>
      </w:r>
      <w:r w:rsidR="00A92ADF" w:rsidRPr="00A307C6">
        <w:rPr>
          <w:lang w:val="en-GB"/>
        </w:rPr>
        <w:t xml:space="preserve">include </w:t>
      </w:r>
      <w:r w:rsidR="00702233" w:rsidRPr="00A307C6">
        <w:rPr>
          <w:lang w:val="en-GB"/>
        </w:rPr>
        <w:t>special police units</w:t>
      </w:r>
      <w:r w:rsidR="0073278F" w:rsidRPr="00A307C6">
        <w:rPr>
          <w:lang w:val="en-GB"/>
        </w:rPr>
        <w:t xml:space="preserve"> and </w:t>
      </w:r>
      <w:r w:rsidR="00A92ADF" w:rsidRPr="00A307C6">
        <w:rPr>
          <w:lang w:val="en-GB"/>
        </w:rPr>
        <w:t xml:space="preserve">related </w:t>
      </w:r>
      <w:r w:rsidRPr="00A307C6">
        <w:rPr>
          <w:lang w:val="en-GB"/>
        </w:rPr>
        <w:t xml:space="preserve">investigations </w:t>
      </w:r>
      <w:r w:rsidR="00702233" w:rsidRPr="00A307C6">
        <w:rPr>
          <w:lang w:val="en-GB"/>
        </w:rPr>
        <w:t xml:space="preserve">and prosecutions dedicated to sexual </w:t>
      </w:r>
      <w:r w:rsidRPr="00A307C6">
        <w:rPr>
          <w:lang w:val="en-GB"/>
        </w:rPr>
        <w:t>and gender</w:t>
      </w:r>
      <w:r w:rsidR="009C17D8" w:rsidRPr="00A307C6">
        <w:rPr>
          <w:lang w:val="en-GB"/>
        </w:rPr>
        <w:t>-</w:t>
      </w:r>
      <w:r w:rsidRPr="00A307C6">
        <w:rPr>
          <w:lang w:val="en-GB"/>
        </w:rPr>
        <w:t xml:space="preserve">based </w:t>
      </w:r>
      <w:r w:rsidR="00702233" w:rsidRPr="00A307C6">
        <w:rPr>
          <w:lang w:val="en-GB"/>
        </w:rPr>
        <w:t>violence be</w:t>
      </w:r>
      <w:r w:rsidR="00A92ADF" w:rsidRPr="00A307C6">
        <w:rPr>
          <w:lang w:val="en-GB"/>
        </w:rPr>
        <w:t>ing</w:t>
      </w:r>
      <w:r w:rsidR="00702233" w:rsidRPr="00A307C6">
        <w:rPr>
          <w:lang w:val="en-GB"/>
        </w:rPr>
        <w:t xml:space="preserve"> drastically scaled up. </w:t>
      </w:r>
    </w:p>
    <w:p w14:paraId="6427AA34" w14:textId="72768D16" w:rsidR="004C0512" w:rsidRPr="00A307C6" w:rsidRDefault="00702233" w:rsidP="004C0512">
      <w:pPr>
        <w:pStyle w:val="Paragraph"/>
        <w:rPr>
          <w:lang w:val="en-GB"/>
        </w:rPr>
      </w:pPr>
      <w:r w:rsidRPr="00A307C6">
        <w:rPr>
          <w:lang w:val="en-GB"/>
        </w:rPr>
        <w:t xml:space="preserve"> </w:t>
      </w:r>
      <w:r w:rsidR="009C17D8" w:rsidRPr="00A307C6">
        <w:rPr>
          <w:lang w:val="en-GB"/>
        </w:rPr>
        <w:t>The Committee on the Elimination of Discrimination Against Women (</w:t>
      </w:r>
      <w:r w:rsidRPr="00A307C6">
        <w:rPr>
          <w:lang w:val="en-GB"/>
        </w:rPr>
        <w:t>CEDAW</w:t>
      </w:r>
      <w:r w:rsidR="009C17D8" w:rsidRPr="00A307C6">
        <w:rPr>
          <w:lang w:val="en-GB"/>
        </w:rPr>
        <w:t>)</w:t>
      </w:r>
      <w:r w:rsidRPr="00A307C6">
        <w:rPr>
          <w:lang w:val="en-GB"/>
        </w:rPr>
        <w:t xml:space="preserve"> in its concluding remarks to the South Sudanese </w:t>
      </w:r>
      <w:r w:rsidR="007A612B" w:rsidRPr="00A307C6">
        <w:rPr>
          <w:lang w:val="en-GB"/>
        </w:rPr>
        <w:t>G</w:t>
      </w:r>
      <w:r w:rsidRPr="00A307C6">
        <w:rPr>
          <w:lang w:val="en-GB"/>
        </w:rPr>
        <w:t xml:space="preserve">overnment has recommended that the </w:t>
      </w:r>
      <w:r w:rsidR="007A612B" w:rsidRPr="00A307C6">
        <w:rPr>
          <w:lang w:val="en-GB"/>
        </w:rPr>
        <w:t>G</w:t>
      </w:r>
      <w:r w:rsidRPr="00A307C6">
        <w:rPr>
          <w:lang w:val="en-GB"/>
        </w:rPr>
        <w:t xml:space="preserve">overnment ‘provide fair trial and due process safeguards in court proceedings, including </w:t>
      </w:r>
      <w:r w:rsidR="00F03726" w:rsidRPr="00A307C6">
        <w:rPr>
          <w:lang w:val="en-GB"/>
        </w:rPr>
        <w:t xml:space="preserve">the </w:t>
      </w:r>
      <w:r w:rsidRPr="00A307C6">
        <w:rPr>
          <w:lang w:val="en-GB"/>
        </w:rPr>
        <w:t>protection of women victims and witnesses from reprisals before the ordinary courts’.</w:t>
      </w:r>
      <w:r w:rsidR="00704497" w:rsidRPr="00A307C6">
        <w:rPr>
          <w:rStyle w:val="FootnoteReference"/>
          <w:lang w:val="en-GB"/>
        </w:rPr>
        <w:footnoteReference w:id="230"/>
      </w:r>
      <w:r w:rsidRPr="00A307C6">
        <w:rPr>
          <w:lang w:val="en-GB"/>
        </w:rPr>
        <w:t xml:space="preserve"> </w:t>
      </w:r>
    </w:p>
    <w:p w14:paraId="6D89761C" w14:textId="1EB65BAD" w:rsidR="00702233" w:rsidRPr="00A307C6" w:rsidRDefault="00702233" w:rsidP="009E6E96">
      <w:pPr>
        <w:pStyle w:val="H1G"/>
      </w:pPr>
      <w:bookmarkStart w:id="80" w:name="_Toc98226831"/>
      <w:bookmarkStart w:id="81" w:name="_Toc98606472"/>
      <w:r w:rsidRPr="00A307C6">
        <w:t>Military</w:t>
      </w:r>
      <w:r w:rsidR="00F03726" w:rsidRPr="00A307C6">
        <w:t xml:space="preserve"> </w:t>
      </w:r>
      <w:r w:rsidR="00A20923">
        <w:t>j</w:t>
      </w:r>
      <w:r w:rsidR="00F03726" w:rsidRPr="00A307C6">
        <w:t>ustice</w:t>
      </w:r>
      <w:bookmarkEnd w:id="80"/>
      <w:bookmarkEnd w:id="81"/>
      <w:r w:rsidR="00F03726" w:rsidRPr="00A307C6">
        <w:t xml:space="preserve"> </w:t>
      </w:r>
    </w:p>
    <w:p w14:paraId="4D84F985" w14:textId="38F54001" w:rsidR="00702233" w:rsidRPr="00A307C6" w:rsidRDefault="00702233" w:rsidP="00FF077A">
      <w:pPr>
        <w:pStyle w:val="Paragraph"/>
        <w:rPr>
          <w:lang w:val="en-GB"/>
        </w:rPr>
      </w:pPr>
      <w:r w:rsidRPr="00A307C6">
        <w:rPr>
          <w:lang w:val="en-GB"/>
        </w:rPr>
        <w:t xml:space="preserve">In late 2020, </w:t>
      </w:r>
      <w:r w:rsidR="00F03726" w:rsidRPr="00A307C6">
        <w:rPr>
          <w:lang w:val="en-GB"/>
        </w:rPr>
        <w:t xml:space="preserve">in a </w:t>
      </w:r>
      <w:r w:rsidR="00977ECA" w:rsidRPr="00A307C6">
        <w:rPr>
          <w:lang w:val="en-GB"/>
        </w:rPr>
        <w:t>significant</w:t>
      </w:r>
      <w:r w:rsidR="00F03726" w:rsidRPr="00A307C6">
        <w:rPr>
          <w:lang w:val="en-GB"/>
        </w:rPr>
        <w:t xml:space="preserve"> development addressing accountability, </w:t>
      </w:r>
      <w:r w:rsidRPr="00A307C6">
        <w:rPr>
          <w:lang w:val="en-GB"/>
        </w:rPr>
        <w:t xml:space="preserve">a military court </w:t>
      </w:r>
      <w:r w:rsidR="00F03726" w:rsidRPr="00A307C6">
        <w:rPr>
          <w:lang w:val="en-GB"/>
        </w:rPr>
        <w:t xml:space="preserve">was established </w:t>
      </w:r>
      <w:r w:rsidRPr="00A307C6">
        <w:rPr>
          <w:lang w:val="en-GB"/>
        </w:rPr>
        <w:t xml:space="preserve">in Central Equatoria, </w:t>
      </w:r>
      <w:r w:rsidR="00F03726" w:rsidRPr="00A307C6">
        <w:rPr>
          <w:lang w:val="en-GB"/>
        </w:rPr>
        <w:t xml:space="preserve">which </w:t>
      </w:r>
      <w:r w:rsidRPr="00A307C6">
        <w:rPr>
          <w:lang w:val="en-GB"/>
        </w:rPr>
        <w:t xml:space="preserve">prosecuted 28 soldiers of the SSPDF </w:t>
      </w:r>
      <w:r w:rsidR="00F03726" w:rsidRPr="00A307C6">
        <w:rPr>
          <w:lang w:val="en-GB"/>
        </w:rPr>
        <w:t xml:space="preserve">for </w:t>
      </w:r>
      <w:r w:rsidRPr="00A307C6">
        <w:rPr>
          <w:lang w:val="en-GB"/>
        </w:rPr>
        <w:t>crimes, including rape and sexual violence, against civilian women. The ad hoc Court Martial was held in Yei between July and September 2020,</w:t>
      </w:r>
      <w:r w:rsidR="00F03726" w:rsidRPr="00A307C6">
        <w:rPr>
          <w:lang w:val="en-GB"/>
        </w:rPr>
        <w:t xml:space="preserve"> and </w:t>
      </w:r>
      <w:r w:rsidRPr="00A307C6">
        <w:rPr>
          <w:lang w:val="en-GB"/>
        </w:rPr>
        <w:t xml:space="preserve"> result</w:t>
      </w:r>
      <w:r w:rsidR="00F03726" w:rsidRPr="00A307C6">
        <w:rPr>
          <w:lang w:val="en-GB"/>
        </w:rPr>
        <w:t>ed</w:t>
      </w:r>
      <w:r w:rsidRPr="00A307C6">
        <w:rPr>
          <w:lang w:val="en-GB"/>
        </w:rPr>
        <w:t xml:space="preserve"> in the conviction of 26 SSDPF soldiers and prison sentences for </w:t>
      </w:r>
      <w:r w:rsidR="00822D3D">
        <w:rPr>
          <w:lang w:val="en-GB"/>
        </w:rPr>
        <w:t xml:space="preserve">multiple </w:t>
      </w:r>
      <w:r w:rsidRPr="00A307C6">
        <w:rPr>
          <w:lang w:val="en-GB"/>
        </w:rPr>
        <w:t>crimes against civilians</w:t>
      </w:r>
      <w:r w:rsidR="00A20923">
        <w:rPr>
          <w:lang w:val="en-GB"/>
        </w:rPr>
        <w:t>,</w:t>
      </w:r>
      <w:r w:rsidRPr="00A307C6">
        <w:rPr>
          <w:lang w:val="en-GB"/>
        </w:rPr>
        <w:t xml:space="preserve"> including rape and causing grievous bodily harm.</w:t>
      </w:r>
      <w:r w:rsidRPr="00A307C6">
        <w:rPr>
          <w:rStyle w:val="FootnoteReference"/>
          <w:lang w:val="en-GB"/>
        </w:rPr>
        <w:footnoteReference w:id="231"/>
      </w:r>
      <w:r w:rsidRPr="00A307C6">
        <w:rPr>
          <w:lang w:val="en-GB"/>
        </w:rPr>
        <w:t xml:space="preserve"> Several women survivors told the Commission, that they had been able to identify the perpetrators of rape against them in early 2020, and with support</w:t>
      </w:r>
      <w:r w:rsidR="00822D3D">
        <w:rPr>
          <w:lang w:val="en-GB"/>
        </w:rPr>
        <w:t xml:space="preserve"> </w:t>
      </w:r>
      <w:r w:rsidRPr="00A307C6">
        <w:rPr>
          <w:lang w:val="en-GB"/>
        </w:rPr>
        <w:t xml:space="preserve">from male </w:t>
      </w:r>
      <w:r w:rsidR="00822D3D">
        <w:rPr>
          <w:lang w:val="en-GB"/>
        </w:rPr>
        <w:t xml:space="preserve">community </w:t>
      </w:r>
      <w:r w:rsidRPr="00A307C6">
        <w:rPr>
          <w:lang w:val="en-GB"/>
        </w:rPr>
        <w:t xml:space="preserve">leaders, filed a complaint with the local SSPDF commander, who then instituted proceedings against the perpetrators. </w:t>
      </w:r>
    </w:p>
    <w:p w14:paraId="01654C25" w14:textId="5FEEEA8E" w:rsidR="00702233" w:rsidRPr="00A307C6" w:rsidRDefault="00702233" w:rsidP="00FF077A">
      <w:pPr>
        <w:pStyle w:val="Paragraph"/>
        <w:rPr>
          <w:lang w:val="en-GB"/>
        </w:rPr>
      </w:pPr>
      <w:r w:rsidRPr="00A307C6">
        <w:rPr>
          <w:lang w:val="en-GB"/>
        </w:rPr>
        <w:lastRenderedPageBreak/>
        <w:t>While the Court Martial in Yei is significant</w:t>
      </w:r>
      <w:r w:rsidR="007A612B" w:rsidRPr="00A307C6">
        <w:rPr>
          <w:lang w:val="en-GB"/>
        </w:rPr>
        <w:t>,</w:t>
      </w:r>
      <w:r w:rsidRPr="00A307C6">
        <w:rPr>
          <w:lang w:val="en-GB"/>
        </w:rPr>
        <w:t xml:space="preserve"> and </w:t>
      </w:r>
      <w:r w:rsidR="00F03726" w:rsidRPr="00A307C6">
        <w:rPr>
          <w:lang w:val="en-GB"/>
        </w:rPr>
        <w:t xml:space="preserve">the </w:t>
      </w:r>
      <w:r w:rsidRPr="00A307C6">
        <w:rPr>
          <w:lang w:val="en-GB"/>
        </w:rPr>
        <w:t>military leadership is to be commended for instituting the</w:t>
      </w:r>
      <w:r w:rsidR="00F03726" w:rsidRPr="00A307C6">
        <w:rPr>
          <w:lang w:val="en-GB"/>
        </w:rPr>
        <w:t>se</w:t>
      </w:r>
      <w:r w:rsidRPr="00A307C6">
        <w:rPr>
          <w:lang w:val="en-GB"/>
        </w:rPr>
        <w:t xml:space="preserve"> prosecutions </w:t>
      </w:r>
      <w:r w:rsidR="00822D3D">
        <w:rPr>
          <w:lang w:val="en-GB"/>
        </w:rPr>
        <w:t xml:space="preserve">which </w:t>
      </w:r>
      <w:r w:rsidR="00F03726" w:rsidRPr="00A307C6">
        <w:rPr>
          <w:lang w:val="en-GB"/>
        </w:rPr>
        <w:t>secur</w:t>
      </w:r>
      <w:r w:rsidR="00822D3D">
        <w:rPr>
          <w:lang w:val="en-GB"/>
        </w:rPr>
        <w:t>ed</w:t>
      </w:r>
      <w:r w:rsidR="00F03726" w:rsidRPr="00A307C6">
        <w:rPr>
          <w:lang w:val="en-GB"/>
        </w:rPr>
        <w:t xml:space="preserve"> successful </w:t>
      </w:r>
      <w:r w:rsidRPr="00A307C6">
        <w:rPr>
          <w:lang w:val="en-GB"/>
        </w:rPr>
        <w:t xml:space="preserve">convictions, the Commission </w:t>
      </w:r>
      <w:r w:rsidR="00F03726" w:rsidRPr="00A307C6">
        <w:rPr>
          <w:lang w:val="en-GB"/>
        </w:rPr>
        <w:t xml:space="preserve">has </w:t>
      </w:r>
      <w:r w:rsidRPr="00A307C6">
        <w:rPr>
          <w:lang w:val="en-GB"/>
        </w:rPr>
        <w:t xml:space="preserve">also heard from stakeholders including victims </w:t>
      </w:r>
      <w:r w:rsidR="00822D3D">
        <w:rPr>
          <w:lang w:val="en-GB"/>
        </w:rPr>
        <w:t xml:space="preserve">and their representatives, </w:t>
      </w:r>
      <w:r w:rsidRPr="00A307C6">
        <w:rPr>
          <w:lang w:val="en-GB"/>
        </w:rPr>
        <w:t>that the</w:t>
      </w:r>
      <w:r w:rsidR="00F03726" w:rsidRPr="00A307C6">
        <w:rPr>
          <w:lang w:val="en-GB"/>
        </w:rPr>
        <w:t>y</w:t>
      </w:r>
      <w:r w:rsidRPr="00A307C6">
        <w:rPr>
          <w:lang w:val="en-GB"/>
        </w:rPr>
        <w:t xml:space="preserve"> fear reprisals and </w:t>
      </w:r>
      <w:r w:rsidR="00F03726" w:rsidRPr="00A307C6">
        <w:rPr>
          <w:lang w:val="en-GB"/>
        </w:rPr>
        <w:t xml:space="preserve">that </w:t>
      </w:r>
      <w:r w:rsidRPr="00A307C6">
        <w:rPr>
          <w:lang w:val="en-GB"/>
        </w:rPr>
        <w:t xml:space="preserve">there is </w:t>
      </w:r>
      <w:r w:rsidR="00EB7AE1" w:rsidRPr="00A307C6">
        <w:rPr>
          <w:lang w:val="en-GB"/>
        </w:rPr>
        <w:t xml:space="preserve">great </w:t>
      </w:r>
      <w:r w:rsidRPr="00A307C6">
        <w:rPr>
          <w:lang w:val="en-GB"/>
        </w:rPr>
        <w:t xml:space="preserve">uncertainty as to whether the perpetrators are in custody or have been released and redeployed </w:t>
      </w:r>
      <w:r w:rsidR="00EB7AE1" w:rsidRPr="00A307C6">
        <w:rPr>
          <w:lang w:val="en-GB"/>
        </w:rPr>
        <w:t xml:space="preserve">to </w:t>
      </w:r>
      <w:r w:rsidRPr="00A307C6">
        <w:rPr>
          <w:lang w:val="en-GB"/>
        </w:rPr>
        <w:t xml:space="preserve">other locations. </w:t>
      </w:r>
      <w:r w:rsidR="00EB7AE1" w:rsidRPr="00A307C6">
        <w:rPr>
          <w:lang w:val="en-GB"/>
        </w:rPr>
        <w:t xml:space="preserve">Consequently, </w:t>
      </w:r>
      <w:r w:rsidRPr="00A307C6">
        <w:rPr>
          <w:lang w:val="en-GB"/>
        </w:rPr>
        <w:t xml:space="preserve">many other victims and survivors of similar crimes are fearful of reporting what happened to them and </w:t>
      </w:r>
      <w:r w:rsidR="00EB7AE1" w:rsidRPr="00A307C6">
        <w:rPr>
          <w:lang w:val="en-GB"/>
        </w:rPr>
        <w:t xml:space="preserve">continue to be </w:t>
      </w:r>
      <w:r w:rsidRPr="00A307C6">
        <w:rPr>
          <w:lang w:val="en-GB"/>
        </w:rPr>
        <w:t>reluctant to do so.</w:t>
      </w:r>
      <w:r w:rsidRPr="00A307C6">
        <w:rPr>
          <w:rStyle w:val="FootnoteReference"/>
          <w:lang w:val="en-GB"/>
        </w:rPr>
        <w:footnoteReference w:id="232"/>
      </w:r>
      <w:r w:rsidRPr="00A307C6">
        <w:rPr>
          <w:lang w:val="en-GB"/>
        </w:rPr>
        <w:t xml:space="preserve"> Credible sources have informed the Commission that </w:t>
      </w:r>
      <w:r w:rsidR="00EB7AE1" w:rsidRPr="00A307C6">
        <w:rPr>
          <w:lang w:val="en-GB"/>
        </w:rPr>
        <w:t xml:space="preserve">a </w:t>
      </w:r>
      <w:r w:rsidRPr="00A307C6">
        <w:rPr>
          <w:lang w:val="en-GB"/>
        </w:rPr>
        <w:t>num</w:t>
      </w:r>
      <w:r w:rsidR="00EB7AE1" w:rsidRPr="00A307C6">
        <w:rPr>
          <w:lang w:val="en-GB"/>
        </w:rPr>
        <w:t xml:space="preserve">ber of </w:t>
      </w:r>
      <w:r w:rsidR="007A612B" w:rsidRPr="00A307C6">
        <w:rPr>
          <w:lang w:val="en-GB"/>
        </w:rPr>
        <w:t xml:space="preserve">convicted </w:t>
      </w:r>
      <w:r w:rsidR="00EB7AE1" w:rsidRPr="00A307C6">
        <w:rPr>
          <w:lang w:val="en-GB"/>
        </w:rPr>
        <w:t xml:space="preserve">soldiers </w:t>
      </w:r>
      <w:r w:rsidRPr="00A307C6">
        <w:rPr>
          <w:lang w:val="en-GB"/>
        </w:rPr>
        <w:t xml:space="preserve">have since been released and have </w:t>
      </w:r>
      <w:r w:rsidR="00EB7AE1" w:rsidRPr="00A307C6">
        <w:rPr>
          <w:lang w:val="en-GB"/>
        </w:rPr>
        <w:t>ev</w:t>
      </w:r>
      <w:r w:rsidR="009C17D8" w:rsidRPr="00A307C6">
        <w:rPr>
          <w:lang w:val="en-GB"/>
        </w:rPr>
        <w:t>e</w:t>
      </w:r>
      <w:r w:rsidR="00EB7AE1" w:rsidRPr="00A307C6">
        <w:rPr>
          <w:lang w:val="en-GB"/>
        </w:rPr>
        <w:t xml:space="preserve">n </w:t>
      </w:r>
      <w:r w:rsidRPr="00A307C6">
        <w:rPr>
          <w:lang w:val="en-GB"/>
        </w:rPr>
        <w:t xml:space="preserve">been reintegrated into the SSPDF </w:t>
      </w:r>
      <w:r w:rsidR="00EB7AE1" w:rsidRPr="00A307C6">
        <w:rPr>
          <w:lang w:val="en-GB"/>
        </w:rPr>
        <w:t xml:space="preserve">and </w:t>
      </w:r>
      <w:r w:rsidRPr="00A307C6">
        <w:rPr>
          <w:lang w:val="en-GB"/>
        </w:rPr>
        <w:t>permitted to carry a firearm;</w:t>
      </w:r>
      <w:r w:rsidRPr="00A307C6">
        <w:rPr>
          <w:rStyle w:val="FootnoteReference"/>
          <w:lang w:val="en-GB"/>
        </w:rPr>
        <w:footnoteReference w:id="233"/>
      </w:r>
      <w:r w:rsidRPr="00A307C6">
        <w:rPr>
          <w:lang w:val="en-GB"/>
        </w:rPr>
        <w:t xml:space="preserve"> although, the Government is on record stating that all convicted men were discharged from military service.</w:t>
      </w:r>
      <w:r w:rsidRPr="00A307C6">
        <w:rPr>
          <w:rStyle w:val="FootnoteReference"/>
          <w:lang w:val="en-GB"/>
        </w:rPr>
        <w:footnoteReference w:id="234"/>
      </w:r>
    </w:p>
    <w:p w14:paraId="2626DF57" w14:textId="319D9864" w:rsidR="00702233" w:rsidRPr="00A307C6" w:rsidRDefault="009D5CC0" w:rsidP="00FF077A">
      <w:pPr>
        <w:pStyle w:val="Paragraph"/>
        <w:rPr>
          <w:lang w:val="en-GB"/>
        </w:rPr>
      </w:pPr>
      <w:r w:rsidRPr="00A307C6">
        <w:rPr>
          <w:lang w:val="en-GB"/>
        </w:rPr>
        <w:t>In terms of reparations and compensation, t</w:t>
      </w:r>
      <w:r w:rsidR="00702233" w:rsidRPr="00A307C6">
        <w:rPr>
          <w:lang w:val="en-GB"/>
        </w:rPr>
        <w:t>he Commission confirmed that more than one year after the conclusion of proceedings, victims had still not received the compensation ordered by the court.</w:t>
      </w:r>
      <w:r w:rsidR="00702233" w:rsidRPr="00A307C6">
        <w:rPr>
          <w:rStyle w:val="FootnoteReference"/>
          <w:lang w:val="en-GB"/>
        </w:rPr>
        <w:footnoteReference w:id="235"/>
      </w:r>
      <w:r w:rsidR="00702233" w:rsidRPr="00A307C6">
        <w:rPr>
          <w:lang w:val="en-GB"/>
        </w:rPr>
        <w:t xml:space="preserve"> </w:t>
      </w:r>
    </w:p>
    <w:p w14:paraId="3C52D36A" w14:textId="77777777" w:rsidR="00702233" w:rsidRPr="00A307C6" w:rsidRDefault="00702233" w:rsidP="00FF077A">
      <w:pPr>
        <w:pStyle w:val="Paragraph"/>
        <w:numPr>
          <w:ilvl w:val="0"/>
          <w:numId w:val="0"/>
        </w:numPr>
        <w:ind w:left="1440"/>
        <w:rPr>
          <w:lang w:val="en-GB"/>
        </w:rPr>
      </w:pPr>
      <w:r w:rsidRPr="00A307C6">
        <w:rPr>
          <w:lang w:val="en-GB"/>
        </w:rPr>
        <w:t>“Women are discouraged to report cases, because the Government has not paid compensation which was ordered by the court martial, that was last year and victims are still waiting.”</w:t>
      </w:r>
      <w:r w:rsidRPr="00A307C6">
        <w:rPr>
          <w:rStyle w:val="FootnoteReference"/>
          <w:lang w:val="en-GB"/>
        </w:rPr>
        <w:t xml:space="preserve"> </w:t>
      </w:r>
      <w:r w:rsidRPr="00A307C6">
        <w:rPr>
          <w:rStyle w:val="FootnoteReference"/>
          <w:lang w:val="en-GB"/>
        </w:rPr>
        <w:footnoteReference w:id="236"/>
      </w:r>
    </w:p>
    <w:p w14:paraId="5085616F" w14:textId="78EA4971" w:rsidR="00702233" w:rsidRPr="00A307C6" w:rsidRDefault="00702233" w:rsidP="00FF077A">
      <w:pPr>
        <w:pStyle w:val="Paragraph"/>
        <w:rPr>
          <w:lang w:val="en-GB"/>
        </w:rPr>
      </w:pPr>
      <w:r w:rsidRPr="00A307C6">
        <w:rPr>
          <w:lang w:val="en-GB"/>
        </w:rPr>
        <w:t xml:space="preserve">While military courts </w:t>
      </w:r>
      <w:r w:rsidR="009D5CC0" w:rsidRPr="00A307C6">
        <w:rPr>
          <w:lang w:val="en-GB"/>
        </w:rPr>
        <w:t xml:space="preserve">are </w:t>
      </w:r>
      <w:r w:rsidRPr="00A307C6">
        <w:rPr>
          <w:lang w:val="en-GB"/>
        </w:rPr>
        <w:t xml:space="preserve">recognised as not being appropriate </w:t>
      </w:r>
      <w:r w:rsidR="009D5CC0" w:rsidRPr="00A307C6">
        <w:rPr>
          <w:lang w:val="en-GB"/>
        </w:rPr>
        <w:t xml:space="preserve">and should not substitute for civil courts rendering </w:t>
      </w:r>
      <w:r w:rsidRPr="00A307C6">
        <w:rPr>
          <w:lang w:val="en-GB"/>
        </w:rPr>
        <w:t xml:space="preserve">justice for civilian victims, </w:t>
      </w:r>
      <w:r w:rsidR="009D5CC0" w:rsidRPr="00A307C6">
        <w:rPr>
          <w:lang w:val="en-GB"/>
        </w:rPr>
        <w:t xml:space="preserve">in the absence of a judicial process, victims, </w:t>
      </w:r>
      <w:r w:rsidRPr="00A307C6">
        <w:rPr>
          <w:lang w:val="en-GB"/>
        </w:rPr>
        <w:t xml:space="preserve">civil society groups and officials have welcomed the </w:t>
      </w:r>
      <w:r w:rsidR="009D5CC0" w:rsidRPr="00A307C6">
        <w:rPr>
          <w:lang w:val="en-GB"/>
        </w:rPr>
        <w:t xml:space="preserve">military </w:t>
      </w:r>
      <w:r w:rsidRPr="00A307C6">
        <w:rPr>
          <w:lang w:val="en-GB"/>
        </w:rPr>
        <w:t xml:space="preserve">process as an important step taken by the Government to deal with impunity for crimes of sexual violence, with potential scope for replication in other </w:t>
      </w:r>
      <w:r w:rsidR="007A612B" w:rsidRPr="00A307C6">
        <w:rPr>
          <w:lang w:val="en-GB"/>
        </w:rPr>
        <w:t>s</w:t>
      </w:r>
      <w:r w:rsidRPr="00A307C6">
        <w:rPr>
          <w:lang w:val="en-GB"/>
        </w:rPr>
        <w:t>tates</w:t>
      </w:r>
      <w:r w:rsidR="007A612B" w:rsidRPr="00A307C6">
        <w:rPr>
          <w:lang w:val="en-GB"/>
        </w:rPr>
        <w:t xml:space="preserve"> beyond Central Equatoria</w:t>
      </w:r>
      <w:r w:rsidRPr="00A307C6">
        <w:rPr>
          <w:lang w:val="en-GB"/>
        </w:rPr>
        <w:t>.</w:t>
      </w:r>
      <w:r w:rsidR="00CC64C8" w:rsidRPr="00A307C6">
        <w:rPr>
          <w:rStyle w:val="FootnoteReference"/>
          <w:lang w:val="en-GB"/>
        </w:rPr>
        <w:footnoteReference w:id="237"/>
      </w:r>
      <w:r w:rsidRPr="00A307C6">
        <w:rPr>
          <w:lang w:val="en-GB"/>
        </w:rPr>
        <w:t xml:space="preserve"> This partial acceptance of military courts is a recognition that it currently appears to be the only formal justice system in operation that has provided some form of accountability in relation to conflict-related sexual violence.</w:t>
      </w:r>
      <w:r w:rsidRPr="00A307C6">
        <w:rPr>
          <w:rStyle w:val="FootnoteReference"/>
          <w:lang w:val="en-GB"/>
        </w:rPr>
        <w:footnoteReference w:id="238"/>
      </w:r>
    </w:p>
    <w:p w14:paraId="048C87D0" w14:textId="193EE0AC" w:rsidR="008A1E2C" w:rsidRPr="00A307C6" w:rsidRDefault="009D43A3" w:rsidP="00FF077A">
      <w:pPr>
        <w:pStyle w:val="Paragraph"/>
        <w:rPr>
          <w:lang w:val="en-GB"/>
        </w:rPr>
      </w:pPr>
      <w:r w:rsidRPr="00A307C6">
        <w:rPr>
          <w:lang w:val="en-GB"/>
        </w:rPr>
        <w:lastRenderedPageBreak/>
        <w:t>The</w:t>
      </w:r>
      <w:r w:rsidR="009C17D8" w:rsidRPr="00A307C6">
        <w:rPr>
          <w:lang w:val="en-GB"/>
        </w:rPr>
        <w:t>se</w:t>
      </w:r>
      <w:r w:rsidRPr="00A307C6">
        <w:rPr>
          <w:lang w:val="en-GB"/>
        </w:rPr>
        <w:t xml:space="preserve"> military </w:t>
      </w:r>
      <w:r w:rsidR="00702233" w:rsidRPr="00A307C6">
        <w:rPr>
          <w:lang w:val="en-GB"/>
        </w:rPr>
        <w:t xml:space="preserve">proceedings </w:t>
      </w:r>
      <w:r w:rsidRPr="00A307C6">
        <w:rPr>
          <w:lang w:val="en-GB"/>
        </w:rPr>
        <w:t xml:space="preserve">stand out as </w:t>
      </w:r>
      <w:r w:rsidR="00702233" w:rsidRPr="00A307C6">
        <w:rPr>
          <w:lang w:val="en-GB"/>
        </w:rPr>
        <w:t xml:space="preserve">rare instances of accountability, in </w:t>
      </w:r>
      <w:r w:rsidRPr="00A307C6">
        <w:rPr>
          <w:lang w:val="en-GB"/>
        </w:rPr>
        <w:t xml:space="preserve">a </w:t>
      </w:r>
      <w:r w:rsidR="00702233" w:rsidRPr="00A307C6">
        <w:rPr>
          <w:lang w:val="en-GB"/>
        </w:rPr>
        <w:t xml:space="preserve">context of prevailing impunity and repetition of the same crimes, </w:t>
      </w:r>
      <w:r w:rsidR="008A1E2C" w:rsidRPr="00A307C6">
        <w:rPr>
          <w:lang w:val="en-GB"/>
        </w:rPr>
        <w:t xml:space="preserve">given </w:t>
      </w:r>
      <w:r w:rsidR="00702233" w:rsidRPr="00A307C6">
        <w:rPr>
          <w:lang w:val="en-GB"/>
        </w:rPr>
        <w:t>the significant scale of rape and sexual violence perpetrated by SSPDF soldiers in Central Equatoria which is where the military trial</w:t>
      </w:r>
      <w:r w:rsidR="008A1E2C" w:rsidRPr="00A307C6">
        <w:rPr>
          <w:lang w:val="en-GB"/>
        </w:rPr>
        <w:t>s</w:t>
      </w:r>
      <w:r w:rsidR="00702233" w:rsidRPr="00A307C6">
        <w:rPr>
          <w:lang w:val="en-GB"/>
        </w:rPr>
        <w:t xml:space="preserve"> took place.</w:t>
      </w:r>
      <w:r w:rsidR="00702233" w:rsidRPr="00A307C6">
        <w:rPr>
          <w:rStyle w:val="FootnoteReference"/>
          <w:lang w:val="en-GB"/>
        </w:rPr>
        <w:footnoteReference w:id="239"/>
      </w:r>
      <w:r w:rsidR="00702233" w:rsidRPr="00A307C6">
        <w:rPr>
          <w:lang w:val="en-GB"/>
        </w:rPr>
        <w:t xml:space="preserve"> </w:t>
      </w:r>
    </w:p>
    <w:p w14:paraId="694A469A" w14:textId="22F5D772" w:rsidR="00702233" w:rsidRPr="00A307C6" w:rsidRDefault="00702233" w:rsidP="00FF077A">
      <w:pPr>
        <w:pStyle w:val="Paragraph"/>
        <w:rPr>
          <w:lang w:val="en-GB"/>
        </w:rPr>
      </w:pPr>
      <w:r w:rsidRPr="00A307C6">
        <w:rPr>
          <w:lang w:val="en-GB"/>
        </w:rPr>
        <w:t xml:space="preserve">A </w:t>
      </w:r>
      <w:r w:rsidR="00A20923">
        <w:rPr>
          <w:lang w:val="en-GB"/>
        </w:rPr>
        <w:t>c</w:t>
      </w:r>
      <w:r w:rsidRPr="00A307C6">
        <w:rPr>
          <w:lang w:val="en-GB"/>
        </w:rPr>
        <w:t>ourt martial held in Bentiu</w:t>
      </w:r>
      <w:r w:rsidR="00A20923">
        <w:rPr>
          <w:lang w:val="en-GB"/>
        </w:rPr>
        <w:t>,</w:t>
      </w:r>
      <w:r w:rsidRPr="00A307C6">
        <w:rPr>
          <w:lang w:val="en-GB"/>
        </w:rPr>
        <w:t xml:space="preserve"> </w:t>
      </w:r>
      <w:r w:rsidR="00A20923">
        <w:rPr>
          <w:lang w:val="en-GB"/>
        </w:rPr>
        <w:t xml:space="preserve">Unity </w:t>
      </w:r>
      <w:r w:rsidRPr="00A307C6">
        <w:rPr>
          <w:lang w:val="en-GB"/>
        </w:rPr>
        <w:t xml:space="preserve">in late 2020 experienced similar challenges and issues as those which emerged in </w:t>
      </w:r>
      <w:r w:rsidR="007A612B" w:rsidRPr="00A307C6">
        <w:rPr>
          <w:lang w:val="en-GB"/>
        </w:rPr>
        <w:t xml:space="preserve">the </w:t>
      </w:r>
      <w:r w:rsidRPr="00A307C6">
        <w:rPr>
          <w:lang w:val="en-GB"/>
        </w:rPr>
        <w:t xml:space="preserve">case </w:t>
      </w:r>
      <w:r w:rsidR="007A612B" w:rsidRPr="00A307C6">
        <w:rPr>
          <w:lang w:val="en-GB"/>
        </w:rPr>
        <w:t xml:space="preserve">tried </w:t>
      </w:r>
      <w:r w:rsidRPr="00A307C6">
        <w:rPr>
          <w:lang w:val="en-GB"/>
        </w:rPr>
        <w:t>in Yei.</w:t>
      </w:r>
      <w:r w:rsidRPr="00A307C6">
        <w:rPr>
          <w:rStyle w:val="FootnoteReference"/>
          <w:lang w:val="en-GB"/>
        </w:rPr>
        <w:footnoteReference w:id="240"/>
      </w:r>
      <w:r w:rsidRPr="00A307C6">
        <w:rPr>
          <w:lang w:val="en-GB"/>
        </w:rPr>
        <w:t xml:space="preserve"> And while earlier military trials held from May 2017 to September 2018 had also resulted in the conviction and sentencing of ten soldiers for serious crimes against South Sudanese and foreign nationals, including rape and murder, during an attack on the Terrain </w:t>
      </w:r>
      <w:r w:rsidR="007A612B" w:rsidRPr="00A307C6">
        <w:rPr>
          <w:lang w:val="en-GB"/>
        </w:rPr>
        <w:t>H</w:t>
      </w:r>
      <w:r w:rsidRPr="00A307C6">
        <w:rPr>
          <w:lang w:val="en-GB"/>
        </w:rPr>
        <w:t>otel in Juba in 2016, the court-ordered compensation to victims has not been enforced.</w:t>
      </w:r>
      <w:r w:rsidRPr="00A307C6">
        <w:rPr>
          <w:rStyle w:val="FootnoteReference"/>
          <w:lang w:val="en-GB"/>
        </w:rPr>
        <w:footnoteReference w:id="241"/>
      </w:r>
      <w:r w:rsidRPr="00A307C6">
        <w:rPr>
          <w:lang w:val="en-GB"/>
        </w:rPr>
        <w:t xml:space="preserve"> </w:t>
      </w:r>
    </w:p>
    <w:p w14:paraId="61838239" w14:textId="77777777" w:rsidR="00702233" w:rsidRPr="00A307C6" w:rsidRDefault="00702233" w:rsidP="009E6E96">
      <w:pPr>
        <w:pStyle w:val="H1G"/>
      </w:pPr>
      <w:bookmarkStart w:id="82" w:name="_Toc98226832"/>
      <w:bookmarkStart w:id="83" w:name="_Toc98606473"/>
      <w:r w:rsidRPr="00A307C6">
        <w:t>Traditional or customary justice systems</w:t>
      </w:r>
      <w:bookmarkEnd w:id="82"/>
      <w:bookmarkEnd w:id="83"/>
    </w:p>
    <w:p w14:paraId="60320B4B" w14:textId="3FE2500C" w:rsidR="008A1E2C" w:rsidRPr="00A307C6" w:rsidRDefault="008A1E2C" w:rsidP="00FF077A">
      <w:pPr>
        <w:pStyle w:val="Paragraph"/>
        <w:rPr>
          <w:b/>
          <w:bCs/>
          <w:lang w:val="en-GB"/>
        </w:rPr>
      </w:pPr>
      <w:r w:rsidRPr="00A307C6">
        <w:rPr>
          <w:lang w:val="en-GB"/>
        </w:rPr>
        <w:t xml:space="preserve">The realities and practicalities of limited road infrastructure and a lack of State facilities in many parts of the country makes the administration of formal justice incredibly expensive and challenging. There is no effective presence of formal courts in many parts of South Sudan, and with </w:t>
      </w:r>
      <w:r w:rsidR="004B29C9" w:rsidRPr="00A307C6">
        <w:rPr>
          <w:lang w:val="en-GB"/>
        </w:rPr>
        <w:t xml:space="preserve">the very minimal reach </w:t>
      </w:r>
      <w:r w:rsidRPr="00A307C6">
        <w:rPr>
          <w:lang w:val="en-GB"/>
        </w:rPr>
        <w:t xml:space="preserve">of mobile courts, customary courts end up </w:t>
      </w:r>
      <w:r w:rsidR="004B29C9" w:rsidRPr="00A307C6">
        <w:rPr>
          <w:lang w:val="en-GB"/>
        </w:rPr>
        <w:t xml:space="preserve">dealing with </w:t>
      </w:r>
      <w:r w:rsidRPr="00A307C6">
        <w:rPr>
          <w:lang w:val="en-GB"/>
        </w:rPr>
        <w:t>cases of sexual violence, which are beyond their formal jurisdiction. However, the extent to which this occurs in conflict situations where there is great social upheaval including displacement is not fully clear and requires further research.</w:t>
      </w:r>
    </w:p>
    <w:p w14:paraId="43CC349A" w14:textId="3CADD0C9" w:rsidR="00702233" w:rsidRPr="00A307C6" w:rsidRDefault="00702233" w:rsidP="00FF077A">
      <w:pPr>
        <w:pStyle w:val="Paragraph"/>
        <w:rPr>
          <w:lang w:val="en-GB"/>
        </w:rPr>
      </w:pPr>
      <w:r w:rsidRPr="00A307C6">
        <w:rPr>
          <w:lang w:val="en-GB"/>
        </w:rPr>
        <w:t xml:space="preserve">Customary courts, like many of the State’s laws and institutions are </w:t>
      </w:r>
      <w:r w:rsidR="00822D3D">
        <w:rPr>
          <w:lang w:val="en-GB"/>
        </w:rPr>
        <w:t xml:space="preserve">considered </w:t>
      </w:r>
      <w:r w:rsidRPr="00A307C6">
        <w:rPr>
          <w:lang w:val="en-GB"/>
        </w:rPr>
        <w:t>inherently patriarchal and biased against women and girls</w:t>
      </w:r>
      <w:r w:rsidR="00822D3D">
        <w:rPr>
          <w:lang w:val="en-GB"/>
        </w:rPr>
        <w:t xml:space="preserve">, as confirmed by CEDAW in their </w:t>
      </w:r>
      <w:r w:rsidR="002B00D0">
        <w:rPr>
          <w:lang w:val="en-GB"/>
        </w:rPr>
        <w:t xml:space="preserve">concluding observations on </w:t>
      </w:r>
      <w:r w:rsidR="002B00D0">
        <w:rPr>
          <w:lang w:val="en-GB"/>
        </w:rPr>
        <w:lastRenderedPageBreak/>
        <w:t>South Sudan.</w:t>
      </w:r>
      <w:r w:rsidR="00822D3D">
        <w:rPr>
          <w:rStyle w:val="FootnoteReference"/>
        </w:rPr>
        <w:footnoteReference w:id="242"/>
      </w:r>
      <w:r w:rsidR="007A612B" w:rsidRPr="00A307C6">
        <w:rPr>
          <w:lang w:val="en-GB"/>
        </w:rPr>
        <w:t xml:space="preserve"> N</w:t>
      </w:r>
      <w:r w:rsidR="004B29C9" w:rsidRPr="00A307C6">
        <w:rPr>
          <w:lang w:val="en-GB"/>
        </w:rPr>
        <w:t>evertheless</w:t>
      </w:r>
      <w:r w:rsidR="004373B0">
        <w:rPr>
          <w:lang w:val="en-GB"/>
        </w:rPr>
        <w:t>,</w:t>
      </w:r>
      <w:r w:rsidR="004B29C9" w:rsidRPr="00A307C6">
        <w:rPr>
          <w:lang w:val="en-GB"/>
        </w:rPr>
        <w:t xml:space="preserve"> </w:t>
      </w:r>
      <w:r w:rsidR="00822D3D">
        <w:rPr>
          <w:lang w:val="en-GB"/>
        </w:rPr>
        <w:t xml:space="preserve">it is necessary </w:t>
      </w:r>
      <w:r w:rsidR="007A612B" w:rsidRPr="00A307C6">
        <w:rPr>
          <w:lang w:val="en-GB"/>
        </w:rPr>
        <w:t xml:space="preserve">to </w:t>
      </w:r>
      <w:r w:rsidRPr="00A307C6">
        <w:rPr>
          <w:lang w:val="en-GB"/>
        </w:rPr>
        <w:t>engage with</w:t>
      </w:r>
      <w:r w:rsidR="007A612B" w:rsidRPr="00A307C6">
        <w:rPr>
          <w:lang w:val="en-GB"/>
        </w:rPr>
        <w:t xml:space="preserve"> these courts </w:t>
      </w:r>
      <w:r w:rsidRPr="00A307C6">
        <w:rPr>
          <w:lang w:val="en-GB"/>
        </w:rPr>
        <w:t>and support</w:t>
      </w:r>
      <w:r w:rsidR="007A612B" w:rsidRPr="00A307C6">
        <w:rPr>
          <w:lang w:val="en-GB"/>
        </w:rPr>
        <w:t xml:space="preserve"> </w:t>
      </w:r>
      <w:r w:rsidR="00822D3D">
        <w:rPr>
          <w:lang w:val="en-GB"/>
        </w:rPr>
        <w:t xml:space="preserve">them, provided that </w:t>
      </w:r>
      <w:r w:rsidR="004B29C9" w:rsidRPr="00A307C6">
        <w:rPr>
          <w:lang w:val="en-GB"/>
        </w:rPr>
        <w:t xml:space="preserve">their practices </w:t>
      </w:r>
      <w:r w:rsidRPr="00A307C6">
        <w:rPr>
          <w:lang w:val="en-GB"/>
        </w:rPr>
        <w:t>compl</w:t>
      </w:r>
      <w:r w:rsidR="004B29C9" w:rsidRPr="00A307C6">
        <w:rPr>
          <w:lang w:val="en-GB"/>
        </w:rPr>
        <w:t>y</w:t>
      </w:r>
      <w:r w:rsidRPr="00A307C6">
        <w:rPr>
          <w:lang w:val="en-GB"/>
        </w:rPr>
        <w:t xml:space="preserve"> with human rights principles and </w:t>
      </w:r>
      <w:r w:rsidR="004B29C9" w:rsidRPr="00A307C6">
        <w:rPr>
          <w:lang w:val="en-GB"/>
        </w:rPr>
        <w:t>standards</w:t>
      </w:r>
      <w:r w:rsidRPr="00A307C6">
        <w:rPr>
          <w:lang w:val="en-GB"/>
        </w:rPr>
        <w:t xml:space="preserve">. </w:t>
      </w:r>
      <w:r w:rsidR="008A1E2C" w:rsidRPr="00A307C6">
        <w:rPr>
          <w:lang w:val="en-GB"/>
        </w:rPr>
        <w:t>Given the lack of access to the formal judicial system, customary courts have assumed a greater importance in dealing with sexual and gender</w:t>
      </w:r>
      <w:r w:rsidR="004B29C9" w:rsidRPr="00A307C6">
        <w:rPr>
          <w:lang w:val="en-GB"/>
        </w:rPr>
        <w:t>-</w:t>
      </w:r>
      <w:r w:rsidR="008A1E2C" w:rsidRPr="00A307C6">
        <w:rPr>
          <w:lang w:val="en-GB"/>
        </w:rPr>
        <w:t>based violence</w:t>
      </w:r>
      <w:r w:rsidR="004B29C9" w:rsidRPr="00A307C6">
        <w:rPr>
          <w:lang w:val="en-GB"/>
        </w:rPr>
        <w:t>, and efforts must be made to improve the quality of justice they administer</w:t>
      </w:r>
      <w:r w:rsidR="008A1E2C" w:rsidRPr="00A307C6">
        <w:rPr>
          <w:lang w:val="en-GB"/>
        </w:rPr>
        <w:t xml:space="preserve">. </w:t>
      </w:r>
    </w:p>
    <w:p w14:paraId="0868C1F3" w14:textId="694E5C46" w:rsidR="00584C53" w:rsidRPr="00A307C6" w:rsidRDefault="004B29C9" w:rsidP="00FF077A">
      <w:pPr>
        <w:pStyle w:val="Paragraph"/>
        <w:rPr>
          <w:lang w:val="en-GB"/>
        </w:rPr>
      </w:pPr>
      <w:r w:rsidRPr="00A307C6">
        <w:rPr>
          <w:lang w:val="en-GB"/>
        </w:rPr>
        <w:t>While t</w:t>
      </w:r>
      <w:r w:rsidR="00702233" w:rsidRPr="00A307C6">
        <w:rPr>
          <w:lang w:val="en-GB"/>
        </w:rPr>
        <w:t xml:space="preserve">hese systems are commonly </w:t>
      </w:r>
      <w:r w:rsidRPr="00A307C6">
        <w:rPr>
          <w:lang w:val="en-GB"/>
        </w:rPr>
        <w:t>criticised</w:t>
      </w:r>
      <w:r w:rsidR="00702233" w:rsidRPr="00A307C6">
        <w:rPr>
          <w:lang w:val="en-GB"/>
        </w:rPr>
        <w:t xml:space="preserve"> as patriarchal</w:t>
      </w:r>
      <w:r w:rsidRPr="00A307C6">
        <w:rPr>
          <w:lang w:val="en-GB"/>
        </w:rPr>
        <w:t xml:space="preserve"> </w:t>
      </w:r>
      <w:r w:rsidR="008A1E2C" w:rsidRPr="00A307C6">
        <w:rPr>
          <w:lang w:val="en-GB"/>
        </w:rPr>
        <w:t xml:space="preserve">with an </w:t>
      </w:r>
      <w:r w:rsidR="00702233" w:rsidRPr="00A307C6">
        <w:rPr>
          <w:lang w:val="en-GB"/>
        </w:rPr>
        <w:t xml:space="preserve">inherent gender bias, and </w:t>
      </w:r>
      <w:r w:rsidR="007A612B" w:rsidRPr="00A307C6">
        <w:rPr>
          <w:lang w:val="en-GB"/>
        </w:rPr>
        <w:t xml:space="preserve">their practices are often </w:t>
      </w:r>
      <w:r w:rsidR="00702233" w:rsidRPr="00A307C6">
        <w:rPr>
          <w:lang w:val="en-GB"/>
        </w:rPr>
        <w:t>inconsistent with human rights norms and rule of law principles</w:t>
      </w:r>
      <w:r w:rsidRPr="00A307C6">
        <w:rPr>
          <w:lang w:val="en-GB"/>
        </w:rPr>
        <w:t>,</w:t>
      </w:r>
      <w:r w:rsidR="00702233" w:rsidRPr="00A307C6">
        <w:rPr>
          <w:rStyle w:val="FootnoteReference"/>
          <w:lang w:val="en-GB"/>
        </w:rPr>
        <w:footnoteReference w:id="243"/>
      </w:r>
      <w:r w:rsidR="004373C8" w:rsidRPr="00A307C6">
        <w:rPr>
          <w:lang w:val="en-GB"/>
        </w:rPr>
        <w:t>—</w:t>
      </w:r>
      <w:r w:rsidRPr="00A307C6">
        <w:rPr>
          <w:lang w:val="en-GB"/>
        </w:rPr>
        <w:t xml:space="preserve">and </w:t>
      </w:r>
      <w:r w:rsidR="004373C8" w:rsidRPr="00A307C6">
        <w:rPr>
          <w:lang w:val="en-GB"/>
        </w:rPr>
        <w:t xml:space="preserve">indeed </w:t>
      </w:r>
      <w:r w:rsidR="00702233" w:rsidRPr="00A307C6">
        <w:rPr>
          <w:lang w:val="en-GB"/>
        </w:rPr>
        <w:t>the Government has recognised the existence of harmful customary practices</w:t>
      </w:r>
      <w:r w:rsidR="004373C8" w:rsidRPr="00A307C6">
        <w:rPr>
          <w:lang w:val="en-GB"/>
        </w:rPr>
        <w:t>—</w:t>
      </w:r>
      <w:r w:rsidRPr="00A307C6">
        <w:rPr>
          <w:lang w:val="en-GB"/>
        </w:rPr>
        <w:t xml:space="preserve">in </w:t>
      </w:r>
      <w:r w:rsidR="008A1E2C" w:rsidRPr="00A307C6">
        <w:rPr>
          <w:lang w:val="en-GB"/>
        </w:rPr>
        <w:t>the absence of the formal justice system</w:t>
      </w:r>
      <w:r w:rsidR="004373C8" w:rsidRPr="00A307C6">
        <w:rPr>
          <w:lang w:val="en-GB"/>
        </w:rPr>
        <w:t xml:space="preserve">, </w:t>
      </w:r>
      <w:r w:rsidR="008A1E2C" w:rsidRPr="00A307C6">
        <w:rPr>
          <w:lang w:val="en-GB"/>
        </w:rPr>
        <w:t>South Sudan</w:t>
      </w:r>
      <w:r w:rsidR="004373C8" w:rsidRPr="00A307C6">
        <w:rPr>
          <w:lang w:val="en-GB"/>
        </w:rPr>
        <w:t>’s</w:t>
      </w:r>
      <w:r w:rsidRPr="00A307C6">
        <w:rPr>
          <w:lang w:val="en-GB"/>
        </w:rPr>
        <w:t xml:space="preserve"> customary justice systems are</w:t>
      </w:r>
      <w:r w:rsidR="008A1E2C" w:rsidRPr="00A307C6">
        <w:rPr>
          <w:lang w:val="en-GB"/>
        </w:rPr>
        <w:t xml:space="preserve"> seen as an important</w:t>
      </w:r>
      <w:r w:rsidR="004373C8" w:rsidRPr="00A307C6">
        <w:rPr>
          <w:lang w:val="en-GB"/>
        </w:rPr>
        <w:t>, though deeply flawed,</w:t>
      </w:r>
      <w:r w:rsidR="008A1E2C" w:rsidRPr="00A307C6">
        <w:rPr>
          <w:lang w:val="en-GB"/>
        </w:rPr>
        <w:t xml:space="preserve"> resource </w:t>
      </w:r>
      <w:r w:rsidR="004373C8" w:rsidRPr="00A307C6">
        <w:rPr>
          <w:lang w:val="en-GB"/>
        </w:rPr>
        <w:t>for</w:t>
      </w:r>
      <w:r w:rsidR="008A1E2C" w:rsidRPr="00A307C6">
        <w:rPr>
          <w:lang w:val="en-GB"/>
        </w:rPr>
        <w:t xml:space="preserve"> administering justice for women and girls</w:t>
      </w:r>
      <w:r w:rsidR="00702233" w:rsidRPr="00A307C6">
        <w:rPr>
          <w:lang w:val="en-GB"/>
        </w:rPr>
        <w:t>.</w:t>
      </w:r>
      <w:r w:rsidR="00702233" w:rsidRPr="00A307C6">
        <w:rPr>
          <w:rStyle w:val="FootnoteReference"/>
          <w:lang w:val="en-GB"/>
        </w:rPr>
        <w:footnoteReference w:id="244"/>
      </w:r>
      <w:r w:rsidR="00702233" w:rsidRPr="00A307C6">
        <w:rPr>
          <w:b/>
          <w:bCs/>
          <w:lang w:val="en-GB"/>
        </w:rPr>
        <w:t xml:space="preserve"> </w:t>
      </w:r>
      <w:r w:rsidR="00702233" w:rsidRPr="00A307C6">
        <w:rPr>
          <w:lang w:val="en-GB"/>
        </w:rPr>
        <w:t xml:space="preserve">Therefore, the trope that customary courts are discriminatory should be </w:t>
      </w:r>
      <w:r w:rsidR="004373C8" w:rsidRPr="00A307C6">
        <w:rPr>
          <w:lang w:val="en-GB"/>
        </w:rPr>
        <w:t xml:space="preserve">acknowledged </w:t>
      </w:r>
      <w:r w:rsidR="00702233" w:rsidRPr="00A307C6">
        <w:rPr>
          <w:lang w:val="en-GB"/>
        </w:rPr>
        <w:t xml:space="preserve">but also understood in this context. </w:t>
      </w:r>
    </w:p>
    <w:p w14:paraId="1BE99D18" w14:textId="2781B650" w:rsidR="00702233" w:rsidRPr="00A307C6" w:rsidRDefault="00584C53" w:rsidP="00FF077A">
      <w:pPr>
        <w:pStyle w:val="Paragraph"/>
        <w:rPr>
          <w:b/>
          <w:bCs/>
          <w:lang w:val="en-GB"/>
        </w:rPr>
      </w:pPr>
      <w:r w:rsidRPr="00A307C6">
        <w:rPr>
          <w:lang w:val="en-GB"/>
        </w:rPr>
        <w:t>C</w:t>
      </w:r>
      <w:r w:rsidR="00702233" w:rsidRPr="00A307C6">
        <w:rPr>
          <w:lang w:val="en-GB"/>
        </w:rPr>
        <w:t>ustomary justice systems a</w:t>
      </w:r>
      <w:r w:rsidRPr="00A307C6">
        <w:rPr>
          <w:lang w:val="en-GB"/>
        </w:rPr>
        <w:t xml:space="preserve">lso struggle to deal with </w:t>
      </w:r>
      <w:r w:rsidR="000B0463" w:rsidRPr="00A307C6">
        <w:rPr>
          <w:lang w:val="en-GB"/>
        </w:rPr>
        <w:t xml:space="preserve">new complexities such as the influx and supply </w:t>
      </w:r>
      <w:r w:rsidR="00702233" w:rsidRPr="00A307C6">
        <w:rPr>
          <w:lang w:val="en-GB"/>
        </w:rPr>
        <w:t>of deadly weapon</w:t>
      </w:r>
      <w:r w:rsidR="0075437A" w:rsidRPr="00A307C6">
        <w:rPr>
          <w:lang w:val="en-GB"/>
        </w:rPr>
        <w:t>s</w:t>
      </w:r>
      <w:r w:rsidR="000B0463" w:rsidRPr="00A307C6">
        <w:rPr>
          <w:lang w:val="en-GB"/>
        </w:rPr>
        <w:t xml:space="preserve"> to cattle raiders, </w:t>
      </w:r>
      <w:r w:rsidR="0075437A" w:rsidRPr="00A307C6">
        <w:rPr>
          <w:lang w:val="en-GB"/>
        </w:rPr>
        <w:t xml:space="preserve">and </w:t>
      </w:r>
      <w:r w:rsidR="000B0463" w:rsidRPr="00A307C6">
        <w:rPr>
          <w:lang w:val="en-GB"/>
        </w:rPr>
        <w:t>civilian communities at sub-national level a</w:t>
      </w:r>
      <w:r w:rsidR="0075437A" w:rsidRPr="00A307C6">
        <w:rPr>
          <w:lang w:val="en-GB"/>
        </w:rPr>
        <w:t xml:space="preserve">s well as </w:t>
      </w:r>
      <w:r w:rsidR="000B0463" w:rsidRPr="00A307C6">
        <w:rPr>
          <w:lang w:val="en-GB"/>
        </w:rPr>
        <w:t>youth militias</w:t>
      </w:r>
      <w:r w:rsidR="0075437A" w:rsidRPr="00A307C6">
        <w:rPr>
          <w:lang w:val="en-GB"/>
        </w:rPr>
        <w:t>. The situation is exacerbated by</w:t>
      </w:r>
      <w:r w:rsidR="00702233" w:rsidRPr="00A307C6">
        <w:rPr>
          <w:lang w:val="en-GB"/>
        </w:rPr>
        <w:t xml:space="preserve"> </w:t>
      </w:r>
      <w:r w:rsidR="000B0463" w:rsidRPr="00A307C6">
        <w:rPr>
          <w:lang w:val="en-GB"/>
        </w:rPr>
        <w:t xml:space="preserve">political elite </w:t>
      </w:r>
      <w:r w:rsidR="00702233" w:rsidRPr="00A307C6">
        <w:rPr>
          <w:lang w:val="en-GB"/>
        </w:rPr>
        <w:t>contestation over resources such as oil</w:t>
      </w:r>
      <w:r w:rsidR="00AD6E63" w:rsidRPr="00A307C6">
        <w:rPr>
          <w:lang w:val="en-GB"/>
        </w:rPr>
        <w:t xml:space="preserve"> and </w:t>
      </w:r>
      <w:r w:rsidR="00702233" w:rsidRPr="00A307C6">
        <w:rPr>
          <w:lang w:val="en-GB"/>
        </w:rPr>
        <w:t xml:space="preserve">the </w:t>
      </w:r>
      <w:r w:rsidR="0075437A" w:rsidRPr="00A307C6">
        <w:rPr>
          <w:lang w:val="en-GB"/>
        </w:rPr>
        <w:t xml:space="preserve">redrawing </w:t>
      </w:r>
      <w:r w:rsidR="00702233" w:rsidRPr="00A307C6">
        <w:rPr>
          <w:lang w:val="en-GB"/>
        </w:rPr>
        <w:t xml:space="preserve">of boundaries </w:t>
      </w:r>
      <w:r w:rsidR="0075437A" w:rsidRPr="00A307C6">
        <w:rPr>
          <w:lang w:val="en-GB"/>
        </w:rPr>
        <w:t>to accord with the demarcation of new states with new geographic boundaries</w:t>
      </w:r>
      <w:r w:rsidR="00E40C87" w:rsidRPr="00A307C6">
        <w:rPr>
          <w:lang w:val="en-GB"/>
        </w:rPr>
        <w:t>. L</w:t>
      </w:r>
      <w:r w:rsidR="00702233" w:rsidRPr="00A307C6">
        <w:rPr>
          <w:lang w:val="en-GB"/>
        </w:rPr>
        <w:t xml:space="preserve">ocal </w:t>
      </w:r>
      <w:r w:rsidR="00E40C87" w:rsidRPr="00A307C6">
        <w:rPr>
          <w:lang w:val="en-GB"/>
        </w:rPr>
        <w:t xml:space="preserve">justice </w:t>
      </w:r>
      <w:r w:rsidR="00702233" w:rsidRPr="00A307C6">
        <w:rPr>
          <w:lang w:val="en-GB"/>
        </w:rPr>
        <w:t xml:space="preserve">systems </w:t>
      </w:r>
      <w:r w:rsidR="00E40C87" w:rsidRPr="00A307C6">
        <w:rPr>
          <w:lang w:val="en-GB"/>
        </w:rPr>
        <w:t xml:space="preserve">have been </w:t>
      </w:r>
      <w:r w:rsidR="00702233" w:rsidRPr="00A307C6">
        <w:rPr>
          <w:lang w:val="en-GB"/>
        </w:rPr>
        <w:t>influenced by political and historical forces</w:t>
      </w:r>
      <w:r w:rsidR="00E40C87" w:rsidRPr="00A307C6">
        <w:rPr>
          <w:lang w:val="en-GB"/>
        </w:rPr>
        <w:t xml:space="preserve">, adapting over time. </w:t>
      </w:r>
      <w:r w:rsidR="00702233" w:rsidRPr="00A307C6">
        <w:rPr>
          <w:lang w:val="en-GB"/>
        </w:rPr>
        <w:t xml:space="preserve"> </w:t>
      </w:r>
      <w:r w:rsidR="00E40C87" w:rsidRPr="00A307C6">
        <w:rPr>
          <w:lang w:val="en-GB"/>
        </w:rPr>
        <w:t>J</w:t>
      </w:r>
      <w:r w:rsidR="00702233" w:rsidRPr="00A307C6">
        <w:rPr>
          <w:lang w:val="en-GB"/>
        </w:rPr>
        <w:t xml:space="preserve">ustice delivery in South Sudan </w:t>
      </w:r>
      <w:r w:rsidR="00E40C87" w:rsidRPr="00A307C6">
        <w:rPr>
          <w:lang w:val="en-GB"/>
        </w:rPr>
        <w:t xml:space="preserve">is </w:t>
      </w:r>
      <w:r w:rsidR="00702233" w:rsidRPr="00A307C6">
        <w:rPr>
          <w:lang w:val="en-GB"/>
        </w:rPr>
        <w:t xml:space="preserve">highly problematic and to a large degree ineffective at present in providing equitable and just outcomes, particularly in cases of sexual violence and in contexts of conflict, and yet all </w:t>
      </w:r>
      <w:r w:rsidR="00AD6E63" w:rsidRPr="00A307C6">
        <w:rPr>
          <w:lang w:val="en-GB"/>
        </w:rPr>
        <w:t xml:space="preserve">justice arrangements </w:t>
      </w:r>
      <w:r w:rsidR="00702233" w:rsidRPr="00A307C6">
        <w:rPr>
          <w:lang w:val="en-GB"/>
        </w:rPr>
        <w:t>should remain on the table as for</w:t>
      </w:r>
      <w:r w:rsidR="00AD6E63" w:rsidRPr="00A307C6">
        <w:rPr>
          <w:lang w:val="en-GB"/>
        </w:rPr>
        <w:t>a</w:t>
      </w:r>
      <w:r w:rsidR="00702233" w:rsidRPr="00A307C6">
        <w:rPr>
          <w:lang w:val="en-GB"/>
        </w:rPr>
        <w:t xml:space="preserve"> with which to potentially engage to address the pervasive scourge of endemic violence.</w:t>
      </w:r>
      <w:r w:rsidR="00702233" w:rsidRPr="00A307C6">
        <w:rPr>
          <w:rStyle w:val="FootnoteReference"/>
          <w:lang w:val="en-GB"/>
        </w:rPr>
        <w:footnoteReference w:id="245"/>
      </w:r>
      <w:r w:rsidR="00702233" w:rsidRPr="00A307C6">
        <w:rPr>
          <w:lang w:val="en-GB"/>
        </w:rPr>
        <w:t xml:space="preserve"> </w:t>
      </w:r>
    </w:p>
    <w:p w14:paraId="6C3C5E1C" w14:textId="01FA17FA" w:rsidR="00702233" w:rsidRPr="00A307C6" w:rsidRDefault="00702233" w:rsidP="00FF077A">
      <w:pPr>
        <w:pStyle w:val="Paragraph"/>
        <w:rPr>
          <w:b/>
          <w:bCs/>
          <w:lang w:val="en-GB"/>
        </w:rPr>
      </w:pPr>
      <w:r w:rsidRPr="00A307C6">
        <w:rPr>
          <w:lang w:val="en-GB"/>
        </w:rPr>
        <w:t xml:space="preserve">CEDAW in its concluding observations to </w:t>
      </w:r>
      <w:r w:rsidR="00AD6E63" w:rsidRPr="00A307C6">
        <w:rPr>
          <w:lang w:val="en-GB"/>
        </w:rPr>
        <w:t>the G</w:t>
      </w:r>
      <w:r w:rsidRPr="00A307C6">
        <w:rPr>
          <w:lang w:val="en-GB"/>
        </w:rPr>
        <w:t xml:space="preserve">overnment has noted that the </w:t>
      </w:r>
      <w:r w:rsidR="00AD6E63" w:rsidRPr="00A307C6">
        <w:rPr>
          <w:lang w:val="en-GB"/>
        </w:rPr>
        <w:t>G</w:t>
      </w:r>
      <w:r w:rsidRPr="00A307C6">
        <w:rPr>
          <w:lang w:val="en-GB"/>
        </w:rPr>
        <w:t>overnment need</w:t>
      </w:r>
      <w:r w:rsidR="000B0463" w:rsidRPr="00A307C6">
        <w:rPr>
          <w:lang w:val="en-GB"/>
        </w:rPr>
        <w:t>s</w:t>
      </w:r>
      <w:r w:rsidRPr="00A307C6">
        <w:rPr>
          <w:lang w:val="en-GB"/>
        </w:rPr>
        <w:t xml:space="preserve"> to ensure that ‘customary court decisions that are contrary to the rights guaranteed under the Convention </w:t>
      </w:r>
      <w:r w:rsidRPr="00A307C6">
        <w:rPr>
          <w:lang w:val="en-GB"/>
        </w:rPr>
        <w:lastRenderedPageBreak/>
        <w:t>can be appealed to the ordinary courts, and provide women with assistance to opt out of proceedings before customary courts or to appeal customary court decisions’</w:t>
      </w:r>
      <w:r w:rsidR="004373C8" w:rsidRPr="00A307C6">
        <w:rPr>
          <w:lang w:val="en-GB"/>
        </w:rPr>
        <w:t>.</w:t>
      </w:r>
      <w:r w:rsidR="000B0463" w:rsidRPr="00A307C6">
        <w:rPr>
          <w:rStyle w:val="FootnoteReference"/>
          <w:lang w:val="en-GB"/>
        </w:rPr>
        <w:footnoteReference w:id="246"/>
      </w:r>
    </w:p>
    <w:p w14:paraId="62F34172" w14:textId="77777777" w:rsidR="00702233" w:rsidRPr="00A307C6" w:rsidRDefault="00702233" w:rsidP="00B8644C">
      <w:pPr>
        <w:pStyle w:val="HChG"/>
        <w:numPr>
          <w:ilvl w:val="0"/>
          <w:numId w:val="11"/>
        </w:numPr>
        <w:outlineLvl w:val="0"/>
      </w:pPr>
      <w:bookmarkStart w:id="84" w:name="_Toc98226833"/>
      <w:bookmarkStart w:id="85" w:name="_Toc98606474"/>
      <w:r w:rsidRPr="00A307C6">
        <w:t>Barriers to reporting sexual violence in conflict</w:t>
      </w:r>
      <w:bookmarkEnd w:id="84"/>
      <w:bookmarkEnd w:id="85"/>
    </w:p>
    <w:p w14:paraId="29229432" w14:textId="00186351" w:rsidR="00702233" w:rsidRPr="00A307C6" w:rsidRDefault="00702233" w:rsidP="00FF077A">
      <w:pPr>
        <w:pStyle w:val="Paragraph"/>
        <w:rPr>
          <w:lang w:val="en-GB"/>
        </w:rPr>
      </w:pPr>
      <w:r w:rsidRPr="00A307C6">
        <w:rPr>
          <w:lang w:val="en-GB"/>
        </w:rPr>
        <w:t xml:space="preserve">The Commission identified multiple barriers and disincentives for victims to report their experience of rape and sexual violence perpetrated against them </w:t>
      </w:r>
      <w:r w:rsidR="002303B4" w:rsidRPr="00A307C6">
        <w:rPr>
          <w:lang w:val="en-GB"/>
        </w:rPr>
        <w:t xml:space="preserve">in </w:t>
      </w:r>
      <w:r w:rsidR="00AD6E63" w:rsidRPr="00A307C6">
        <w:rPr>
          <w:lang w:val="en-GB"/>
        </w:rPr>
        <w:t xml:space="preserve">conflict </w:t>
      </w:r>
      <w:r w:rsidR="00680D7D">
        <w:rPr>
          <w:lang w:val="en-GB"/>
        </w:rPr>
        <w:t xml:space="preserve">as well as </w:t>
      </w:r>
      <w:r w:rsidR="002303B4" w:rsidRPr="00A307C6">
        <w:rPr>
          <w:lang w:val="en-GB"/>
        </w:rPr>
        <w:t xml:space="preserve">outside </w:t>
      </w:r>
      <w:r w:rsidR="00822D3D">
        <w:rPr>
          <w:lang w:val="en-GB"/>
        </w:rPr>
        <w:t xml:space="preserve">of conflict. </w:t>
      </w:r>
      <w:r w:rsidR="002303B4" w:rsidRPr="00A307C6">
        <w:rPr>
          <w:lang w:val="en-GB"/>
        </w:rPr>
        <w:t xml:space="preserve">The Commission notes </w:t>
      </w:r>
      <w:r w:rsidRPr="00A307C6">
        <w:rPr>
          <w:lang w:val="en-GB"/>
        </w:rPr>
        <w:t>that in conflict situations, sexual violence is not the only form of violence that is underreported or unreported to authorities, with killings and torture often also not reported</w:t>
      </w:r>
      <w:r w:rsidR="002303B4" w:rsidRPr="00A307C6">
        <w:rPr>
          <w:lang w:val="en-GB"/>
        </w:rPr>
        <w:t>.</w:t>
      </w:r>
      <w:r w:rsidRPr="00A307C6">
        <w:rPr>
          <w:lang w:val="en-GB"/>
        </w:rPr>
        <w:t xml:space="preserve"> </w:t>
      </w:r>
      <w:r w:rsidR="002303B4" w:rsidRPr="00A307C6">
        <w:rPr>
          <w:lang w:val="en-GB"/>
        </w:rPr>
        <w:t xml:space="preserve">The underreporting of </w:t>
      </w:r>
      <w:r w:rsidRPr="00A307C6">
        <w:rPr>
          <w:lang w:val="en-GB"/>
        </w:rPr>
        <w:t xml:space="preserve">cases of sexual violence, </w:t>
      </w:r>
      <w:r w:rsidR="002303B4" w:rsidRPr="00A307C6">
        <w:rPr>
          <w:lang w:val="en-GB"/>
        </w:rPr>
        <w:t xml:space="preserve">is </w:t>
      </w:r>
      <w:r w:rsidRPr="00A307C6">
        <w:rPr>
          <w:lang w:val="en-GB"/>
        </w:rPr>
        <w:t xml:space="preserve">linked to gendered power relations and </w:t>
      </w:r>
      <w:r w:rsidR="002303B4" w:rsidRPr="00A307C6">
        <w:rPr>
          <w:lang w:val="en-GB"/>
        </w:rPr>
        <w:t xml:space="preserve">the accompanying </w:t>
      </w:r>
      <w:r w:rsidRPr="00A307C6">
        <w:rPr>
          <w:lang w:val="en-GB"/>
        </w:rPr>
        <w:t xml:space="preserve">shame and stigma related to rape </w:t>
      </w:r>
      <w:r w:rsidR="002303B4" w:rsidRPr="00A307C6">
        <w:rPr>
          <w:lang w:val="en-GB"/>
        </w:rPr>
        <w:t>and sexual violence</w:t>
      </w:r>
      <w:r w:rsidRPr="00A307C6">
        <w:rPr>
          <w:lang w:val="en-GB"/>
        </w:rPr>
        <w:t xml:space="preserve"> once these violations are disclosed or become known, </w:t>
      </w:r>
      <w:r w:rsidR="00EB5962" w:rsidRPr="00A307C6">
        <w:rPr>
          <w:lang w:val="en-GB"/>
        </w:rPr>
        <w:t xml:space="preserve">and the fear of </w:t>
      </w:r>
      <w:r w:rsidRPr="00A307C6">
        <w:rPr>
          <w:lang w:val="en-GB"/>
        </w:rPr>
        <w:t xml:space="preserve">victims </w:t>
      </w:r>
      <w:r w:rsidR="00EB5962" w:rsidRPr="00A307C6">
        <w:rPr>
          <w:lang w:val="en-GB"/>
        </w:rPr>
        <w:t xml:space="preserve">that they </w:t>
      </w:r>
      <w:r w:rsidRPr="00A307C6">
        <w:rPr>
          <w:lang w:val="en-GB"/>
        </w:rPr>
        <w:t>will be cast out by their families</w:t>
      </w:r>
      <w:r w:rsidR="00AD6E63" w:rsidRPr="00A307C6">
        <w:rPr>
          <w:lang w:val="en-GB"/>
        </w:rPr>
        <w:t>,</w:t>
      </w:r>
      <w:r w:rsidRPr="00A307C6">
        <w:rPr>
          <w:lang w:val="en-GB"/>
        </w:rPr>
        <w:t xml:space="preserve"> including </w:t>
      </w:r>
      <w:r w:rsidR="00AD6E63" w:rsidRPr="00A307C6">
        <w:rPr>
          <w:lang w:val="en-GB"/>
        </w:rPr>
        <w:t xml:space="preserve">by their </w:t>
      </w:r>
      <w:r w:rsidRPr="00A307C6">
        <w:rPr>
          <w:lang w:val="en-GB"/>
        </w:rPr>
        <w:t>husbands</w:t>
      </w:r>
      <w:r w:rsidR="00AD6E63" w:rsidRPr="00A307C6">
        <w:rPr>
          <w:lang w:val="en-GB"/>
        </w:rPr>
        <w:t>,</w:t>
      </w:r>
      <w:r w:rsidRPr="00A307C6">
        <w:rPr>
          <w:lang w:val="en-GB"/>
        </w:rPr>
        <w:t xml:space="preserve"> and shunned by the community.</w:t>
      </w:r>
    </w:p>
    <w:p w14:paraId="2E9C1D94" w14:textId="4A3EE8FC" w:rsidR="00702233" w:rsidRPr="00A307C6" w:rsidRDefault="00EB5962" w:rsidP="00FF077A">
      <w:pPr>
        <w:pStyle w:val="Paragraph"/>
        <w:rPr>
          <w:lang w:val="en-GB"/>
        </w:rPr>
      </w:pPr>
      <w:r w:rsidRPr="00A307C6">
        <w:rPr>
          <w:lang w:val="en-GB"/>
        </w:rPr>
        <w:t>In addition, the f</w:t>
      </w:r>
      <w:r w:rsidR="00702233" w:rsidRPr="00A307C6">
        <w:rPr>
          <w:lang w:val="en-GB"/>
        </w:rPr>
        <w:t xml:space="preserve">ear </w:t>
      </w:r>
      <w:r w:rsidRPr="00A307C6">
        <w:rPr>
          <w:lang w:val="en-GB"/>
        </w:rPr>
        <w:t xml:space="preserve">of </w:t>
      </w:r>
      <w:r w:rsidR="00702233" w:rsidRPr="00A307C6">
        <w:rPr>
          <w:lang w:val="en-GB"/>
        </w:rPr>
        <w:t xml:space="preserve">reprisals from perpetrators </w:t>
      </w:r>
      <w:r w:rsidRPr="00A307C6">
        <w:rPr>
          <w:lang w:val="en-GB"/>
        </w:rPr>
        <w:t>prevent</w:t>
      </w:r>
      <w:r w:rsidR="004373C8" w:rsidRPr="00A307C6">
        <w:rPr>
          <w:lang w:val="en-GB"/>
        </w:rPr>
        <w:t>s</w:t>
      </w:r>
      <w:r w:rsidRPr="00A307C6">
        <w:rPr>
          <w:lang w:val="en-GB"/>
        </w:rPr>
        <w:t xml:space="preserve"> </w:t>
      </w:r>
      <w:r w:rsidR="00702233" w:rsidRPr="00A307C6">
        <w:rPr>
          <w:lang w:val="en-GB"/>
        </w:rPr>
        <w:t xml:space="preserve">survivors and victims from reporting or coming forward with their experiences. In most cases, perpetrators remain at large, </w:t>
      </w:r>
      <w:r w:rsidR="00822D3D">
        <w:rPr>
          <w:lang w:val="en-GB"/>
        </w:rPr>
        <w:t xml:space="preserve">and </w:t>
      </w:r>
      <w:r w:rsidR="00702233" w:rsidRPr="00A307C6">
        <w:rPr>
          <w:lang w:val="en-GB"/>
        </w:rPr>
        <w:t xml:space="preserve">are not apprehended. Justice is </w:t>
      </w:r>
      <w:r w:rsidR="004373C8" w:rsidRPr="00A307C6">
        <w:rPr>
          <w:lang w:val="en-GB"/>
        </w:rPr>
        <w:t xml:space="preserve">thus </w:t>
      </w:r>
      <w:r w:rsidR="00702233" w:rsidRPr="00A307C6">
        <w:rPr>
          <w:lang w:val="en-GB"/>
        </w:rPr>
        <w:t xml:space="preserve">not served, causing feelings of resentment by victims. In instances where victims are apprehended, challenges and lapses in the legal system result in delayed justice or no justice at all. </w:t>
      </w:r>
    </w:p>
    <w:p w14:paraId="36278152" w14:textId="77777777" w:rsidR="00702233" w:rsidRPr="00A307C6" w:rsidRDefault="00702233" w:rsidP="003E66F7">
      <w:pPr>
        <w:pStyle w:val="Paragraph"/>
        <w:numPr>
          <w:ilvl w:val="0"/>
          <w:numId w:val="0"/>
        </w:numPr>
        <w:ind w:left="1134"/>
        <w:rPr>
          <w:lang w:val="en-GB"/>
        </w:rPr>
      </w:pPr>
      <w:r w:rsidRPr="00A307C6">
        <w:rPr>
          <w:lang w:val="en-GB"/>
        </w:rPr>
        <w:t>“They told me to keep quiet, and they would kill me if I talked about the incident to anyone, because they know where to find me.”</w:t>
      </w:r>
      <w:r w:rsidRPr="00A307C6">
        <w:rPr>
          <w:rStyle w:val="FootnoteReference"/>
          <w:lang w:val="en-GB"/>
        </w:rPr>
        <w:footnoteReference w:id="247"/>
      </w:r>
      <w:r w:rsidRPr="00A307C6">
        <w:rPr>
          <w:lang w:val="en-GB"/>
        </w:rPr>
        <w:t xml:space="preserve"> </w:t>
      </w:r>
    </w:p>
    <w:p w14:paraId="2498F65D" w14:textId="77777777" w:rsidR="00702233" w:rsidRPr="00A307C6" w:rsidRDefault="00702233" w:rsidP="003E66F7">
      <w:pPr>
        <w:pStyle w:val="Paragraph"/>
        <w:numPr>
          <w:ilvl w:val="0"/>
          <w:numId w:val="0"/>
        </w:numPr>
        <w:ind w:left="1134"/>
        <w:rPr>
          <w:lang w:val="en-GB"/>
        </w:rPr>
      </w:pPr>
      <w:r w:rsidRPr="00A307C6">
        <w:rPr>
          <w:lang w:val="en-GB"/>
        </w:rPr>
        <w:t>“I wish he and his friends could be arrested, so that they pay for what they did to me.  I wish for justice. I believe that those men are doing the same thing they did to me to other women.  It is possible that they are targeting women and girls daily, to subject them to sexual abuse. I did not report the case to the police, for fear of my safety.”</w:t>
      </w:r>
      <w:r w:rsidRPr="00A307C6">
        <w:rPr>
          <w:rStyle w:val="FootnoteReference"/>
          <w:lang w:val="en-GB"/>
        </w:rPr>
        <w:footnoteReference w:id="248"/>
      </w:r>
      <w:r w:rsidRPr="00A307C6">
        <w:rPr>
          <w:lang w:val="en-GB"/>
        </w:rPr>
        <w:t xml:space="preserve"> </w:t>
      </w:r>
    </w:p>
    <w:p w14:paraId="1B3023E1" w14:textId="77777777" w:rsidR="00702233" w:rsidRPr="00A307C6" w:rsidRDefault="00702233" w:rsidP="003E66F7">
      <w:pPr>
        <w:pStyle w:val="Paragraph"/>
        <w:numPr>
          <w:ilvl w:val="0"/>
          <w:numId w:val="0"/>
        </w:numPr>
        <w:ind w:left="1134"/>
        <w:rPr>
          <w:lang w:val="en-GB"/>
        </w:rPr>
      </w:pPr>
      <w:r w:rsidRPr="00A307C6">
        <w:rPr>
          <w:lang w:val="en-GB"/>
        </w:rPr>
        <w:lastRenderedPageBreak/>
        <w:t>“At the military barracks, they encouraged us to keep quiet, saying ‘do not report that incident to anyone else because if the perpetrators knew, they might come back and kill you all.’”</w:t>
      </w:r>
      <w:r w:rsidRPr="00A307C6">
        <w:rPr>
          <w:rStyle w:val="FootnoteReference"/>
          <w:lang w:val="en-GB"/>
        </w:rPr>
        <w:footnoteReference w:id="249"/>
      </w:r>
    </w:p>
    <w:p w14:paraId="20DD3D44" w14:textId="42A6C2AA" w:rsidR="00702233" w:rsidRPr="00A307C6" w:rsidRDefault="00702233" w:rsidP="00FF077A">
      <w:pPr>
        <w:pStyle w:val="Paragraph"/>
        <w:rPr>
          <w:lang w:val="en-GB"/>
        </w:rPr>
      </w:pPr>
      <w:r w:rsidRPr="00A307C6">
        <w:rPr>
          <w:lang w:val="en-GB"/>
        </w:rPr>
        <w:t>Survivors have told the Commission that perpetrators walk free</w:t>
      </w:r>
      <w:r w:rsidR="00EB5962" w:rsidRPr="00A307C6">
        <w:rPr>
          <w:lang w:val="en-GB"/>
        </w:rPr>
        <w:t>ly</w:t>
      </w:r>
      <w:r w:rsidRPr="00A307C6">
        <w:rPr>
          <w:lang w:val="en-GB"/>
        </w:rPr>
        <w:t xml:space="preserve"> in the community emboldened by the </w:t>
      </w:r>
      <w:r w:rsidR="004373C8" w:rsidRPr="00A307C6">
        <w:rPr>
          <w:lang w:val="en-GB"/>
        </w:rPr>
        <w:t xml:space="preserve">prevailing </w:t>
      </w:r>
      <w:r w:rsidRPr="00A307C6">
        <w:rPr>
          <w:lang w:val="en-GB"/>
        </w:rPr>
        <w:t>lack of accountability.</w:t>
      </w:r>
      <w:r w:rsidRPr="00A307C6">
        <w:rPr>
          <w:rStyle w:val="FootnoteReference"/>
          <w:lang w:val="en-GB"/>
        </w:rPr>
        <w:footnoteReference w:id="250"/>
      </w:r>
      <w:r w:rsidRPr="00A307C6">
        <w:rPr>
          <w:lang w:val="en-GB"/>
        </w:rPr>
        <w:t xml:space="preserve"> In such situations</w:t>
      </w:r>
      <w:r w:rsidR="004373C8" w:rsidRPr="00A307C6">
        <w:rPr>
          <w:lang w:val="en-GB"/>
        </w:rPr>
        <w:t>,</w:t>
      </w:r>
      <w:r w:rsidRPr="00A307C6">
        <w:rPr>
          <w:lang w:val="en-GB"/>
        </w:rPr>
        <w:t xml:space="preserve"> people are afraid to report to the authorities or even to the </w:t>
      </w:r>
      <w:r w:rsidR="0009290A">
        <w:rPr>
          <w:lang w:val="en-GB"/>
        </w:rPr>
        <w:t xml:space="preserve">United Nations </w:t>
      </w:r>
      <w:r w:rsidRPr="00A307C6">
        <w:rPr>
          <w:lang w:val="en-GB"/>
        </w:rPr>
        <w:t>the crimes committed.</w:t>
      </w:r>
      <w:r w:rsidRPr="00A307C6">
        <w:rPr>
          <w:rStyle w:val="FootnoteReference"/>
          <w:lang w:val="en-GB"/>
        </w:rPr>
        <w:footnoteReference w:id="251"/>
      </w:r>
      <w:r w:rsidRPr="00A307C6">
        <w:rPr>
          <w:lang w:val="en-GB"/>
        </w:rPr>
        <w:t xml:space="preserve"> Even when soldiers have been imprisoned, fear remains.</w:t>
      </w:r>
    </w:p>
    <w:p w14:paraId="62841AF7" w14:textId="467DE99A" w:rsidR="00702233" w:rsidRPr="00A307C6" w:rsidRDefault="00702233" w:rsidP="003E66F7">
      <w:pPr>
        <w:pStyle w:val="Paragraph"/>
        <w:numPr>
          <w:ilvl w:val="0"/>
          <w:numId w:val="0"/>
        </w:numPr>
        <w:ind w:left="1134"/>
        <w:rPr>
          <w:lang w:val="en-GB"/>
        </w:rPr>
      </w:pPr>
      <w:r w:rsidRPr="00A307C6">
        <w:rPr>
          <w:lang w:val="en-GB"/>
        </w:rPr>
        <w:t>“Our only fear is that the soldiers might get released … I am also afraid that if they are not jailed</w:t>
      </w:r>
      <w:r w:rsidR="004373B0">
        <w:rPr>
          <w:lang w:val="en-GB"/>
        </w:rPr>
        <w:t>,</w:t>
      </w:r>
      <w:r w:rsidRPr="00A307C6">
        <w:rPr>
          <w:lang w:val="en-GB"/>
        </w:rPr>
        <w:t xml:space="preserve"> they will stalk us to kill us if we are not protected, especially my husband and children… these people have guns.”</w:t>
      </w:r>
      <w:r w:rsidRPr="00A307C6">
        <w:rPr>
          <w:rStyle w:val="FootnoteReference"/>
          <w:lang w:val="en-GB"/>
        </w:rPr>
        <w:footnoteReference w:id="252"/>
      </w:r>
    </w:p>
    <w:p w14:paraId="010B5797" w14:textId="25A2592B" w:rsidR="00702233" w:rsidRPr="00A307C6" w:rsidRDefault="00702233" w:rsidP="00FF077A">
      <w:pPr>
        <w:pStyle w:val="Paragraph"/>
        <w:rPr>
          <w:lang w:val="en-GB"/>
        </w:rPr>
      </w:pPr>
      <w:r w:rsidRPr="00A307C6">
        <w:rPr>
          <w:lang w:val="en-GB"/>
        </w:rPr>
        <w:t>Victims of crimes perpetrated by members of armed groups also confront security and protection concerns, particularly in conflict contexts. In Tambura for instance, discussed above, many of the members of youth militias who demobilized in 2021 have stayed in the areas where severe violence had taken place, including some residing in or close to communities where victims currently live or would like to return to. And other armed men, soldiers associated with the SSP</w:t>
      </w:r>
      <w:r w:rsidR="00680D7D">
        <w:rPr>
          <w:lang w:val="en-GB"/>
        </w:rPr>
        <w:t>D</w:t>
      </w:r>
      <w:r w:rsidRPr="00A307C6">
        <w:rPr>
          <w:lang w:val="en-GB"/>
        </w:rPr>
        <w:t>F or SPLM/A-IO, have moved to cantonments or training centres pending possible redeployment to the same areas in which many recently perpetrated a range of human rights violations. So, in this context, reporting of any crimes by victims carries serious risk, and the Commission has noted that police are not conducting investigations</w:t>
      </w:r>
      <w:r w:rsidR="00AD6E63" w:rsidRPr="00A307C6">
        <w:rPr>
          <w:lang w:val="en-GB"/>
        </w:rPr>
        <w:t>, not least because of the risks involved</w:t>
      </w:r>
      <w:r w:rsidR="00680D7D">
        <w:rPr>
          <w:lang w:val="en-GB"/>
        </w:rPr>
        <w:t xml:space="preserve"> to them also</w:t>
      </w:r>
      <w:r w:rsidRPr="00A307C6">
        <w:rPr>
          <w:lang w:val="en-GB"/>
        </w:rPr>
        <w:t>.</w:t>
      </w:r>
    </w:p>
    <w:p w14:paraId="2B2BF7E0" w14:textId="77777777" w:rsidR="00702233" w:rsidRPr="00A307C6" w:rsidRDefault="00702233" w:rsidP="003E66F7">
      <w:pPr>
        <w:pStyle w:val="Paragraph"/>
        <w:numPr>
          <w:ilvl w:val="0"/>
          <w:numId w:val="0"/>
        </w:numPr>
        <w:ind w:left="1134"/>
        <w:rPr>
          <w:lang w:val="en-GB"/>
        </w:rPr>
      </w:pPr>
      <w:r w:rsidRPr="00A307C6">
        <w:rPr>
          <w:lang w:val="en-GB"/>
        </w:rPr>
        <w:t>“These boys have witnessed many atrocities, committed atrocities, and you released them to the community without any counselling. Many of these boys have killed people, have slaughtered, have abducted, have raped, and (it) all ends up with them going back to the communities or the training centre.”</w:t>
      </w:r>
      <w:r w:rsidRPr="00A307C6">
        <w:rPr>
          <w:rStyle w:val="FootnoteReference"/>
          <w:lang w:val="en-GB"/>
        </w:rPr>
        <w:footnoteReference w:id="253"/>
      </w:r>
    </w:p>
    <w:p w14:paraId="50D112CF" w14:textId="5145E776" w:rsidR="00702233" w:rsidRPr="00A307C6" w:rsidRDefault="00702233" w:rsidP="00A540E4">
      <w:pPr>
        <w:pStyle w:val="Paragraph"/>
        <w:rPr>
          <w:lang w:val="en-GB"/>
        </w:rPr>
      </w:pPr>
      <w:r w:rsidRPr="00A307C6">
        <w:rPr>
          <w:lang w:val="en-GB"/>
        </w:rPr>
        <w:lastRenderedPageBreak/>
        <w:t xml:space="preserve">Shame and stigma </w:t>
      </w:r>
      <w:r w:rsidR="00A540E4">
        <w:rPr>
          <w:lang w:val="en-GB"/>
        </w:rPr>
        <w:t xml:space="preserve">attached to </w:t>
      </w:r>
      <w:r w:rsidRPr="00A307C6">
        <w:rPr>
          <w:lang w:val="en-GB"/>
        </w:rPr>
        <w:t xml:space="preserve">rape can affect </w:t>
      </w:r>
      <w:r w:rsidR="00A540E4">
        <w:rPr>
          <w:lang w:val="en-GB"/>
        </w:rPr>
        <w:t xml:space="preserve">the </w:t>
      </w:r>
      <w:r w:rsidRPr="00A307C6">
        <w:rPr>
          <w:lang w:val="en-GB"/>
        </w:rPr>
        <w:t>lived experiences and future life opportunities for women who are victims</w:t>
      </w:r>
      <w:r w:rsidR="00A540E4">
        <w:rPr>
          <w:lang w:val="en-GB"/>
        </w:rPr>
        <w:t xml:space="preserve"> of it and other forms of sexual violence</w:t>
      </w:r>
      <w:r w:rsidRPr="00A307C6">
        <w:rPr>
          <w:lang w:val="en-GB"/>
        </w:rPr>
        <w:t>. Reporting may affect their marriage and child-bearing and livelihood opportunities, and they may also face pressure from family members concerned that transparency could affect the family’s wellbeing for adversely impacting on the dowry potential. The fear of being disconnected from one’s existing and potential social and family network also keep</w:t>
      </w:r>
      <w:r w:rsidR="00AD6E63" w:rsidRPr="00A307C6">
        <w:rPr>
          <w:lang w:val="en-GB"/>
        </w:rPr>
        <w:t>s</w:t>
      </w:r>
      <w:r w:rsidRPr="00A307C6">
        <w:rPr>
          <w:lang w:val="en-GB"/>
        </w:rPr>
        <w:t xml:space="preserve"> survivors and victims from reporting or coming forward with their experiences. </w:t>
      </w:r>
    </w:p>
    <w:p w14:paraId="7FCB6AA5" w14:textId="77777777" w:rsidR="00702233" w:rsidRPr="00A307C6" w:rsidRDefault="00702233" w:rsidP="003E66F7">
      <w:pPr>
        <w:pStyle w:val="Paragraph"/>
        <w:numPr>
          <w:ilvl w:val="0"/>
          <w:numId w:val="0"/>
        </w:numPr>
        <w:ind w:left="1134"/>
        <w:rPr>
          <w:lang w:val="en-GB"/>
        </w:rPr>
      </w:pPr>
      <w:r w:rsidRPr="00A307C6">
        <w:rPr>
          <w:lang w:val="en-GB"/>
        </w:rPr>
        <w:t>“I did not want people to know what happened to me, because I was ashamed.”</w:t>
      </w:r>
      <w:r w:rsidRPr="00A307C6">
        <w:rPr>
          <w:rStyle w:val="FootnoteReference"/>
          <w:lang w:val="en-GB"/>
        </w:rPr>
        <w:footnoteReference w:id="254"/>
      </w:r>
    </w:p>
    <w:p w14:paraId="39C74390" w14:textId="77777777" w:rsidR="00702233" w:rsidRPr="00A307C6" w:rsidRDefault="00702233" w:rsidP="003E66F7">
      <w:pPr>
        <w:pStyle w:val="Paragraph"/>
        <w:numPr>
          <w:ilvl w:val="0"/>
          <w:numId w:val="0"/>
        </w:numPr>
        <w:ind w:left="1134"/>
        <w:rPr>
          <w:lang w:val="en-GB"/>
        </w:rPr>
      </w:pPr>
      <w:r w:rsidRPr="00A307C6">
        <w:rPr>
          <w:lang w:val="en-GB"/>
        </w:rPr>
        <w:t>“I never reported the case to any authorities out of fear, and I did not want people to know what happened to me, because I was ashamed.”</w:t>
      </w:r>
      <w:r w:rsidRPr="00A307C6">
        <w:rPr>
          <w:rStyle w:val="FootnoteReference"/>
          <w:lang w:val="en-GB"/>
        </w:rPr>
        <w:footnoteReference w:id="255"/>
      </w:r>
    </w:p>
    <w:p w14:paraId="2C77BC76" w14:textId="77777777" w:rsidR="00702233" w:rsidRPr="00A307C6" w:rsidRDefault="00702233" w:rsidP="003E66F7">
      <w:pPr>
        <w:pStyle w:val="Paragraph"/>
        <w:numPr>
          <w:ilvl w:val="0"/>
          <w:numId w:val="0"/>
        </w:numPr>
        <w:ind w:left="1134"/>
        <w:rPr>
          <w:lang w:val="en-GB"/>
        </w:rPr>
      </w:pPr>
      <w:r w:rsidRPr="00A307C6">
        <w:rPr>
          <w:lang w:val="en-GB"/>
        </w:rPr>
        <w:t>“Women who are raped do not want to report also because of fear of stigma, and fear of losing their husbands. Some people do not report because they fear the way the community will treat them. In our community, a woman who is raped is regarded as someone who is damaged.  It is not easy to report a rape case.  So, if the cases are here within our community… I have not heard about them.”</w:t>
      </w:r>
      <w:r w:rsidRPr="00A307C6">
        <w:rPr>
          <w:rStyle w:val="FootnoteReference"/>
          <w:lang w:val="en-GB"/>
        </w:rPr>
        <w:footnoteReference w:id="256"/>
      </w:r>
    </w:p>
    <w:p w14:paraId="0885C9D8" w14:textId="77777777" w:rsidR="00702233" w:rsidRPr="00A307C6" w:rsidRDefault="00702233" w:rsidP="003E66F7">
      <w:pPr>
        <w:pStyle w:val="Paragraph"/>
        <w:numPr>
          <w:ilvl w:val="0"/>
          <w:numId w:val="0"/>
        </w:numPr>
        <w:ind w:left="1134"/>
        <w:rPr>
          <w:lang w:val="en-GB"/>
        </w:rPr>
      </w:pPr>
      <w:r w:rsidRPr="00A307C6">
        <w:rPr>
          <w:lang w:val="en-GB"/>
        </w:rPr>
        <w:t xml:space="preserve"> “Many victims of rape are suffering in silence and do not report what has happened to them.  Some people do not report because they fear that the community will look down on them, others fear how they might be treated by family members, especially husbands their husbands, and the young girls fear that they might not get married.”</w:t>
      </w:r>
      <w:r w:rsidRPr="00A307C6">
        <w:rPr>
          <w:rStyle w:val="FootnoteReference"/>
          <w:lang w:val="en-GB"/>
        </w:rPr>
        <w:footnoteReference w:id="257"/>
      </w:r>
    </w:p>
    <w:p w14:paraId="0F9D282E" w14:textId="09A8BE35" w:rsidR="00702233" w:rsidRPr="00A307C6" w:rsidRDefault="00702233" w:rsidP="00FF077A">
      <w:pPr>
        <w:pStyle w:val="Paragraph"/>
        <w:rPr>
          <w:lang w:val="en-GB"/>
        </w:rPr>
      </w:pPr>
      <w:r w:rsidRPr="00A307C6">
        <w:rPr>
          <w:lang w:val="en-GB"/>
        </w:rPr>
        <w:t xml:space="preserve">For </w:t>
      </w:r>
      <w:r w:rsidR="00A540E4">
        <w:rPr>
          <w:lang w:val="en-GB"/>
        </w:rPr>
        <w:t>South Sudanese</w:t>
      </w:r>
      <w:r w:rsidRPr="00A307C6">
        <w:rPr>
          <w:lang w:val="en-GB"/>
        </w:rPr>
        <w:t xml:space="preserve"> in refugee situations, there are even fewer avenues to pursue prosecution or redress or other forms of justice, if any. </w:t>
      </w:r>
      <w:r w:rsidR="00A540E4">
        <w:rPr>
          <w:lang w:val="en-GB"/>
        </w:rPr>
        <w:t xml:space="preserve">For this </w:t>
      </w:r>
      <w:r w:rsidRPr="00A307C6">
        <w:rPr>
          <w:lang w:val="en-GB"/>
        </w:rPr>
        <w:t>reason</w:t>
      </w:r>
      <w:r w:rsidR="00A540E4">
        <w:rPr>
          <w:lang w:val="en-GB"/>
        </w:rPr>
        <w:t>,</w:t>
      </w:r>
      <w:r w:rsidRPr="00A307C6">
        <w:rPr>
          <w:lang w:val="en-GB"/>
        </w:rPr>
        <w:t xml:space="preserve"> </w:t>
      </w:r>
      <w:r w:rsidR="00A540E4">
        <w:rPr>
          <w:lang w:val="en-GB"/>
        </w:rPr>
        <w:t xml:space="preserve">it is essential in the design and </w:t>
      </w:r>
      <w:r w:rsidRPr="00A307C6">
        <w:rPr>
          <w:lang w:val="en-GB"/>
        </w:rPr>
        <w:t xml:space="preserve">establishment of transitional justice processes </w:t>
      </w:r>
      <w:r w:rsidR="00A540E4">
        <w:rPr>
          <w:lang w:val="en-GB"/>
        </w:rPr>
        <w:t xml:space="preserve">to </w:t>
      </w:r>
      <w:r w:rsidRPr="00A307C6">
        <w:rPr>
          <w:lang w:val="en-GB"/>
        </w:rPr>
        <w:t>include outreach to</w:t>
      </w:r>
      <w:r w:rsidR="00AD6E63" w:rsidRPr="00A307C6">
        <w:rPr>
          <w:lang w:val="en-GB"/>
        </w:rPr>
        <w:t>,</w:t>
      </w:r>
      <w:r w:rsidRPr="00A307C6">
        <w:rPr>
          <w:lang w:val="en-GB"/>
        </w:rPr>
        <w:t xml:space="preserve"> and substantive engagement with</w:t>
      </w:r>
      <w:r w:rsidR="00AD6E63" w:rsidRPr="00A307C6">
        <w:rPr>
          <w:lang w:val="en-GB"/>
        </w:rPr>
        <w:t>,</w:t>
      </w:r>
      <w:r w:rsidRPr="00A307C6">
        <w:rPr>
          <w:lang w:val="en-GB"/>
        </w:rPr>
        <w:t xml:space="preserve"> refugee populations </w:t>
      </w:r>
      <w:r w:rsidR="00AD6E63" w:rsidRPr="00A307C6">
        <w:rPr>
          <w:lang w:val="en-GB"/>
        </w:rPr>
        <w:t xml:space="preserve">in order that </w:t>
      </w:r>
      <w:r w:rsidRPr="00A307C6">
        <w:rPr>
          <w:lang w:val="en-GB"/>
        </w:rPr>
        <w:t>they can participate in justice processes</w:t>
      </w:r>
      <w:r w:rsidR="00AD6E63" w:rsidRPr="00A307C6">
        <w:rPr>
          <w:lang w:val="en-GB"/>
        </w:rPr>
        <w:t>,</w:t>
      </w:r>
      <w:r w:rsidRPr="00A307C6">
        <w:rPr>
          <w:lang w:val="en-GB"/>
        </w:rPr>
        <w:t xml:space="preserve"> </w:t>
      </w:r>
      <w:r w:rsidR="00A540E4">
        <w:rPr>
          <w:lang w:val="en-GB"/>
        </w:rPr>
        <w:t>particularly</w:t>
      </w:r>
      <w:r w:rsidRPr="00A307C6">
        <w:rPr>
          <w:lang w:val="en-GB"/>
        </w:rPr>
        <w:t xml:space="preserve"> truth-telling initiatives and reparations schemes.</w:t>
      </w:r>
    </w:p>
    <w:p w14:paraId="1B1B35D8" w14:textId="74A027F8" w:rsidR="00702233" w:rsidRPr="00A307C6" w:rsidRDefault="00702233" w:rsidP="00B8644C">
      <w:pPr>
        <w:pStyle w:val="HChG"/>
        <w:numPr>
          <w:ilvl w:val="0"/>
          <w:numId w:val="11"/>
        </w:numPr>
        <w:outlineLvl w:val="0"/>
      </w:pPr>
      <w:bookmarkStart w:id="86" w:name="_Toc98226834"/>
      <w:bookmarkStart w:id="87" w:name="_Toc98606475"/>
      <w:r w:rsidRPr="00A307C6">
        <w:lastRenderedPageBreak/>
        <w:t>Transitional justice</w:t>
      </w:r>
      <w:bookmarkEnd w:id="86"/>
      <w:bookmarkEnd w:id="87"/>
    </w:p>
    <w:p w14:paraId="1AD3F328" w14:textId="4723B01D" w:rsidR="00C15783" w:rsidRPr="00A307C6" w:rsidRDefault="00EA0AB9" w:rsidP="00FF077A">
      <w:pPr>
        <w:pStyle w:val="Paragraph"/>
        <w:rPr>
          <w:lang w:val="en-GB"/>
        </w:rPr>
      </w:pPr>
      <w:r w:rsidRPr="00A307C6">
        <w:rPr>
          <w:lang w:val="en-GB"/>
        </w:rPr>
        <w:t xml:space="preserve">The implementation of </w:t>
      </w:r>
      <w:r w:rsidR="00C15783" w:rsidRPr="00A307C6">
        <w:rPr>
          <w:lang w:val="en-GB"/>
        </w:rPr>
        <w:t>Chapter V of</w:t>
      </w:r>
      <w:r w:rsidRPr="00A307C6">
        <w:rPr>
          <w:lang w:val="en-GB"/>
        </w:rPr>
        <w:t xml:space="preserve"> </w:t>
      </w:r>
      <w:r w:rsidR="00702233" w:rsidRPr="00A307C6">
        <w:rPr>
          <w:lang w:val="en-GB"/>
        </w:rPr>
        <w:t xml:space="preserve">the 2018 Revitalized Peace Agreement </w:t>
      </w:r>
      <w:r w:rsidR="00C15783" w:rsidRPr="00A307C6">
        <w:rPr>
          <w:lang w:val="en-GB"/>
        </w:rPr>
        <w:t xml:space="preserve">has been a consistent demand by </w:t>
      </w:r>
      <w:r w:rsidR="00702233" w:rsidRPr="00A307C6">
        <w:rPr>
          <w:lang w:val="en-GB"/>
        </w:rPr>
        <w:t xml:space="preserve">South Sudanese </w:t>
      </w:r>
      <w:r w:rsidR="00C15783" w:rsidRPr="00A307C6">
        <w:rPr>
          <w:lang w:val="en-GB"/>
        </w:rPr>
        <w:t xml:space="preserve">civil society, victims and </w:t>
      </w:r>
      <w:r w:rsidR="00CF6B15" w:rsidRPr="00A307C6">
        <w:rPr>
          <w:lang w:val="en-GB"/>
        </w:rPr>
        <w:t>survivor</w:t>
      </w:r>
      <w:r w:rsidR="00C15783" w:rsidRPr="00A307C6">
        <w:rPr>
          <w:lang w:val="en-GB"/>
        </w:rPr>
        <w:t xml:space="preserve"> support groups as well </w:t>
      </w:r>
      <w:r w:rsidR="004373C8" w:rsidRPr="00A307C6">
        <w:rPr>
          <w:lang w:val="en-GB"/>
        </w:rPr>
        <w:t>as</w:t>
      </w:r>
      <w:r w:rsidR="00C15783" w:rsidRPr="00A307C6">
        <w:rPr>
          <w:lang w:val="en-GB"/>
        </w:rPr>
        <w:t xml:space="preserve"> </w:t>
      </w:r>
      <w:r w:rsidRPr="00A307C6">
        <w:rPr>
          <w:lang w:val="en-GB"/>
        </w:rPr>
        <w:t xml:space="preserve">human rights </w:t>
      </w:r>
      <w:r w:rsidR="00C15783" w:rsidRPr="00A307C6">
        <w:rPr>
          <w:lang w:val="en-GB"/>
        </w:rPr>
        <w:t xml:space="preserve">defenders over </w:t>
      </w:r>
      <w:r w:rsidRPr="00A307C6">
        <w:rPr>
          <w:lang w:val="en-GB"/>
        </w:rPr>
        <w:t>the last five years</w:t>
      </w:r>
      <w:r w:rsidR="00702233" w:rsidRPr="00A307C6">
        <w:rPr>
          <w:lang w:val="en-GB"/>
        </w:rPr>
        <w:t xml:space="preserve">, </w:t>
      </w:r>
      <w:r w:rsidRPr="00A307C6">
        <w:rPr>
          <w:lang w:val="en-GB"/>
        </w:rPr>
        <w:t xml:space="preserve">so as </w:t>
      </w:r>
      <w:r w:rsidR="00702233" w:rsidRPr="00A307C6">
        <w:rPr>
          <w:lang w:val="en-GB"/>
        </w:rPr>
        <w:t>to address the legac</w:t>
      </w:r>
      <w:r w:rsidR="00C15783" w:rsidRPr="00A307C6">
        <w:rPr>
          <w:lang w:val="en-GB"/>
        </w:rPr>
        <w:t>y</w:t>
      </w:r>
      <w:r w:rsidR="00CF6B15" w:rsidRPr="00A307C6">
        <w:rPr>
          <w:lang w:val="en-GB"/>
        </w:rPr>
        <w:t xml:space="preserve"> </w:t>
      </w:r>
      <w:r w:rsidR="00702233" w:rsidRPr="00A307C6">
        <w:rPr>
          <w:lang w:val="en-GB"/>
        </w:rPr>
        <w:t>and persistence of conflict-related sexual violence against women and girls in South Sudan.</w:t>
      </w:r>
      <w:r w:rsidR="00717179" w:rsidRPr="00A307C6">
        <w:rPr>
          <w:rStyle w:val="FootnoteReference"/>
          <w:lang w:val="en-GB"/>
        </w:rPr>
        <w:footnoteReference w:id="258"/>
      </w:r>
    </w:p>
    <w:p w14:paraId="3F5CB4AC" w14:textId="53E63F3B" w:rsidR="00CF6B15" w:rsidRPr="00A307C6" w:rsidRDefault="00C15783" w:rsidP="00CF6B15">
      <w:pPr>
        <w:pStyle w:val="Paragraph"/>
        <w:rPr>
          <w:lang w:val="en-GB"/>
        </w:rPr>
      </w:pPr>
      <w:r w:rsidRPr="00A307C6">
        <w:rPr>
          <w:lang w:val="en-GB"/>
        </w:rPr>
        <w:t xml:space="preserve">Chapter </w:t>
      </w:r>
      <w:r w:rsidR="004373C8" w:rsidRPr="00A307C6">
        <w:rPr>
          <w:lang w:val="en-GB"/>
        </w:rPr>
        <w:t>V</w:t>
      </w:r>
      <w:r w:rsidRPr="00A307C6">
        <w:rPr>
          <w:lang w:val="en-GB"/>
        </w:rPr>
        <w:t xml:space="preserve"> of the Revitalized Agreement provides a comprehensive and holistic framework for transitional justice, including the establishment of: </w:t>
      </w:r>
      <w:proofErr w:type="gramStart"/>
      <w:r w:rsidRPr="00A307C6">
        <w:rPr>
          <w:lang w:val="en-GB"/>
        </w:rPr>
        <w:t>the</w:t>
      </w:r>
      <w:proofErr w:type="gramEnd"/>
      <w:r w:rsidRPr="00A307C6">
        <w:rPr>
          <w:lang w:val="en-GB"/>
        </w:rPr>
        <w:t xml:space="preserve"> Commission for Truth, Reconciliation and Healing; the Hybrid Court for South Sudan; and the Compensation and Reparation Authority a</w:t>
      </w:r>
      <w:r w:rsidR="00D214F0">
        <w:rPr>
          <w:lang w:val="en-GB"/>
        </w:rPr>
        <w:t xml:space="preserve">s well as the </w:t>
      </w:r>
      <w:r w:rsidRPr="00A307C6">
        <w:rPr>
          <w:lang w:val="en-GB"/>
        </w:rPr>
        <w:t xml:space="preserve">associated fund. These transitional justice measures are designed to address </w:t>
      </w:r>
      <w:r w:rsidR="00D214F0">
        <w:rPr>
          <w:lang w:val="en-GB"/>
        </w:rPr>
        <w:t xml:space="preserve">truth </w:t>
      </w:r>
      <w:r w:rsidRPr="00A307C6">
        <w:rPr>
          <w:lang w:val="en-GB"/>
        </w:rPr>
        <w:t>accountability and the legacies of historical injustice and widespread human rights violations and abuses committed in the context of conflict in South Sudan</w:t>
      </w:r>
      <w:r w:rsidR="00D214F0">
        <w:rPr>
          <w:lang w:val="en-GB"/>
        </w:rPr>
        <w:t xml:space="preserve"> and </w:t>
      </w:r>
      <w:r w:rsidRPr="00A307C6">
        <w:rPr>
          <w:lang w:val="en-GB"/>
        </w:rPr>
        <w:t>complementary and mutually re-enforcing</w:t>
      </w:r>
      <w:r w:rsidR="00D214F0">
        <w:rPr>
          <w:lang w:val="en-GB"/>
        </w:rPr>
        <w:t xml:space="preserve"> in building sustainable peace</w:t>
      </w:r>
      <w:r w:rsidRPr="00A307C6">
        <w:rPr>
          <w:lang w:val="en-GB"/>
        </w:rPr>
        <w:t xml:space="preserve">. The Commission has consistently emphasized the need for the Government to accelerate the establishment of each institution and </w:t>
      </w:r>
      <w:r w:rsidR="00DD617D" w:rsidRPr="00A307C6">
        <w:rPr>
          <w:lang w:val="en-GB"/>
        </w:rPr>
        <w:t xml:space="preserve">to </w:t>
      </w:r>
      <w:r w:rsidRPr="00A307C6">
        <w:rPr>
          <w:lang w:val="en-GB"/>
        </w:rPr>
        <w:t xml:space="preserve">do so concurrently, including by initiating the legislative process with the African Union to establish the </w:t>
      </w:r>
      <w:r w:rsidR="00DD617D" w:rsidRPr="00A307C6">
        <w:rPr>
          <w:lang w:val="en-GB"/>
        </w:rPr>
        <w:t>C</w:t>
      </w:r>
      <w:r w:rsidRPr="00A307C6">
        <w:rPr>
          <w:lang w:val="en-GB"/>
        </w:rPr>
        <w:t>ourt and to ensure the establishment of the two other mechanism</w:t>
      </w:r>
      <w:r w:rsidR="00DD617D" w:rsidRPr="00A307C6">
        <w:rPr>
          <w:lang w:val="en-GB"/>
        </w:rPr>
        <w:t>s</w:t>
      </w:r>
      <w:r w:rsidRPr="00A307C6">
        <w:rPr>
          <w:lang w:val="en-GB"/>
        </w:rPr>
        <w:t xml:space="preserve"> by providing the necessary resources and carrying out inclusive consultation processes on the Chapter V</w:t>
      </w:r>
      <w:r w:rsidR="00CF6B15" w:rsidRPr="00A307C6">
        <w:rPr>
          <w:lang w:val="en-GB"/>
        </w:rPr>
        <w:t xml:space="preserve"> mechanisms.</w:t>
      </w:r>
      <w:r w:rsidR="00CF6B15" w:rsidRPr="00A307C6">
        <w:rPr>
          <w:rStyle w:val="FootnoteReference"/>
          <w:lang w:val="en-GB"/>
        </w:rPr>
        <w:footnoteReference w:id="259"/>
      </w:r>
      <w:r w:rsidR="00CF6B15" w:rsidRPr="00A307C6">
        <w:rPr>
          <w:lang w:val="en-GB"/>
        </w:rPr>
        <w:t xml:space="preserve"> The implementation of these measures is significantly delayed, and requires acceleration.</w:t>
      </w:r>
    </w:p>
    <w:p w14:paraId="0F90E74A" w14:textId="5D411E05" w:rsidR="00702233" w:rsidRDefault="00702233" w:rsidP="00FF077A">
      <w:pPr>
        <w:pStyle w:val="Paragraph"/>
        <w:rPr>
          <w:lang w:val="en-GB"/>
        </w:rPr>
      </w:pPr>
      <w:r w:rsidRPr="00A307C6">
        <w:rPr>
          <w:lang w:val="en-GB"/>
        </w:rPr>
        <w:t xml:space="preserve">The </w:t>
      </w:r>
      <w:r w:rsidR="009A6113" w:rsidRPr="00A307C6">
        <w:rPr>
          <w:lang w:val="en-GB"/>
        </w:rPr>
        <w:t xml:space="preserve">implementation of the </w:t>
      </w:r>
      <w:r w:rsidRPr="00A307C6">
        <w:rPr>
          <w:lang w:val="en-GB"/>
        </w:rPr>
        <w:t>transitional justice measures</w:t>
      </w:r>
      <w:r w:rsidR="00DD617D" w:rsidRPr="00A307C6">
        <w:rPr>
          <w:lang w:val="en-GB"/>
        </w:rPr>
        <w:t>,</w:t>
      </w:r>
      <w:r w:rsidRPr="00A307C6">
        <w:rPr>
          <w:lang w:val="en-GB"/>
        </w:rPr>
        <w:t xml:space="preserve"> </w:t>
      </w:r>
      <w:r w:rsidR="009A6113" w:rsidRPr="00A307C6">
        <w:rPr>
          <w:lang w:val="en-GB"/>
        </w:rPr>
        <w:t xml:space="preserve">set out </w:t>
      </w:r>
      <w:r w:rsidRPr="00A307C6">
        <w:rPr>
          <w:lang w:val="en-GB"/>
        </w:rPr>
        <w:t xml:space="preserve">under </w:t>
      </w:r>
      <w:r w:rsidR="004373C8" w:rsidRPr="00A307C6">
        <w:rPr>
          <w:lang w:val="en-GB"/>
        </w:rPr>
        <w:t>C</w:t>
      </w:r>
      <w:r w:rsidRPr="00A307C6">
        <w:rPr>
          <w:lang w:val="en-GB"/>
        </w:rPr>
        <w:t xml:space="preserve">hapter </w:t>
      </w:r>
      <w:r w:rsidR="004373C8" w:rsidRPr="00A307C6">
        <w:rPr>
          <w:lang w:val="en-GB"/>
        </w:rPr>
        <w:t>V</w:t>
      </w:r>
      <w:r w:rsidRPr="00A307C6">
        <w:rPr>
          <w:lang w:val="en-GB"/>
        </w:rPr>
        <w:t xml:space="preserve">, </w:t>
      </w:r>
      <w:r w:rsidR="009A6113" w:rsidRPr="00A307C6">
        <w:rPr>
          <w:lang w:val="en-GB"/>
        </w:rPr>
        <w:t xml:space="preserve">provides the Government of South Sudan and civil society with the </w:t>
      </w:r>
      <w:r w:rsidRPr="00A307C6">
        <w:rPr>
          <w:lang w:val="en-GB"/>
        </w:rPr>
        <w:t>opportunit</w:t>
      </w:r>
      <w:r w:rsidR="009A6113" w:rsidRPr="00A307C6">
        <w:rPr>
          <w:lang w:val="en-GB"/>
        </w:rPr>
        <w:t xml:space="preserve">y for national </w:t>
      </w:r>
      <w:r w:rsidR="00AC1F52" w:rsidRPr="00A307C6">
        <w:rPr>
          <w:lang w:val="en-GB"/>
        </w:rPr>
        <w:t>consultations</w:t>
      </w:r>
      <w:r w:rsidR="009A6113" w:rsidRPr="00A307C6">
        <w:rPr>
          <w:lang w:val="en-GB"/>
        </w:rPr>
        <w:t xml:space="preserve"> that are participatory and inclusive in regard to the design of these mechanisms, timelines and operationalization. It is also an opportunity for the </w:t>
      </w:r>
      <w:r w:rsidRPr="00A307C6">
        <w:rPr>
          <w:lang w:val="en-GB"/>
        </w:rPr>
        <w:t>United Nations</w:t>
      </w:r>
      <w:r w:rsidR="00D214F0">
        <w:rPr>
          <w:lang w:val="en-GB"/>
        </w:rPr>
        <w:t xml:space="preserve">, the </w:t>
      </w:r>
      <w:r w:rsidRPr="00A307C6">
        <w:rPr>
          <w:lang w:val="en-GB"/>
        </w:rPr>
        <w:t xml:space="preserve">African Union </w:t>
      </w:r>
      <w:r w:rsidR="00D214F0">
        <w:rPr>
          <w:lang w:val="en-GB"/>
        </w:rPr>
        <w:t xml:space="preserve">and the international community </w:t>
      </w:r>
      <w:r w:rsidRPr="00A307C6">
        <w:rPr>
          <w:lang w:val="en-GB"/>
        </w:rPr>
        <w:t xml:space="preserve">to </w:t>
      </w:r>
      <w:r w:rsidRPr="00A307C6">
        <w:rPr>
          <w:lang w:val="en-GB"/>
        </w:rPr>
        <w:lastRenderedPageBreak/>
        <w:t>take meaningful steps toward addressing the legac</w:t>
      </w:r>
      <w:r w:rsidR="009A6113" w:rsidRPr="00A307C6">
        <w:rPr>
          <w:lang w:val="en-GB"/>
        </w:rPr>
        <w:t>y</w:t>
      </w:r>
      <w:r w:rsidRPr="00A307C6">
        <w:rPr>
          <w:lang w:val="en-GB"/>
        </w:rPr>
        <w:t xml:space="preserve"> and drivers of conflict-related sexual violence in the country. </w:t>
      </w:r>
    </w:p>
    <w:p w14:paraId="262991DD" w14:textId="1C8563CE" w:rsidR="0032275C" w:rsidRPr="004C6C03" w:rsidRDefault="0032275C" w:rsidP="004C6C03">
      <w:pPr>
        <w:pStyle w:val="Paragraph"/>
      </w:pPr>
      <w:r w:rsidRPr="0032275C">
        <w:t>The United Nations and African Union have over the last two decades extensively documented best practices and lessons learnt in addressing sexual and gender-based violence including conflict-related sexual violence. The Government of South Sudan, can benefit from technical support</w:t>
      </w:r>
      <w:r w:rsidR="004C6C03">
        <w:t xml:space="preserve"> the UN and AU</w:t>
      </w:r>
      <w:r w:rsidRPr="0032275C">
        <w:t xml:space="preserve">, which includes accessing regional and global best </w:t>
      </w:r>
      <w:r w:rsidR="00AD0B6B" w:rsidRPr="0032275C">
        <w:t>practices</w:t>
      </w:r>
      <w:r w:rsidRPr="0032275C">
        <w:t>. Technical support however, must be matched and conditional upon the Government of South Sudan demonstrating genuine political will to tackle conflict-related sexual violence. That includes making more substantive and timely progress on implementing Chapter V and establishing the transitional justice mechanisms prescribed by the Agreement. Without political will, the efficacy of technical support remains limited, and in any case is best accompanied by setting benchmarks which are timebound, and the ongoing monitoring of progress and challenges</w:t>
      </w:r>
      <w:r w:rsidR="00AD0B6B">
        <w:t>,</w:t>
      </w:r>
      <w:r w:rsidRPr="0032275C">
        <w:t xml:space="preserve"> so support can be duly directed.</w:t>
      </w:r>
    </w:p>
    <w:p w14:paraId="4505C744" w14:textId="4BEE1A13" w:rsidR="00702233" w:rsidRPr="00A307C6" w:rsidRDefault="009B54FF" w:rsidP="00FF077A">
      <w:pPr>
        <w:pStyle w:val="Paragraph"/>
        <w:rPr>
          <w:lang w:val="en-GB"/>
        </w:rPr>
      </w:pPr>
      <w:r w:rsidRPr="00A307C6">
        <w:rPr>
          <w:lang w:val="en-GB"/>
        </w:rPr>
        <w:t>Political will</w:t>
      </w:r>
      <w:r w:rsidR="004A210C" w:rsidRPr="00A307C6">
        <w:rPr>
          <w:lang w:val="en-GB"/>
        </w:rPr>
        <w:t xml:space="preserve"> to implement the Agreement needs to be reflected in relation to C</w:t>
      </w:r>
      <w:r w:rsidR="00702233" w:rsidRPr="00A307C6">
        <w:rPr>
          <w:lang w:val="en-GB"/>
        </w:rPr>
        <w:t xml:space="preserve">hapter </w:t>
      </w:r>
      <w:r w:rsidR="004A210C" w:rsidRPr="00A307C6">
        <w:rPr>
          <w:lang w:val="en-GB"/>
        </w:rPr>
        <w:t>II</w:t>
      </w:r>
      <w:r w:rsidR="00702233" w:rsidRPr="00A307C6">
        <w:rPr>
          <w:lang w:val="en-GB"/>
        </w:rPr>
        <w:t xml:space="preserve"> and </w:t>
      </w:r>
      <w:r w:rsidR="004A210C" w:rsidRPr="00A307C6">
        <w:rPr>
          <w:lang w:val="en-GB"/>
        </w:rPr>
        <w:t>C</w:t>
      </w:r>
      <w:r w:rsidR="00702233" w:rsidRPr="00A307C6">
        <w:rPr>
          <w:lang w:val="en-GB"/>
        </w:rPr>
        <w:t xml:space="preserve">hapter </w:t>
      </w:r>
      <w:r w:rsidR="004A210C" w:rsidRPr="00A307C6">
        <w:rPr>
          <w:lang w:val="en-GB"/>
        </w:rPr>
        <w:t>IV</w:t>
      </w:r>
      <w:r w:rsidR="00702233" w:rsidRPr="00A307C6">
        <w:rPr>
          <w:lang w:val="en-GB"/>
        </w:rPr>
        <w:t xml:space="preserve"> of the Revitalized Agreement</w:t>
      </w:r>
      <w:r w:rsidRPr="00A307C6">
        <w:rPr>
          <w:lang w:val="en-GB"/>
        </w:rPr>
        <w:t xml:space="preserve">, </w:t>
      </w:r>
      <w:r w:rsidR="004A210C" w:rsidRPr="00A307C6">
        <w:rPr>
          <w:lang w:val="en-GB"/>
        </w:rPr>
        <w:t xml:space="preserve">which relate to security arrangements, and resources and economic management respectively. In this regard, </w:t>
      </w:r>
      <w:r w:rsidRPr="00A307C6">
        <w:rPr>
          <w:lang w:val="en-GB"/>
        </w:rPr>
        <w:t xml:space="preserve">the unification of </w:t>
      </w:r>
      <w:r w:rsidR="00702233" w:rsidRPr="00A307C6">
        <w:rPr>
          <w:lang w:val="en-GB"/>
        </w:rPr>
        <w:t xml:space="preserve">forces </w:t>
      </w:r>
      <w:r w:rsidRPr="00A307C6">
        <w:rPr>
          <w:lang w:val="en-GB"/>
        </w:rPr>
        <w:t xml:space="preserve">and </w:t>
      </w:r>
      <w:r w:rsidR="004A210C" w:rsidRPr="00A307C6">
        <w:rPr>
          <w:lang w:val="en-GB"/>
        </w:rPr>
        <w:t xml:space="preserve">commitments to clarify the </w:t>
      </w:r>
      <w:r w:rsidRPr="00A307C6">
        <w:rPr>
          <w:lang w:val="en-GB"/>
        </w:rPr>
        <w:t>command structure</w:t>
      </w:r>
      <w:r w:rsidR="004A210C" w:rsidRPr="00A307C6">
        <w:rPr>
          <w:lang w:val="en-GB"/>
        </w:rPr>
        <w:t xml:space="preserve"> of the forces </w:t>
      </w:r>
      <w:r w:rsidR="004373B0">
        <w:rPr>
          <w:lang w:val="en-GB"/>
        </w:rPr>
        <w:t>are</w:t>
      </w:r>
      <w:r w:rsidR="00D214F0">
        <w:rPr>
          <w:lang w:val="en-GB"/>
        </w:rPr>
        <w:t xml:space="preserve"> </w:t>
      </w:r>
      <w:r w:rsidR="004A210C" w:rsidRPr="00A307C6">
        <w:rPr>
          <w:lang w:val="en-GB"/>
        </w:rPr>
        <w:t>crucial outstanding obligations. National resources should also be used to provide</w:t>
      </w:r>
      <w:r w:rsidR="00702233" w:rsidRPr="00A307C6">
        <w:rPr>
          <w:lang w:val="en-GB"/>
        </w:rPr>
        <w:t xml:space="preserve"> for the basic needs of soldiers </w:t>
      </w:r>
      <w:r w:rsidR="004A210C" w:rsidRPr="00A307C6">
        <w:rPr>
          <w:lang w:val="en-GB"/>
        </w:rPr>
        <w:t xml:space="preserve">as this </w:t>
      </w:r>
      <w:r w:rsidR="00702233" w:rsidRPr="00A307C6">
        <w:rPr>
          <w:lang w:val="en-GB"/>
        </w:rPr>
        <w:t xml:space="preserve">has great potential to remove some </w:t>
      </w:r>
      <w:r w:rsidRPr="00A307C6">
        <w:rPr>
          <w:lang w:val="en-GB"/>
        </w:rPr>
        <w:t xml:space="preserve">of the </w:t>
      </w:r>
      <w:r w:rsidR="00702233" w:rsidRPr="00A307C6">
        <w:rPr>
          <w:lang w:val="en-GB"/>
        </w:rPr>
        <w:t xml:space="preserve">key drivers and incentives for predatory </w:t>
      </w:r>
      <w:r w:rsidR="004A210C" w:rsidRPr="00A307C6">
        <w:rPr>
          <w:lang w:val="en-GB"/>
        </w:rPr>
        <w:t xml:space="preserve">and violent </w:t>
      </w:r>
      <w:r w:rsidR="00CF6B15" w:rsidRPr="00A307C6">
        <w:rPr>
          <w:lang w:val="en-GB"/>
        </w:rPr>
        <w:t>behavio</w:t>
      </w:r>
      <w:r w:rsidR="004A210C" w:rsidRPr="00A307C6">
        <w:rPr>
          <w:lang w:val="en-GB"/>
        </w:rPr>
        <w:t>u</w:t>
      </w:r>
      <w:r w:rsidR="00CF6B15" w:rsidRPr="00A307C6">
        <w:rPr>
          <w:lang w:val="en-GB"/>
        </w:rPr>
        <w:t>r</w:t>
      </w:r>
      <w:r w:rsidR="00702233" w:rsidRPr="00A307C6">
        <w:rPr>
          <w:lang w:val="en-GB"/>
        </w:rPr>
        <w:t xml:space="preserve"> by soldiers who live in squalid conditions in military camps</w:t>
      </w:r>
      <w:r w:rsidRPr="00A307C6">
        <w:rPr>
          <w:lang w:val="en-GB"/>
        </w:rPr>
        <w:t xml:space="preserve">, </w:t>
      </w:r>
      <w:r w:rsidR="004A210C" w:rsidRPr="00A307C6">
        <w:rPr>
          <w:lang w:val="en-GB"/>
        </w:rPr>
        <w:t>who</w:t>
      </w:r>
      <w:r w:rsidRPr="00A307C6">
        <w:rPr>
          <w:lang w:val="en-GB"/>
        </w:rPr>
        <w:t xml:space="preserve"> target</w:t>
      </w:r>
      <w:r w:rsidR="004A210C" w:rsidRPr="00A307C6">
        <w:rPr>
          <w:lang w:val="en-GB"/>
        </w:rPr>
        <w:t xml:space="preserve"> nearby civilians</w:t>
      </w:r>
      <w:r w:rsidR="00702233" w:rsidRPr="00A307C6">
        <w:rPr>
          <w:lang w:val="en-GB"/>
        </w:rPr>
        <w:t>.</w:t>
      </w:r>
    </w:p>
    <w:p w14:paraId="364E4E33" w14:textId="1104E32A" w:rsidR="00231D10" w:rsidRPr="00A307C6" w:rsidRDefault="00231D10" w:rsidP="00FF077A">
      <w:pPr>
        <w:pStyle w:val="Paragraph"/>
        <w:rPr>
          <w:lang w:val="en-GB"/>
        </w:rPr>
      </w:pPr>
      <w:r w:rsidRPr="00A307C6">
        <w:rPr>
          <w:lang w:val="en-GB"/>
        </w:rPr>
        <w:t>T</w:t>
      </w:r>
      <w:r w:rsidR="00702233" w:rsidRPr="00A307C6">
        <w:rPr>
          <w:lang w:val="en-GB"/>
        </w:rPr>
        <w:t xml:space="preserve">ransitional justice measures </w:t>
      </w:r>
      <w:r w:rsidRPr="00A307C6">
        <w:rPr>
          <w:lang w:val="en-GB"/>
        </w:rPr>
        <w:t xml:space="preserve">must respond to </w:t>
      </w:r>
      <w:r w:rsidR="00702233" w:rsidRPr="00A307C6">
        <w:rPr>
          <w:lang w:val="en-GB"/>
        </w:rPr>
        <w:t xml:space="preserve">the needs of survivors of conflict-related sexual violence who face persistent challenges in addressing </w:t>
      </w:r>
      <w:r w:rsidR="00DD617D" w:rsidRPr="00A307C6">
        <w:rPr>
          <w:lang w:val="en-GB"/>
        </w:rPr>
        <w:t xml:space="preserve">the </w:t>
      </w:r>
      <w:r w:rsidRPr="00A307C6">
        <w:rPr>
          <w:lang w:val="en-GB"/>
        </w:rPr>
        <w:t>violations</w:t>
      </w:r>
      <w:r w:rsidR="00DD617D" w:rsidRPr="00A307C6">
        <w:rPr>
          <w:lang w:val="en-GB"/>
        </w:rPr>
        <w:t xml:space="preserve"> they have suffered and their present </w:t>
      </w:r>
      <w:r w:rsidR="00702233" w:rsidRPr="00A307C6">
        <w:rPr>
          <w:lang w:val="en-GB"/>
        </w:rPr>
        <w:t xml:space="preserve">health </w:t>
      </w:r>
      <w:r w:rsidRPr="00A307C6">
        <w:rPr>
          <w:lang w:val="en-GB"/>
        </w:rPr>
        <w:t xml:space="preserve">and livelihood needs including </w:t>
      </w:r>
      <w:r w:rsidR="00702233" w:rsidRPr="00A307C6">
        <w:rPr>
          <w:lang w:val="en-GB"/>
        </w:rPr>
        <w:t xml:space="preserve">the </w:t>
      </w:r>
      <w:r w:rsidR="00DD617D" w:rsidRPr="00A307C6">
        <w:rPr>
          <w:lang w:val="en-GB"/>
        </w:rPr>
        <w:t xml:space="preserve">needs of the </w:t>
      </w:r>
      <w:r w:rsidR="00702233" w:rsidRPr="00A307C6">
        <w:rPr>
          <w:lang w:val="en-GB"/>
        </w:rPr>
        <w:t xml:space="preserve">families they support, particularly in situations where they have been physically and or socially uprooted from their communities as a result of conflict and </w:t>
      </w:r>
      <w:r w:rsidR="00DD617D" w:rsidRPr="00A307C6">
        <w:rPr>
          <w:lang w:val="en-GB"/>
        </w:rPr>
        <w:t xml:space="preserve">the </w:t>
      </w:r>
      <w:r w:rsidR="00702233" w:rsidRPr="00A307C6">
        <w:rPr>
          <w:lang w:val="en-GB"/>
        </w:rPr>
        <w:t xml:space="preserve">related experience of sexual violence. </w:t>
      </w:r>
      <w:r w:rsidR="00303846">
        <w:rPr>
          <w:lang w:val="en-GB"/>
        </w:rPr>
        <w:t>M</w:t>
      </w:r>
      <w:r w:rsidR="00103A54">
        <w:rPr>
          <w:lang w:val="en-GB"/>
        </w:rPr>
        <w:t>easures should also take into account the distinct challenges encountered by men and boys</w:t>
      </w:r>
      <w:r w:rsidR="0032275C">
        <w:rPr>
          <w:lang w:val="en-GB"/>
        </w:rPr>
        <w:t>,</w:t>
      </w:r>
      <w:r w:rsidR="00103A54">
        <w:rPr>
          <w:lang w:val="en-GB"/>
        </w:rPr>
        <w:t xml:space="preserve"> who </w:t>
      </w:r>
      <w:r w:rsidR="00303846">
        <w:rPr>
          <w:lang w:val="en-GB"/>
        </w:rPr>
        <w:t xml:space="preserve">have also been </w:t>
      </w:r>
      <w:r w:rsidR="00103A54">
        <w:rPr>
          <w:lang w:val="en-GB"/>
        </w:rPr>
        <w:t>survivors of sexual violence, including through the development of specialized strategies and mechanisms dedicated to supporting disclosure, access to rehabilitation, and inclusion in transitional justice processes.</w:t>
      </w:r>
    </w:p>
    <w:p w14:paraId="218679AD" w14:textId="038B700B" w:rsidR="00D214F0" w:rsidRPr="00A307C6" w:rsidRDefault="00231D10" w:rsidP="00FA295D">
      <w:pPr>
        <w:pStyle w:val="Paragraph"/>
        <w:rPr>
          <w:lang w:val="en-GB"/>
        </w:rPr>
      </w:pPr>
      <w:r w:rsidRPr="00A307C6">
        <w:rPr>
          <w:lang w:val="en-GB"/>
        </w:rPr>
        <w:t xml:space="preserve"> </w:t>
      </w:r>
      <w:r w:rsidR="00191F5E" w:rsidRPr="00A307C6">
        <w:rPr>
          <w:lang w:val="en-GB"/>
        </w:rPr>
        <w:t xml:space="preserve">While establishing </w:t>
      </w:r>
      <w:r w:rsidRPr="00A307C6">
        <w:rPr>
          <w:lang w:val="en-GB"/>
        </w:rPr>
        <w:t xml:space="preserve">the </w:t>
      </w:r>
      <w:r w:rsidR="00191F5E" w:rsidRPr="00A307C6">
        <w:rPr>
          <w:lang w:val="en-GB"/>
        </w:rPr>
        <w:t xml:space="preserve">Special Reconstruction Fund envisaged in Chapter III of the Revitalized Agreement </w:t>
      </w:r>
      <w:r w:rsidR="0076193D" w:rsidRPr="00A307C6">
        <w:rPr>
          <w:lang w:val="en-GB"/>
        </w:rPr>
        <w:t xml:space="preserve">is critical to address the </w:t>
      </w:r>
      <w:r w:rsidR="00191F5E" w:rsidRPr="00A307C6">
        <w:rPr>
          <w:lang w:val="en-GB"/>
        </w:rPr>
        <w:t xml:space="preserve">immediate </w:t>
      </w:r>
      <w:r w:rsidR="0076193D" w:rsidRPr="00A307C6">
        <w:rPr>
          <w:lang w:val="en-GB"/>
        </w:rPr>
        <w:t xml:space="preserve">needs of survivors and </w:t>
      </w:r>
      <w:r w:rsidR="00882040" w:rsidRPr="00A307C6">
        <w:rPr>
          <w:lang w:val="en-GB"/>
        </w:rPr>
        <w:t>secur</w:t>
      </w:r>
      <w:r w:rsidR="00191F5E" w:rsidRPr="00A307C6">
        <w:rPr>
          <w:lang w:val="en-GB"/>
        </w:rPr>
        <w:t>e</w:t>
      </w:r>
      <w:r w:rsidR="00882040" w:rsidRPr="00A307C6">
        <w:rPr>
          <w:lang w:val="en-GB"/>
        </w:rPr>
        <w:t xml:space="preserve"> </w:t>
      </w:r>
      <w:r w:rsidR="0076193D" w:rsidRPr="00A307C6">
        <w:rPr>
          <w:lang w:val="en-GB"/>
        </w:rPr>
        <w:t>early dividends</w:t>
      </w:r>
      <w:r w:rsidR="00191F5E" w:rsidRPr="00A307C6">
        <w:rPr>
          <w:lang w:val="en-GB"/>
        </w:rPr>
        <w:t>,</w:t>
      </w:r>
      <w:r w:rsidR="00882040" w:rsidRPr="00A307C6">
        <w:rPr>
          <w:lang w:val="en-GB"/>
        </w:rPr>
        <w:t xml:space="preserve"> it</w:t>
      </w:r>
      <w:r w:rsidR="0076193D" w:rsidRPr="00A307C6">
        <w:rPr>
          <w:lang w:val="en-GB"/>
        </w:rPr>
        <w:t xml:space="preserve"> </w:t>
      </w:r>
      <w:r w:rsidR="00702233" w:rsidRPr="00A307C6">
        <w:rPr>
          <w:lang w:val="en-GB"/>
        </w:rPr>
        <w:t xml:space="preserve">should </w:t>
      </w:r>
      <w:r w:rsidR="00702233" w:rsidRPr="00A307C6">
        <w:rPr>
          <w:lang w:val="en-GB"/>
        </w:rPr>
        <w:lastRenderedPageBreak/>
        <w:t>not distract f</w:t>
      </w:r>
      <w:r w:rsidR="0076193D" w:rsidRPr="00A307C6">
        <w:rPr>
          <w:lang w:val="en-GB"/>
        </w:rPr>
        <w:t>r</w:t>
      </w:r>
      <w:r w:rsidR="00702233" w:rsidRPr="00A307C6">
        <w:rPr>
          <w:lang w:val="en-GB"/>
        </w:rPr>
        <w:t>om or replace the Government</w:t>
      </w:r>
      <w:r w:rsidR="00191F5E" w:rsidRPr="00A307C6">
        <w:rPr>
          <w:lang w:val="en-GB"/>
        </w:rPr>
        <w:t>’s</w:t>
      </w:r>
      <w:r w:rsidR="00702233" w:rsidRPr="00A307C6">
        <w:rPr>
          <w:lang w:val="en-GB"/>
        </w:rPr>
        <w:t xml:space="preserve"> obligations to </w:t>
      </w:r>
      <w:r w:rsidR="00191F5E" w:rsidRPr="00A307C6">
        <w:rPr>
          <w:lang w:val="en-GB"/>
        </w:rPr>
        <w:t xml:space="preserve">provide holistic and comprehensive reparation to </w:t>
      </w:r>
      <w:r w:rsidR="00702233" w:rsidRPr="00A307C6">
        <w:rPr>
          <w:lang w:val="en-GB"/>
        </w:rPr>
        <w:t xml:space="preserve">address sexual violence and mitigate its impacts more broadly. </w:t>
      </w:r>
      <w:r w:rsidR="00D214F0">
        <w:rPr>
          <w:lang w:val="en-GB"/>
        </w:rPr>
        <w:t xml:space="preserve">Implementing the </w:t>
      </w:r>
      <w:r w:rsidR="00702233" w:rsidRPr="00A307C6">
        <w:rPr>
          <w:lang w:val="en-GB"/>
        </w:rPr>
        <w:t>transitional justice</w:t>
      </w:r>
      <w:r w:rsidR="00D214F0">
        <w:rPr>
          <w:lang w:val="en-GB"/>
        </w:rPr>
        <w:t xml:space="preserve"> envisioned in Chapter V</w:t>
      </w:r>
      <w:r w:rsidR="00702233" w:rsidRPr="00A307C6">
        <w:rPr>
          <w:lang w:val="en-GB"/>
        </w:rPr>
        <w:t xml:space="preserve">, </w:t>
      </w:r>
      <w:r w:rsidR="00D214F0">
        <w:rPr>
          <w:lang w:val="en-GB"/>
        </w:rPr>
        <w:t xml:space="preserve">provides </w:t>
      </w:r>
      <w:r w:rsidR="00702233" w:rsidRPr="00A307C6">
        <w:rPr>
          <w:lang w:val="en-GB"/>
        </w:rPr>
        <w:t xml:space="preserve">the State </w:t>
      </w:r>
      <w:r w:rsidR="00D214F0">
        <w:rPr>
          <w:lang w:val="en-GB"/>
        </w:rPr>
        <w:t xml:space="preserve">with the tools to </w:t>
      </w:r>
      <w:r w:rsidR="00702233" w:rsidRPr="00A307C6">
        <w:rPr>
          <w:lang w:val="en-GB"/>
        </w:rPr>
        <w:t>combat the drivers of violence while also addressing its impact</w:t>
      </w:r>
      <w:r w:rsidR="00D214F0">
        <w:rPr>
          <w:lang w:val="en-GB"/>
        </w:rPr>
        <w:t xml:space="preserve"> </w:t>
      </w:r>
      <w:r w:rsidR="00191F5E" w:rsidRPr="00A307C6">
        <w:rPr>
          <w:lang w:val="en-GB"/>
        </w:rPr>
        <w:t xml:space="preserve">and </w:t>
      </w:r>
      <w:r w:rsidR="00D214F0">
        <w:rPr>
          <w:lang w:val="en-GB"/>
        </w:rPr>
        <w:t xml:space="preserve">prevention. </w:t>
      </w:r>
    </w:p>
    <w:p w14:paraId="43925C8F" w14:textId="2F184E5C" w:rsidR="003F7D73" w:rsidRPr="00A307C6" w:rsidRDefault="003F7D73" w:rsidP="00E12BA1">
      <w:pPr>
        <w:pStyle w:val="HChG"/>
        <w:outlineLvl w:val="0"/>
      </w:pPr>
      <w:bookmarkStart w:id="88" w:name="_Toc98226835"/>
      <w:bookmarkStart w:id="89" w:name="_Toc98606476"/>
      <w:r w:rsidRPr="00A307C6">
        <w:t>Conclusions and recommendations</w:t>
      </w:r>
      <w:bookmarkEnd w:id="88"/>
      <w:bookmarkEnd w:id="89"/>
    </w:p>
    <w:p w14:paraId="5EE1129B" w14:textId="671632C4" w:rsidR="003A220A" w:rsidRPr="008D0607" w:rsidRDefault="00E6358D" w:rsidP="009E6E96">
      <w:pPr>
        <w:pStyle w:val="H1G"/>
        <w:rPr>
          <w:bCs/>
        </w:rPr>
      </w:pPr>
      <w:bookmarkStart w:id="90" w:name="_Toc98226836"/>
      <w:bookmarkStart w:id="91" w:name="_Toc98606477"/>
      <w:r w:rsidRPr="00A307C6">
        <w:t>Conclusions</w:t>
      </w:r>
      <w:bookmarkEnd w:id="90"/>
      <w:bookmarkEnd w:id="91"/>
    </w:p>
    <w:p w14:paraId="70F378EA" w14:textId="7309FB21" w:rsidR="002A15D1" w:rsidRDefault="00260C7D" w:rsidP="00260C7D">
      <w:pPr>
        <w:pStyle w:val="Paragraph"/>
        <w:rPr>
          <w:lang w:val="en-GB"/>
        </w:rPr>
      </w:pPr>
      <w:r>
        <w:rPr>
          <w:lang w:val="en-GB"/>
        </w:rPr>
        <w:t xml:space="preserve">Widespread and pervasive, conflict-related </w:t>
      </w:r>
      <w:r w:rsidR="008D0607" w:rsidRPr="00A307C6">
        <w:rPr>
          <w:lang w:val="en-GB"/>
        </w:rPr>
        <w:t>sexual violence against women and girls</w:t>
      </w:r>
      <w:r>
        <w:rPr>
          <w:lang w:val="en-GB"/>
        </w:rPr>
        <w:t xml:space="preserve"> in South Sudan takes place in the context of persistent conflict and insecurity, drastic gender inequity,</w:t>
      </w:r>
      <w:r w:rsidR="008D0607" w:rsidRPr="00A307C6">
        <w:rPr>
          <w:lang w:val="en-GB"/>
        </w:rPr>
        <w:t xml:space="preserve"> and </w:t>
      </w:r>
      <w:r>
        <w:rPr>
          <w:lang w:val="en-GB"/>
        </w:rPr>
        <w:t xml:space="preserve">prevailing </w:t>
      </w:r>
      <w:r w:rsidR="008D0607" w:rsidRPr="00A307C6">
        <w:rPr>
          <w:lang w:val="en-GB"/>
        </w:rPr>
        <w:t>impunity</w:t>
      </w:r>
      <w:r>
        <w:rPr>
          <w:lang w:val="en-GB"/>
        </w:rPr>
        <w:t>, which exacerbate</w:t>
      </w:r>
      <w:r w:rsidR="008D0607" w:rsidRPr="00A307C6">
        <w:rPr>
          <w:lang w:val="en-GB"/>
        </w:rPr>
        <w:t xml:space="preserve"> </w:t>
      </w:r>
      <w:r>
        <w:rPr>
          <w:lang w:val="en-GB"/>
        </w:rPr>
        <w:t xml:space="preserve">its prevalence and </w:t>
      </w:r>
      <w:r w:rsidR="008D0607" w:rsidRPr="00A307C6">
        <w:rPr>
          <w:lang w:val="en-GB"/>
        </w:rPr>
        <w:t xml:space="preserve">contribute to </w:t>
      </w:r>
      <w:r>
        <w:rPr>
          <w:lang w:val="en-GB"/>
        </w:rPr>
        <w:t xml:space="preserve">its </w:t>
      </w:r>
      <w:r w:rsidR="008D0607" w:rsidRPr="00A307C6">
        <w:rPr>
          <w:lang w:val="en-GB"/>
        </w:rPr>
        <w:t>normalization.</w:t>
      </w:r>
      <w:r w:rsidR="002A15D1">
        <w:rPr>
          <w:lang w:val="en-GB"/>
        </w:rPr>
        <w:t xml:space="preserve"> </w:t>
      </w:r>
    </w:p>
    <w:p w14:paraId="04B40C7A" w14:textId="20F8F0BD" w:rsidR="00224F5F" w:rsidRPr="00224F5F" w:rsidRDefault="000C0415" w:rsidP="00224F5F">
      <w:pPr>
        <w:pStyle w:val="Paragraph"/>
        <w:rPr>
          <w:lang w:val="en-GB"/>
        </w:rPr>
      </w:pPr>
      <w:r>
        <w:rPr>
          <w:lang w:val="en-GB"/>
        </w:rPr>
        <w:t>Conflict</w:t>
      </w:r>
      <w:r w:rsidR="00B549A2">
        <w:rPr>
          <w:lang w:val="en-GB"/>
        </w:rPr>
        <w:t>-</w:t>
      </w:r>
      <w:r>
        <w:rPr>
          <w:lang w:val="en-GB"/>
        </w:rPr>
        <w:t>related s</w:t>
      </w:r>
      <w:r w:rsidR="002A15D1" w:rsidRPr="00224F5F">
        <w:rPr>
          <w:lang w:val="en-GB"/>
        </w:rPr>
        <w:t xml:space="preserve">exual violence in South Sudan’s conflicts takes many forms: rape; gang rape and mass rape; abductions and sexual slavery; sexual torture, beatings and cruel and inhuman treatment; being forced to witness sexual violence; forced unprotected sex and unwanted pregnancies; and other forms of violence. </w:t>
      </w:r>
      <w:r w:rsidR="00224F5F" w:rsidRPr="00224F5F">
        <w:rPr>
          <w:lang w:val="en-GB"/>
        </w:rPr>
        <w:t xml:space="preserve">Survivors </w:t>
      </w:r>
      <w:r w:rsidR="00BC49D2">
        <w:rPr>
          <w:lang w:val="en-GB"/>
        </w:rPr>
        <w:t xml:space="preserve">can </w:t>
      </w:r>
      <w:r w:rsidR="00224F5F" w:rsidRPr="00224F5F">
        <w:rPr>
          <w:lang w:val="en-GB"/>
        </w:rPr>
        <w:t>experience a range of physical and mental harms from their traumatic injuries. Often these are not addressed due to the lack of access to timely and appropriate services, including medical care, let alone psychological support.</w:t>
      </w:r>
      <w:r w:rsidR="00224F5F">
        <w:rPr>
          <w:lang w:val="en-GB"/>
        </w:rPr>
        <w:t xml:space="preserve"> This, as well as </w:t>
      </w:r>
      <w:r w:rsidR="00BC49D2" w:rsidRPr="00224F5F">
        <w:rPr>
          <w:lang w:val="en-GB"/>
        </w:rPr>
        <w:t xml:space="preserve">social </w:t>
      </w:r>
      <w:r w:rsidR="002A15D1" w:rsidRPr="00224F5F">
        <w:rPr>
          <w:lang w:val="en-GB"/>
        </w:rPr>
        <w:t>stigma and associated issues, can be destructive to families and communities</w:t>
      </w:r>
      <w:r w:rsidR="00224F5F">
        <w:rPr>
          <w:lang w:val="en-GB"/>
        </w:rPr>
        <w:t>, while also impacting on socio-economic status, particularly when accompanied by displacement</w:t>
      </w:r>
      <w:r w:rsidR="002A15D1" w:rsidRPr="00224F5F">
        <w:rPr>
          <w:lang w:val="en-GB"/>
        </w:rPr>
        <w:t>.</w:t>
      </w:r>
      <w:r w:rsidR="005F74E2" w:rsidRPr="00224F5F">
        <w:rPr>
          <w:lang w:val="en-GB"/>
        </w:rPr>
        <w:t xml:space="preserve"> </w:t>
      </w:r>
    </w:p>
    <w:p w14:paraId="190CA8EC" w14:textId="4E397A99" w:rsidR="00260C7D" w:rsidRDefault="001E73C7" w:rsidP="00260C7D">
      <w:pPr>
        <w:pStyle w:val="Paragraph"/>
        <w:rPr>
          <w:lang w:val="en-GB"/>
        </w:rPr>
      </w:pPr>
      <w:r>
        <w:rPr>
          <w:lang w:val="en-GB"/>
        </w:rPr>
        <w:t>Such brutal violence</w:t>
      </w:r>
      <w:r w:rsidR="00523221">
        <w:rPr>
          <w:lang w:val="en-GB"/>
        </w:rPr>
        <w:t xml:space="preserve"> and injury</w:t>
      </w:r>
      <w:r>
        <w:rPr>
          <w:lang w:val="en-GB"/>
        </w:rPr>
        <w:t xml:space="preserve"> take place in </w:t>
      </w:r>
      <w:r w:rsidR="00224F5F">
        <w:rPr>
          <w:lang w:val="en-GB"/>
        </w:rPr>
        <w:t xml:space="preserve">a </w:t>
      </w:r>
      <w:r w:rsidR="005F74E2" w:rsidRPr="00A307C6">
        <w:rPr>
          <w:lang w:val="en-GB"/>
        </w:rPr>
        <w:t>context of pervasive poverty and extreme gender inequality</w:t>
      </w:r>
      <w:r w:rsidR="005F74E2">
        <w:rPr>
          <w:lang w:val="en-GB"/>
        </w:rPr>
        <w:t>,</w:t>
      </w:r>
      <w:r w:rsidR="005F74E2" w:rsidRPr="00A307C6">
        <w:rPr>
          <w:lang w:val="en-GB"/>
        </w:rPr>
        <w:t xml:space="preserve"> reflected in high rates of sexual and gender-based violence outside of conflict, a lack of women participation in political and public life, high rates of girl children </w:t>
      </w:r>
      <w:r w:rsidR="00977C71">
        <w:rPr>
          <w:lang w:val="en-GB"/>
        </w:rPr>
        <w:t xml:space="preserve">being subjected </w:t>
      </w:r>
      <w:r w:rsidR="005F74E2" w:rsidRPr="00A307C6">
        <w:rPr>
          <w:lang w:val="en-GB"/>
        </w:rPr>
        <w:t>to early or forced marriage, the lack of access by women and girls to livelihoods</w:t>
      </w:r>
      <w:r w:rsidR="00224F5F">
        <w:rPr>
          <w:lang w:val="en-GB"/>
        </w:rPr>
        <w:t xml:space="preserve">, and </w:t>
      </w:r>
      <w:r w:rsidR="00523221">
        <w:rPr>
          <w:lang w:val="en-GB"/>
        </w:rPr>
        <w:t xml:space="preserve">poor </w:t>
      </w:r>
      <w:r w:rsidR="00224F5F">
        <w:rPr>
          <w:lang w:val="en-GB"/>
        </w:rPr>
        <w:t>health outcomes</w:t>
      </w:r>
      <w:r w:rsidR="00523221">
        <w:rPr>
          <w:lang w:val="en-GB"/>
        </w:rPr>
        <w:t xml:space="preserve"> that rank amongst the lowest for women and girls globally</w:t>
      </w:r>
      <w:r w:rsidR="005F74E2" w:rsidRPr="00A307C6">
        <w:rPr>
          <w:lang w:val="en-GB"/>
        </w:rPr>
        <w:t>.</w:t>
      </w:r>
    </w:p>
    <w:p w14:paraId="13DF6412" w14:textId="175608CD" w:rsidR="00B549A2" w:rsidRPr="006E7CD7" w:rsidRDefault="008D0607" w:rsidP="00FA295D">
      <w:pPr>
        <w:pStyle w:val="Paragraph"/>
      </w:pPr>
      <w:r w:rsidRPr="00923486" w:rsidDel="00F44343">
        <w:rPr>
          <w:lang w:val="en-GB"/>
        </w:rPr>
        <w:t xml:space="preserve"> </w:t>
      </w:r>
      <w:r w:rsidR="005B0CB4" w:rsidRPr="00923486">
        <w:rPr>
          <w:lang w:val="en-GB"/>
        </w:rPr>
        <w:t xml:space="preserve">The experiences of women and girls subjected to sexual violence </w:t>
      </w:r>
      <w:r w:rsidR="000C0415">
        <w:rPr>
          <w:lang w:val="en-GB"/>
        </w:rPr>
        <w:t>in conf</w:t>
      </w:r>
      <w:r w:rsidR="00B549A2">
        <w:rPr>
          <w:lang w:val="en-GB"/>
        </w:rPr>
        <w:t>l</w:t>
      </w:r>
      <w:r w:rsidR="000C0415">
        <w:rPr>
          <w:lang w:val="en-GB"/>
        </w:rPr>
        <w:t xml:space="preserve">ict </w:t>
      </w:r>
      <w:r w:rsidR="005B0CB4" w:rsidRPr="00923486">
        <w:rPr>
          <w:lang w:val="en-GB"/>
        </w:rPr>
        <w:t xml:space="preserve">cannot be isolated from wider political violence, which typically involves brutal violations and abuses perpetrated by armed men against civilians, including killings, abductions, torture and forced displacement. Violations and abuses are </w:t>
      </w:r>
      <w:r w:rsidR="0099219D" w:rsidRPr="00923486">
        <w:rPr>
          <w:lang w:val="en-GB"/>
        </w:rPr>
        <w:t>manifested in a continuum of cycles of violence</w:t>
      </w:r>
      <w:r w:rsidR="005B0CB4" w:rsidRPr="00923486">
        <w:rPr>
          <w:lang w:val="en-GB"/>
        </w:rPr>
        <w:t>,</w:t>
      </w:r>
      <w:r w:rsidR="0099219D" w:rsidRPr="00923486">
        <w:rPr>
          <w:lang w:val="en-GB"/>
        </w:rPr>
        <w:t xml:space="preserve"> that has followed similar patterns of perpetration regardless of location or the armed actors involved.</w:t>
      </w:r>
      <w:r w:rsidR="00923486">
        <w:rPr>
          <w:lang w:val="en-GB"/>
        </w:rPr>
        <w:t xml:space="preserve"> </w:t>
      </w:r>
      <w:r w:rsidR="001A3FD9" w:rsidRPr="00923486">
        <w:rPr>
          <w:lang w:val="en-GB"/>
        </w:rPr>
        <w:t xml:space="preserve">Perpetrators include government forces </w:t>
      </w:r>
      <w:r w:rsidR="001A3FD9" w:rsidRPr="00923486">
        <w:rPr>
          <w:lang w:val="en-GB"/>
        </w:rPr>
        <w:lastRenderedPageBreak/>
        <w:t xml:space="preserve">and armed men belonging to armed groups, who perpetrate these acts in the full knowledge that impunity for human rights violations and abuses of this nature is practically guaranteed. </w:t>
      </w:r>
    </w:p>
    <w:p w14:paraId="35A97699" w14:textId="220FC418" w:rsidR="001A3FD9" w:rsidRPr="00E35C55" w:rsidRDefault="001A3FD9" w:rsidP="00FA295D">
      <w:pPr>
        <w:pStyle w:val="Paragraph"/>
      </w:pPr>
      <w:r>
        <w:t xml:space="preserve">Armed </w:t>
      </w:r>
      <w:r w:rsidR="00B549A2">
        <w:t>actors</w:t>
      </w:r>
      <w:r>
        <w:t xml:space="preserve"> have used </w:t>
      </w:r>
      <w:r w:rsidRPr="00AC2C8F">
        <w:t xml:space="preserve">sexual violence against women and girls for </w:t>
      </w:r>
      <w:r>
        <w:t xml:space="preserve">deliberate </w:t>
      </w:r>
      <w:r w:rsidRPr="00AC2C8F">
        <w:t xml:space="preserve">military or political objectives, to punish members of a whole geographic or ethnic community for their perceived association with the enemy, or to forcibly displace them from areas. </w:t>
      </w:r>
      <w:r w:rsidR="00C366DC">
        <w:t xml:space="preserve">Sexual violence is also used to carry out politically-motivated revenge and retaliatory attacks. </w:t>
      </w:r>
      <w:r w:rsidRPr="00AC2C8F">
        <w:t>In the context of abductions, women and girls have been forced by armed actors into sexual slavery</w:t>
      </w:r>
      <w:r>
        <w:t>, and other forms of servitude</w:t>
      </w:r>
      <w:r w:rsidRPr="00AC2C8F">
        <w:t xml:space="preserve">. </w:t>
      </w:r>
      <w:r>
        <w:t>In situations of prevailing insecurity and impunity, armed men have also perpetrated rapes and other forms of violence without military or political objectives, in the knowledge that that their crimes will go unpunished.</w:t>
      </w:r>
      <w:r w:rsidRPr="00923486">
        <w:rPr>
          <w:lang w:val="en-GB"/>
        </w:rPr>
        <w:t xml:space="preserve"> </w:t>
      </w:r>
    </w:p>
    <w:p w14:paraId="41379277" w14:textId="2D060991" w:rsidR="001A3FD9" w:rsidRDefault="00B549A2" w:rsidP="001A3FD9">
      <w:pPr>
        <w:pStyle w:val="Paragraph"/>
        <w:rPr>
          <w:lang w:val="en-GB"/>
        </w:rPr>
      </w:pPr>
      <w:r>
        <w:rPr>
          <w:lang w:val="en-GB"/>
        </w:rPr>
        <w:t xml:space="preserve">In </w:t>
      </w:r>
      <w:r w:rsidR="00393112">
        <w:rPr>
          <w:lang w:val="en-GB"/>
        </w:rPr>
        <w:t xml:space="preserve">some </w:t>
      </w:r>
      <w:r>
        <w:rPr>
          <w:lang w:val="en-GB"/>
        </w:rPr>
        <w:t>c</w:t>
      </w:r>
      <w:r w:rsidR="000C0415">
        <w:rPr>
          <w:lang w:val="en-GB"/>
        </w:rPr>
        <w:t>onflict</w:t>
      </w:r>
      <w:r>
        <w:rPr>
          <w:lang w:val="en-GB"/>
        </w:rPr>
        <w:t xml:space="preserve"> contexts, </w:t>
      </w:r>
      <w:r w:rsidR="000C0415">
        <w:rPr>
          <w:lang w:val="en-GB"/>
        </w:rPr>
        <w:t>s</w:t>
      </w:r>
      <w:r w:rsidR="001A3FD9" w:rsidRPr="00A50928">
        <w:rPr>
          <w:lang w:val="en-GB"/>
        </w:rPr>
        <w:t xml:space="preserve">exual violence </w:t>
      </w:r>
      <w:r w:rsidR="00393112">
        <w:rPr>
          <w:lang w:val="en-GB"/>
        </w:rPr>
        <w:t xml:space="preserve">may </w:t>
      </w:r>
      <w:r w:rsidR="001A3FD9" w:rsidRPr="00A50928">
        <w:rPr>
          <w:lang w:val="en-GB"/>
        </w:rPr>
        <w:t xml:space="preserve">serve to promote male bonding between armed men who through co-perpetration reinforce group solidarity, reinforcing coercive power relationships and the sense of entitlement over female bodies, which perpetrators believe are for them to use, control or own. </w:t>
      </w:r>
      <w:r w:rsidR="00BB5EB0">
        <w:rPr>
          <w:lang w:val="en-GB"/>
        </w:rPr>
        <w:t>Thereby, sexual violence can serve as an incentive for the</w:t>
      </w:r>
      <w:r w:rsidR="001A3FD9" w:rsidRPr="00A50928">
        <w:rPr>
          <w:lang w:val="en-GB"/>
        </w:rPr>
        <w:t xml:space="preserve"> recruitment and retention of young men into militia groups and armed forces</w:t>
      </w:r>
      <w:r w:rsidR="001A3FD9" w:rsidRPr="00A307C6">
        <w:rPr>
          <w:lang w:val="en-GB"/>
        </w:rPr>
        <w:t xml:space="preserve">. </w:t>
      </w:r>
    </w:p>
    <w:p w14:paraId="54E569C7" w14:textId="23CA18AE" w:rsidR="00CA74D5" w:rsidRPr="006E7CD7" w:rsidRDefault="00BD40CE" w:rsidP="00BD40CE">
      <w:pPr>
        <w:pStyle w:val="Paragraph"/>
      </w:pPr>
      <w:r w:rsidRPr="006E7CD7">
        <w:rPr>
          <w:lang w:val="en-GB"/>
        </w:rPr>
        <w:t>Conflict-related sexual violence in South Sudan has been instrumentalised to destroy the very fabric that binds communities, and as a strategy to displace, terrorise and humiliate civilian populations</w:t>
      </w:r>
      <w:r w:rsidR="00393112">
        <w:rPr>
          <w:lang w:val="en-GB"/>
        </w:rPr>
        <w:t xml:space="preserve">. This sexual violence </w:t>
      </w:r>
      <w:r w:rsidRPr="006E7CD7">
        <w:rPr>
          <w:lang w:val="en-GB"/>
        </w:rPr>
        <w:t xml:space="preserve">is </w:t>
      </w:r>
      <w:r w:rsidR="008D0607" w:rsidRPr="006E7CD7">
        <w:t>linked to the political and ethnic divisions at the heart of the</w:t>
      </w:r>
      <w:r w:rsidR="00CA74D5" w:rsidRPr="006E7CD7">
        <w:t>se</w:t>
      </w:r>
      <w:r w:rsidR="008D0607" w:rsidRPr="006E7CD7">
        <w:t xml:space="preserve"> conflict</w:t>
      </w:r>
      <w:r w:rsidR="00CA74D5" w:rsidRPr="006E7CD7">
        <w:t>s</w:t>
      </w:r>
      <w:r w:rsidR="008D0607" w:rsidRPr="006E7CD7">
        <w:t xml:space="preserve">. </w:t>
      </w:r>
      <w:r w:rsidR="000C0415">
        <w:t>S</w:t>
      </w:r>
      <w:r w:rsidR="008D0607" w:rsidRPr="006E7CD7">
        <w:t xml:space="preserve">exual violence </w:t>
      </w:r>
      <w:r w:rsidR="00BB5EB0">
        <w:t xml:space="preserve">is used to </w:t>
      </w:r>
      <w:r w:rsidR="00BB5EB0" w:rsidRPr="00CC7286">
        <w:t>humiliate and force opponents to leave a given territory</w:t>
      </w:r>
      <w:r w:rsidR="00BB5EB0">
        <w:t xml:space="preserve">, and thereby </w:t>
      </w:r>
      <w:r w:rsidR="000C0415">
        <w:t xml:space="preserve">plays a critical role </w:t>
      </w:r>
      <w:r w:rsidR="00684071">
        <w:t xml:space="preserve">as </w:t>
      </w:r>
      <w:r w:rsidR="00BB5EB0">
        <w:t xml:space="preserve">one of the </w:t>
      </w:r>
      <w:r w:rsidR="008D0607" w:rsidRPr="006E7CD7">
        <w:t>instrument</w:t>
      </w:r>
      <w:r w:rsidR="00BB5EB0">
        <w:t>s</w:t>
      </w:r>
      <w:r w:rsidR="008D0607" w:rsidRPr="006E7CD7">
        <w:t xml:space="preserve"> of ethnic displacement. Women and girls are perceived in this conflict to be the biological bearers of a given culture and ethnic group. Perpetrators of sexual violence deliberately </w:t>
      </w:r>
      <w:r w:rsidR="002737CB">
        <w:t xml:space="preserve">seek </w:t>
      </w:r>
      <w:r w:rsidR="008D0607" w:rsidRPr="006E7CD7">
        <w:t xml:space="preserve">to </w:t>
      </w:r>
      <w:r w:rsidR="002737CB">
        <w:t xml:space="preserve">destroy perceived enemy groups, through forced pregnancies, and by </w:t>
      </w:r>
      <w:r w:rsidR="008D0607" w:rsidRPr="006E7CD7">
        <w:t>impair</w:t>
      </w:r>
      <w:r w:rsidR="002737CB">
        <w:t>ing</w:t>
      </w:r>
      <w:r w:rsidR="008D0607" w:rsidRPr="006E7CD7">
        <w:t xml:space="preserve"> the procreative abilities </w:t>
      </w:r>
      <w:r w:rsidR="002737CB">
        <w:t>of their victims</w:t>
      </w:r>
      <w:r w:rsidR="008D0607" w:rsidRPr="006E7CD7">
        <w:t>.</w:t>
      </w:r>
      <w:r w:rsidR="008D0607" w:rsidRPr="006E7CD7">
        <w:rPr>
          <w:rStyle w:val="FootnoteReference"/>
          <w:lang w:val="en-GB"/>
        </w:rPr>
        <w:footnoteReference w:id="260"/>
      </w:r>
      <w:r w:rsidR="008D0607" w:rsidRPr="006E7CD7">
        <w:t xml:space="preserve"> </w:t>
      </w:r>
    </w:p>
    <w:p w14:paraId="3348A58D" w14:textId="416E5787" w:rsidR="008D0607" w:rsidRPr="00A307C6" w:rsidRDefault="00BC49D2" w:rsidP="008D0607">
      <w:pPr>
        <w:pStyle w:val="Paragraph"/>
        <w:rPr>
          <w:color w:val="222222"/>
          <w:lang w:val="en-GB"/>
        </w:rPr>
      </w:pPr>
      <w:r>
        <w:rPr>
          <w:lang w:val="en-GB"/>
        </w:rPr>
        <w:t>While various</w:t>
      </w:r>
      <w:r w:rsidRPr="00A307C6">
        <w:rPr>
          <w:lang w:val="en-GB"/>
        </w:rPr>
        <w:t xml:space="preserve"> </w:t>
      </w:r>
      <w:r w:rsidR="008D0607" w:rsidRPr="00A307C6">
        <w:rPr>
          <w:lang w:val="en-GB"/>
        </w:rPr>
        <w:t>sectors of the Government and civil society have spearheaded and promoted several policy frameworks that seek to foster gender equality and raise the status of women in South Sudan</w:t>
      </w:r>
      <w:r>
        <w:rPr>
          <w:lang w:val="en-GB"/>
        </w:rPr>
        <w:t>, d</w:t>
      </w:r>
      <w:r w:rsidR="008D0607" w:rsidRPr="00A307C6">
        <w:rPr>
          <w:lang w:val="en-GB"/>
        </w:rPr>
        <w:t>isappointingly, the ongoing conflict has severely set back and delayed these efforts</w:t>
      </w:r>
      <w:r w:rsidR="00923486">
        <w:rPr>
          <w:lang w:val="en-GB"/>
        </w:rPr>
        <w:t xml:space="preserve">, as have delays in </w:t>
      </w:r>
      <w:r w:rsidR="00923486">
        <w:rPr>
          <w:lang w:val="en-GB"/>
        </w:rPr>
        <w:lastRenderedPageBreak/>
        <w:t>implementing the Revitali</w:t>
      </w:r>
      <w:r w:rsidR="002737CB">
        <w:rPr>
          <w:lang w:val="en-GB"/>
        </w:rPr>
        <w:t>s</w:t>
      </w:r>
      <w:r w:rsidR="00923486">
        <w:rPr>
          <w:lang w:val="en-GB"/>
        </w:rPr>
        <w:t>ed Agreement</w:t>
      </w:r>
      <w:r>
        <w:rPr>
          <w:lang w:val="en-GB"/>
        </w:rPr>
        <w:t>.</w:t>
      </w:r>
      <w:r>
        <w:rPr>
          <w:rStyle w:val="FootnoteReference"/>
        </w:rPr>
        <w:footnoteReference w:id="261"/>
      </w:r>
      <w:r w:rsidR="008D0607" w:rsidRPr="00A307C6">
        <w:rPr>
          <w:lang w:val="en-GB"/>
        </w:rPr>
        <w:t xml:space="preserve"> </w:t>
      </w:r>
      <w:r w:rsidR="002737CB">
        <w:rPr>
          <w:lang w:val="en-GB"/>
        </w:rPr>
        <w:t>H</w:t>
      </w:r>
      <w:r w:rsidR="008D0607" w:rsidRPr="00A307C6">
        <w:rPr>
          <w:lang w:val="en-GB"/>
        </w:rPr>
        <w:t xml:space="preserve">istorical and contemporary patriarchal, cultural and legal practices and frameworks have </w:t>
      </w:r>
      <w:r w:rsidR="002737CB">
        <w:rPr>
          <w:lang w:val="en-GB"/>
        </w:rPr>
        <w:t>created</w:t>
      </w:r>
      <w:r w:rsidR="008D0607" w:rsidRPr="00A307C6">
        <w:rPr>
          <w:lang w:val="en-GB"/>
        </w:rPr>
        <w:t xml:space="preserve"> an environment </w:t>
      </w:r>
      <w:r w:rsidR="002737CB">
        <w:rPr>
          <w:lang w:val="en-GB"/>
        </w:rPr>
        <w:t xml:space="preserve">which in </w:t>
      </w:r>
      <w:r w:rsidR="008D0607" w:rsidRPr="00A307C6">
        <w:rPr>
          <w:lang w:val="en-GB"/>
        </w:rPr>
        <w:t xml:space="preserve">sexual violence </w:t>
      </w:r>
      <w:r w:rsidR="002737CB">
        <w:rPr>
          <w:lang w:val="en-GB"/>
        </w:rPr>
        <w:t>flourishes</w:t>
      </w:r>
      <w:r w:rsidR="008D0607" w:rsidRPr="00A307C6">
        <w:rPr>
          <w:lang w:val="en-GB"/>
        </w:rPr>
        <w:t>. </w:t>
      </w:r>
    </w:p>
    <w:p w14:paraId="166F73FD" w14:textId="38325612" w:rsidR="008D0607" w:rsidRDefault="008D0607" w:rsidP="008D0607">
      <w:pPr>
        <w:pStyle w:val="Paragraph"/>
        <w:rPr>
          <w:lang w:val="en-GB"/>
        </w:rPr>
      </w:pPr>
      <w:r w:rsidRPr="00A307C6">
        <w:rPr>
          <w:lang w:val="en-GB"/>
        </w:rPr>
        <w:t xml:space="preserve">The Government of South Sudan </w:t>
      </w:r>
      <w:r w:rsidR="00923486">
        <w:rPr>
          <w:lang w:val="en-GB"/>
        </w:rPr>
        <w:t xml:space="preserve">has </w:t>
      </w:r>
      <w:r w:rsidR="00684071">
        <w:rPr>
          <w:lang w:val="en-GB"/>
        </w:rPr>
        <w:t xml:space="preserve">not </w:t>
      </w:r>
      <w:r w:rsidR="00923486">
        <w:rPr>
          <w:lang w:val="en-GB"/>
        </w:rPr>
        <w:t>demonstrat</w:t>
      </w:r>
      <w:r w:rsidR="00684071">
        <w:rPr>
          <w:lang w:val="en-GB"/>
        </w:rPr>
        <w:t xml:space="preserve">ed </w:t>
      </w:r>
      <w:r w:rsidRPr="00A307C6">
        <w:rPr>
          <w:lang w:val="en-GB"/>
        </w:rPr>
        <w:t xml:space="preserve">the </w:t>
      </w:r>
      <w:r w:rsidR="00F402B7">
        <w:rPr>
          <w:lang w:val="en-GB"/>
        </w:rPr>
        <w:t xml:space="preserve">necessary </w:t>
      </w:r>
      <w:r w:rsidRPr="00A307C6">
        <w:rPr>
          <w:lang w:val="en-GB"/>
        </w:rPr>
        <w:t>political will to address sexual violence in conflict</w:t>
      </w:r>
      <w:r w:rsidR="00393112">
        <w:rPr>
          <w:lang w:val="en-GB"/>
        </w:rPr>
        <w:t xml:space="preserve">, nor is it working enough to </w:t>
      </w:r>
      <w:r w:rsidR="00684071">
        <w:rPr>
          <w:lang w:val="en-GB"/>
        </w:rPr>
        <w:t xml:space="preserve">end impunity in accordance with </w:t>
      </w:r>
      <w:r w:rsidR="007E635A">
        <w:rPr>
          <w:lang w:val="en-GB"/>
        </w:rPr>
        <w:t>its</w:t>
      </w:r>
      <w:r w:rsidR="00684071">
        <w:rPr>
          <w:lang w:val="en-GB"/>
        </w:rPr>
        <w:t xml:space="preserve"> domestic and international obligations. </w:t>
      </w:r>
      <w:bookmarkStart w:id="92" w:name="_Hlk98426327"/>
      <w:r w:rsidR="00684071">
        <w:rPr>
          <w:lang w:val="en-GB"/>
        </w:rPr>
        <w:t xml:space="preserve">Impunity has been </w:t>
      </w:r>
      <w:r w:rsidRPr="00A307C6">
        <w:rPr>
          <w:lang w:val="en-GB"/>
        </w:rPr>
        <w:t xml:space="preserve">exacerbated by the </w:t>
      </w:r>
      <w:r w:rsidR="00393112">
        <w:rPr>
          <w:lang w:val="en-GB"/>
        </w:rPr>
        <w:t>G</w:t>
      </w:r>
      <w:r w:rsidR="00684071">
        <w:rPr>
          <w:lang w:val="en-GB"/>
        </w:rPr>
        <w:t xml:space="preserve">overnment’s </w:t>
      </w:r>
      <w:r w:rsidRPr="00A307C6">
        <w:rPr>
          <w:lang w:val="en-GB"/>
        </w:rPr>
        <w:t>failure to ensure security sector reform</w:t>
      </w:r>
      <w:r w:rsidR="007E635A">
        <w:rPr>
          <w:lang w:val="en-GB"/>
        </w:rPr>
        <w:t>,</w:t>
      </w:r>
      <w:r w:rsidRPr="00A307C6">
        <w:rPr>
          <w:lang w:val="en-GB"/>
        </w:rPr>
        <w:t xml:space="preserve"> including the integration of the armed forces, </w:t>
      </w:r>
      <w:r w:rsidR="00393112">
        <w:rPr>
          <w:lang w:val="en-GB"/>
        </w:rPr>
        <w:t xml:space="preserve">as well as its </w:t>
      </w:r>
      <w:r w:rsidRPr="00A307C6">
        <w:rPr>
          <w:lang w:val="en-GB"/>
        </w:rPr>
        <w:t xml:space="preserve">failure to agree on the ratio of commanders, and the lack of provision of basic </w:t>
      </w:r>
      <w:r w:rsidR="00684071">
        <w:rPr>
          <w:lang w:val="en-GB"/>
        </w:rPr>
        <w:t xml:space="preserve">necessities </w:t>
      </w:r>
      <w:r w:rsidRPr="00A307C6">
        <w:rPr>
          <w:lang w:val="en-GB"/>
        </w:rPr>
        <w:t xml:space="preserve">to </w:t>
      </w:r>
      <w:r w:rsidR="00684071">
        <w:rPr>
          <w:lang w:val="en-GB"/>
        </w:rPr>
        <w:t>the armed forces</w:t>
      </w:r>
      <w:r w:rsidRPr="00A307C6">
        <w:rPr>
          <w:lang w:val="en-GB"/>
        </w:rPr>
        <w:t xml:space="preserve">. </w:t>
      </w:r>
      <w:bookmarkEnd w:id="92"/>
      <w:r w:rsidR="007E635A">
        <w:rPr>
          <w:lang w:val="en-GB"/>
        </w:rPr>
        <w:t>By</w:t>
      </w:r>
      <w:r w:rsidR="00684071">
        <w:rPr>
          <w:lang w:val="en-GB"/>
        </w:rPr>
        <w:t xml:space="preserve"> allowing </w:t>
      </w:r>
      <w:r w:rsidR="007E635A">
        <w:rPr>
          <w:lang w:val="en-GB"/>
        </w:rPr>
        <w:t xml:space="preserve">armed forces </w:t>
      </w:r>
      <w:r w:rsidR="00684071">
        <w:rPr>
          <w:lang w:val="en-GB"/>
        </w:rPr>
        <w:t xml:space="preserve">to </w:t>
      </w:r>
      <w:r w:rsidR="007E635A">
        <w:rPr>
          <w:lang w:val="en-GB"/>
        </w:rPr>
        <w:t xml:space="preserve">set up </w:t>
      </w:r>
      <w:r w:rsidR="00684071">
        <w:rPr>
          <w:lang w:val="en-GB"/>
        </w:rPr>
        <w:t xml:space="preserve">camp </w:t>
      </w:r>
      <w:r w:rsidR="007E635A">
        <w:rPr>
          <w:lang w:val="en-GB"/>
        </w:rPr>
        <w:t>near</w:t>
      </w:r>
      <w:r w:rsidR="00684071">
        <w:rPr>
          <w:lang w:val="en-GB"/>
        </w:rPr>
        <w:t xml:space="preserve"> civilians</w:t>
      </w:r>
      <w:r w:rsidR="007E635A">
        <w:rPr>
          <w:lang w:val="en-GB"/>
        </w:rPr>
        <w:t xml:space="preserve">, the Government </w:t>
      </w:r>
      <w:r w:rsidR="00684071">
        <w:rPr>
          <w:lang w:val="en-GB"/>
        </w:rPr>
        <w:t xml:space="preserve">has encouraged </w:t>
      </w:r>
      <w:r w:rsidRPr="00A307C6">
        <w:rPr>
          <w:lang w:val="en-GB"/>
        </w:rPr>
        <w:t>predatory behaviour against the civilian population</w:t>
      </w:r>
      <w:r w:rsidR="00891CF8">
        <w:rPr>
          <w:lang w:val="en-GB"/>
        </w:rPr>
        <w:t>; this</w:t>
      </w:r>
      <w:r w:rsidRPr="00A307C6">
        <w:rPr>
          <w:lang w:val="en-GB"/>
        </w:rPr>
        <w:t xml:space="preserve"> is a </w:t>
      </w:r>
      <w:r w:rsidR="00891CF8">
        <w:rPr>
          <w:lang w:val="en-GB"/>
        </w:rPr>
        <w:t xml:space="preserve">key </w:t>
      </w:r>
      <w:r w:rsidRPr="00A307C6">
        <w:rPr>
          <w:lang w:val="en-GB"/>
        </w:rPr>
        <w:t xml:space="preserve">driver of the current </w:t>
      </w:r>
      <w:r w:rsidR="00684071">
        <w:rPr>
          <w:lang w:val="en-GB"/>
        </w:rPr>
        <w:t xml:space="preserve">sexual </w:t>
      </w:r>
      <w:r w:rsidRPr="00A307C6">
        <w:rPr>
          <w:lang w:val="en-GB"/>
        </w:rPr>
        <w:t xml:space="preserve">violence against women. </w:t>
      </w:r>
      <w:r w:rsidR="00891CF8">
        <w:rPr>
          <w:lang w:val="en-GB"/>
        </w:rPr>
        <w:t>With the requisite</w:t>
      </w:r>
      <w:r w:rsidR="00684071">
        <w:rPr>
          <w:lang w:val="en-GB"/>
        </w:rPr>
        <w:t xml:space="preserve"> political will</w:t>
      </w:r>
      <w:r w:rsidR="00891CF8">
        <w:rPr>
          <w:lang w:val="en-GB"/>
        </w:rPr>
        <w:t>, the Government</w:t>
      </w:r>
      <w:r w:rsidRPr="00A307C6">
        <w:rPr>
          <w:lang w:val="en-GB"/>
        </w:rPr>
        <w:t xml:space="preserve"> could enforce a policy of accountability for these violations and abuses through punishing perpetrators of sexual violence but </w:t>
      </w:r>
      <w:r w:rsidR="00393112">
        <w:rPr>
          <w:lang w:val="en-GB"/>
        </w:rPr>
        <w:t xml:space="preserve">it </w:t>
      </w:r>
      <w:r w:rsidRPr="00A307C6">
        <w:rPr>
          <w:lang w:val="en-GB"/>
        </w:rPr>
        <w:t xml:space="preserve">has </w:t>
      </w:r>
      <w:r w:rsidR="00891CF8">
        <w:rPr>
          <w:lang w:val="en-GB"/>
        </w:rPr>
        <w:t xml:space="preserve">persistently </w:t>
      </w:r>
      <w:r w:rsidRPr="00A307C6">
        <w:rPr>
          <w:lang w:val="en-GB"/>
        </w:rPr>
        <w:t xml:space="preserve">failed to do so. </w:t>
      </w:r>
    </w:p>
    <w:p w14:paraId="4CC15F24" w14:textId="5A9C59CB" w:rsidR="008D0607" w:rsidRDefault="008D0607" w:rsidP="008D0607">
      <w:pPr>
        <w:pStyle w:val="Paragraph"/>
        <w:rPr>
          <w:lang w:val="en-GB"/>
        </w:rPr>
      </w:pPr>
      <w:r w:rsidRPr="00A307C6">
        <w:rPr>
          <w:lang w:val="en-GB"/>
        </w:rPr>
        <w:t xml:space="preserve">Despite signing </w:t>
      </w:r>
      <w:r w:rsidR="00923486">
        <w:rPr>
          <w:lang w:val="en-GB"/>
        </w:rPr>
        <w:t xml:space="preserve">several </w:t>
      </w:r>
      <w:r w:rsidRPr="00A307C6">
        <w:rPr>
          <w:lang w:val="en-GB"/>
        </w:rPr>
        <w:t xml:space="preserve">declarations and endorsing </w:t>
      </w:r>
      <w:r w:rsidR="00393112">
        <w:rPr>
          <w:lang w:val="en-GB"/>
        </w:rPr>
        <w:t xml:space="preserve">different </w:t>
      </w:r>
      <w:r w:rsidRPr="00A307C6">
        <w:rPr>
          <w:lang w:val="en-GB"/>
        </w:rPr>
        <w:t xml:space="preserve">action-plans to address </w:t>
      </w:r>
      <w:r w:rsidR="00923486">
        <w:rPr>
          <w:lang w:val="en-GB"/>
        </w:rPr>
        <w:t>the</w:t>
      </w:r>
      <w:r w:rsidRPr="00A307C6">
        <w:rPr>
          <w:lang w:val="en-GB"/>
        </w:rPr>
        <w:t xml:space="preserve"> scourge</w:t>
      </w:r>
      <w:r w:rsidR="00923486">
        <w:rPr>
          <w:lang w:val="en-GB"/>
        </w:rPr>
        <w:t xml:space="preserve"> of conflict-related sexual violence against women and girls</w:t>
      </w:r>
      <w:r w:rsidRPr="00A307C6">
        <w:rPr>
          <w:lang w:val="en-GB"/>
        </w:rPr>
        <w:t xml:space="preserve">, senior government and military leaders have failed to condemn acts of </w:t>
      </w:r>
      <w:r w:rsidR="00923486">
        <w:rPr>
          <w:lang w:val="en-GB"/>
        </w:rPr>
        <w:t xml:space="preserve">such </w:t>
      </w:r>
      <w:r w:rsidRPr="00A307C6">
        <w:rPr>
          <w:lang w:val="en-GB"/>
        </w:rPr>
        <w:t>violence against women and girls as documented by the Commission, or to hold perpetrators accountable for such heinous crimes</w:t>
      </w:r>
      <w:r w:rsidR="00393112">
        <w:rPr>
          <w:lang w:val="en-GB"/>
        </w:rPr>
        <w:t>. Instead</w:t>
      </w:r>
      <w:r w:rsidR="0091570B">
        <w:rPr>
          <w:lang w:val="en-GB"/>
        </w:rPr>
        <w:t>,</w:t>
      </w:r>
      <w:r w:rsidR="00393112">
        <w:rPr>
          <w:lang w:val="en-GB"/>
        </w:rPr>
        <w:t xml:space="preserve"> the Government has </w:t>
      </w:r>
      <w:r w:rsidR="00684071">
        <w:rPr>
          <w:lang w:val="en-GB"/>
        </w:rPr>
        <w:t>promot</w:t>
      </w:r>
      <w:r w:rsidR="00393112">
        <w:rPr>
          <w:lang w:val="en-GB"/>
        </w:rPr>
        <w:t>ed</w:t>
      </w:r>
      <w:r w:rsidR="00684071">
        <w:rPr>
          <w:lang w:val="en-GB"/>
        </w:rPr>
        <w:t xml:space="preserve"> </w:t>
      </w:r>
      <w:r w:rsidR="0091570B">
        <w:rPr>
          <w:lang w:val="en-GB"/>
        </w:rPr>
        <w:t xml:space="preserve">or retained </w:t>
      </w:r>
      <w:r w:rsidR="00684071">
        <w:rPr>
          <w:lang w:val="en-GB"/>
        </w:rPr>
        <w:t xml:space="preserve">perpetrators, </w:t>
      </w:r>
      <w:r w:rsidR="00336668">
        <w:rPr>
          <w:lang w:val="en-GB"/>
        </w:rPr>
        <w:t>as is the case with</w:t>
      </w:r>
      <w:r w:rsidR="0091570B">
        <w:rPr>
          <w:lang w:val="en-GB"/>
        </w:rPr>
        <w:t xml:space="preserve"> political and military leaders in Western Equatoria, </w:t>
      </w:r>
      <w:r w:rsidRPr="00A307C6">
        <w:rPr>
          <w:lang w:val="en-GB"/>
        </w:rPr>
        <w:t>consequently fail</w:t>
      </w:r>
      <w:r w:rsidR="00684071">
        <w:rPr>
          <w:lang w:val="en-GB"/>
        </w:rPr>
        <w:t xml:space="preserve">ing </w:t>
      </w:r>
      <w:r w:rsidRPr="00A307C6">
        <w:rPr>
          <w:lang w:val="en-GB"/>
        </w:rPr>
        <w:t xml:space="preserve">to affirm that such crimes </w:t>
      </w:r>
      <w:r w:rsidR="00393112">
        <w:rPr>
          <w:lang w:val="en-GB"/>
        </w:rPr>
        <w:t>mus</w:t>
      </w:r>
      <w:r w:rsidR="0091570B">
        <w:rPr>
          <w:lang w:val="en-GB"/>
        </w:rPr>
        <w:t>t</w:t>
      </w:r>
      <w:r w:rsidR="00393112">
        <w:rPr>
          <w:lang w:val="en-GB"/>
        </w:rPr>
        <w:t xml:space="preserve"> be punished</w:t>
      </w:r>
      <w:r w:rsidRPr="00A307C6">
        <w:rPr>
          <w:lang w:val="en-GB"/>
        </w:rPr>
        <w:t>.</w:t>
      </w:r>
    </w:p>
    <w:p w14:paraId="316BC4B1" w14:textId="4BBA5C06" w:rsidR="008D0607" w:rsidRPr="00A307C6" w:rsidRDefault="00891CF8" w:rsidP="008D0607">
      <w:pPr>
        <w:pStyle w:val="Paragraph"/>
        <w:rPr>
          <w:lang w:val="en-GB"/>
        </w:rPr>
      </w:pPr>
      <w:r>
        <w:rPr>
          <w:lang w:val="en-GB"/>
        </w:rPr>
        <w:t>However, m</w:t>
      </w:r>
      <w:r w:rsidR="008D0607" w:rsidRPr="00A307C6">
        <w:rPr>
          <w:lang w:val="en-GB"/>
        </w:rPr>
        <w:t>easures set out in the Revitali</w:t>
      </w:r>
      <w:r>
        <w:rPr>
          <w:lang w:val="en-GB"/>
        </w:rPr>
        <w:t>s</w:t>
      </w:r>
      <w:r w:rsidR="008D0607" w:rsidRPr="00A307C6">
        <w:rPr>
          <w:lang w:val="en-GB"/>
        </w:rPr>
        <w:t xml:space="preserve">ed Peace Agreement, if implemented, </w:t>
      </w:r>
      <w:r w:rsidR="00F402B7">
        <w:rPr>
          <w:lang w:val="en-GB"/>
        </w:rPr>
        <w:t xml:space="preserve">provide the </w:t>
      </w:r>
      <w:r w:rsidR="008D0607" w:rsidRPr="00A307C6">
        <w:rPr>
          <w:lang w:val="en-GB"/>
        </w:rPr>
        <w:t>tools to address th</w:t>
      </w:r>
      <w:r>
        <w:rPr>
          <w:lang w:val="en-GB"/>
        </w:rPr>
        <w:t>is</w:t>
      </w:r>
      <w:r w:rsidR="008D0607" w:rsidRPr="00A307C6">
        <w:rPr>
          <w:lang w:val="en-GB"/>
        </w:rPr>
        <w:t xml:space="preserve"> situation</w:t>
      </w:r>
      <w:r>
        <w:rPr>
          <w:lang w:val="en-GB"/>
        </w:rPr>
        <w:t>. Th</w:t>
      </w:r>
      <w:r w:rsidR="00393112">
        <w:rPr>
          <w:lang w:val="en-GB"/>
        </w:rPr>
        <w:t xml:space="preserve">ese </w:t>
      </w:r>
      <w:r>
        <w:rPr>
          <w:lang w:val="en-GB"/>
        </w:rPr>
        <w:t>include measures in:</w:t>
      </w:r>
      <w:r w:rsidR="008D0607" w:rsidRPr="00A307C6">
        <w:rPr>
          <w:lang w:val="en-GB"/>
        </w:rPr>
        <w:t xml:space="preserve"> Chapter II on the security sector, Chapter IV on financial management, and Chapter V on transitional justice processes. The failure on the part of the Revitali</w:t>
      </w:r>
      <w:r>
        <w:rPr>
          <w:lang w:val="en-GB"/>
        </w:rPr>
        <w:t>s</w:t>
      </w:r>
      <w:r w:rsidR="008D0607" w:rsidRPr="00A307C6">
        <w:rPr>
          <w:lang w:val="en-GB"/>
        </w:rPr>
        <w:t xml:space="preserve">ed Government to implement these </w:t>
      </w:r>
      <w:r w:rsidR="00393112">
        <w:rPr>
          <w:lang w:val="en-GB"/>
        </w:rPr>
        <w:t>C</w:t>
      </w:r>
      <w:r w:rsidR="008D0607" w:rsidRPr="00A307C6">
        <w:rPr>
          <w:lang w:val="en-GB"/>
        </w:rPr>
        <w:t xml:space="preserve">hapters constitutes a lost opportunity to address the </w:t>
      </w:r>
      <w:r>
        <w:rPr>
          <w:lang w:val="en-GB"/>
        </w:rPr>
        <w:t xml:space="preserve">causes and consequences of </w:t>
      </w:r>
      <w:r w:rsidR="008D0607" w:rsidRPr="00A307C6">
        <w:rPr>
          <w:lang w:val="en-GB"/>
        </w:rPr>
        <w:t>sexual and gender-based violence</w:t>
      </w:r>
      <w:r>
        <w:rPr>
          <w:lang w:val="en-GB"/>
        </w:rPr>
        <w:t xml:space="preserve">, by resolving conflict, </w:t>
      </w:r>
      <w:r w:rsidR="008D0607" w:rsidRPr="00A307C6">
        <w:rPr>
          <w:lang w:val="en-GB"/>
        </w:rPr>
        <w:t>reform</w:t>
      </w:r>
      <w:r>
        <w:rPr>
          <w:lang w:val="en-GB"/>
        </w:rPr>
        <w:t>ing</w:t>
      </w:r>
      <w:r w:rsidR="008D0607" w:rsidRPr="00A307C6">
        <w:rPr>
          <w:lang w:val="en-GB"/>
        </w:rPr>
        <w:t xml:space="preserve"> the armed forces </w:t>
      </w:r>
      <w:r w:rsidR="00F402B7">
        <w:rPr>
          <w:lang w:val="en-GB"/>
        </w:rPr>
        <w:t xml:space="preserve">whose </w:t>
      </w:r>
      <w:r w:rsidR="008D0607" w:rsidRPr="00A307C6">
        <w:rPr>
          <w:lang w:val="en-GB"/>
        </w:rPr>
        <w:t>members are engaged in such violence, and fund</w:t>
      </w:r>
      <w:r>
        <w:rPr>
          <w:lang w:val="en-GB"/>
        </w:rPr>
        <w:t>ing</w:t>
      </w:r>
      <w:r w:rsidR="008D0607" w:rsidRPr="00A307C6">
        <w:rPr>
          <w:lang w:val="en-GB"/>
        </w:rPr>
        <w:t xml:space="preserve"> the </w:t>
      </w:r>
      <w:r w:rsidR="00F402B7">
        <w:rPr>
          <w:lang w:val="en-GB"/>
        </w:rPr>
        <w:t xml:space="preserve">support </w:t>
      </w:r>
      <w:r w:rsidR="008D0607" w:rsidRPr="00A307C6">
        <w:rPr>
          <w:lang w:val="en-GB"/>
        </w:rPr>
        <w:t>services for victims. Without these steps, conflict and insecurity across the country will deepen</w:t>
      </w:r>
      <w:r w:rsidR="00977C71">
        <w:rPr>
          <w:lang w:val="en-GB"/>
        </w:rPr>
        <w:t xml:space="preserve">, </w:t>
      </w:r>
      <w:r w:rsidR="008D0607" w:rsidRPr="00A307C6">
        <w:rPr>
          <w:lang w:val="en-GB"/>
        </w:rPr>
        <w:t xml:space="preserve">an atmosphere of impunity and lawlessness </w:t>
      </w:r>
      <w:r w:rsidR="00977C71">
        <w:rPr>
          <w:lang w:val="en-GB"/>
        </w:rPr>
        <w:t xml:space="preserve">will prevail, and </w:t>
      </w:r>
      <w:r w:rsidR="008D0607" w:rsidRPr="00A307C6">
        <w:rPr>
          <w:lang w:val="en-GB"/>
        </w:rPr>
        <w:t>sexual violence will persist.</w:t>
      </w:r>
    </w:p>
    <w:p w14:paraId="2CDCBC7D" w14:textId="6A20FC4A" w:rsidR="00977C71" w:rsidRPr="006E7CD7" w:rsidRDefault="00923486" w:rsidP="008D0607">
      <w:pPr>
        <w:pStyle w:val="Paragraph"/>
        <w:rPr>
          <w:color w:val="222222"/>
          <w:lang w:val="en-GB"/>
        </w:rPr>
      </w:pPr>
      <w:r>
        <w:rPr>
          <w:lang w:val="en-GB"/>
        </w:rPr>
        <w:t>A</w:t>
      </w:r>
      <w:r w:rsidR="008D0607" w:rsidRPr="00BC49D2">
        <w:rPr>
          <w:lang w:val="en-GB"/>
        </w:rPr>
        <w:t xml:space="preserve">dvances in the implementation of accountability mechanisms for sexual violence in conflict </w:t>
      </w:r>
      <w:r w:rsidR="00977C71">
        <w:rPr>
          <w:lang w:val="en-GB"/>
        </w:rPr>
        <w:t>remain</w:t>
      </w:r>
      <w:r>
        <w:rPr>
          <w:lang w:val="en-GB"/>
        </w:rPr>
        <w:t xml:space="preserve"> </w:t>
      </w:r>
      <w:r w:rsidR="00F402B7">
        <w:rPr>
          <w:lang w:val="en-GB"/>
        </w:rPr>
        <w:t>ad hoc</w:t>
      </w:r>
      <w:r w:rsidR="00977C71">
        <w:rPr>
          <w:lang w:val="en-GB"/>
        </w:rPr>
        <w:t xml:space="preserve"> in nature</w:t>
      </w:r>
      <w:r w:rsidR="00393112">
        <w:rPr>
          <w:lang w:val="en-GB"/>
        </w:rPr>
        <w:t xml:space="preserve"> and are </w:t>
      </w:r>
      <w:r w:rsidR="008D0607" w:rsidRPr="00BC49D2">
        <w:rPr>
          <w:lang w:val="en-GB"/>
        </w:rPr>
        <w:t xml:space="preserve">woefully insufficient. </w:t>
      </w:r>
      <w:r w:rsidR="008D0607" w:rsidRPr="00A307C6">
        <w:rPr>
          <w:lang w:val="en-GB"/>
        </w:rPr>
        <w:t>Military court</w:t>
      </w:r>
      <w:r w:rsidR="00977C71">
        <w:rPr>
          <w:lang w:val="en-GB"/>
        </w:rPr>
        <w:t>s</w:t>
      </w:r>
      <w:r w:rsidR="008D0607" w:rsidRPr="00A307C6">
        <w:rPr>
          <w:lang w:val="en-GB"/>
        </w:rPr>
        <w:t xml:space="preserve"> martial established to prosecute </w:t>
      </w:r>
      <w:r w:rsidR="008D0607" w:rsidRPr="00A307C6">
        <w:rPr>
          <w:lang w:val="en-GB"/>
        </w:rPr>
        <w:lastRenderedPageBreak/>
        <w:t xml:space="preserve">identified military personnel have been </w:t>
      </w:r>
      <w:r>
        <w:rPr>
          <w:lang w:val="en-GB"/>
        </w:rPr>
        <w:t xml:space="preserve">rare </w:t>
      </w:r>
      <w:r w:rsidR="008D0607" w:rsidRPr="00A307C6">
        <w:rPr>
          <w:lang w:val="en-GB"/>
        </w:rPr>
        <w:t xml:space="preserve">and have tended to prosecute ordinary soldiers rather than commanders. While the establishment of mobile courts is to be lauded, the failure by the Government and the political leadership to hold accountable high-ranking perpetrators in the military for sexual violence </w:t>
      </w:r>
      <w:r w:rsidR="00393112">
        <w:rPr>
          <w:lang w:val="en-GB"/>
        </w:rPr>
        <w:t xml:space="preserve">undermines these </w:t>
      </w:r>
      <w:r w:rsidR="008D0607" w:rsidRPr="00A307C6">
        <w:rPr>
          <w:lang w:val="en-GB"/>
        </w:rPr>
        <w:t xml:space="preserve">initiatives and renders </w:t>
      </w:r>
      <w:r w:rsidR="00393112">
        <w:rPr>
          <w:lang w:val="en-GB"/>
        </w:rPr>
        <w:t xml:space="preserve">the various </w:t>
      </w:r>
      <w:r w:rsidR="008D0607" w:rsidRPr="00A307C6">
        <w:rPr>
          <w:lang w:val="en-GB"/>
        </w:rPr>
        <w:t xml:space="preserve">action plans </w:t>
      </w:r>
      <w:r w:rsidR="00393112">
        <w:rPr>
          <w:lang w:val="en-GB"/>
        </w:rPr>
        <w:t xml:space="preserve">rather </w:t>
      </w:r>
      <w:r w:rsidR="008D0607" w:rsidRPr="00A307C6">
        <w:rPr>
          <w:lang w:val="en-GB"/>
        </w:rPr>
        <w:t>meaningless. </w:t>
      </w:r>
    </w:p>
    <w:p w14:paraId="754D5033" w14:textId="34BF9C1C" w:rsidR="008D0607" w:rsidRPr="00A307C6" w:rsidRDefault="008D0607" w:rsidP="008D0607">
      <w:pPr>
        <w:pStyle w:val="Paragraph"/>
        <w:rPr>
          <w:color w:val="222222"/>
          <w:lang w:val="en-GB"/>
        </w:rPr>
      </w:pPr>
      <w:r w:rsidRPr="00A307C6">
        <w:rPr>
          <w:lang w:val="en-GB"/>
        </w:rPr>
        <w:t>Furthermore, impunity for crimes of sexual and gender-based violence committed by high-ranking officials contributes to creating a</w:t>
      </w:r>
      <w:r w:rsidR="00721554">
        <w:rPr>
          <w:lang w:val="en-GB"/>
        </w:rPr>
        <w:t>n</w:t>
      </w:r>
      <w:r w:rsidRPr="00A307C6">
        <w:rPr>
          <w:lang w:val="en-GB"/>
        </w:rPr>
        <w:t xml:space="preserve"> environment in which sexual violence proliferates</w:t>
      </w:r>
      <w:r w:rsidR="00BC49D2">
        <w:rPr>
          <w:lang w:val="en-GB"/>
        </w:rPr>
        <w:t>. Therefore, w</w:t>
      </w:r>
      <w:r w:rsidR="00BC49D2" w:rsidRPr="00A307C6">
        <w:rPr>
          <w:lang w:val="en-GB"/>
        </w:rPr>
        <w:t>hile nascent judicial processes addressing cases of sexual violence in conflict are to be welcomed and recognized, they must be viewed in the context of their limitations and challenges related to these processes – which include military courts and mobile courts, both of whose contributions must be scaled up to strengthen the capacity of the judicial system to handle these cases.</w:t>
      </w:r>
      <w:r w:rsidRPr="00A307C6">
        <w:rPr>
          <w:lang w:val="en-GB"/>
        </w:rPr>
        <w:t xml:space="preserve"> </w:t>
      </w:r>
    </w:p>
    <w:p w14:paraId="39715962" w14:textId="3B370D30" w:rsidR="008D0607" w:rsidRDefault="008D0607" w:rsidP="008D0607">
      <w:pPr>
        <w:pStyle w:val="Paragraph"/>
        <w:rPr>
          <w:lang w:val="en-GB"/>
        </w:rPr>
      </w:pPr>
      <w:r w:rsidRPr="00A307C6">
        <w:rPr>
          <w:lang w:val="en-GB"/>
        </w:rPr>
        <w:t xml:space="preserve">Victims </w:t>
      </w:r>
      <w:r w:rsidR="00BC49D2">
        <w:rPr>
          <w:lang w:val="en-GB"/>
        </w:rPr>
        <w:t xml:space="preserve">still </w:t>
      </w:r>
      <w:r w:rsidRPr="00A307C6">
        <w:rPr>
          <w:lang w:val="en-GB"/>
        </w:rPr>
        <w:t>have very few incentives and opportunities to pursue justice. They confront a range of obstacles to reporting sexual violence particularly in conflict-affected contexts. In addition, social stigma and abandonment by partners</w:t>
      </w:r>
      <w:r w:rsidR="00721554">
        <w:rPr>
          <w:lang w:val="en-GB"/>
        </w:rPr>
        <w:t>,</w:t>
      </w:r>
      <w:r w:rsidRPr="00A307C6">
        <w:rPr>
          <w:lang w:val="en-GB"/>
        </w:rPr>
        <w:t xml:space="preserve"> as well as death threats from perpetrators</w:t>
      </w:r>
      <w:r w:rsidR="00721554">
        <w:rPr>
          <w:lang w:val="en-GB"/>
        </w:rPr>
        <w:t>,</w:t>
      </w:r>
      <w:r w:rsidRPr="00A307C6">
        <w:rPr>
          <w:lang w:val="en-GB"/>
        </w:rPr>
        <w:t xml:space="preserve"> contribute to underreporting </w:t>
      </w:r>
      <w:r w:rsidR="00721554">
        <w:rPr>
          <w:lang w:val="en-GB"/>
        </w:rPr>
        <w:t xml:space="preserve">of </w:t>
      </w:r>
      <w:r w:rsidRPr="00A307C6">
        <w:rPr>
          <w:lang w:val="en-GB"/>
        </w:rPr>
        <w:t>conflict</w:t>
      </w:r>
      <w:r w:rsidR="00721554">
        <w:rPr>
          <w:lang w:val="en-GB"/>
        </w:rPr>
        <w:t>-</w:t>
      </w:r>
      <w:r w:rsidRPr="00A307C6">
        <w:rPr>
          <w:lang w:val="en-GB"/>
        </w:rPr>
        <w:t>related sexual violence. The courage of brave women and girls and the organizations that support their quest for justice is a vindication of the desire for justice and accountability. Reparations including assist</w:t>
      </w:r>
      <w:r w:rsidR="00923486">
        <w:rPr>
          <w:lang w:val="en-GB"/>
        </w:rPr>
        <w:t>ance for</w:t>
      </w:r>
      <w:r w:rsidRPr="00A307C6">
        <w:rPr>
          <w:lang w:val="en-GB"/>
        </w:rPr>
        <w:t xml:space="preserve"> their immediate needs </w:t>
      </w:r>
      <w:r w:rsidR="00393112">
        <w:rPr>
          <w:lang w:val="en-GB"/>
        </w:rPr>
        <w:t>are</w:t>
      </w:r>
      <w:r w:rsidRPr="00A307C6">
        <w:rPr>
          <w:lang w:val="en-GB"/>
        </w:rPr>
        <w:t xml:space="preserve"> urgently required.</w:t>
      </w:r>
    </w:p>
    <w:p w14:paraId="10718631" w14:textId="3EB461E8" w:rsidR="00721554" w:rsidRDefault="00721554" w:rsidP="008D0607">
      <w:pPr>
        <w:pStyle w:val="Paragraph"/>
        <w:rPr>
          <w:lang w:val="en-GB"/>
        </w:rPr>
      </w:pPr>
      <w:r w:rsidRPr="00CC7286">
        <w:rPr>
          <w:lang w:val="en-GB"/>
        </w:rPr>
        <w:t xml:space="preserve">Decades </w:t>
      </w:r>
      <w:r w:rsidRPr="00F402B7">
        <w:rPr>
          <w:lang w:val="en-GB"/>
        </w:rPr>
        <w:t>of conflict ha</w:t>
      </w:r>
      <w:r w:rsidR="00393112">
        <w:rPr>
          <w:lang w:val="en-GB"/>
        </w:rPr>
        <w:t>ve</w:t>
      </w:r>
      <w:r w:rsidRPr="00CC7286">
        <w:rPr>
          <w:lang w:val="en-GB"/>
        </w:rPr>
        <w:t xml:space="preserve"> </w:t>
      </w:r>
      <w:r w:rsidRPr="00F402B7">
        <w:rPr>
          <w:lang w:val="en-GB"/>
        </w:rPr>
        <w:t xml:space="preserve">resulted in hundreds of </w:t>
      </w:r>
      <w:r w:rsidRPr="00CC7286">
        <w:rPr>
          <w:lang w:val="en-GB"/>
        </w:rPr>
        <w:t xml:space="preserve">thousands of </w:t>
      </w:r>
      <w:r w:rsidRPr="00F402B7">
        <w:rPr>
          <w:lang w:val="en-GB"/>
        </w:rPr>
        <w:t xml:space="preserve">victims of sexual violence and conflict related sexual violence. Tragically, the impact of these violations has far-reaching consequences for women and girls, including unwanted pregnancies and children born as a result of rape. These women and girls </w:t>
      </w:r>
      <w:r w:rsidRPr="00CB526A">
        <w:rPr>
          <w:lang w:val="en-GB"/>
        </w:rPr>
        <w:t>also face serious physical and psychological consequences, physical disability, stigma and exclusion. Addressing the consequences of conflict-related sexual violence in isolation from the larger context</w:t>
      </w:r>
      <w:r w:rsidRPr="00BC49D2">
        <w:rPr>
          <w:lang w:val="en-GB"/>
        </w:rPr>
        <w:t xml:space="preserve"> of violence that women and girls </w:t>
      </w:r>
      <w:r>
        <w:rPr>
          <w:lang w:val="en-GB"/>
        </w:rPr>
        <w:t xml:space="preserve">face limits </w:t>
      </w:r>
      <w:r w:rsidRPr="00BC49D2">
        <w:rPr>
          <w:lang w:val="en-GB"/>
        </w:rPr>
        <w:t>appropriate response</w:t>
      </w:r>
      <w:r>
        <w:rPr>
          <w:lang w:val="en-GB"/>
        </w:rPr>
        <w:t>s</w:t>
      </w:r>
      <w:r w:rsidRPr="00BC49D2">
        <w:rPr>
          <w:lang w:val="en-GB"/>
        </w:rPr>
        <w:t xml:space="preserve">. While One Stop Centres and a network of social workers exist in various states, they are </w:t>
      </w:r>
      <w:r>
        <w:rPr>
          <w:lang w:val="en-GB"/>
        </w:rPr>
        <w:t xml:space="preserve">too </w:t>
      </w:r>
      <w:r w:rsidRPr="00BC49D2">
        <w:rPr>
          <w:lang w:val="en-GB"/>
        </w:rPr>
        <w:t xml:space="preserve">few to deal with the vast needs. The requisite medical, psychosocial and economic support for survivors demands robust and deliberate investment on the part of </w:t>
      </w:r>
      <w:r w:rsidR="00594372">
        <w:rPr>
          <w:lang w:val="en-GB"/>
        </w:rPr>
        <w:t xml:space="preserve">the </w:t>
      </w:r>
      <w:r w:rsidRPr="00BC49D2">
        <w:rPr>
          <w:lang w:val="en-GB"/>
        </w:rPr>
        <w:t>Government.</w:t>
      </w:r>
    </w:p>
    <w:p w14:paraId="1CE32B1C" w14:textId="5094ECE6" w:rsidR="008D0607" w:rsidRPr="00A307C6" w:rsidRDefault="008D0607" w:rsidP="00E15BC8">
      <w:pPr>
        <w:pStyle w:val="Paragraph"/>
        <w:rPr>
          <w:lang w:val="en-GB"/>
        </w:rPr>
      </w:pPr>
      <w:r w:rsidRPr="00A307C6">
        <w:rPr>
          <w:lang w:val="en-GB"/>
        </w:rPr>
        <w:t>The onus rests on the Government of South Sudan to take decisive and transformative measures to ensure prevention</w:t>
      </w:r>
      <w:r w:rsidR="00721554">
        <w:rPr>
          <w:lang w:val="en-GB"/>
        </w:rPr>
        <w:t xml:space="preserve"> of, and</w:t>
      </w:r>
      <w:r w:rsidRPr="00A307C6">
        <w:rPr>
          <w:lang w:val="en-GB"/>
        </w:rPr>
        <w:t xml:space="preserve"> protection</w:t>
      </w:r>
      <w:r w:rsidR="00721554">
        <w:rPr>
          <w:lang w:val="en-GB"/>
        </w:rPr>
        <w:t xml:space="preserve"> against</w:t>
      </w:r>
      <w:r w:rsidRPr="00A307C6">
        <w:rPr>
          <w:lang w:val="en-GB"/>
        </w:rPr>
        <w:t>,</w:t>
      </w:r>
      <w:r w:rsidR="00721554">
        <w:rPr>
          <w:lang w:val="en-GB"/>
        </w:rPr>
        <w:t xml:space="preserve"> conflict-related sexual </w:t>
      </w:r>
      <w:r w:rsidR="00AC3A75">
        <w:rPr>
          <w:lang w:val="en-GB"/>
        </w:rPr>
        <w:t xml:space="preserve">violence, and gender-based violence, and to </w:t>
      </w:r>
      <w:r w:rsidRPr="00A307C6">
        <w:rPr>
          <w:lang w:val="en-GB"/>
        </w:rPr>
        <w:t>provide remedies for the victims</w:t>
      </w:r>
      <w:r w:rsidR="00AC3A75">
        <w:rPr>
          <w:lang w:val="en-GB"/>
        </w:rPr>
        <w:t xml:space="preserve"> and </w:t>
      </w:r>
      <w:r w:rsidRPr="00A307C6">
        <w:rPr>
          <w:lang w:val="en-GB"/>
        </w:rPr>
        <w:t xml:space="preserve">survivors in a </w:t>
      </w:r>
      <w:r w:rsidR="00AC3A75">
        <w:rPr>
          <w:lang w:val="en-GB"/>
        </w:rPr>
        <w:t xml:space="preserve">challenging </w:t>
      </w:r>
      <w:r w:rsidRPr="00A307C6">
        <w:rPr>
          <w:lang w:val="en-GB"/>
        </w:rPr>
        <w:t xml:space="preserve">context of heightened insecurity. </w:t>
      </w:r>
      <w:r w:rsidR="00AC3A75">
        <w:rPr>
          <w:lang w:val="en-GB"/>
        </w:rPr>
        <w:t>If</w:t>
      </w:r>
      <w:r w:rsidRPr="00A307C6">
        <w:rPr>
          <w:lang w:val="en-GB"/>
        </w:rPr>
        <w:t xml:space="preserve"> </w:t>
      </w:r>
      <w:r w:rsidR="00AC3A75">
        <w:rPr>
          <w:lang w:val="en-GB"/>
        </w:rPr>
        <w:t xml:space="preserve">key </w:t>
      </w:r>
      <w:r w:rsidRPr="00A307C6">
        <w:rPr>
          <w:lang w:val="en-GB"/>
        </w:rPr>
        <w:t xml:space="preserve">provisions </w:t>
      </w:r>
      <w:r w:rsidR="00AC3A75">
        <w:rPr>
          <w:lang w:val="en-GB"/>
        </w:rPr>
        <w:t xml:space="preserve">of the Revitalised Agreement </w:t>
      </w:r>
      <w:r w:rsidRPr="00A307C6">
        <w:rPr>
          <w:lang w:val="en-GB"/>
        </w:rPr>
        <w:t xml:space="preserve">on </w:t>
      </w:r>
      <w:r w:rsidR="00AC3A75">
        <w:rPr>
          <w:lang w:val="en-GB"/>
        </w:rPr>
        <w:t xml:space="preserve">security arrangements and </w:t>
      </w:r>
      <w:r w:rsidRPr="00A307C6">
        <w:rPr>
          <w:lang w:val="en-GB"/>
        </w:rPr>
        <w:t xml:space="preserve">the integration of forces </w:t>
      </w:r>
      <w:r w:rsidR="00AC3A75">
        <w:rPr>
          <w:lang w:val="en-GB"/>
        </w:rPr>
        <w:t xml:space="preserve">had </w:t>
      </w:r>
      <w:r w:rsidRPr="00A307C6">
        <w:rPr>
          <w:lang w:val="en-GB"/>
        </w:rPr>
        <w:t xml:space="preserve">been implemented, </w:t>
      </w:r>
      <w:r w:rsidR="00AC3A75">
        <w:rPr>
          <w:lang w:val="en-GB"/>
        </w:rPr>
        <w:t xml:space="preserve">this </w:t>
      </w:r>
      <w:r w:rsidRPr="00A307C6">
        <w:rPr>
          <w:lang w:val="en-GB"/>
        </w:rPr>
        <w:t xml:space="preserve">could have </w:t>
      </w:r>
      <w:r w:rsidR="00AC3A75">
        <w:rPr>
          <w:lang w:val="en-GB"/>
        </w:rPr>
        <w:t>helped to reduce incidents of sexual predation, by</w:t>
      </w:r>
      <w:r w:rsidRPr="00A307C6">
        <w:rPr>
          <w:lang w:val="en-GB"/>
        </w:rPr>
        <w:t xml:space="preserve"> remov</w:t>
      </w:r>
      <w:r w:rsidR="00AC3A75">
        <w:rPr>
          <w:lang w:val="en-GB"/>
        </w:rPr>
        <w:t>ing</w:t>
      </w:r>
      <w:r w:rsidRPr="00A307C6">
        <w:rPr>
          <w:lang w:val="en-GB"/>
        </w:rPr>
        <w:t xml:space="preserve"> armed forces from </w:t>
      </w:r>
      <w:r w:rsidR="00AC3A75">
        <w:rPr>
          <w:lang w:val="en-GB"/>
        </w:rPr>
        <w:t xml:space="preserve">the </w:t>
      </w:r>
      <w:r w:rsidRPr="00A307C6">
        <w:rPr>
          <w:lang w:val="en-GB"/>
        </w:rPr>
        <w:t xml:space="preserve">proximity </w:t>
      </w:r>
      <w:r w:rsidR="00AC3A75">
        <w:rPr>
          <w:lang w:val="en-GB"/>
        </w:rPr>
        <w:t xml:space="preserve">of </w:t>
      </w:r>
      <w:r w:rsidRPr="00A307C6">
        <w:rPr>
          <w:lang w:val="en-GB"/>
        </w:rPr>
        <w:t>civilian populations</w:t>
      </w:r>
      <w:r w:rsidR="00AC3A75">
        <w:rPr>
          <w:lang w:val="en-GB"/>
        </w:rPr>
        <w:t xml:space="preserve">. </w:t>
      </w:r>
      <w:r w:rsidR="0052282B">
        <w:rPr>
          <w:lang w:val="en-GB"/>
        </w:rPr>
        <w:t>Implementation of t</w:t>
      </w:r>
      <w:r w:rsidRPr="00A307C6">
        <w:rPr>
          <w:lang w:val="en-GB"/>
        </w:rPr>
        <w:t xml:space="preserve">ransitional justice </w:t>
      </w:r>
      <w:r w:rsidR="0052282B">
        <w:rPr>
          <w:lang w:val="en-GB"/>
        </w:rPr>
        <w:t xml:space="preserve">measures would have </w:t>
      </w:r>
      <w:r w:rsidR="00E15BC8">
        <w:rPr>
          <w:lang w:val="en-GB"/>
        </w:rPr>
        <w:t xml:space="preserve">helped </w:t>
      </w:r>
      <w:r w:rsidR="0052282B">
        <w:rPr>
          <w:lang w:val="en-GB"/>
        </w:rPr>
        <w:t xml:space="preserve">to </w:t>
      </w:r>
      <w:r w:rsidRPr="00A307C6">
        <w:rPr>
          <w:lang w:val="en-GB"/>
        </w:rPr>
        <w:t>secur</w:t>
      </w:r>
      <w:r w:rsidR="00E15BC8">
        <w:rPr>
          <w:lang w:val="en-GB"/>
        </w:rPr>
        <w:t>e</w:t>
      </w:r>
      <w:r w:rsidRPr="00A307C6">
        <w:rPr>
          <w:lang w:val="en-GB"/>
        </w:rPr>
        <w:t xml:space="preserve"> the safety and security of women and girls, </w:t>
      </w:r>
      <w:r w:rsidR="0052282B">
        <w:rPr>
          <w:lang w:val="en-GB"/>
        </w:rPr>
        <w:t>by taking steps towards the pursuit of ju</w:t>
      </w:r>
      <w:r w:rsidRPr="00A307C6">
        <w:rPr>
          <w:lang w:val="en-GB"/>
        </w:rPr>
        <w:t>stice and accountability for conflict</w:t>
      </w:r>
      <w:r w:rsidR="0052282B">
        <w:rPr>
          <w:lang w:val="en-GB"/>
        </w:rPr>
        <w:t>-</w:t>
      </w:r>
      <w:r w:rsidRPr="00A307C6">
        <w:rPr>
          <w:lang w:val="en-GB"/>
        </w:rPr>
        <w:t xml:space="preserve">related sexual violence. </w:t>
      </w:r>
    </w:p>
    <w:p w14:paraId="1313A08C" w14:textId="5543335A" w:rsidR="00270A13" w:rsidRPr="00A307C6" w:rsidRDefault="00270A13" w:rsidP="009E6E96">
      <w:pPr>
        <w:pStyle w:val="H1G"/>
        <w:rPr>
          <w:bCs/>
        </w:rPr>
      </w:pPr>
      <w:bookmarkStart w:id="93" w:name="_Toc98226837"/>
      <w:bookmarkStart w:id="94" w:name="_Toc98606478"/>
      <w:r w:rsidRPr="00A307C6">
        <w:t>Recommendations</w:t>
      </w:r>
      <w:bookmarkEnd w:id="93"/>
      <w:bookmarkEnd w:id="94"/>
    </w:p>
    <w:p w14:paraId="400157B0" w14:textId="7BCB0298" w:rsidR="00270A13" w:rsidRDefault="00270A13" w:rsidP="00FF077A">
      <w:pPr>
        <w:pStyle w:val="Paragraph"/>
        <w:rPr>
          <w:lang w:val="en-GB"/>
        </w:rPr>
      </w:pPr>
      <w:r w:rsidRPr="00A307C6">
        <w:rPr>
          <w:lang w:val="en-GB"/>
        </w:rPr>
        <w:t>The Commission recommends that the Government should:</w:t>
      </w:r>
    </w:p>
    <w:p w14:paraId="243329DD" w14:textId="21379F8C" w:rsidR="00241E42" w:rsidRDefault="00241E42" w:rsidP="005A6B2E">
      <w:pPr>
        <w:pStyle w:val="Paragraph"/>
        <w:numPr>
          <w:ilvl w:val="1"/>
          <w:numId w:val="12"/>
        </w:numPr>
        <w:rPr>
          <w:lang w:val="en-GB"/>
        </w:rPr>
      </w:pPr>
      <w:r>
        <w:rPr>
          <w:lang w:val="en-GB"/>
        </w:rPr>
        <w:t xml:space="preserve">Commit publicly to a ‘zero tolerance policy’ </w:t>
      </w:r>
      <w:r w:rsidR="0052282B">
        <w:rPr>
          <w:lang w:val="en-GB"/>
        </w:rPr>
        <w:t>towards</w:t>
      </w:r>
      <w:r>
        <w:rPr>
          <w:lang w:val="en-GB"/>
        </w:rPr>
        <w:t xml:space="preserve"> sexual and gender</w:t>
      </w:r>
      <w:r w:rsidR="003323ED">
        <w:rPr>
          <w:lang w:val="en-GB"/>
        </w:rPr>
        <w:t>-</w:t>
      </w:r>
      <w:r>
        <w:rPr>
          <w:lang w:val="en-GB"/>
        </w:rPr>
        <w:t xml:space="preserve">based violence perpetrated in and outside of conflict and </w:t>
      </w:r>
      <w:r w:rsidR="003323ED">
        <w:rPr>
          <w:lang w:val="en-GB"/>
        </w:rPr>
        <w:t xml:space="preserve">to </w:t>
      </w:r>
      <w:r>
        <w:rPr>
          <w:lang w:val="en-GB"/>
        </w:rPr>
        <w:t>remov</w:t>
      </w:r>
      <w:r w:rsidR="003323ED">
        <w:rPr>
          <w:lang w:val="en-GB"/>
        </w:rPr>
        <w:t xml:space="preserve">ing senior officials </w:t>
      </w:r>
      <w:r w:rsidR="0052282B">
        <w:rPr>
          <w:lang w:val="en-GB"/>
        </w:rPr>
        <w:t xml:space="preserve">implicated in sexual violence, </w:t>
      </w:r>
      <w:r w:rsidR="003323ED">
        <w:rPr>
          <w:lang w:val="en-GB"/>
        </w:rPr>
        <w:t xml:space="preserve">including Cabinet </w:t>
      </w:r>
      <w:r>
        <w:rPr>
          <w:lang w:val="en-GB"/>
        </w:rPr>
        <w:t xml:space="preserve">ministers, senior government officials </w:t>
      </w:r>
      <w:r w:rsidR="003323ED">
        <w:rPr>
          <w:lang w:val="en-GB"/>
        </w:rPr>
        <w:t xml:space="preserve">and </w:t>
      </w:r>
      <w:r>
        <w:rPr>
          <w:lang w:val="en-GB"/>
        </w:rPr>
        <w:t>Gove</w:t>
      </w:r>
      <w:r w:rsidR="0052282B">
        <w:rPr>
          <w:lang w:val="en-GB"/>
        </w:rPr>
        <w:t>r</w:t>
      </w:r>
      <w:r>
        <w:rPr>
          <w:lang w:val="en-GB"/>
        </w:rPr>
        <w:t>nors from office</w:t>
      </w:r>
      <w:r w:rsidR="0052282B">
        <w:rPr>
          <w:lang w:val="en-GB"/>
        </w:rPr>
        <w:t xml:space="preserve">. </w:t>
      </w:r>
      <w:r w:rsidR="008565EA">
        <w:rPr>
          <w:lang w:val="en-GB"/>
        </w:rPr>
        <w:t>The Government should ensure</w:t>
      </w:r>
      <w:r>
        <w:rPr>
          <w:lang w:val="en-GB"/>
        </w:rPr>
        <w:t xml:space="preserve"> that </w:t>
      </w:r>
      <w:r w:rsidR="008565EA">
        <w:rPr>
          <w:lang w:val="en-GB"/>
        </w:rPr>
        <w:t xml:space="preserve">perpetrators </w:t>
      </w:r>
      <w:r>
        <w:rPr>
          <w:lang w:val="en-GB"/>
        </w:rPr>
        <w:t>are held accountable</w:t>
      </w:r>
      <w:r w:rsidR="003323ED">
        <w:rPr>
          <w:lang w:val="en-GB"/>
        </w:rPr>
        <w:t xml:space="preserve"> and that victims are assisted</w:t>
      </w:r>
      <w:r w:rsidR="0052282B">
        <w:rPr>
          <w:lang w:val="en-GB"/>
        </w:rPr>
        <w:t>, including</w:t>
      </w:r>
      <w:r w:rsidR="003323ED">
        <w:rPr>
          <w:lang w:val="en-GB"/>
        </w:rPr>
        <w:t xml:space="preserve"> with legal representation</w:t>
      </w:r>
      <w:r w:rsidR="0052282B">
        <w:rPr>
          <w:lang w:val="en-GB"/>
        </w:rPr>
        <w:t>,</w:t>
      </w:r>
      <w:r w:rsidR="003323ED">
        <w:rPr>
          <w:lang w:val="en-GB"/>
        </w:rPr>
        <w:t xml:space="preserve"> in accordance with their rights</w:t>
      </w:r>
      <w:r w:rsidR="0052282B">
        <w:rPr>
          <w:lang w:val="en-GB"/>
        </w:rPr>
        <w:t>.</w:t>
      </w:r>
    </w:p>
    <w:p w14:paraId="2AACBC9F" w14:textId="160460D6" w:rsidR="00241E42" w:rsidRDefault="00241E42" w:rsidP="005A6B2E">
      <w:pPr>
        <w:pStyle w:val="Paragraph"/>
        <w:numPr>
          <w:ilvl w:val="1"/>
          <w:numId w:val="12"/>
        </w:numPr>
        <w:rPr>
          <w:lang w:val="en-GB"/>
        </w:rPr>
      </w:pPr>
      <w:r>
        <w:rPr>
          <w:lang w:val="en-GB"/>
        </w:rPr>
        <w:t xml:space="preserve">Strengthen </w:t>
      </w:r>
      <w:r w:rsidR="004F2380">
        <w:rPr>
          <w:lang w:val="en-GB"/>
        </w:rPr>
        <w:t xml:space="preserve">the judicial system, in order to implement </w:t>
      </w:r>
      <w:r w:rsidR="004F2380" w:rsidRPr="004F2380">
        <w:rPr>
          <w:lang w:val="en-GB"/>
        </w:rPr>
        <w:t>Artic</w:t>
      </w:r>
      <w:r w:rsidR="004F2380" w:rsidRPr="003323ED">
        <w:rPr>
          <w:lang w:val="en-GB"/>
        </w:rPr>
        <w:t xml:space="preserve">le </w:t>
      </w:r>
      <w:r w:rsidR="004F2380" w:rsidRPr="006E7CD7">
        <w:rPr>
          <w:lang w:val="en-GB"/>
        </w:rPr>
        <w:t xml:space="preserve">2.1.10.2 </w:t>
      </w:r>
      <w:r w:rsidR="0052282B">
        <w:rPr>
          <w:lang w:val="en-GB"/>
        </w:rPr>
        <w:t>o</w:t>
      </w:r>
      <w:r w:rsidR="004F2380" w:rsidRPr="006E7CD7">
        <w:rPr>
          <w:lang w:val="en-GB"/>
        </w:rPr>
        <w:t>f the Revitali</w:t>
      </w:r>
      <w:r w:rsidR="0052282B">
        <w:rPr>
          <w:lang w:val="en-GB"/>
        </w:rPr>
        <w:t>s</w:t>
      </w:r>
      <w:r w:rsidR="004F2380" w:rsidRPr="006E7CD7">
        <w:rPr>
          <w:lang w:val="en-GB"/>
        </w:rPr>
        <w:t>ed</w:t>
      </w:r>
      <w:r w:rsidR="0052282B">
        <w:rPr>
          <w:lang w:val="en-GB"/>
        </w:rPr>
        <w:t xml:space="preserve"> Agreement</w:t>
      </w:r>
      <w:r w:rsidR="004F2380" w:rsidRPr="006E7CD7">
        <w:rPr>
          <w:lang w:val="en-GB"/>
        </w:rPr>
        <w:t xml:space="preserve"> to prevent sexual and gender</w:t>
      </w:r>
      <w:r w:rsidR="0052282B">
        <w:rPr>
          <w:lang w:val="en-GB"/>
        </w:rPr>
        <w:t>-</w:t>
      </w:r>
      <w:r w:rsidR="004F2380" w:rsidRPr="006E7CD7">
        <w:rPr>
          <w:lang w:val="en-GB"/>
        </w:rPr>
        <w:t>based violence against women and girl</w:t>
      </w:r>
      <w:r w:rsidR="0052282B">
        <w:rPr>
          <w:lang w:val="en-GB"/>
        </w:rPr>
        <w:t>s</w:t>
      </w:r>
      <w:r w:rsidR="004F2380" w:rsidRPr="006E7CD7">
        <w:rPr>
          <w:lang w:val="en-GB"/>
        </w:rPr>
        <w:t xml:space="preserve"> and combat impunity for perpetrators of such violence</w:t>
      </w:r>
      <w:r w:rsidR="0052282B">
        <w:rPr>
          <w:lang w:val="en-GB"/>
        </w:rPr>
        <w:t>,</w:t>
      </w:r>
      <w:r w:rsidR="004F2380" w:rsidRPr="006E7CD7">
        <w:rPr>
          <w:lang w:val="en-GB"/>
        </w:rPr>
        <w:t xml:space="preserve"> particularly members of the South Sudan People’s Defence Forces</w:t>
      </w:r>
      <w:r w:rsidR="00A42118">
        <w:rPr>
          <w:lang w:val="en-GB"/>
        </w:rPr>
        <w:t xml:space="preserve"> </w:t>
      </w:r>
      <w:r w:rsidR="004F2380" w:rsidRPr="006E7CD7">
        <w:rPr>
          <w:lang w:val="en-GB"/>
        </w:rPr>
        <w:t xml:space="preserve">(SSPDF) and </w:t>
      </w:r>
      <w:r w:rsidR="00A42118">
        <w:rPr>
          <w:lang w:val="en-GB"/>
        </w:rPr>
        <w:t xml:space="preserve">other </w:t>
      </w:r>
      <w:r w:rsidR="004F2380" w:rsidRPr="006E7CD7">
        <w:rPr>
          <w:lang w:val="en-GB"/>
        </w:rPr>
        <w:t>security sector</w:t>
      </w:r>
      <w:r w:rsidR="00A42118">
        <w:rPr>
          <w:lang w:val="en-GB"/>
        </w:rPr>
        <w:t xml:space="preserve"> actors.</w:t>
      </w:r>
    </w:p>
    <w:p w14:paraId="55635E0F" w14:textId="3B2D98DD" w:rsidR="00D97BB3" w:rsidRPr="006E7CD7" w:rsidRDefault="00241E42" w:rsidP="005A6B2E">
      <w:pPr>
        <w:pStyle w:val="Paragraph"/>
        <w:numPr>
          <w:ilvl w:val="1"/>
          <w:numId w:val="12"/>
        </w:numPr>
        <w:rPr>
          <w:lang w:val="en-GB"/>
        </w:rPr>
      </w:pPr>
      <w:r>
        <w:rPr>
          <w:lang w:val="en-GB"/>
        </w:rPr>
        <w:t>Immediately i</w:t>
      </w:r>
      <w:r w:rsidRPr="00F7494D">
        <w:rPr>
          <w:lang w:val="en-GB"/>
        </w:rPr>
        <w:t xml:space="preserve">mplement the 2014 </w:t>
      </w:r>
      <w:r w:rsidR="00CB526A">
        <w:rPr>
          <w:lang w:val="en-GB"/>
        </w:rPr>
        <w:t>J</w:t>
      </w:r>
      <w:r w:rsidRPr="00F7494D">
        <w:rPr>
          <w:lang w:val="en-GB"/>
        </w:rPr>
        <w:t xml:space="preserve">oint </w:t>
      </w:r>
      <w:r w:rsidR="00CB526A">
        <w:rPr>
          <w:lang w:val="en-GB"/>
        </w:rPr>
        <w:t>C</w:t>
      </w:r>
      <w:r w:rsidRPr="00F7494D">
        <w:rPr>
          <w:lang w:val="en-GB"/>
        </w:rPr>
        <w:t>ommuniqué, signed by the President of South Sudan and the United Nations, on addressing conflict-related sexual violence</w:t>
      </w:r>
      <w:r>
        <w:rPr>
          <w:lang w:val="en-GB"/>
        </w:rPr>
        <w:t xml:space="preserve"> and co</w:t>
      </w:r>
      <w:r w:rsidR="00B8556A">
        <w:rPr>
          <w:lang w:val="en-GB"/>
        </w:rPr>
        <w:t xml:space="preserve">mmit </w:t>
      </w:r>
      <w:r>
        <w:rPr>
          <w:lang w:val="en-GB"/>
        </w:rPr>
        <w:t xml:space="preserve">to providing clear </w:t>
      </w:r>
      <w:r w:rsidRPr="00F7494D">
        <w:rPr>
          <w:lang w:val="en-GB"/>
        </w:rPr>
        <w:t xml:space="preserve">orders </w:t>
      </w:r>
      <w:r w:rsidR="00A42118">
        <w:rPr>
          <w:lang w:val="en-GB"/>
        </w:rPr>
        <w:t xml:space="preserve">to security personnel, </w:t>
      </w:r>
      <w:r w:rsidRPr="00F7494D">
        <w:rPr>
          <w:lang w:val="en-GB"/>
        </w:rPr>
        <w:t>prohibiting sexual violence</w:t>
      </w:r>
      <w:r w:rsidR="00A42118">
        <w:rPr>
          <w:lang w:val="en-GB"/>
        </w:rPr>
        <w:t xml:space="preserve">. </w:t>
      </w:r>
      <w:r w:rsidR="008565EA">
        <w:rPr>
          <w:lang w:val="en-GB"/>
        </w:rPr>
        <w:t>In addition</w:t>
      </w:r>
      <w:r w:rsidR="00CB526A">
        <w:rPr>
          <w:lang w:val="en-GB"/>
        </w:rPr>
        <w:t>,</w:t>
      </w:r>
      <w:r w:rsidR="008565EA">
        <w:rPr>
          <w:lang w:val="en-GB"/>
        </w:rPr>
        <w:t xml:space="preserve"> the Government should s</w:t>
      </w:r>
      <w:r>
        <w:rPr>
          <w:lang w:val="en-GB"/>
        </w:rPr>
        <w:t xml:space="preserve">trengthen </w:t>
      </w:r>
      <w:r w:rsidR="003323ED">
        <w:rPr>
          <w:lang w:val="en-GB"/>
        </w:rPr>
        <w:t xml:space="preserve">and </w:t>
      </w:r>
      <w:r w:rsidRPr="00F7494D">
        <w:rPr>
          <w:lang w:val="en-GB"/>
        </w:rPr>
        <w:t>reinforc</w:t>
      </w:r>
      <w:r w:rsidR="003323ED">
        <w:rPr>
          <w:lang w:val="en-GB"/>
        </w:rPr>
        <w:t>e</w:t>
      </w:r>
      <w:r w:rsidRPr="00F7494D">
        <w:rPr>
          <w:lang w:val="en-GB"/>
        </w:rPr>
        <w:t xml:space="preserve"> the military justice system and </w:t>
      </w:r>
      <w:r w:rsidR="00A42118">
        <w:rPr>
          <w:lang w:val="en-GB"/>
        </w:rPr>
        <w:t xml:space="preserve">provide appropriate </w:t>
      </w:r>
      <w:r w:rsidRPr="00F7494D">
        <w:rPr>
          <w:lang w:val="en-GB"/>
        </w:rPr>
        <w:t>training for military personnel</w:t>
      </w:r>
      <w:r w:rsidR="00A42118">
        <w:rPr>
          <w:b/>
          <w:bCs/>
          <w:lang w:val="en-GB"/>
        </w:rPr>
        <w:t>.</w:t>
      </w:r>
      <w:r w:rsidRPr="003A6AD9">
        <w:rPr>
          <w:b/>
          <w:bCs/>
          <w:lang w:val="en-GB"/>
        </w:rPr>
        <w:t xml:space="preserve"> </w:t>
      </w:r>
    </w:p>
    <w:p w14:paraId="49043CBC" w14:textId="77777777" w:rsidR="003323ED" w:rsidRPr="003323ED" w:rsidRDefault="003323ED" w:rsidP="003323ED">
      <w:pPr>
        <w:pStyle w:val="Paragraph"/>
        <w:numPr>
          <w:ilvl w:val="1"/>
          <w:numId w:val="12"/>
        </w:numPr>
      </w:pPr>
      <w:r w:rsidRPr="003323ED">
        <w:t>Cooperate with any credible effort to hold to account the perpetrators of serious violations and abuses of international human rights law and violations of international law, including crimes under national and international law.</w:t>
      </w:r>
    </w:p>
    <w:p w14:paraId="73BAADBA" w14:textId="5F4E2123" w:rsidR="003323ED" w:rsidRPr="006E7CD7" w:rsidRDefault="003323ED" w:rsidP="006E7CD7">
      <w:pPr>
        <w:pStyle w:val="Paragraph"/>
        <w:numPr>
          <w:ilvl w:val="1"/>
          <w:numId w:val="12"/>
        </w:numPr>
      </w:pPr>
      <w:r w:rsidRPr="003323ED">
        <w:t xml:space="preserve">Address additional drivers of predatory </w:t>
      </w:r>
      <w:r w:rsidR="00CB526A" w:rsidRPr="003323ED">
        <w:t>behavior</w:t>
      </w:r>
      <w:r w:rsidRPr="003323ED">
        <w:t xml:space="preserve"> by members</w:t>
      </w:r>
      <w:r w:rsidR="00A42118">
        <w:t xml:space="preserve"> of security forces and other armed actors</w:t>
      </w:r>
      <w:r w:rsidRPr="003323ED">
        <w:t>, including by ensuring forces have their basic needs met and are not stationed adjacent to civilian residences.</w:t>
      </w:r>
    </w:p>
    <w:p w14:paraId="71403859" w14:textId="2317ADA0" w:rsidR="004F2380" w:rsidRPr="004F2380" w:rsidRDefault="00A42118" w:rsidP="003323ED">
      <w:pPr>
        <w:pStyle w:val="Paragraph"/>
        <w:numPr>
          <w:ilvl w:val="1"/>
          <w:numId w:val="12"/>
        </w:numPr>
      </w:pPr>
      <w:r>
        <w:t>I</w:t>
      </w:r>
      <w:r w:rsidR="004F2380">
        <w:t xml:space="preserve">mplement CEDAW’s  </w:t>
      </w:r>
      <w:r w:rsidR="004F2380" w:rsidRPr="006E7CD7">
        <w:t>general recommendations No. 33 (2015) on women’s access to justice and No. 35 (2017) on gender-based violence against women</w:t>
      </w:r>
      <w:r w:rsidR="0000454D">
        <w:t>, t</w:t>
      </w:r>
      <w:r w:rsidR="004F2380">
        <w:t xml:space="preserve">hat the </w:t>
      </w:r>
      <w:r>
        <w:t>G</w:t>
      </w:r>
      <w:r w:rsidR="004F2380">
        <w:t xml:space="preserve">overnment </w:t>
      </w:r>
      <w:r>
        <w:t xml:space="preserve">should </w:t>
      </w:r>
      <w:r w:rsidR="004F2380">
        <w:t xml:space="preserve">adopt and implement </w:t>
      </w:r>
      <w:r w:rsidR="004F2380" w:rsidRPr="006E7CD7">
        <w:t xml:space="preserve">standard operating procedures for </w:t>
      </w:r>
      <w:r w:rsidR="004F2380">
        <w:t xml:space="preserve">the </w:t>
      </w:r>
      <w:r w:rsidR="004F2380" w:rsidRPr="006E7CD7">
        <w:t xml:space="preserve">prevention of, protection against and response to gender-based violence, to ensure access </w:t>
      </w:r>
      <w:r w:rsidR="004F2380">
        <w:t xml:space="preserve">to justice </w:t>
      </w:r>
      <w:r w:rsidR="004F2380" w:rsidRPr="006E7CD7">
        <w:t>for victims of conflict-related sexual violence</w:t>
      </w:r>
      <w:r w:rsidR="004F2380">
        <w:t xml:space="preserve">, and access to </w:t>
      </w:r>
      <w:r w:rsidR="004F2380" w:rsidRPr="006E7CD7">
        <w:t xml:space="preserve">shelters and </w:t>
      </w:r>
      <w:r w:rsidR="003323ED">
        <w:t>medical support</w:t>
      </w:r>
      <w:r>
        <w:t>,</w:t>
      </w:r>
      <w:r w:rsidR="003323ED">
        <w:t xml:space="preserve"> including medical assistance and </w:t>
      </w:r>
      <w:r w:rsidR="004F2380" w:rsidRPr="006E7CD7">
        <w:t xml:space="preserve">psychosocial </w:t>
      </w:r>
      <w:r w:rsidR="003323ED">
        <w:t xml:space="preserve">support </w:t>
      </w:r>
      <w:r w:rsidR="004F2380" w:rsidRPr="006E7CD7">
        <w:t>particularly emergency contraception and post-exposure prophylaxis</w:t>
      </w:r>
      <w:r>
        <w:t>.</w:t>
      </w:r>
      <w:r w:rsidR="004F2380" w:rsidRPr="006E7CD7">
        <w:t xml:space="preserve"> </w:t>
      </w:r>
    </w:p>
    <w:p w14:paraId="6BB8F841" w14:textId="5F0E83AC" w:rsidR="00BF3E71" w:rsidRDefault="004F2380" w:rsidP="006E7CD7">
      <w:pPr>
        <w:pStyle w:val="Paragraph"/>
        <w:numPr>
          <w:ilvl w:val="1"/>
          <w:numId w:val="12"/>
        </w:numPr>
        <w:rPr>
          <w:lang w:val="en-GB"/>
        </w:rPr>
      </w:pPr>
      <w:r w:rsidRPr="006E7CD7">
        <w:t xml:space="preserve">Facilitate the unrestricted access of the United Nations, </w:t>
      </w:r>
      <w:r w:rsidR="00FA4DED">
        <w:rPr>
          <w:lang w:val="en-GB"/>
        </w:rPr>
        <w:t>and monitors of the Ceasefire and Transitional Security Arrangements Monitoring and Verification Mechanism (</w:t>
      </w:r>
      <w:r w:rsidR="003323ED">
        <w:rPr>
          <w:lang w:val="en-GB"/>
        </w:rPr>
        <w:t>CTSAM</w:t>
      </w:r>
      <w:r w:rsidR="00FA4DED">
        <w:rPr>
          <w:lang w:val="en-GB"/>
        </w:rPr>
        <w:t>VM)</w:t>
      </w:r>
      <w:r w:rsidR="003323ED">
        <w:rPr>
          <w:lang w:val="en-GB"/>
        </w:rPr>
        <w:t xml:space="preserve"> </w:t>
      </w:r>
      <w:r w:rsidRPr="006E7CD7">
        <w:t xml:space="preserve">and humanitarian partners to all government and opposition cantonment sites and military bases where abducted civilians, including women and girls, </w:t>
      </w:r>
      <w:r w:rsidR="00FA4DED">
        <w:rPr>
          <w:lang w:val="en-GB"/>
        </w:rPr>
        <w:t xml:space="preserve">might be </w:t>
      </w:r>
      <w:r w:rsidR="003323ED">
        <w:rPr>
          <w:lang w:val="en-GB"/>
        </w:rPr>
        <w:t>held</w:t>
      </w:r>
      <w:r w:rsidR="00103A54">
        <w:t xml:space="preserve">. </w:t>
      </w:r>
      <w:proofErr w:type="spellStart"/>
      <w:r w:rsidR="00103A54">
        <w:t>E</w:t>
      </w:r>
      <w:r w:rsidRPr="006E7CD7">
        <w:t>nsur</w:t>
      </w:r>
      <w:proofErr w:type="spellEnd"/>
      <w:r w:rsidR="00FA4DED">
        <w:rPr>
          <w:lang w:val="en-GB"/>
        </w:rPr>
        <w:t>e</w:t>
      </w:r>
      <w:r w:rsidRPr="006E7CD7">
        <w:t xml:space="preserve"> the immediate release of </w:t>
      </w:r>
      <w:r w:rsidR="00FA4DED">
        <w:rPr>
          <w:lang w:val="en-GB"/>
        </w:rPr>
        <w:t xml:space="preserve">any abducted </w:t>
      </w:r>
      <w:r w:rsidRPr="006E7CD7">
        <w:t xml:space="preserve">women and girls and </w:t>
      </w:r>
      <w:r w:rsidR="00FA4DED">
        <w:rPr>
          <w:lang w:val="en-GB"/>
        </w:rPr>
        <w:t>that they are provided</w:t>
      </w:r>
      <w:r w:rsidRPr="006E7CD7">
        <w:t xml:space="preserve"> with immediate medical and psychological support, as well as long-term livelihood support and comprehensive reparations in line with international human right</w:t>
      </w:r>
      <w:r w:rsidR="0000454D">
        <w:t>s</w:t>
      </w:r>
      <w:r w:rsidRPr="006E7CD7">
        <w:t xml:space="preserve"> standards</w:t>
      </w:r>
      <w:r w:rsidR="00FA4DED">
        <w:rPr>
          <w:lang w:val="en-GB"/>
        </w:rPr>
        <w:t>.</w:t>
      </w:r>
    </w:p>
    <w:p w14:paraId="0A74B383" w14:textId="28DE7D03" w:rsidR="000766DB" w:rsidRPr="006E7CD7" w:rsidRDefault="000766DB" w:rsidP="00030A2F">
      <w:pPr>
        <w:pStyle w:val="Paragraph"/>
        <w:numPr>
          <w:ilvl w:val="1"/>
          <w:numId w:val="12"/>
        </w:numPr>
        <w:rPr>
          <w:color w:val="222222"/>
          <w:lang w:val="en-GB"/>
        </w:rPr>
      </w:pPr>
      <w:r w:rsidRPr="00A307C6">
        <w:rPr>
          <w:color w:val="252525"/>
          <w:lang w:val="en-GB"/>
        </w:rPr>
        <w:t xml:space="preserve">Urgently attend to the delays in implementing </w:t>
      </w:r>
      <w:r>
        <w:rPr>
          <w:color w:val="252525"/>
          <w:lang w:val="en-GB"/>
        </w:rPr>
        <w:t>the Revitali</w:t>
      </w:r>
      <w:r w:rsidR="00FA4DED">
        <w:rPr>
          <w:color w:val="252525"/>
          <w:lang w:val="en-GB"/>
        </w:rPr>
        <w:t>s</w:t>
      </w:r>
      <w:r>
        <w:rPr>
          <w:color w:val="252525"/>
          <w:lang w:val="en-GB"/>
        </w:rPr>
        <w:t>ed Agreement, particularly by taking steps to immediately implement the outstanding provisions of:</w:t>
      </w:r>
    </w:p>
    <w:p w14:paraId="19220B52" w14:textId="63572568" w:rsidR="000766DB" w:rsidRPr="00A307C6" w:rsidRDefault="000766DB" w:rsidP="000766DB">
      <w:pPr>
        <w:pStyle w:val="Paragraph"/>
        <w:numPr>
          <w:ilvl w:val="2"/>
          <w:numId w:val="12"/>
        </w:numPr>
        <w:rPr>
          <w:color w:val="222222"/>
          <w:lang w:val="en-GB"/>
        </w:rPr>
      </w:pPr>
      <w:r w:rsidRPr="00A307C6">
        <w:rPr>
          <w:color w:val="252525"/>
          <w:lang w:val="en-GB"/>
        </w:rPr>
        <w:t xml:space="preserve">Chapter II, </w:t>
      </w:r>
      <w:r w:rsidR="002458BC">
        <w:rPr>
          <w:color w:val="252525"/>
          <w:lang w:val="en-GB"/>
        </w:rPr>
        <w:t xml:space="preserve">particularly on security arrangements, </w:t>
      </w:r>
      <w:r w:rsidRPr="00A307C6">
        <w:rPr>
          <w:color w:val="252525"/>
          <w:lang w:val="en-GB"/>
        </w:rPr>
        <w:t xml:space="preserve">which has significant implications for the physical safety and security of the civilian population especially women and girls. More specifically move and relocate arms and armed forces and personnel to locations </w:t>
      </w:r>
      <w:r w:rsidR="00BF3E71">
        <w:rPr>
          <w:color w:val="252525"/>
          <w:lang w:val="en-GB"/>
        </w:rPr>
        <w:t>away</w:t>
      </w:r>
      <w:r w:rsidRPr="00A307C6">
        <w:rPr>
          <w:color w:val="252525"/>
          <w:lang w:val="en-GB"/>
        </w:rPr>
        <w:t xml:space="preserve"> from civilians. </w:t>
      </w:r>
    </w:p>
    <w:p w14:paraId="4A18F61F" w14:textId="1EBE3947" w:rsidR="000766DB" w:rsidRDefault="000766DB" w:rsidP="002458BC">
      <w:pPr>
        <w:pStyle w:val="Paragraph"/>
        <w:numPr>
          <w:ilvl w:val="2"/>
          <w:numId w:val="12"/>
        </w:numPr>
        <w:rPr>
          <w:lang w:val="en-GB"/>
        </w:rPr>
      </w:pPr>
      <w:r w:rsidRPr="00A307C6">
        <w:rPr>
          <w:lang w:val="en-GB"/>
        </w:rPr>
        <w:t>Chapter IV</w:t>
      </w:r>
      <w:r>
        <w:rPr>
          <w:lang w:val="en-GB"/>
        </w:rPr>
        <w:t>,</w:t>
      </w:r>
      <w:r w:rsidRPr="00A307C6">
        <w:rPr>
          <w:lang w:val="en-GB"/>
        </w:rPr>
        <w:t xml:space="preserve"> to improve management of the economy and the equitable distribution of resources and finances, including by dedicating them to health services and rule of law institutions to address the health impacts and drivers of human rights </w:t>
      </w:r>
      <w:r w:rsidRPr="000766DB">
        <w:rPr>
          <w:color w:val="252525"/>
          <w:lang w:val="en-GB"/>
        </w:rPr>
        <w:t>violations</w:t>
      </w:r>
      <w:r w:rsidRPr="00A307C6">
        <w:rPr>
          <w:lang w:val="en-GB"/>
        </w:rPr>
        <w:t xml:space="preserve"> and abuses in conflict.</w:t>
      </w:r>
    </w:p>
    <w:p w14:paraId="2A99FB5F" w14:textId="090A49C5" w:rsidR="002458BC" w:rsidRPr="00A307C6" w:rsidRDefault="002458BC" w:rsidP="002458BC">
      <w:pPr>
        <w:pStyle w:val="Paragraph"/>
        <w:numPr>
          <w:ilvl w:val="2"/>
          <w:numId w:val="12"/>
        </w:numPr>
        <w:rPr>
          <w:lang w:val="en-GB"/>
        </w:rPr>
      </w:pPr>
      <w:r>
        <w:rPr>
          <w:lang w:val="en-GB"/>
        </w:rPr>
        <w:t xml:space="preserve">Chapter V, by finalizing </w:t>
      </w:r>
      <w:r w:rsidRPr="00A307C6">
        <w:rPr>
          <w:lang w:val="en-GB"/>
        </w:rPr>
        <w:t>the process for the adoption of the Memorandum of Understanding with the African Union to establish the Hybrid Court for South Sudan, including by establishing a forum to address the impasse between the African Union and the Government of South Sudan, as was identified as a next step in December 2021 at the conference hosted by the Commission.</w:t>
      </w:r>
      <w:r>
        <w:rPr>
          <w:lang w:val="en-GB"/>
        </w:rPr>
        <w:t xml:space="preserve"> Also</w:t>
      </w:r>
      <w:r w:rsidR="00BF3E71">
        <w:rPr>
          <w:lang w:val="en-GB"/>
        </w:rPr>
        <w:t>,</w:t>
      </w:r>
      <w:r>
        <w:rPr>
          <w:lang w:val="en-GB"/>
        </w:rPr>
        <w:t xml:space="preserve"> by s</w:t>
      </w:r>
      <w:r w:rsidRPr="00A307C6">
        <w:rPr>
          <w:lang w:val="en-GB"/>
        </w:rPr>
        <w:t>trengthen</w:t>
      </w:r>
      <w:r>
        <w:rPr>
          <w:lang w:val="en-GB"/>
        </w:rPr>
        <w:t>ing</w:t>
      </w:r>
      <w:r w:rsidRPr="00A307C6">
        <w:rPr>
          <w:lang w:val="en-GB"/>
        </w:rPr>
        <w:t xml:space="preserve"> national capacity for the collection and preservation of evidence, including by setting up a database and collecting forensic data to facilitate the work of </w:t>
      </w:r>
      <w:r w:rsidR="0000454D">
        <w:rPr>
          <w:lang w:val="en-GB"/>
        </w:rPr>
        <w:t xml:space="preserve">domestic courts and </w:t>
      </w:r>
      <w:r w:rsidRPr="00A307C6">
        <w:rPr>
          <w:lang w:val="en-GB"/>
        </w:rPr>
        <w:t>the transitional justice mechanisms envisaged in Chapter V of the Revitalised Agreement.</w:t>
      </w:r>
    </w:p>
    <w:p w14:paraId="2C5E287D" w14:textId="1C658659" w:rsidR="002458BC" w:rsidRPr="00BF3E71" w:rsidRDefault="002458BC" w:rsidP="009218C2">
      <w:pPr>
        <w:pStyle w:val="Paragraph"/>
        <w:numPr>
          <w:ilvl w:val="1"/>
          <w:numId w:val="12"/>
        </w:numPr>
        <w:rPr>
          <w:color w:val="222222"/>
          <w:lang w:val="en-GB"/>
        </w:rPr>
      </w:pPr>
      <w:r w:rsidRPr="00BF3E71">
        <w:rPr>
          <w:lang w:val="en-GB"/>
        </w:rPr>
        <w:t xml:space="preserve">Develop specific indicators setting out milestones to be achieved and assessed in terms of progress for the realization of the gender provisions contained in the Revitalised Agreement and other normative and policy frameworks designed to address gender inequality and ensure prevention, protection, reparation and redress for sexual and gender-based violence.  This should include benchmarks to determine the prevalence of sexual and gender-based violence, accountability for sexual and gender-based violence and ensuring that a central repository is established for the collection of data relevant to conflict related sexual violence. </w:t>
      </w:r>
    </w:p>
    <w:p w14:paraId="231C4B2E" w14:textId="5D87D293" w:rsidR="00C55FFF" w:rsidRPr="00A307C6" w:rsidRDefault="00C55FFF" w:rsidP="009218C2">
      <w:pPr>
        <w:pStyle w:val="Paragraph"/>
        <w:numPr>
          <w:ilvl w:val="1"/>
          <w:numId w:val="12"/>
        </w:numPr>
        <w:rPr>
          <w:lang w:val="en-GB"/>
        </w:rPr>
      </w:pPr>
      <w:r w:rsidRPr="00A307C6">
        <w:rPr>
          <w:lang w:val="en-GB"/>
        </w:rPr>
        <w:t>Ensure that the following elements are taken into account in the design</w:t>
      </w:r>
      <w:r w:rsidR="00566D8B" w:rsidRPr="00A307C6">
        <w:rPr>
          <w:lang w:val="en-GB"/>
        </w:rPr>
        <w:t>,</w:t>
      </w:r>
      <w:r w:rsidRPr="00A307C6">
        <w:rPr>
          <w:lang w:val="en-GB"/>
        </w:rPr>
        <w:t xml:space="preserve"> plan</w:t>
      </w:r>
      <w:r w:rsidR="00566D8B" w:rsidRPr="00A307C6">
        <w:rPr>
          <w:lang w:val="en-GB"/>
        </w:rPr>
        <w:t>ning and implementation</w:t>
      </w:r>
      <w:r w:rsidRPr="00A307C6">
        <w:rPr>
          <w:lang w:val="en-GB"/>
        </w:rPr>
        <w:t xml:space="preserve"> of the transitional justice mechanism</w:t>
      </w:r>
      <w:r w:rsidR="00566D8B" w:rsidRPr="00A307C6">
        <w:rPr>
          <w:lang w:val="en-GB"/>
        </w:rPr>
        <w:t>s</w:t>
      </w:r>
      <w:r w:rsidRPr="00A307C6">
        <w:rPr>
          <w:lang w:val="en-GB"/>
        </w:rPr>
        <w:t xml:space="preserve"> set out in Chapter V of the Revitalized </w:t>
      </w:r>
      <w:r w:rsidRPr="009218C2">
        <w:t>Agreement</w:t>
      </w:r>
      <w:r w:rsidRPr="00A307C6">
        <w:rPr>
          <w:lang w:val="en-GB"/>
        </w:rPr>
        <w:t xml:space="preserve">, given the pervasiveness of harm and overall consequences for victims of conflict-related sexual violence and their families: </w:t>
      </w:r>
    </w:p>
    <w:p w14:paraId="0F7CDE75" w14:textId="0BC3CDEF" w:rsidR="00C55FFF" w:rsidRPr="00A307C6" w:rsidRDefault="00C55FFF" w:rsidP="00C55FFF">
      <w:pPr>
        <w:pStyle w:val="Paragraph"/>
        <w:numPr>
          <w:ilvl w:val="2"/>
          <w:numId w:val="12"/>
        </w:numPr>
        <w:rPr>
          <w:lang w:val="en-GB"/>
        </w:rPr>
      </w:pPr>
      <w:r w:rsidRPr="00A307C6">
        <w:rPr>
          <w:lang w:val="en-GB"/>
        </w:rPr>
        <w:t>Ensure that a gender-sensitive and inclusive approach is integrated in</w:t>
      </w:r>
      <w:r w:rsidR="009A1E33">
        <w:rPr>
          <w:lang w:val="en-GB"/>
        </w:rPr>
        <w:t>to</w:t>
      </w:r>
      <w:r w:rsidRPr="00A307C6">
        <w:rPr>
          <w:lang w:val="en-GB"/>
        </w:rPr>
        <w:t xml:space="preserve"> the design of the transitional justice mechanisms including national consultations, legislation and processes of implementation; </w:t>
      </w:r>
    </w:p>
    <w:p w14:paraId="446EF191" w14:textId="77777777" w:rsidR="00C55FFF" w:rsidRPr="00A307C6" w:rsidRDefault="00C55FFF" w:rsidP="00C55FFF">
      <w:pPr>
        <w:pStyle w:val="Paragraph"/>
        <w:numPr>
          <w:ilvl w:val="2"/>
          <w:numId w:val="12"/>
        </w:numPr>
        <w:rPr>
          <w:lang w:val="en-GB"/>
        </w:rPr>
      </w:pPr>
      <w:r w:rsidRPr="00A307C6">
        <w:rPr>
          <w:lang w:val="en-GB"/>
        </w:rPr>
        <w:t xml:space="preserve">Encourage and promote women’s meaningful inclusion and participation in transitional justice processes, including by going beyond simply numerical representation, in ensuring that women are accorded opportunities and spaces to openly express their views and concerns; </w:t>
      </w:r>
    </w:p>
    <w:p w14:paraId="6F3610F4" w14:textId="080A019E" w:rsidR="00C55FFF" w:rsidRPr="00A307C6" w:rsidRDefault="00C55FFF" w:rsidP="00C55FFF">
      <w:pPr>
        <w:pStyle w:val="Paragraph"/>
        <w:numPr>
          <w:ilvl w:val="2"/>
          <w:numId w:val="12"/>
        </w:numPr>
        <w:rPr>
          <w:lang w:val="en-GB"/>
        </w:rPr>
      </w:pPr>
      <w:r w:rsidRPr="00A307C6">
        <w:rPr>
          <w:lang w:val="en-GB"/>
        </w:rPr>
        <w:t>Ensure the participation of survivor support groups, women’s organizations, and human rights defenders, civil society and faith-based actors that can offer sustained support to survivors of sexual violence during and after transitional justice processes, particularly in conflict-affected areas, and including through a country wide discussion on how to counter stigma;</w:t>
      </w:r>
    </w:p>
    <w:p w14:paraId="00C5E7C2" w14:textId="4F540B03" w:rsidR="00C55FFF" w:rsidRPr="00A307C6" w:rsidRDefault="00C55FFF" w:rsidP="00C55FFF">
      <w:pPr>
        <w:pStyle w:val="Paragraph"/>
        <w:numPr>
          <w:ilvl w:val="2"/>
          <w:numId w:val="12"/>
        </w:numPr>
        <w:rPr>
          <w:lang w:val="en-GB"/>
        </w:rPr>
      </w:pPr>
      <w:r w:rsidRPr="00A307C6">
        <w:rPr>
          <w:lang w:val="en-GB"/>
        </w:rPr>
        <w:t>Sensitize, engage and collaborate with traditional justice mechanisms to support and complement transitional justice processes, including to address discriminatory practices and offer protection for affected victims; and,</w:t>
      </w:r>
    </w:p>
    <w:p w14:paraId="4358A63D" w14:textId="4B99C599" w:rsidR="00C55FFF" w:rsidRPr="00A307C6" w:rsidRDefault="00C55FFF" w:rsidP="00C55FFF">
      <w:pPr>
        <w:pStyle w:val="Paragraph"/>
        <w:numPr>
          <w:ilvl w:val="2"/>
          <w:numId w:val="12"/>
        </w:numPr>
        <w:rPr>
          <w:lang w:val="en-GB"/>
        </w:rPr>
      </w:pPr>
      <w:r w:rsidRPr="00A307C6">
        <w:rPr>
          <w:lang w:val="en-GB"/>
        </w:rPr>
        <w:t>Incorporate urgent and interim reparation and rehabilitation measures to address the high levels of psychological trauma and the survivors’ urgent health socio-economic needs.</w:t>
      </w:r>
    </w:p>
    <w:p w14:paraId="43F439C0" w14:textId="3C495C78" w:rsidR="009F0A75" w:rsidRPr="00A307C6" w:rsidRDefault="009F0A75" w:rsidP="009218C2">
      <w:pPr>
        <w:pStyle w:val="Paragraph"/>
        <w:numPr>
          <w:ilvl w:val="1"/>
          <w:numId w:val="12"/>
        </w:numPr>
        <w:rPr>
          <w:lang w:val="en-GB"/>
        </w:rPr>
      </w:pPr>
      <w:r w:rsidRPr="00A307C6">
        <w:rPr>
          <w:lang w:val="en-GB"/>
        </w:rPr>
        <w:t xml:space="preserve">Establish a committee </w:t>
      </w:r>
      <w:r w:rsidR="00952A68">
        <w:rPr>
          <w:lang w:val="en-GB"/>
        </w:rPr>
        <w:t xml:space="preserve">made up of representatives </w:t>
      </w:r>
      <w:r w:rsidRPr="00A307C6">
        <w:rPr>
          <w:lang w:val="en-GB"/>
        </w:rPr>
        <w:t>from the Ministry of Gender, Child and Social Welfare, the United Nations Entity for Gender Equality and the Empowerment of Women (UN-Women), UNMISS, the Office of the Special Representative of the Secretary-General on Sexual Violence in Conflict, the Commission on Human Rights in South Sudan, experts on sexual violence</w:t>
      </w:r>
      <w:r w:rsidR="009A4B3A" w:rsidRPr="00A307C6">
        <w:rPr>
          <w:lang w:val="en-GB"/>
        </w:rPr>
        <w:t>,</w:t>
      </w:r>
      <w:r w:rsidRPr="00A307C6">
        <w:rPr>
          <w:lang w:val="en-GB"/>
        </w:rPr>
        <w:t xml:space="preserve"> and representatives of South Sudanese civil society to address accountability for conflict-related sexual violence</w:t>
      </w:r>
      <w:r w:rsidR="009A4B3A" w:rsidRPr="00A307C6">
        <w:rPr>
          <w:lang w:val="en-GB"/>
        </w:rPr>
        <w:t xml:space="preserve">. The Committee should be mandated </w:t>
      </w:r>
      <w:r w:rsidRPr="00A307C6">
        <w:rPr>
          <w:lang w:val="en-GB"/>
        </w:rPr>
        <w:t>to advise on the role to be played by domestic and military courts in the prosecution of conflict-related sexual violence and on a coherent, comprehensive and gender-sensitive investigative and prosecutorial strategy</w:t>
      </w:r>
      <w:r w:rsidR="00F23098" w:rsidRPr="00A307C6">
        <w:rPr>
          <w:lang w:val="en-GB"/>
        </w:rPr>
        <w:t>.</w:t>
      </w:r>
    </w:p>
    <w:p w14:paraId="367E5006" w14:textId="0B77202A" w:rsidR="009F0A75" w:rsidRPr="00A307C6" w:rsidRDefault="009F0A75" w:rsidP="009218C2">
      <w:pPr>
        <w:pStyle w:val="Paragraph"/>
        <w:numPr>
          <w:ilvl w:val="1"/>
          <w:numId w:val="12"/>
        </w:numPr>
        <w:rPr>
          <w:lang w:val="en-GB"/>
        </w:rPr>
      </w:pPr>
      <w:r w:rsidRPr="00A307C6">
        <w:rPr>
          <w:lang w:val="en-GB"/>
        </w:rPr>
        <w:t>Ensure that military discipline is upheld alongside the principle of command responsibility and that personnel are vetted, taking into account past violations of international human rights and humanitarian law; ensure also that personnel have enough resources to be self-sufficient and are discouraged from engaging in predatory behaviour; and remove military personnel from close proximity to communities</w:t>
      </w:r>
      <w:r w:rsidR="00F23098" w:rsidRPr="00A307C6">
        <w:rPr>
          <w:lang w:val="en-GB"/>
        </w:rPr>
        <w:t>.</w:t>
      </w:r>
    </w:p>
    <w:p w14:paraId="0BAFBD2F" w14:textId="77777777" w:rsidR="000766DB" w:rsidRPr="00A307C6" w:rsidRDefault="000766DB" w:rsidP="009218C2">
      <w:pPr>
        <w:pStyle w:val="Paragraph"/>
        <w:numPr>
          <w:ilvl w:val="1"/>
          <w:numId w:val="12"/>
        </w:numPr>
        <w:rPr>
          <w:lang w:val="en-GB"/>
        </w:rPr>
      </w:pPr>
      <w:r w:rsidRPr="00A307C6">
        <w:rPr>
          <w:lang w:val="en-GB"/>
        </w:rPr>
        <w:t>Ensure the timely investigation of all allegations of serious violations of international human rights and humanitarian law and of serious crimes under national law committed by the South Sudan People’s Defence Forces, the National Security Service, other State security forces, NAS and other armed groups.</w:t>
      </w:r>
    </w:p>
    <w:p w14:paraId="26D0D5F1" w14:textId="2879A5D3" w:rsidR="009F0A75" w:rsidRDefault="000766DB" w:rsidP="009218C2">
      <w:pPr>
        <w:pStyle w:val="Paragraph"/>
        <w:numPr>
          <w:ilvl w:val="1"/>
          <w:numId w:val="12"/>
        </w:numPr>
        <w:rPr>
          <w:lang w:val="en-GB"/>
        </w:rPr>
      </w:pPr>
      <w:r>
        <w:rPr>
          <w:lang w:val="en-GB"/>
        </w:rPr>
        <w:t>Sufficiently resource and s</w:t>
      </w:r>
      <w:r w:rsidRPr="00A307C6">
        <w:rPr>
          <w:lang w:val="en-GB"/>
        </w:rPr>
        <w:t xml:space="preserve">ystematically </w:t>
      </w:r>
      <w:r w:rsidR="009F0A75" w:rsidRPr="00A307C6">
        <w:rPr>
          <w:lang w:val="en-GB"/>
        </w:rPr>
        <w:t>build the capacity of the judiciary, law enforcement officials, and religious and traditional leaders, as well as women themselves, particularly rural women, on women’s rights and gender-sensitive adjudication, including through training and retaining officials with specialized knowledge</w:t>
      </w:r>
      <w:r w:rsidR="00F23098" w:rsidRPr="00A307C6">
        <w:rPr>
          <w:lang w:val="en-GB"/>
        </w:rPr>
        <w:t>.</w:t>
      </w:r>
    </w:p>
    <w:p w14:paraId="19774412" w14:textId="77777777" w:rsidR="000766DB" w:rsidRPr="00A307C6" w:rsidRDefault="000766DB" w:rsidP="009218C2">
      <w:pPr>
        <w:pStyle w:val="Paragraph"/>
        <w:numPr>
          <w:ilvl w:val="1"/>
          <w:numId w:val="12"/>
        </w:numPr>
        <w:rPr>
          <w:lang w:val="en-GB"/>
        </w:rPr>
      </w:pPr>
      <w:r w:rsidRPr="00A307C6">
        <w:rPr>
          <w:lang w:val="en-GB"/>
        </w:rPr>
        <w:t>Provide fair trial and due process safeguards in court proceedings, including protection of women victims and witnesses from reprisals.</w:t>
      </w:r>
    </w:p>
    <w:p w14:paraId="0F7B34EB" w14:textId="77777777" w:rsidR="000766DB" w:rsidRPr="00A307C6" w:rsidRDefault="000766DB" w:rsidP="009218C2">
      <w:pPr>
        <w:pStyle w:val="Paragraph"/>
        <w:numPr>
          <w:ilvl w:val="1"/>
          <w:numId w:val="12"/>
        </w:numPr>
        <w:rPr>
          <w:lang w:val="en-GB"/>
        </w:rPr>
      </w:pPr>
      <w:r w:rsidRPr="00A307C6">
        <w:rPr>
          <w:lang w:val="en-GB"/>
        </w:rPr>
        <w:t>Ensure that military court and customary court decisions that are contrary to equality and fair trial rights can be appealed to the ordinary courts and provide women with assistance to opt out of proceedings before customary courts or to appeal customary court decisions.</w:t>
      </w:r>
    </w:p>
    <w:p w14:paraId="49CBBFFD" w14:textId="4062A8C6" w:rsidR="000766DB" w:rsidRDefault="000766DB" w:rsidP="009218C2">
      <w:pPr>
        <w:pStyle w:val="Paragraph"/>
        <w:numPr>
          <w:ilvl w:val="1"/>
          <w:numId w:val="12"/>
        </w:numPr>
        <w:rPr>
          <w:lang w:val="en-GB"/>
        </w:rPr>
      </w:pPr>
      <w:r w:rsidRPr="00A307C6">
        <w:rPr>
          <w:lang w:val="en-GB"/>
        </w:rPr>
        <w:t>Ensure compensation and other forms of reparations ordered by courts are provided.</w:t>
      </w:r>
    </w:p>
    <w:p w14:paraId="01EE7CD6" w14:textId="49EFB91C" w:rsidR="00D97BB3" w:rsidRPr="005A6B2E" w:rsidRDefault="00D97BB3" w:rsidP="009218C2">
      <w:pPr>
        <w:pStyle w:val="Paragraph"/>
        <w:numPr>
          <w:ilvl w:val="1"/>
          <w:numId w:val="12"/>
        </w:numPr>
      </w:pPr>
      <w:r w:rsidRPr="006E7CD7">
        <w:t xml:space="preserve">Prioritize the adoption of an anti-gender-based-violence bill, and ensure that the Minister of Gender Affairs establishes a system for the systematic collection of disaggregated data on the incidence and prevalence of gender-based violence, by sex, age and relationship between the victims and the perpetrator including in relation to intersecting forms of discrimination against women and girls such as disability; </w:t>
      </w:r>
    </w:p>
    <w:p w14:paraId="3537D20B" w14:textId="110A92B3" w:rsidR="00D97BB3" w:rsidRPr="005A6B2E" w:rsidRDefault="00D97BB3" w:rsidP="009218C2">
      <w:pPr>
        <w:pStyle w:val="Paragraph"/>
        <w:numPr>
          <w:ilvl w:val="1"/>
          <w:numId w:val="12"/>
        </w:numPr>
      </w:pPr>
      <w:r w:rsidRPr="006E7CD7">
        <w:t>Amend the Penal Code to specifically criminalize marital rape, base the definition of rape on the absence of consent and ensure that legal remedies are available to women and girls</w:t>
      </w:r>
      <w:r w:rsidR="005A6B2E" w:rsidRPr="006E7CD7">
        <w:t>;</w:t>
      </w:r>
      <w:r w:rsidRPr="006E7CD7">
        <w:t xml:space="preserve"> </w:t>
      </w:r>
    </w:p>
    <w:p w14:paraId="3981C199" w14:textId="5DDB5137" w:rsidR="00D97BB3" w:rsidRPr="005A6B2E" w:rsidRDefault="00D97BB3" w:rsidP="009218C2">
      <w:pPr>
        <w:pStyle w:val="Paragraph"/>
        <w:numPr>
          <w:ilvl w:val="1"/>
          <w:numId w:val="12"/>
        </w:numPr>
      </w:pPr>
      <w:r w:rsidRPr="006E7CD7">
        <w:t xml:space="preserve">Ensure </w:t>
      </w:r>
      <w:r w:rsidR="005A6B2E" w:rsidRPr="006E7CD7">
        <w:t xml:space="preserve">the establishment of </w:t>
      </w:r>
      <w:r w:rsidRPr="006E7CD7">
        <w:t>shelters and victim support services</w:t>
      </w:r>
      <w:r w:rsidR="005A6B2E" w:rsidRPr="006E7CD7">
        <w:t xml:space="preserve">, which </w:t>
      </w:r>
      <w:r w:rsidRPr="006E7CD7">
        <w:t xml:space="preserve">are adequately funded, accessible and inclusive, that staff are trained and that the quality of services is regularly monitored; </w:t>
      </w:r>
    </w:p>
    <w:p w14:paraId="41ECCDA5" w14:textId="6A71D2EE" w:rsidR="00D97BB3" w:rsidRPr="005A6B2E" w:rsidRDefault="00D97BB3" w:rsidP="009218C2">
      <w:pPr>
        <w:pStyle w:val="Paragraph"/>
        <w:numPr>
          <w:ilvl w:val="1"/>
          <w:numId w:val="12"/>
        </w:numPr>
      </w:pPr>
      <w:r w:rsidRPr="006E7CD7">
        <w:t xml:space="preserve">Build the capacity of the judiciary, prosecutors, the police and other law enforcement officers to systematically investigate and prosecute all cases of gender-based violence, </w:t>
      </w:r>
      <w:r w:rsidR="005A6B2E" w:rsidRPr="006E7CD7">
        <w:t xml:space="preserve">incorporating </w:t>
      </w:r>
      <w:r w:rsidRPr="006E7CD7">
        <w:t>gender-sensitive procedures</w:t>
      </w:r>
      <w:r w:rsidR="005A6B2E" w:rsidRPr="006E7CD7">
        <w:t>;</w:t>
      </w:r>
      <w:r w:rsidRPr="006E7CD7">
        <w:t xml:space="preserve"> provid</w:t>
      </w:r>
      <w:r w:rsidR="005A6B2E" w:rsidRPr="006E7CD7">
        <w:t xml:space="preserve">ing </w:t>
      </w:r>
      <w:r w:rsidRPr="006E7CD7">
        <w:t xml:space="preserve">appropriate remedies to victims; </w:t>
      </w:r>
    </w:p>
    <w:p w14:paraId="2D38F60D" w14:textId="77777777" w:rsidR="005A6B2E" w:rsidRPr="005A6B2E" w:rsidRDefault="005A6B2E" w:rsidP="009218C2">
      <w:pPr>
        <w:pStyle w:val="Paragraph"/>
        <w:numPr>
          <w:ilvl w:val="1"/>
          <w:numId w:val="12"/>
        </w:numPr>
      </w:pPr>
      <w:r w:rsidRPr="006E7CD7">
        <w:t xml:space="preserve">Ensure that all harmful practices against women and girls are criminalized, and prosecuted and that perpetrators of such practices are held accountable; </w:t>
      </w:r>
    </w:p>
    <w:p w14:paraId="15DEB8B5" w14:textId="4E6CF5E1" w:rsidR="003323ED" w:rsidRPr="005A6B2E" w:rsidRDefault="003323ED" w:rsidP="009218C2">
      <w:pPr>
        <w:pStyle w:val="Paragraph"/>
        <w:numPr>
          <w:ilvl w:val="1"/>
          <w:numId w:val="12"/>
        </w:numPr>
      </w:pPr>
      <w:r w:rsidRPr="006E7CD7">
        <w:t xml:space="preserve">Adopt, a comprehensive strategy, with time-bound targets, including monitoring and evaluation, to eliminate discriminatory stereotypes concerning the roles and responsibilities of women and men in the family and in society, and link it to the implementation of the General Education Act of 2012, with a view to promoting gender equality through education; </w:t>
      </w:r>
    </w:p>
    <w:p w14:paraId="7D2EA95C" w14:textId="77777777" w:rsidR="00D97BB3" w:rsidRPr="006E7CD7" w:rsidRDefault="003323ED" w:rsidP="009218C2">
      <w:pPr>
        <w:pStyle w:val="Paragraph"/>
        <w:numPr>
          <w:ilvl w:val="1"/>
          <w:numId w:val="12"/>
        </w:numPr>
        <w:rPr>
          <w:lang w:val="en-GB"/>
        </w:rPr>
      </w:pPr>
      <w:r w:rsidRPr="006E7CD7">
        <w:rPr>
          <w:lang w:val="en-GB"/>
        </w:rPr>
        <w:t xml:space="preserve">Expand public education programmes, in collaboration with civil society organizations and the media, </w:t>
      </w:r>
      <w:r w:rsidRPr="009218C2">
        <w:t>on</w:t>
      </w:r>
      <w:r w:rsidRPr="006E7CD7">
        <w:rPr>
          <w:lang w:val="en-GB"/>
        </w:rPr>
        <w:t xml:space="preserve"> the negative impact of harmful practices on the enjoyment by women and girls of their rights, targeting traditional and religious leaders and communities in rural and remote areas. </w:t>
      </w:r>
    </w:p>
    <w:p w14:paraId="6DB140C8" w14:textId="41C78259" w:rsidR="000766DB" w:rsidRPr="00A307C6" w:rsidRDefault="000766DB" w:rsidP="009218C2">
      <w:pPr>
        <w:pStyle w:val="Paragraph"/>
        <w:numPr>
          <w:ilvl w:val="1"/>
          <w:numId w:val="12"/>
        </w:numPr>
        <w:rPr>
          <w:lang w:val="en-GB"/>
        </w:rPr>
      </w:pPr>
      <w:r w:rsidRPr="00A307C6">
        <w:rPr>
          <w:lang w:val="en-GB"/>
        </w:rPr>
        <w:t>Provide systematic capacity-building on women’s equal rights in marriage and family relations and upon their dissolution, as well as on women’s equal inheritance rights, for judiciary and traditional justice system actors, including the custodians of customary law, and women and girls themselves, especially in rural and remote areas.</w:t>
      </w:r>
    </w:p>
    <w:p w14:paraId="04A9CEB3" w14:textId="2BE4948B" w:rsidR="000766DB" w:rsidRPr="00A307C6" w:rsidRDefault="000766DB" w:rsidP="009218C2">
      <w:pPr>
        <w:pStyle w:val="Paragraph"/>
        <w:numPr>
          <w:ilvl w:val="1"/>
          <w:numId w:val="12"/>
        </w:numPr>
        <w:rPr>
          <w:lang w:val="en-GB"/>
        </w:rPr>
      </w:pPr>
      <w:r w:rsidRPr="00A307C6">
        <w:rPr>
          <w:lang w:val="en-GB"/>
        </w:rPr>
        <w:t xml:space="preserve">Ensure access to justice and effective remedies for women who have been dispossessed of housing, land and property in divorce, inheritance and widowhood disputes, and provide </w:t>
      </w:r>
      <w:r w:rsidRPr="009218C2">
        <w:t>legal</w:t>
      </w:r>
      <w:r w:rsidRPr="00A307C6">
        <w:rPr>
          <w:lang w:val="en-GB"/>
        </w:rPr>
        <w:t xml:space="preserve"> aid and support programmes to the women concerned.</w:t>
      </w:r>
    </w:p>
    <w:p w14:paraId="06EE749C" w14:textId="77777777" w:rsidR="000766DB" w:rsidRPr="00A307C6" w:rsidRDefault="000766DB" w:rsidP="009218C2">
      <w:pPr>
        <w:pStyle w:val="Paragraph"/>
        <w:numPr>
          <w:ilvl w:val="1"/>
          <w:numId w:val="12"/>
        </w:numPr>
        <w:rPr>
          <w:lang w:val="en-GB"/>
        </w:rPr>
      </w:pPr>
      <w:r w:rsidRPr="00A307C6">
        <w:rPr>
          <w:lang w:val="en-GB"/>
        </w:rPr>
        <w:t xml:space="preserve">Ensure that family members who have been separated through abduction, especially women and children taken during conflicts, are reunited with their families and provided with access to </w:t>
      </w:r>
      <w:r w:rsidRPr="009218C2">
        <w:t>social</w:t>
      </w:r>
      <w:r w:rsidRPr="00A307C6">
        <w:rPr>
          <w:lang w:val="en-GB"/>
        </w:rPr>
        <w:t xml:space="preserve"> integration programmes, and that transitional justice processes are in place at the community level to help societies deal with trauma and accept the reintegration of these community members.</w:t>
      </w:r>
    </w:p>
    <w:p w14:paraId="69D32A2E" w14:textId="77777777" w:rsidR="000766DB" w:rsidRPr="00A307C6" w:rsidRDefault="000766DB" w:rsidP="009218C2">
      <w:pPr>
        <w:pStyle w:val="Paragraph"/>
        <w:numPr>
          <w:ilvl w:val="1"/>
          <w:numId w:val="12"/>
        </w:numPr>
        <w:rPr>
          <w:lang w:val="en-GB"/>
        </w:rPr>
      </w:pPr>
      <w:r w:rsidRPr="00A307C6">
        <w:rPr>
          <w:lang w:val="en-GB"/>
        </w:rPr>
        <w:t xml:space="preserve">Expedite the finalization and adoption of an inclusive and comprehensive family law, with the engagement of women’s civil society groups and traditional and religious leaders, establishing the minimum age of marriage at 18 years for both women and men, prohibiting the harmful practices of “bride price” and polygamy, and ensuring equal rights of </w:t>
      </w:r>
      <w:r w:rsidRPr="009218C2">
        <w:t>women</w:t>
      </w:r>
      <w:r w:rsidRPr="00A307C6">
        <w:rPr>
          <w:lang w:val="en-GB"/>
        </w:rPr>
        <w:t xml:space="preserve"> and men to inheritance and as testators, heirs or beneficiaries, including in Muslim communities.</w:t>
      </w:r>
    </w:p>
    <w:p w14:paraId="4DD13F29" w14:textId="2D289290" w:rsidR="009F0A75" w:rsidRPr="00A307C6" w:rsidRDefault="009F0A75" w:rsidP="009218C2">
      <w:pPr>
        <w:pStyle w:val="Paragraph"/>
        <w:numPr>
          <w:ilvl w:val="1"/>
          <w:numId w:val="12"/>
        </w:numPr>
        <w:rPr>
          <w:lang w:val="en-GB"/>
        </w:rPr>
      </w:pPr>
      <w:r w:rsidRPr="00A307C6">
        <w:rPr>
          <w:lang w:val="en-GB"/>
        </w:rPr>
        <w:t>Ratify the Protocol to the African Charter on Human and Peoples’ Rights on the Rights of Women in Africa (the Maputo Protocol).</w:t>
      </w:r>
    </w:p>
    <w:p w14:paraId="7CCFC2E9" w14:textId="18D8B38B" w:rsidR="003E66F7" w:rsidRDefault="009F0A75" w:rsidP="003E66F7">
      <w:pPr>
        <w:pStyle w:val="Paragraph"/>
        <w:rPr>
          <w:lang w:val="en-GB"/>
        </w:rPr>
      </w:pPr>
      <w:r w:rsidRPr="00A307C6">
        <w:rPr>
          <w:lang w:val="en-GB"/>
        </w:rPr>
        <w:t xml:space="preserve">The Commission recommends that </w:t>
      </w:r>
      <w:r w:rsidR="009218C2">
        <w:rPr>
          <w:lang w:val="en-GB"/>
        </w:rPr>
        <w:t xml:space="preserve">all armed forces and </w:t>
      </w:r>
      <w:r w:rsidRPr="00A307C6">
        <w:rPr>
          <w:lang w:val="en-GB"/>
        </w:rPr>
        <w:t>non-State armed groups</w:t>
      </w:r>
      <w:r w:rsidR="009218C2">
        <w:rPr>
          <w:lang w:val="en-GB"/>
        </w:rPr>
        <w:t xml:space="preserve"> in South Sudan</w:t>
      </w:r>
      <w:r w:rsidRPr="00A307C6">
        <w:rPr>
          <w:lang w:val="en-GB"/>
        </w:rPr>
        <w:t>:</w:t>
      </w:r>
      <w:r w:rsidR="003E66F7" w:rsidRPr="00A307C6">
        <w:rPr>
          <w:lang w:val="en-GB"/>
        </w:rPr>
        <w:t xml:space="preserve"> </w:t>
      </w:r>
    </w:p>
    <w:p w14:paraId="4DC59B79" w14:textId="5138569C" w:rsidR="009218C2" w:rsidRPr="009218C2" w:rsidRDefault="009218C2" w:rsidP="00CB526A">
      <w:pPr>
        <w:pStyle w:val="Paragraph"/>
        <w:numPr>
          <w:ilvl w:val="1"/>
          <w:numId w:val="9"/>
        </w:numPr>
        <w:rPr>
          <w:lang w:val="en-GB"/>
        </w:rPr>
      </w:pPr>
      <w:r w:rsidRPr="009218C2">
        <w:rPr>
          <w:lang w:val="en-GB"/>
        </w:rPr>
        <w:t>Order, clearly and publicly, all troops and allied militias to comply fully with international human rights law and international humanitarian law, in particularly by prohibiting rape and all forms of sexual violence.</w:t>
      </w:r>
    </w:p>
    <w:p w14:paraId="707A8AE1" w14:textId="346D640E" w:rsidR="009218C2" w:rsidRDefault="009218C2" w:rsidP="00081268">
      <w:pPr>
        <w:pStyle w:val="Paragraph"/>
        <w:numPr>
          <w:ilvl w:val="1"/>
          <w:numId w:val="9"/>
        </w:numPr>
        <w:rPr>
          <w:lang w:val="en-GB"/>
        </w:rPr>
      </w:pPr>
      <w:r w:rsidRPr="009218C2">
        <w:rPr>
          <w:lang w:val="en-GB"/>
        </w:rPr>
        <w:t>Prevent and end unlawful killings, arbitrary detentions, acts of torture, enforced disappearances, conflict-related sexual violence and looting. Cooperate with any credible effort to hold to account the perpetrators of serious violations and abuses of international human rights law and violations of international law, including crimes under national and international law.</w:t>
      </w:r>
    </w:p>
    <w:p w14:paraId="1E557DAC" w14:textId="640648B3" w:rsidR="009218C2" w:rsidRPr="00B4631D" w:rsidRDefault="009218C2" w:rsidP="009218C2">
      <w:pPr>
        <w:pStyle w:val="Paragraph"/>
        <w:numPr>
          <w:ilvl w:val="1"/>
          <w:numId w:val="9"/>
        </w:numPr>
        <w:rPr>
          <w:lang w:val="en-GB"/>
        </w:rPr>
      </w:pPr>
      <w:r w:rsidRPr="009218C2">
        <w:t xml:space="preserve">Address additional drivers of predatory </w:t>
      </w:r>
      <w:r w:rsidR="004C6C03" w:rsidRPr="009218C2">
        <w:t>behavior</w:t>
      </w:r>
      <w:r w:rsidRPr="009218C2">
        <w:t xml:space="preserve"> by members, including by ensuring forces are not stationed adjacent to civilian residences.</w:t>
      </w:r>
    </w:p>
    <w:p w14:paraId="609235D6" w14:textId="696766E9" w:rsidR="003E66F7" w:rsidRPr="00A307C6" w:rsidRDefault="009F0A75" w:rsidP="003E66F7">
      <w:pPr>
        <w:pStyle w:val="Paragraph"/>
        <w:rPr>
          <w:color w:val="222222"/>
          <w:lang w:val="en-GB"/>
        </w:rPr>
      </w:pPr>
      <w:r w:rsidRPr="00A307C6">
        <w:rPr>
          <w:lang w:val="en-GB"/>
        </w:rPr>
        <w:t xml:space="preserve">The Commission recommends that the African Union and </w:t>
      </w:r>
      <w:r w:rsidR="00C67775">
        <w:rPr>
          <w:lang w:val="en-GB"/>
        </w:rPr>
        <w:t xml:space="preserve">the </w:t>
      </w:r>
      <w:r w:rsidR="00C67775" w:rsidRPr="00C67775">
        <w:rPr>
          <w:lang w:val="en-GB"/>
        </w:rPr>
        <w:t xml:space="preserve">Intergovernmental Authority on Development </w:t>
      </w:r>
      <w:r w:rsidR="00C67775">
        <w:rPr>
          <w:lang w:val="en-GB"/>
        </w:rPr>
        <w:t>(</w:t>
      </w:r>
      <w:r w:rsidRPr="00A307C6">
        <w:rPr>
          <w:lang w:val="en-GB"/>
        </w:rPr>
        <w:t>IGAD</w:t>
      </w:r>
      <w:r w:rsidR="00C67775">
        <w:rPr>
          <w:lang w:val="en-GB"/>
        </w:rPr>
        <w:t>)</w:t>
      </w:r>
      <w:r w:rsidRPr="00A307C6">
        <w:rPr>
          <w:lang w:val="en-GB"/>
        </w:rPr>
        <w:t>:</w:t>
      </w:r>
    </w:p>
    <w:p w14:paraId="223E75F7" w14:textId="4ADE3706" w:rsidR="004C1B3B" w:rsidRPr="004C1B3B" w:rsidRDefault="0068550D" w:rsidP="004C1B3B">
      <w:pPr>
        <w:pStyle w:val="Paragraph"/>
        <w:numPr>
          <w:ilvl w:val="1"/>
          <w:numId w:val="9"/>
        </w:numPr>
        <w:rPr>
          <w:color w:val="222222"/>
          <w:lang w:val="en-GB"/>
        </w:rPr>
      </w:pPr>
      <w:r w:rsidRPr="00A307C6">
        <w:rPr>
          <w:lang w:val="en-GB"/>
        </w:rPr>
        <w:t xml:space="preserve">Recalling the findings of the Final Report of the AU Commission of Inquiry and its comprehensive findings on sexual violence in the context of conflict, the </w:t>
      </w:r>
      <w:r w:rsidR="00CB526A">
        <w:rPr>
          <w:lang w:val="en-GB"/>
        </w:rPr>
        <w:t xml:space="preserve">AU </w:t>
      </w:r>
      <w:r w:rsidR="00F23098" w:rsidRPr="00A307C6">
        <w:rPr>
          <w:lang w:val="en-GB"/>
        </w:rPr>
        <w:t xml:space="preserve">should </w:t>
      </w:r>
      <w:r w:rsidRPr="00A307C6">
        <w:rPr>
          <w:lang w:val="en-GB"/>
        </w:rPr>
        <w:t>u</w:t>
      </w:r>
      <w:r w:rsidR="004C1B3B" w:rsidRPr="00A307C6">
        <w:rPr>
          <w:lang w:val="en-GB"/>
        </w:rPr>
        <w:t xml:space="preserve">se its good offices to urge the parties to the conflict to uphold and adhere to the </w:t>
      </w:r>
      <w:r w:rsidR="004C1B3B">
        <w:rPr>
          <w:lang w:val="en-GB"/>
        </w:rPr>
        <w:t xml:space="preserve">Revitalized Agreement, </w:t>
      </w:r>
      <w:r w:rsidR="004C1B3B" w:rsidRPr="00A307C6">
        <w:rPr>
          <w:lang w:val="en-GB"/>
        </w:rPr>
        <w:t xml:space="preserve">and in particular the provisions that guarantee the safety and security of civilians with a </w:t>
      </w:r>
      <w:r w:rsidR="004C1B3B">
        <w:rPr>
          <w:lang w:val="en-GB"/>
        </w:rPr>
        <w:t xml:space="preserve">special </w:t>
      </w:r>
      <w:r w:rsidR="004C1B3B" w:rsidRPr="00A307C6">
        <w:rPr>
          <w:lang w:val="en-GB"/>
        </w:rPr>
        <w:t xml:space="preserve">focus on sexual violence in the context of conflict. </w:t>
      </w:r>
    </w:p>
    <w:p w14:paraId="0301C1BF" w14:textId="5417443C" w:rsidR="004C1B3B" w:rsidRPr="00A307C6" w:rsidRDefault="004C1B3B" w:rsidP="004C1B3B">
      <w:pPr>
        <w:pStyle w:val="Paragraph"/>
        <w:numPr>
          <w:ilvl w:val="1"/>
          <w:numId w:val="9"/>
        </w:numPr>
        <w:rPr>
          <w:color w:val="222222"/>
          <w:lang w:val="en-GB"/>
        </w:rPr>
      </w:pPr>
      <w:r>
        <w:rPr>
          <w:lang w:val="en-GB"/>
        </w:rPr>
        <w:t xml:space="preserve">Develop </w:t>
      </w:r>
      <w:r w:rsidRPr="00A307C6">
        <w:rPr>
          <w:lang w:val="en-GB"/>
        </w:rPr>
        <w:t xml:space="preserve">specific benchmarks that both the AU and IGAD are able to undertake through the use of technical expertise on gender and sexual violence. </w:t>
      </w:r>
    </w:p>
    <w:p w14:paraId="22A1C8E9" w14:textId="77777777" w:rsidR="004C1B3B" w:rsidRPr="00A307C6" w:rsidRDefault="004C1B3B" w:rsidP="004C1B3B">
      <w:pPr>
        <w:pStyle w:val="Paragraph"/>
        <w:numPr>
          <w:ilvl w:val="1"/>
          <w:numId w:val="9"/>
        </w:numPr>
        <w:rPr>
          <w:color w:val="222222"/>
          <w:lang w:val="en-GB"/>
        </w:rPr>
      </w:pPr>
      <w:r w:rsidRPr="00A307C6">
        <w:rPr>
          <w:lang w:val="en-GB"/>
        </w:rPr>
        <w:t>Convene a high-level dialogue with political and security personnel specifically on sexual violence in South Sudan in the context of conflict, making use of the AU Kinshasa Declaration</w:t>
      </w:r>
      <w:r w:rsidRPr="00A307C6">
        <w:rPr>
          <w:rStyle w:val="FootnoteReference"/>
          <w:lang w:val="en-GB"/>
        </w:rPr>
        <w:footnoteReference w:id="262"/>
      </w:r>
      <w:r w:rsidRPr="00A307C6">
        <w:rPr>
          <w:lang w:val="en-GB"/>
        </w:rPr>
        <w:t xml:space="preserve"> emerging from the convening at the level of Heads of State in November 2021 on Positive Masculinity in response to violence against women and gender-based violence. </w:t>
      </w:r>
    </w:p>
    <w:p w14:paraId="02A592E3" w14:textId="77777777" w:rsidR="003E66F7" w:rsidRPr="00A307C6" w:rsidRDefault="0068550D" w:rsidP="00B8644C">
      <w:pPr>
        <w:pStyle w:val="Paragraph"/>
        <w:numPr>
          <w:ilvl w:val="1"/>
          <w:numId w:val="9"/>
        </w:numPr>
        <w:rPr>
          <w:color w:val="222222"/>
          <w:lang w:val="en-GB"/>
        </w:rPr>
      </w:pPr>
      <w:r w:rsidRPr="00A307C6">
        <w:rPr>
          <w:lang w:val="en-GB"/>
        </w:rPr>
        <w:t>Urge the Government of South Sudan to ratify, implement and make use of regional and normative frameworks on gender equality such as the Maputo Protocol and make use of various continental and regional instruments and policy documents such as the African Commission on Human and Peoples</w:t>
      </w:r>
      <w:r w:rsidR="005166B4" w:rsidRPr="00A307C6">
        <w:rPr>
          <w:lang w:val="en-GB"/>
        </w:rPr>
        <w:t>’</w:t>
      </w:r>
      <w:r w:rsidRPr="00A307C6">
        <w:rPr>
          <w:lang w:val="en-GB"/>
        </w:rPr>
        <w:t xml:space="preserve"> Rights (ACHPR)</w:t>
      </w:r>
      <w:r w:rsidR="005166B4" w:rsidRPr="00A307C6">
        <w:rPr>
          <w:lang w:val="en-GB"/>
        </w:rPr>
        <w:t>, the</w:t>
      </w:r>
      <w:r w:rsidRPr="00A307C6">
        <w:rPr>
          <w:lang w:val="en-GB"/>
        </w:rPr>
        <w:t xml:space="preserve"> Special Rapporteur on the Rights of Women in Africa, the ACHPR Study on Human Rights and Conflict</w:t>
      </w:r>
      <w:r w:rsidR="005166B4" w:rsidRPr="00A307C6">
        <w:rPr>
          <w:lang w:val="en-GB"/>
        </w:rPr>
        <w:t>,</w:t>
      </w:r>
      <w:r w:rsidRPr="00A307C6">
        <w:rPr>
          <w:lang w:val="en-GB"/>
        </w:rPr>
        <w:t xml:space="preserve"> and the African Union Transitional Justice Policy (AUTJP). </w:t>
      </w:r>
    </w:p>
    <w:p w14:paraId="63349928" w14:textId="2500AD56" w:rsidR="0068550D" w:rsidRPr="00A307C6" w:rsidRDefault="0068550D" w:rsidP="00B8644C">
      <w:pPr>
        <w:pStyle w:val="Paragraph"/>
        <w:numPr>
          <w:ilvl w:val="1"/>
          <w:numId w:val="9"/>
        </w:numPr>
        <w:rPr>
          <w:color w:val="222222"/>
          <w:lang w:val="en-GB"/>
        </w:rPr>
      </w:pPr>
      <w:r w:rsidRPr="00A307C6">
        <w:rPr>
          <w:lang w:val="en-GB"/>
        </w:rPr>
        <w:t>Facilitate and support South Sudan state officials and civil society in regional initiatives</w:t>
      </w:r>
      <w:r w:rsidR="005166B4" w:rsidRPr="00A307C6">
        <w:rPr>
          <w:lang w:val="en-GB"/>
        </w:rPr>
        <w:t>,</w:t>
      </w:r>
      <w:r w:rsidRPr="00A307C6">
        <w:rPr>
          <w:lang w:val="en-GB"/>
        </w:rPr>
        <w:t xml:space="preserve"> and support cross country learning and exchange</w:t>
      </w:r>
      <w:r w:rsidRPr="00A307C6">
        <w:rPr>
          <w:color w:val="222222"/>
          <w:lang w:val="en-GB"/>
        </w:rPr>
        <w:t xml:space="preserve"> on gender equality and addressing sexual violence. </w:t>
      </w:r>
    </w:p>
    <w:p w14:paraId="1AD5067A" w14:textId="0568950B" w:rsidR="006723E5" w:rsidRDefault="009F0A75" w:rsidP="006723E5">
      <w:pPr>
        <w:pStyle w:val="Paragraph"/>
        <w:rPr>
          <w:lang w:val="en-GB"/>
        </w:rPr>
      </w:pPr>
      <w:r w:rsidRPr="00A307C6">
        <w:rPr>
          <w:lang w:val="en-GB"/>
        </w:rPr>
        <w:t>The Commission recommends that Members States and development partners:</w:t>
      </w:r>
      <w:r w:rsidR="006723E5" w:rsidRPr="00A307C6">
        <w:rPr>
          <w:lang w:val="en-GB"/>
        </w:rPr>
        <w:t xml:space="preserve"> </w:t>
      </w:r>
    </w:p>
    <w:p w14:paraId="182A6C63" w14:textId="59F99C7A" w:rsidR="009F099A" w:rsidRPr="00A307C6" w:rsidRDefault="00B8556A" w:rsidP="009F099A">
      <w:pPr>
        <w:pStyle w:val="Paragraph"/>
        <w:numPr>
          <w:ilvl w:val="1"/>
          <w:numId w:val="9"/>
        </w:numPr>
        <w:rPr>
          <w:lang w:val="en-GB"/>
        </w:rPr>
      </w:pPr>
      <w:r>
        <w:rPr>
          <w:lang w:val="en-GB"/>
        </w:rPr>
        <w:t xml:space="preserve">Support </w:t>
      </w:r>
      <w:r w:rsidR="009A1E33">
        <w:rPr>
          <w:lang w:val="en-GB"/>
        </w:rPr>
        <w:t>initiatives</w:t>
      </w:r>
      <w:r>
        <w:rPr>
          <w:lang w:val="en-GB"/>
        </w:rPr>
        <w:t xml:space="preserve"> taken by the Government of South Sudan to a</w:t>
      </w:r>
      <w:r w:rsidR="009F099A">
        <w:rPr>
          <w:lang w:val="en-GB"/>
        </w:rPr>
        <w:t xml:space="preserve">ddress conflict-related sexual violence </w:t>
      </w:r>
      <w:r>
        <w:rPr>
          <w:lang w:val="en-GB"/>
        </w:rPr>
        <w:t xml:space="preserve">including </w:t>
      </w:r>
      <w:r w:rsidR="005B0F8B">
        <w:rPr>
          <w:lang w:val="en-GB"/>
        </w:rPr>
        <w:t xml:space="preserve">the </w:t>
      </w:r>
      <w:r w:rsidR="009F099A" w:rsidRPr="00A307C6">
        <w:rPr>
          <w:lang w:val="en-GB"/>
        </w:rPr>
        <w:t xml:space="preserve">full implementation of the Revitalized Agreement, </w:t>
      </w:r>
      <w:r w:rsidR="005B0F8B">
        <w:rPr>
          <w:lang w:val="en-GB"/>
        </w:rPr>
        <w:t xml:space="preserve">in order to </w:t>
      </w:r>
      <w:r w:rsidR="009F099A" w:rsidRPr="00A307C6">
        <w:rPr>
          <w:lang w:val="en-GB"/>
        </w:rPr>
        <w:t xml:space="preserve">provide a sound basis </w:t>
      </w:r>
      <w:r>
        <w:rPr>
          <w:lang w:val="en-GB"/>
        </w:rPr>
        <w:t xml:space="preserve">and conducive environment </w:t>
      </w:r>
      <w:r w:rsidR="009F099A" w:rsidRPr="00A307C6">
        <w:rPr>
          <w:lang w:val="en-GB"/>
        </w:rPr>
        <w:t xml:space="preserve">for addressing </w:t>
      </w:r>
      <w:r w:rsidR="005B0F8B">
        <w:rPr>
          <w:lang w:val="en-GB"/>
        </w:rPr>
        <w:t xml:space="preserve">the </w:t>
      </w:r>
      <w:r w:rsidR="009F099A" w:rsidRPr="00A307C6">
        <w:rPr>
          <w:lang w:val="en-GB"/>
        </w:rPr>
        <w:t xml:space="preserve">persistent conflict and insecurity in which </w:t>
      </w:r>
      <w:r w:rsidR="005B0F8B">
        <w:rPr>
          <w:lang w:val="en-GB"/>
        </w:rPr>
        <w:t xml:space="preserve">conflict- related </w:t>
      </w:r>
      <w:r w:rsidR="009F099A" w:rsidRPr="00A307C6">
        <w:rPr>
          <w:lang w:val="en-GB"/>
        </w:rPr>
        <w:t xml:space="preserve">sexual violence </w:t>
      </w:r>
      <w:r w:rsidR="005B0F8B">
        <w:rPr>
          <w:lang w:val="en-GB"/>
        </w:rPr>
        <w:t>thrives</w:t>
      </w:r>
      <w:r w:rsidR="009F099A" w:rsidRPr="00A307C6">
        <w:rPr>
          <w:lang w:val="en-GB"/>
        </w:rPr>
        <w:t>.</w:t>
      </w:r>
    </w:p>
    <w:p w14:paraId="16786F37" w14:textId="044CF102" w:rsidR="00B8556A" w:rsidRDefault="009F099A" w:rsidP="009F099A">
      <w:pPr>
        <w:pStyle w:val="Paragraph"/>
        <w:numPr>
          <w:ilvl w:val="1"/>
          <w:numId w:val="9"/>
        </w:numPr>
        <w:rPr>
          <w:lang w:val="en-GB"/>
        </w:rPr>
      </w:pPr>
      <w:r w:rsidRPr="00A307C6">
        <w:rPr>
          <w:lang w:val="en-GB"/>
        </w:rPr>
        <w:t xml:space="preserve">Support </w:t>
      </w:r>
      <w:r w:rsidR="005B0F8B">
        <w:rPr>
          <w:lang w:val="en-GB"/>
        </w:rPr>
        <w:t xml:space="preserve">civil society initiatives </w:t>
      </w:r>
      <w:r w:rsidRPr="00A307C6">
        <w:rPr>
          <w:lang w:val="en-GB"/>
        </w:rPr>
        <w:t>for the documentation of human rights violations and abuses in South Sudan, including conflict-related sexual violence, to inform ongoing public reporting</w:t>
      </w:r>
    </w:p>
    <w:p w14:paraId="68D867A9" w14:textId="09E1B0D3" w:rsidR="00B8556A" w:rsidRPr="006E7CD7" w:rsidRDefault="00B8556A" w:rsidP="005F14A4">
      <w:pPr>
        <w:pStyle w:val="Paragraph"/>
        <w:numPr>
          <w:ilvl w:val="1"/>
          <w:numId w:val="9"/>
        </w:numPr>
        <w:rPr>
          <w:lang w:val="en-GB"/>
        </w:rPr>
      </w:pPr>
      <w:r>
        <w:rPr>
          <w:lang w:val="en-GB"/>
        </w:rPr>
        <w:t>Support in</w:t>
      </w:r>
      <w:r w:rsidR="005F14A4">
        <w:rPr>
          <w:lang w:val="en-GB"/>
        </w:rPr>
        <w:t>itiatives</w:t>
      </w:r>
      <w:r>
        <w:rPr>
          <w:lang w:val="en-GB"/>
        </w:rPr>
        <w:t xml:space="preserve"> to document incidents of conflict related sexual violence against men and boys and member</w:t>
      </w:r>
      <w:r w:rsidR="00CB526A">
        <w:rPr>
          <w:lang w:val="en-GB"/>
        </w:rPr>
        <w:t>s</w:t>
      </w:r>
      <w:r>
        <w:rPr>
          <w:lang w:val="en-GB"/>
        </w:rPr>
        <w:t xml:space="preserve"> of the LGBTI</w:t>
      </w:r>
      <w:r w:rsidR="005F14A4">
        <w:rPr>
          <w:lang w:val="en-GB"/>
        </w:rPr>
        <w:t>IQ+ A communities and collect disaggregated data</w:t>
      </w:r>
      <w:r w:rsidR="00A56934">
        <w:rPr>
          <w:lang w:val="en-GB"/>
        </w:rPr>
        <w:t>;</w:t>
      </w:r>
    </w:p>
    <w:p w14:paraId="7D065972" w14:textId="64403026" w:rsidR="006723E5" w:rsidRPr="00A307C6" w:rsidRDefault="006723E5" w:rsidP="00B8644C">
      <w:pPr>
        <w:pStyle w:val="Paragraph"/>
        <w:numPr>
          <w:ilvl w:val="1"/>
          <w:numId w:val="9"/>
        </w:numPr>
        <w:rPr>
          <w:lang w:val="en-GB"/>
        </w:rPr>
      </w:pPr>
      <w:r w:rsidRPr="00A307C6">
        <w:rPr>
          <w:lang w:val="en-GB"/>
        </w:rPr>
        <w:t xml:space="preserve">Support </w:t>
      </w:r>
      <w:r w:rsidR="004C1B3B">
        <w:rPr>
          <w:lang w:val="en-GB"/>
        </w:rPr>
        <w:t xml:space="preserve">efforts </w:t>
      </w:r>
      <w:r w:rsidRPr="00A307C6">
        <w:rPr>
          <w:lang w:val="en-GB"/>
        </w:rPr>
        <w:t xml:space="preserve">to address conflict-related sexual violence </w:t>
      </w:r>
      <w:r w:rsidR="004C1B3B">
        <w:rPr>
          <w:lang w:val="en-GB"/>
        </w:rPr>
        <w:t xml:space="preserve">and to increase the meaningful participation of women in political and public life, </w:t>
      </w:r>
      <w:r w:rsidRPr="00A307C6">
        <w:rPr>
          <w:lang w:val="en-GB"/>
        </w:rPr>
        <w:t xml:space="preserve">including </w:t>
      </w:r>
      <w:r w:rsidR="004C1B3B">
        <w:rPr>
          <w:lang w:val="en-GB"/>
        </w:rPr>
        <w:t xml:space="preserve">the initiatives </w:t>
      </w:r>
      <w:r w:rsidRPr="00A307C6">
        <w:rPr>
          <w:lang w:val="en-GB"/>
        </w:rPr>
        <w:t>of UNMISS</w:t>
      </w:r>
      <w:r w:rsidR="008855F7" w:rsidRPr="00A307C6">
        <w:rPr>
          <w:lang w:val="en-GB"/>
        </w:rPr>
        <w:t>.</w:t>
      </w:r>
    </w:p>
    <w:p w14:paraId="0FC69141" w14:textId="77777777" w:rsidR="009F099A" w:rsidRPr="00A307C6" w:rsidRDefault="009F099A" w:rsidP="009F099A">
      <w:pPr>
        <w:pStyle w:val="Paragraph"/>
        <w:rPr>
          <w:lang w:val="en-GB"/>
        </w:rPr>
      </w:pPr>
      <w:r w:rsidRPr="00A307C6">
        <w:rPr>
          <w:lang w:val="en-GB"/>
        </w:rPr>
        <w:t xml:space="preserve">The Commission recommends that </w:t>
      </w:r>
      <w:r>
        <w:rPr>
          <w:lang w:val="en-GB"/>
        </w:rPr>
        <w:t>the United Nations Mission in South Sudan</w:t>
      </w:r>
      <w:r w:rsidRPr="00A307C6">
        <w:rPr>
          <w:lang w:val="en-GB"/>
        </w:rPr>
        <w:t xml:space="preserve">: </w:t>
      </w:r>
    </w:p>
    <w:p w14:paraId="01418D94" w14:textId="77777777" w:rsidR="009F099A" w:rsidRPr="00A307C6" w:rsidRDefault="009F099A" w:rsidP="009F099A">
      <w:pPr>
        <w:pStyle w:val="Paragraph"/>
        <w:numPr>
          <w:ilvl w:val="1"/>
          <w:numId w:val="9"/>
        </w:numPr>
        <w:rPr>
          <w:lang w:val="en-GB"/>
        </w:rPr>
      </w:pPr>
      <w:r w:rsidRPr="00A307C6">
        <w:rPr>
          <w:lang w:val="en-GB"/>
        </w:rPr>
        <w:t xml:space="preserve">Continue to support national justice institutions to investigate and prosecute serious crimes, ensuring that witnesses and victims receive appropriate protection and support. </w:t>
      </w:r>
    </w:p>
    <w:p w14:paraId="691D30D2" w14:textId="5A375CCE" w:rsidR="009F099A" w:rsidRPr="00A307C6" w:rsidRDefault="009F099A" w:rsidP="009F099A">
      <w:pPr>
        <w:pStyle w:val="Paragraph"/>
        <w:numPr>
          <w:ilvl w:val="1"/>
          <w:numId w:val="9"/>
        </w:numPr>
        <w:rPr>
          <w:lang w:val="en-GB"/>
        </w:rPr>
      </w:pPr>
      <w:r w:rsidRPr="00A307C6">
        <w:rPr>
          <w:lang w:val="en-GB"/>
        </w:rPr>
        <w:t xml:space="preserve">Continue and enhance support for the establishment of One Stop Centres throughout South Sudan, including in remote areas to enhance psychosocial, medical, and legal support services </w:t>
      </w:r>
      <w:r w:rsidR="006E7827">
        <w:rPr>
          <w:lang w:val="en-GB"/>
        </w:rPr>
        <w:t xml:space="preserve">to </w:t>
      </w:r>
      <w:r w:rsidRPr="00A307C6">
        <w:rPr>
          <w:lang w:val="en-GB"/>
        </w:rPr>
        <w:t>victims</w:t>
      </w:r>
      <w:r>
        <w:rPr>
          <w:lang w:val="en-GB"/>
        </w:rPr>
        <w:t xml:space="preserve"> of sexual and gender-based violence including in conflict</w:t>
      </w:r>
      <w:r w:rsidRPr="00A307C6">
        <w:rPr>
          <w:lang w:val="en-GB"/>
        </w:rPr>
        <w:t xml:space="preserve">. </w:t>
      </w:r>
    </w:p>
    <w:p w14:paraId="649D9E42" w14:textId="77777777" w:rsidR="009F099A" w:rsidRPr="00A307C6" w:rsidRDefault="009F099A" w:rsidP="009F099A">
      <w:pPr>
        <w:pStyle w:val="Paragraph"/>
        <w:numPr>
          <w:ilvl w:val="1"/>
          <w:numId w:val="9"/>
        </w:numPr>
        <w:rPr>
          <w:lang w:val="en-GB"/>
        </w:rPr>
      </w:pPr>
      <w:r w:rsidRPr="00A307C6">
        <w:rPr>
          <w:lang w:val="en-GB"/>
        </w:rPr>
        <w:t xml:space="preserve">Support the strengthening of referral pathways through the establishment of local alert networks in South Sudan to enhance quick information sharing on cases. </w:t>
      </w:r>
    </w:p>
    <w:p w14:paraId="3AE52046" w14:textId="77CD575C" w:rsidR="009F099A" w:rsidRPr="00A307C6" w:rsidRDefault="009F099A" w:rsidP="009F099A">
      <w:pPr>
        <w:pStyle w:val="Paragraph"/>
        <w:numPr>
          <w:ilvl w:val="1"/>
          <w:numId w:val="9"/>
        </w:numPr>
        <w:rPr>
          <w:lang w:val="en-GB"/>
        </w:rPr>
      </w:pPr>
      <w:r w:rsidRPr="00A307C6">
        <w:rPr>
          <w:lang w:val="en-GB"/>
        </w:rPr>
        <w:t xml:space="preserve">Support the establishment of safe houses for </w:t>
      </w:r>
      <w:r>
        <w:rPr>
          <w:lang w:val="en-GB"/>
        </w:rPr>
        <w:t xml:space="preserve">individuals </w:t>
      </w:r>
      <w:r w:rsidRPr="00A307C6">
        <w:rPr>
          <w:lang w:val="en-GB"/>
        </w:rPr>
        <w:t>in imminent danger o</w:t>
      </w:r>
      <w:r>
        <w:rPr>
          <w:lang w:val="en-GB"/>
        </w:rPr>
        <w:t>f</w:t>
      </w:r>
      <w:r w:rsidRPr="00A307C6">
        <w:rPr>
          <w:lang w:val="en-GB"/>
        </w:rPr>
        <w:t xml:space="preserve"> harm, to be supported by partners where the Government is not able to provide protection. </w:t>
      </w:r>
    </w:p>
    <w:p w14:paraId="19BA6667" w14:textId="77777777" w:rsidR="009F099A" w:rsidRPr="00A307C6" w:rsidRDefault="009F099A" w:rsidP="009F099A">
      <w:pPr>
        <w:pStyle w:val="Paragraph"/>
        <w:numPr>
          <w:ilvl w:val="1"/>
          <w:numId w:val="9"/>
        </w:numPr>
        <w:rPr>
          <w:lang w:val="en-GB"/>
        </w:rPr>
      </w:pPr>
      <w:r w:rsidRPr="00A307C6">
        <w:rPr>
          <w:lang w:val="en-GB"/>
        </w:rPr>
        <w:t>Promote and enhance the establishment of legal service provider</w:t>
      </w:r>
      <w:r>
        <w:rPr>
          <w:lang w:val="en-GB"/>
        </w:rPr>
        <w:t xml:space="preserve"> networks</w:t>
      </w:r>
      <w:r w:rsidRPr="00A307C6">
        <w:rPr>
          <w:lang w:val="en-GB"/>
        </w:rPr>
        <w:t xml:space="preserve"> </w:t>
      </w:r>
      <w:r>
        <w:rPr>
          <w:lang w:val="en-GB"/>
        </w:rPr>
        <w:t>for</w:t>
      </w:r>
      <w:r w:rsidRPr="00A307C6">
        <w:rPr>
          <w:lang w:val="en-GB"/>
        </w:rPr>
        <w:t xml:space="preserve"> victims</w:t>
      </w:r>
      <w:r>
        <w:rPr>
          <w:lang w:val="en-GB"/>
        </w:rPr>
        <w:t>.</w:t>
      </w:r>
    </w:p>
    <w:p w14:paraId="6E2A3ADA" w14:textId="77777777" w:rsidR="00D05917" w:rsidRPr="00A307C6" w:rsidRDefault="00D05917" w:rsidP="00D05917">
      <w:pPr>
        <w:pStyle w:val="Paragraph"/>
        <w:numPr>
          <w:ilvl w:val="1"/>
          <w:numId w:val="9"/>
        </w:numPr>
        <w:rPr>
          <w:lang w:val="en-GB"/>
        </w:rPr>
      </w:pPr>
      <w:r w:rsidRPr="00A307C6">
        <w:rPr>
          <w:lang w:val="en-GB"/>
        </w:rPr>
        <w:t xml:space="preserve">Strengthen the synergy between national and subnational protection clusters working on </w:t>
      </w:r>
      <w:r>
        <w:rPr>
          <w:lang w:val="en-GB"/>
        </w:rPr>
        <w:t xml:space="preserve">sexual violence </w:t>
      </w:r>
      <w:r w:rsidRPr="00A307C6">
        <w:rPr>
          <w:lang w:val="en-GB"/>
        </w:rPr>
        <w:t xml:space="preserve">issues, enhance quick response as well as effective coordination of all activities relating to such cases. </w:t>
      </w:r>
    </w:p>
    <w:p w14:paraId="4B572C71" w14:textId="3C90E3FF" w:rsidR="009F099A" w:rsidRDefault="009F099A" w:rsidP="009F099A">
      <w:pPr>
        <w:pStyle w:val="Paragraph"/>
        <w:numPr>
          <w:ilvl w:val="1"/>
          <w:numId w:val="9"/>
        </w:numPr>
        <w:rPr>
          <w:lang w:val="en-GB"/>
        </w:rPr>
      </w:pPr>
      <w:r w:rsidRPr="00A307C6">
        <w:rPr>
          <w:lang w:val="en-GB"/>
        </w:rPr>
        <w:t xml:space="preserve">Adopt a common strategy which promotes a common response from the United Nations Country Team and other relevant partners working on </w:t>
      </w:r>
      <w:r>
        <w:rPr>
          <w:lang w:val="en-GB"/>
        </w:rPr>
        <w:t>conflict-related sexual violence and on sexual and gender-based violence</w:t>
      </w:r>
      <w:r w:rsidRPr="00A307C6">
        <w:rPr>
          <w:lang w:val="en-GB"/>
        </w:rPr>
        <w:t xml:space="preserve">. </w:t>
      </w:r>
    </w:p>
    <w:p w14:paraId="1D877CFD" w14:textId="251199B2" w:rsidR="009B1DC4" w:rsidRPr="009B1DC4" w:rsidRDefault="009B1DC4" w:rsidP="009B1DC4">
      <w:pPr>
        <w:pStyle w:val="Paragraph"/>
        <w:numPr>
          <w:ilvl w:val="0"/>
          <w:numId w:val="0"/>
        </w:numPr>
        <w:suppressAutoHyphens/>
        <w:spacing w:before="240" w:after="0" w:line="240" w:lineRule="atLeast"/>
        <w:ind w:left="1134" w:right="1134"/>
        <w:jc w:val="center"/>
        <w:rPr>
          <w:u w:val="single"/>
          <w:lang w:val="en-GB"/>
        </w:rPr>
      </w:pPr>
      <w:r>
        <w:rPr>
          <w:u w:val="single"/>
          <w:lang w:val="en-GB"/>
        </w:rPr>
        <w:tab/>
      </w:r>
      <w:r>
        <w:rPr>
          <w:u w:val="single"/>
          <w:lang w:val="en-GB"/>
        </w:rPr>
        <w:tab/>
      </w:r>
      <w:r>
        <w:rPr>
          <w:u w:val="single"/>
          <w:lang w:val="en-GB"/>
        </w:rPr>
        <w:tab/>
      </w:r>
      <w:r>
        <w:rPr>
          <w:u w:val="single"/>
          <w:lang w:val="en-GB"/>
        </w:rPr>
        <w:tab/>
      </w:r>
    </w:p>
    <w:sectPr w:rsidR="009B1DC4" w:rsidRPr="009B1DC4" w:rsidSect="00EC6FBA">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286D1" w14:textId="77777777" w:rsidR="00CF49FF" w:rsidRDefault="00CF49FF"/>
  </w:endnote>
  <w:endnote w:type="continuationSeparator" w:id="0">
    <w:p w14:paraId="729CD312" w14:textId="77777777" w:rsidR="00CF49FF" w:rsidRDefault="00CF49FF"/>
  </w:endnote>
  <w:endnote w:type="continuationNotice" w:id="1">
    <w:p w14:paraId="75D883B4" w14:textId="77777777" w:rsidR="00CF49FF" w:rsidRDefault="00CF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F1AE" w14:textId="7E015505" w:rsidR="00E82108" w:rsidRPr="00EC6FBA" w:rsidRDefault="00E82108" w:rsidP="00EC6FBA">
    <w:pPr>
      <w:pStyle w:val="Footer"/>
      <w:tabs>
        <w:tab w:val="right" w:pos="9638"/>
      </w:tabs>
      <w:rPr>
        <w:sz w:val="18"/>
      </w:rPr>
    </w:pPr>
    <w:r w:rsidRPr="00EC6FBA">
      <w:rPr>
        <w:b/>
        <w:sz w:val="18"/>
      </w:rPr>
      <w:fldChar w:fldCharType="begin"/>
    </w:r>
    <w:r w:rsidRPr="00EC6FBA">
      <w:rPr>
        <w:b/>
        <w:sz w:val="18"/>
      </w:rPr>
      <w:instrText xml:space="preserve"> PAGE  \* MERGEFORMAT </w:instrText>
    </w:r>
    <w:r w:rsidRPr="00EC6FBA">
      <w:rPr>
        <w:b/>
        <w:sz w:val="18"/>
      </w:rPr>
      <w:fldChar w:fldCharType="separate"/>
    </w:r>
    <w:r w:rsidR="00D64AC4">
      <w:rPr>
        <w:b/>
        <w:noProof/>
        <w:sz w:val="18"/>
      </w:rPr>
      <w:t>20</w:t>
    </w:r>
    <w:r w:rsidRPr="00EC6FB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C155" w14:textId="4CACED58" w:rsidR="00E82108" w:rsidRPr="00EC6FBA" w:rsidRDefault="00E82108" w:rsidP="00EC6FBA">
    <w:pPr>
      <w:pStyle w:val="Footer"/>
      <w:tabs>
        <w:tab w:val="right" w:pos="9638"/>
      </w:tabs>
      <w:rPr>
        <w:b/>
        <w:sz w:val="18"/>
      </w:rPr>
    </w:pPr>
    <w:r>
      <w:tab/>
    </w:r>
    <w:r w:rsidRPr="00EC6FBA">
      <w:rPr>
        <w:b/>
        <w:sz w:val="18"/>
      </w:rPr>
      <w:fldChar w:fldCharType="begin"/>
    </w:r>
    <w:r w:rsidRPr="00EC6FBA">
      <w:rPr>
        <w:b/>
        <w:sz w:val="18"/>
      </w:rPr>
      <w:instrText xml:space="preserve"> PAGE  \* MERGEFORMAT </w:instrText>
    </w:r>
    <w:r w:rsidRPr="00EC6FBA">
      <w:rPr>
        <w:b/>
        <w:sz w:val="18"/>
      </w:rPr>
      <w:fldChar w:fldCharType="separate"/>
    </w:r>
    <w:r w:rsidR="00D64AC4">
      <w:rPr>
        <w:b/>
        <w:noProof/>
        <w:sz w:val="18"/>
      </w:rPr>
      <w:t>21</w:t>
    </w:r>
    <w:r w:rsidRPr="00EC6FB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CBC2" w14:textId="77777777" w:rsidR="00CF49FF" w:rsidRPr="000B175B" w:rsidRDefault="00CF49FF" w:rsidP="000B175B">
      <w:pPr>
        <w:tabs>
          <w:tab w:val="right" w:pos="2155"/>
        </w:tabs>
        <w:spacing w:after="80"/>
        <w:ind w:left="680"/>
        <w:rPr>
          <w:u w:val="single"/>
        </w:rPr>
      </w:pPr>
      <w:r>
        <w:rPr>
          <w:u w:val="single"/>
        </w:rPr>
        <w:tab/>
      </w:r>
    </w:p>
  </w:footnote>
  <w:footnote w:type="continuationSeparator" w:id="0">
    <w:p w14:paraId="37A0A406" w14:textId="77777777" w:rsidR="00CF49FF" w:rsidRPr="00FC68B7" w:rsidRDefault="00CF49FF" w:rsidP="00FC68B7">
      <w:pPr>
        <w:tabs>
          <w:tab w:val="left" w:pos="2155"/>
        </w:tabs>
        <w:spacing w:after="80"/>
        <w:ind w:left="680"/>
        <w:rPr>
          <w:u w:val="single"/>
        </w:rPr>
      </w:pPr>
      <w:r>
        <w:rPr>
          <w:u w:val="single"/>
        </w:rPr>
        <w:tab/>
      </w:r>
    </w:p>
  </w:footnote>
  <w:footnote w:type="continuationNotice" w:id="1">
    <w:p w14:paraId="18293EE0" w14:textId="77777777" w:rsidR="00CF49FF" w:rsidRDefault="00CF49FF"/>
  </w:footnote>
  <w:footnote w:id="2">
    <w:p w14:paraId="5AD6A3F0" w14:textId="4B65FA4C" w:rsidR="00E82108" w:rsidRPr="006614C7" w:rsidRDefault="00E82108" w:rsidP="004C6C03">
      <w:pPr>
        <w:pStyle w:val="FootnoteText"/>
        <w:rPr>
          <w:lang w:val="en-US"/>
        </w:rPr>
      </w:pPr>
      <w:r>
        <w:rPr>
          <w:rStyle w:val="FootnoteReference"/>
        </w:rPr>
        <w:footnoteRef/>
      </w:r>
      <w:r>
        <w:t xml:space="preserve"> </w:t>
      </w:r>
      <w:r w:rsidRPr="006614C7">
        <w:t>In pursuance of its mandate, the Commission collects and preserves evidence that it stores and that it catalogues by a unique evidence registration number (ERN). Reference is made to these numbers throughout the report so that States and the African Union may use them when requesting to consult the evidence.</w:t>
      </w:r>
    </w:p>
  </w:footnote>
  <w:footnote w:id="3">
    <w:p w14:paraId="42A444EC" w14:textId="7253E538" w:rsidR="00E82108" w:rsidRPr="00AE4C95" w:rsidRDefault="00E82108" w:rsidP="004C6C03">
      <w:pPr>
        <w:pStyle w:val="FootnoteText"/>
        <w:rPr>
          <w:lang w:val="en-US"/>
        </w:rPr>
      </w:pPr>
      <w:r>
        <w:rPr>
          <w:rStyle w:val="FootnoteReference"/>
        </w:rPr>
        <w:footnoteRef/>
      </w:r>
      <w:r>
        <w:t xml:space="preserve"> </w:t>
      </w:r>
      <w:r>
        <w:rPr>
          <w:lang w:val="en-US"/>
        </w:rPr>
        <w:t xml:space="preserve">Sexual and gender-based violence including conflict-related sexual violence was a subject of discussions at the second conference on transitional justice hosted by the Commission, held in Nairobi in December 2021 in collaboration with partners and with participation from key stakeholders including government representatives, entitled “Conference on sustaining momentum for transitional justice on South Sudan.” For resolutions, see: </w:t>
      </w:r>
      <w:r w:rsidRPr="00804BF5">
        <w:rPr>
          <w:lang w:val="en-US"/>
        </w:rPr>
        <w:t>https://www.ohchr.org/Documents/HRBodies/HRCouncil/CoHRSouthSudan/Summary_Resolutions_Conference_13-15_Dec_2021.pdf</w:t>
      </w:r>
      <w:r>
        <w:rPr>
          <w:lang w:val="en-US"/>
        </w:rPr>
        <w:t xml:space="preserve">. See also the mandate report of the Commission, published in February 2022, available at: </w:t>
      </w:r>
      <w:r w:rsidRPr="00804BF5">
        <w:rPr>
          <w:lang w:val="en-US"/>
        </w:rPr>
        <w:t>https://www.ohchr.org/en/hrbodies/hrc/cohsouthsudan/pages/index.aspx</w:t>
      </w:r>
    </w:p>
  </w:footnote>
  <w:footnote w:id="4">
    <w:p w14:paraId="1DA7E184" w14:textId="1FB5F80C" w:rsidR="00E82108" w:rsidRPr="00301449" w:rsidRDefault="00E82108" w:rsidP="004C6C03">
      <w:pPr>
        <w:pStyle w:val="FootnoteText"/>
        <w:rPr>
          <w:lang w:val="en-US"/>
        </w:rPr>
      </w:pPr>
      <w:r>
        <w:rPr>
          <w:rStyle w:val="FootnoteReference"/>
        </w:rPr>
        <w:footnoteRef/>
      </w:r>
      <w:r w:rsidRPr="00301449">
        <w:tab/>
        <w:t>When referring to individuals who have experienced sexual violence, the Commission predominantly uses the term victim throughout this report, although the term survivor is also used, including to attribute agency and dignity. While there is no hard and fast rule on this nomenclature, the term victim is significant for carrying legal status in terms of a crime or crimes, and it thereby has implications for accountability purposes. The Commission recognises the importance of legal status for victims of crimes, while recognising the dignity, agency and resilience of individuals who survive sexual violence, yet noting that many victims of sexual violence do not survive.</w:t>
      </w:r>
    </w:p>
  </w:footnote>
  <w:footnote w:id="5">
    <w:p w14:paraId="12A2E5F8" w14:textId="1E6A9AF2" w:rsidR="00E82108" w:rsidRPr="00680D7D" w:rsidRDefault="00E82108" w:rsidP="004C6C03">
      <w:pPr>
        <w:pStyle w:val="FootnoteText"/>
        <w:rPr>
          <w:lang w:val="en-US"/>
        </w:rPr>
      </w:pPr>
      <w:r>
        <w:rPr>
          <w:rStyle w:val="FootnoteReference"/>
        </w:rPr>
        <w:footnoteRef/>
      </w:r>
      <w:r>
        <w:t xml:space="preserve"> </w:t>
      </w:r>
      <w:r w:rsidR="00BF0171">
        <w:rPr>
          <w:lang w:val="en-US"/>
        </w:rPr>
        <w:t>T</w:t>
      </w:r>
      <w:r>
        <w:rPr>
          <w:lang w:val="en-US"/>
        </w:rPr>
        <w:t>his has previously been reported on by the Commission and continues to be monitored. See A/HRC/40/CRP.1</w:t>
      </w:r>
    </w:p>
  </w:footnote>
  <w:footnote w:id="6">
    <w:p w14:paraId="5CBA47BC" w14:textId="1C7278BA" w:rsidR="00E82108" w:rsidRPr="00365A4A" w:rsidRDefault="00E82108" w:rsidP="004C6C03">
      <w:pPr>
        <w:pStyle w:val="FootnoteText"/>
        <w:rPr>
          <w:lang w:val="en-US"/>
        </w:rPr>
      </w:pPr>
      <w:r>
        <w:rPr>
          <w:rStyle w:val="FootnoteReference"/>
        </w:rPr>
        <w:footnoteRef/>
      </w:r>
      <w:r>
        <w:t xml:space="preserve"> </w:t>
      </w:r>
      <w:r>
        <w:rPr>
          <w:lang w:val="en-US"/>
        </w:rPr>
        <w:t xml:space="preserve">See for example, A/HRC/40/CRP.1 </w:t>
      </w:r>
      <w:r>
        <w:t>Note that given the illustrative rather than representative sample size of data collected, and noting difficulties with collating and accessing statistical data in South Sudan broadly, particularly in the context of widespread human rights violations, the paper does not feature the presentation or analysis of quantitative data, which remains an area of interest.</w:t>
      </w:r>
    </w:p>
  </w:footnote>
  <w:footnote w:id="7">
    <w:p w14:paraId="12141A2C" w14:textId="77777777" w:rsidR="00E82108" w:rsidRPr="00EA1092" w:rsidRDefault="00E82108" w:rsidP="004C6C03">
      <w:pPr>
        <w:pStyle w:val="FootnoteText"/>
      </w:pPr>
      <w:r w:rsidRPr="00EA1092">
        <w:rPr>
          <w:rStyle w:val="FootnoteReference"/>
          <w:szCs w:val="18"/>
        </w:rPr>
        <w:footnoteRef/>
      </w:r>
      <w:r w:rsidRPr="00EA1092">
        <w:t xml:space="preserve"> Report of the Secretary-General on Conflict-Related Sexual </w:t>
      </w:r>
      <w:r>
        <w:t>V</w:t>
      </w:r>
      <w:r w:rsidRPr="00EA1092">
        <w:t>iolence, S/2018/250, 16 April 2018.</w:t>
      </w:r>
    </w:p>
  </w:footnote>
  <w:footnote w:id="8">
    <w:p w14:paraId="51F7F261" w14:textId="13D9F35F" w:rsidR="00E82108" w:rsidRPr="00BF0171" w:rsidRDefault="00E82108" w:rsidP="004C6C03">
      <w:pPr>
        <w:pStyle w:val="FootnoteText"/>
        <w:rPr>
          <w:highlight w:val="yellow"/>
          <w:lang w:val="en-US"/>
        </w:rPr>
      </w:pPr>
      <w:r>
        <w:rPr>
          <w:rStyle w:val="FootnoteReference"/>
        </w:rPr>
        <w:footnoteRef/>
      </w:r>
      <w:r>
        <w:t xml:space="preserve"> See A/HRC/40/CRP.1, para. 475. ERNs 105056-105059, </w:t>
      </w:r>
      <w:r w:rsidR="0003254C">
        <w:t>FGD-05</w:t>
      </w:r>
      <w:r>
        <w:t xml:space="preserve">, </w:t>
      </w:r>
      <w:r w:rsidR="0003254C">
        <w:t>FGD-03</w:t>
      </w:r>
      <w:r>
        <w:t xml:space="preserve">, </w:t>
      </w:r>
      <w:r w:rsidR="001306AD" w:rsidRPr="001306AD">
        <w:t>105068-105071</w:t>
      </w:r>
      <w:r>
        <w:t>,</w:t>
      </w:r>
      <w:r w:rsidR="001306AD" w:rsidRPr="001306AD">
        <w:t>105063-105067</w:t>
      </w:r>
      <w:r>
        <w:t xml:space="preserve">. </w:t>
      </w:r>
    </w:p>
  </w:footnote>
  <w:footnote w:id="9">
    <w:p w14:paraId="0E339D9F" w14:textId="5A6E2B8F" w:rsidR="00E82108" w:rsidRPr="00E76E17" w:rsidRDefault="00E82108" w:rsidP="004C6C03">
      <w:pPr>
        <w:pStyle w:val="FootnoteText"/>
        <w:rPr>
          <w:lang w:val="en-US"/>
        </w:rPr>
      </w:pPr>
      <w:r>
        <w:rPr>
          <w:rStyle w:val="FootnoteReference"/>
        </w:rPr>
        <w:footnoteRef/>
      </w:r>
      <w:r>
        <w:t xml:space="preserve"> ERNs </w:t>
      </w:r>
      <w:r w:rsidRPr="00E76E17">
        <w:t xml:space="preserve">01462-101469, 105068-105071, 105063-105067, 105056-105059, </w:t>
      </w:r>
      <w:r w:rsidR="0003254C">
        <w:t>FGD-05</w:t>
      </w:r>
      <w:r w:rsidRPr="00E76E17">
        <w:t xml:space="preserve">, </w:t>
      </w:r>
      <w:r w:rsidR="0003254C">
        <w:t>FGD-03</w:t>
      </w:r>
      <w:r w:rsidRPr="00E76E17">
        <w:t xml:space="preserve">  </w:t>
      </w:r>
    </w:p>
  </w:footnote>
  <w:footnote w:id="10">
    <w:p w14:paraId="7AC418AD" w14:textId="7FB72154" w:rsidR="00E82108" w:rsidRPr="00D72104" w:rsidRDefault="00E82108" w:rsidP="004C6C03">
      <w:pPr>
        <w:pStyle w:val="FootnoteText"/>
        <w:rPr>
          <w:lang w:val="en-US"/>
        </w:rPr>
      </w:pPr>
      <w:r>
        <w:rPr>
          <w:rStyle w:val="FootnoteReference"/>
        </w:rPr>
        <w:footnoteRef/>
      </w:r>
      <w:r>
        <w:t xml:space="preserve"> </w:t>
      </w:r>
      <w:r>
        <w:rPr>
          <w:lang w:val="en-US"/>
        </w:rPr>
        <w:t xml:space="preserve">See for example discussion in “Sexual Violence against Men and Boys,” in </w:t>
      </w:r>
      <w:r>
        <w:rPr>
          <w:i/>
          <w:iCs/>
          <w:lang w:val="en-US"/>
        </w:rPr>
        <w:t>International Protocol on the Documentation and Investigation of Sexual Violence in Conflict</w:t>
      </w:r>
      <w:r>
        <w:rPr>
          <w:lang w:val="en-US"/>
        </w:rPr>
        <w:t xml:space="preserve">, Second Edition, March 2017. </w:t>
      </w:r>
    </w:p>
  </w:footnote>
  <w:footnote w:id="11">
    <w:p w14:paraId="3B5D6543" w14:textId="1F78004A" w:rsidR="00E82108" w:rsidRPr="009E6E96" w:rsidRDefault="00E82108" w:rsidP="004C6C03">
      <w:pPr>
        <w:pStyle w:val="FootnoteText"/>
        <w:rPr>
          <w:lang w:val="en-US"/>
        </w:rPr>
      </w:pPr>
      <w:r>
        <w:rPr>
          <w:rStyle w:val="FootnoteReference"/>
        </w:rPr>
        <w:footnoteRef/>
      </w:r>
      <w:r>
        <w:t xml:space="preserve"> </w:t>
      </w:r>
      <w:r w:rsidRPr="0097108A">
        <w:t>“NAS” is the common term for the group</w:t>
      </w:r>
      <w:r w:rsidR="00531BBD">
        <w:t>,</w:t>
      </w:r>
      <w:r w:rsidRPr="0097108A">
        <w:t xml:space="preserve"> derived from Arabic; its English name is the National Salvation Front.</w:t>
      </w:r>
    </w:p>
  </w:footnote>
  <w:footnote w:id="12">
    <w:p w14:paraId="6D3FC02B" w14:textId="2A29B608" w:rsidR="00E82108" w:rsidRPr="00CF2F72" w:rsidRDefault="00E82108" w:rsidP="004C6C03">
      <w:pPr>
        <w:pStyle w:val="FootnoteText"/>
        <w:rPr>
          <w:lang w:val="en-US"/>
        </w:rPr>
      </w:pPr>
      <w:r>
        <w:rPr>
          <w:rStyle w:val="FootnoteReference"/>
        </w:rPr>
        <w:footnoteRef/>
      </w:r>
      <w:r>
        <w:t xml:space="preserve"> </w:t>
      </w:r>
      <w:r>
        <w:rPr>
          <w:lang w:val="en-US"/>
        </w:rPr>
        <w:t>See Chapter V of the 2018 Revitali</w:t>
      </w:r>
      <w:r w:rsidR="00BF0171">
        <w:rPr>
          <w:lang w:val="en-US"/>
        </w:rPr>
        <w:t>z</w:t>
      </w:r>
      <w:r>
        <w:rPr>
          <w:lang w:val="en-US"/>
        </w:rPr>
        <w:t>ed Peace Agreement, which has been endorsed by the African Union.</w:t>
      </w:r>
    </w:p>
  </w:footnote>
  <w:footnote w:id="13">
    <w:p w14:paraId="6E8E0FAE" w14:textId="77777777" w:rsidR="00E82108" w:rsidRPr="00113D68" w:rsidRDefault="00E82108" w:rsidP="004C6C03">
      <w:pPr>
        <w:pStyle w:val="FootnoteText"/>
        <w:rPr>
          <w:lang w:val="en-US"/>
        </w:rPr>
      </w:pPr>
      <w:r>
        <w:rPr>
          <w:rStyle w:val="FootnoteReference"/>
        </w:rPr>
        <w:footnoteRef/>
      </w:r>
      <w:r>
        <w:t xml:space="preserve"> This in part reflects </w:t>
      </w:r>
      <w:r w:rsidRPr="00113D68">
        <w:t xml:space="preserve">the extent of inequality areas as well as challenges associated with </w:t>
      </w:r>
      <w:r>
        <w:t xml:space="preserve">quantitative data collection and </w:t>
      </w:r>
      <w:r w:rsidRPr="00113D68">
        <w:t>statistical analysis in the country.</w:t>
      </w:r>
    </w:p>
  </w:footnote>
  <w:footnote w:id="14">
    <w:p w14:paraId="34F09D90" w14:textId="4BEA80DA" w:rsidR="00E82108" w:rsidRPr="00B506E2" w:rsidRDefault="00E82108" w:rsidP="004C6C03">
      <w:pPr>
        <w:pStyle w:val="FootnoteText"/>
        <w:rPr>
          <w:lang w:val="en-US"/>
        </w:rPr>
      </w:pPr>
      <w:r>
        <w:rPr>
          <w:rStyle w:val="FootnoteReference"/>
        </w:rPr>
        <w:footnoteRef/>
      </w:r>
      <w:r>
        <w:t xml:space="preserve"> Note that the Transitional Constitution was amended to revise this percentage figure up from 25 per cent, as part of the Government’s implementation of the Revitalized Agreement into the Constitution. </w:t>
      </w:r>
      <w:r>
        <w:rPr>
          <w:lang w:val="en-US"/>
        </w:rPr>
        <w:t>When the Cabinet of the Revitalized Transitional Government of National Unity was first appointed in 2020, it included seven women out of around 35 ministers. One of the ten State Governor positions subsequently appointed is held by a woman. The Commission understands there is one woman serving as a County Commissioner in the country.</w:t>
      </w:r>
    </w:p>
  </w:footnote>
  <w:footnote w:id="15">
    <w:p w14:paraId="254A3BD8" w14:textId="181F61B0" w:rsidR="00E82108" w:rsidRPr="0044019F" w:rsidRDefault="00E82108" w:rsidP="004C6C03">
      <w:pPr>
        <w:pStyle w:val="FootnoteText"/>
        <w:rPr>
          <w:lang w:val="en-US"/>
        </w:rPr>
      </w:pPr>
      <w:r>
        <w:rPr>
          <w:rStyle w:val="FootnoteReference"/>
        </w:rPr>
        <w:footnoteRef/>
      </w:r>
      <w:r>
        <w:t xml:space="preserve"> </w:t>
      </w:r>
      <w:r w:rsidRPr="0044019F">
        <w:rPr>
          <w:lang w:val="en-US"/>
        </w:rPr>
        <w:t>World Health Organization</w:t>
      </w:r>
      <w:r>
        <w:rPr>
          <w:lang w:val="en-US"/>
        </w:rPr>
        <w:t>, “</w:t>
      </w:r>
      <w:r w:rsidRPr="0044019F">
        <w:rPr>
          <w:lang w:val="en-US"/>
        </w:rPr>
        <w:t xml:space="preserve">Trends in </w:t>
      </w:r>
      <w:r>
        <w:rPr>
          <w:lang w:val="en-US"/>
        </w:rPr>
        <w:t>maternal</w:t>
      </w:r>
      <w:r w:rsidRPr="0044019F">
        <w:rPr>
          <w:lang w:val="en-US"/>
        </w:rPr>
        <w:t xml:space="preserve"> mortality 2000 to 2017: estimates</w:t>
      </w:r>
      <w:r>
        <w:rPr>
          <w:lang w:val="en-US"/>
        </w:rPr>
        <w:t xml:space="preserve"> </w:t>
      </w:r>
      <w:r w:rsidRPr="0044019F">
        <w:rPr>
          <w:lang w:val="en-US"/>
        </w:rPr>
        <w:t>by WHO, UNICEF, UNFPA, World Bank Group and the United Nations Population Division: executive summary</w:t>
      </w:r>
      <w:r>
        <w:rPr>
          <w:lang w:val="en-US"/>
        </w:rPr>
        <w:t xml:space="preserve">,” 2019, available at: </w:t>
      </w:r>
      <w:r w:rsidRPr="00383BFD">
        <w:rPr>
          <w:lang w:val="en-US"/>
        </w:rPr>
        <w:t>https://apps.who.int/iris/handle/10665/327596</w:t>
      </w:r>
      <w:r>
        <w:rPr>
          <w:lang w:val="en-US"/>
        </w:rPr>
        <w:t xml:space="preserve"> </w:t>
      </w:r>
    </w:p>
  </w:footnote>
  <w:footnote w:id="16">
    <w:p w14:paraId="2BE69CBF" w14:textId="77E78926" w:rsidR="00E82108" w:rsidRPr="0046411E" w:rsidRDefault="00E82108" w:rsidP="004C6C03">
      <w:pPr>
        <w:pStyle w:val="FootnoteText"/>
        <w:rPr>
          <w:lang w:val="en-US"/>
        </w:rPr>
      </w:pPr>
      <w:r>
        <w:rPr>
          <w:rStyle w:val="FootnoteReference"/>
        </w:rPr>
        <w:footnoteRef/>
      </w:r>
      <w:r>
        <w:t xml:space="preserve"> See: </w:t>
      </w:r>
      <w:r>
        <w:rPr>
          <w:lang w:val="en-US"/>
        </w:rPr>
        <w:t xml:space="preserve">UNICEF, available at: </w:t>
      </w:r>
      <w:r w:rsidRPr="00383BFD">
        <w:rPr>
          <w:lang w:val="en-US"/>
        </w:rPr>
        <w:t>https://data.unicef.org/topic/child-protection/child-marriage/</w:t>
      </w:r>
    </w:p>
  </w:footnote>
  <w:footnote w:id="17">
    <w:p w14:paraId="4918059B" w14:textId="18E6A4FD" w:rsidR="00E82108" w:rsidRPr="00AE6474" w:rsidRDefault="00E82108" w:rsidP="004C6C03">
      <w:pPr>
        <w:pStyle w:val="FootnoteText"/>
        <w:rPr>
          <w:lang w:val="en-US"/>
        </w:rPr>
      </w:pPr>
      <w:r>
        <w:rPr>
          <w:rStyle w:val="FootnoteReference"/>
        </w:rPr>
        <w:footnoteRef/>
      </w:r>
      <w:r>
        <w:t xml:space="preserve"> </w:t>
      </w:r>
      <w:r>
        <w:rPr>
          <w:lang w:val="en-US"/>
        </w:rPr>
        <w:t xml:space="preserve">See for example Oxfam, “South Sudan Gender Analysis, 2017, pp. 44, available at: </w:t>
      </w:r>
      <w:r w:rsidRPr="00383BFD">
        <w:rPr>
          <w:lang w:val="en-US"/>
        </w:rPr>
        <w:t>https://oxfamilibrary.openrepository.com/bitstream/handle/10546/620207/rr-south-sudan-gender-analysis-060317-en.pdf</w:t>
      </w:r>
    </w:p>
  </w:footnote>
  <w:footnote w:id="18">
    <w:p w14:paraId="399BEA52" w14:textId="7B7FDACF" w:rsidR="00E82108" w:rsidRPr="002C286B" w:rsidRDefault="00E82108" w:rsidP="004C6C03">
      <w:pPr>
        <w:pStyle w:val="FootnoteText"/>
        <w:rPr>
          <w:lang w:val="en-US"/>
        </w:rPr>
      </w:pPr>
      <w:r>
        <w:rPr>
          <w:rStyle w:val="FootnoteReference"/>
        </w:rPr>
        <w:footnoteRef/>
      </w:r>
      <w:r>
        <w:rPr>
          <w:lang w:val="en-US"/>
        </w:rPr>
        <w:t xml:space="preserve"> Ibid. As an indicative example, ninety percent of respondents in the Oxfam study said that securing clean water was the responsibility of women. </w:t>
      </w:r>
    </w:p>
  </w:footnote>
  <w:footnote w:id="19">
    <w:p w14:paraId="2D790B8E" w14:textId="00B152B1" w:rsidR="00E82108" w:rsidRPr="00FA05CB" w:rsidRDefault="00E82108" w:rsidP="004C6C03">
      <w:pPr>
        <w:pStyle w:val="FootnoteText"/>
      </w:pPr>
      <w:r>
        <w:rPr>
          <w:rStyle w:val="FootnoteReference"/>
        </w:rPr>
        <w:footnoteRef/>
      </w:r>
      <w:r>
        <w:t xml:space="preserve"> Global Women’s Institute of the George Washington University, “No Safe Place: A Lifetime of Violence for Conflict-Affected Women and Girls in South Sudan,” 2017 </w:t>
      </w:r>
    </w:p>
  </w:footnote>
  <w:footnote w:id="20">
    <w:p w14:paraId="531D2605" w14:textId="527E3040" w:rsidR="00E82108" w:rsidRPr="0027112E" w:rsidRDefault="00E82108" w:rsidP="004C6C03">
      <w:pPr>
        <w:pStyle w:val="FootnoteText"/>
        <w:rPr>
          <w:lang w:val="en-US"/>
        </w:rPr>
      </w:pPr>
      <w:r>
        <w:rPr>
          <w:rStyle w:val="FootnoteReference"/>
        </w:rPr>
        <w:footnoteRef/>
      </w:r>
      <w:r>
        <w:t xml:space="preserve"> “Conflict-related sexual violence: report of the United Nations Secretary-General,” S/2021/312, p</w:t>
      </w:r>
      <w:r>
        <w:rPr>
          <w:lang w:val="en-US"/>
        </w:rPr>
        <w:t>aras. 47-51.</w:t>
      </w:r>
    </w:p>
  </w:footnote>
  <w:footnote w:id="21">
    <w:p w14:paraId="0BDF06DC" w14:textId="37001567" w:rsidR="00E82108" w:rsidRPr="0059023C" w:rsidRDefault="00E82108" w:rsidP="004C6C03">
      <w:pPr>
        <w:pStyle w:val="FootnoteText"/>
        <w:rPr>
          <w:lang w:val="en-US"/>
        </w:rPr>
      </w:pPr>
      <w:r>
        <w:rPr>
          <w:rStyle w:val="FootnoteReference"/>
        </w:rPr>
        <w:footnoteRef/>
      </w:r>
      <w:r>
        <w:t xml:space="preserve"> </w:t>
      </w:r>
      <w:r>
        <w:rPr>
          <w:lang w:val="en-US"/>
        </w:rPr>
        <w:t>Note that in many cases, while a pattern of sexual violence may be occurring in a single geographical place so be primarily localized, it is taking place in the context of subnational, national and other structures that are key drivers or enablers of such patterns, for instance in the case of underpaid or unpaid Government soldiers in Central Equatoria who are increasingly predatory on local populations.</w:t>
      </w:r>
    </w:p>
  </w:footnote>
  <w:footnote w:id="22">
    <w:p w14:paraId="7A3910F4" w14:textId="058AB5E5" w:rsidR="00E82108" w:rsidRPr="00A254FA" w:rsidRDefault="00E82108" w:rsidP="004C6C03">
      <w:pPr>
        <w:pStyle w:val="FootnoteText"/>
        <w:rPr>
          <w:lang w:val="en-US"/>
        </w:rPr>
      </w:pPr>
      <w:r>
        <w:rPr>
          <w:rStyle w:val="FootnoteReference"/>
        </w:rPr>
        <w:footnoteRef/>
      </w:r>
      <w:r>
        <w:t xml:space="preserve"> Rape </w:t>
      </w:r>
      <w:r w:rsidRPr="00652F6B">
        <w:t>involves a perpetrator or perpetrators using a sexual organ to invade any part of the body of a person in any way, or by using another object to invade a person’s sexual organ or genitalia or anus, in the context of the act being done by force or by threat of force or coercion, or in a coercive environment or where genuine consent is not possible</w:t>
      </w:r>
      <w:r>
        <w:t xml:space="preserve">. </w:t>
      </w:r>
      <w:r>
        <w:rPr>
          <w:lang w:val="en-US"/>
        </w:rPr>
        <w:t xml:space="preserve">See </w:t>
      </w:r>
      <w:r>
        <w:rPr>
          <w:i/>
          <w:iCs/>
          <w:lang w:val="en-US"/>
        </w:rPr>
        <w:t>International Protocol on the Documentation and Investigation of Sexual Violence in Conflict</w:t>
      </w:r>
      <w:r>
        <w:rPr>
          <w:lang w:val="en-US"/>
        </w:rPr>
        <w:t>, Annex 1.</w:t>
      </w:r>
    </w:p>
  </w:footnote>
  <w:footnote w:id="23">
    <w:p w14:paraId="7A4C5168" w14:textId="77777777" w:rsidR="00E82108" w:rsidRPr="00166B93" w:rsidRDefault="00E82108" w:rsidP="004C6C03">
      <w:pPr>
        <w:pStyle w:val="FootnoteText"/>
        <w:rPr>
          <w:lang w:val="en-US"/>
        </w:rPr>
      </w:pPr>
      <w:r>
        <w:rPr>
          <w:rStyle w:val="FootnoteReference"/>
        </w:rPr>
        <w:footnoteRef/>
      </w:r>
      <w:r>
        <w:t xml:space="preserve"> While the term gang rape generally infers a victim or victims being raped by multiple perpetrators, a mass rape tends to infer that there are a particularly high number of victims.</w:t>
      </w:r>
    </w:p>
  </w:footnote>
  <w:footnote w:id="24">
    <w:p w14:paraId="5CDBEADB" w14:textId="2467B5AF" w:rsidR="00E82108" w:rsidRPr="00DC2F7B" w:rsidRDefault="00E82108" w:rsidP="004C6C03">
      <w:pPr>
        <w:pStyle w:val="FootnoteText"/>
        <w:rPr>
          <w:lang w:val="en-US"/>
        </w:rPr>
      </w:pPr>
      <w:r>
        <w:rPr>
          <w:rStyle w:val="FootnoteReference"/>
        </w:rPr>
        <w:footnoteRef/>
      </w:r>
      <w:r>
        <w:t xml:space="preserve"> </w:t>
      </w:r>
      <w:r w:rsidR="0003254C">
        <w:rPr>
          <w:lang w:val="en-US"/>
        </w:rPr>
        <w:t>104859-104864</w:t>
      </w:r>
    </w:p>
  </w:footnote>
  <w:footnote w:id="25">
    <w:p w14:paraId="7899AF71" w14:textId="5AE4FCC7" w:rsidR="00E82108" w:rsidRPr="00DC2F7B" w:rsidRDefault="00E82108" w:rsidP="004C6C03">
      <w:pPr>
        <w:pStyle w:val="FootnoteText"/>
        <w:rPr>
          <w:lang w:val="en-US"/>
        </w:rPr>
      </w:pPr>
      <w:r>
        <w:rPr>
          <w:rStyle w:val="FootnoteReference"/>
        </w:rPr>
        <w:footnoteRef/>
      </w:r>
      <w:r>
        <w:t xml:space="preserve"> </w:t>
      </w:r>
      <w:r w:rsidR="0003254C">
        <w:rPr>
          <w:lang w:val="en-US"/>
        </w:rPr>
        <w:t>105021-105028</w:t>
      </w:r>
    </w:p>
  </w:footnote>
  <w:footnote w:id="26">
    <w:p w14:paraId="286D6989" w14:textId="56D1B4AF" w:rsidR="00E82108" w:rsidRPr="00CE634F" w:rsidRDefault="00E82108" w:rsidP="004C6C03">
      <w:pPr>
        <w:pStyle w:val="FootnoteText"/>
        <w:rPr>
          <w:lang w:val="en-US"/>
        </w:rPr>
      </w:pPr>
      <w:r>
        <w:rPr>
          <w:rStyle w:val="FootnoteReference"/>
        </w:rPr>
        <w:footnoteRef/>
      </w:r>
      <w:r>
        <w:t xml:space="preserve"> </w:t>
      </w:r>
      <w:r w:rsidR="0003254C">
        <w:rPr>
          <w:lang w:val="en-US"/>
        </w:rPr>
        <w:t>103766 - 103770</w:t>
      </w:r>
    </w:p>
  </w:footnote>
  <w:footnote w:id="27">
    <w:p w14:paraId="1FA38DD2" w14:textId="12BC0880" w:rsidR="00E82108" w:rsidRPr="0079301B" w:rsidRDefault="00E82108" w:rsidP="004C6C03">
      <w:pPr>
        <w:pStyle w:val="FootnoteText"/>
        <w:rPr>
          <w:lang w:val="en-US"/>
        </w:rPr>
      </w:pPr>
      <w:r>
        <w:rPr>
          <w:rStyle w:val="FootnoteReference"/>
        </w:rPr>
        <w:footnoteRef/>
      </w:r>
      <w:r>
        <w:t xml:space="preserve"> </w:t>
      </w:r>
      <w:r w:rsidR="0003254C">
        <w:rPr>
          <w:lang w:val="en-US"/>
        </w:rPr>
        <w:t>105002-105016</w:t>
      </w:r>
    </w:p>
  </w:footnote>
  <w:footnote w:id="28">
    <w:p w14:paraId="608477CC" w14:textId="4BA1DE2D" w:rsidR="00E82108" w:rsidRPr="00EB0823" w:rsidRDefault="00E82108" w:rsidP="004C6C03">
      <w:pPr>
        <w:pStyle w:val="FootnoteText"/>
        <w:rPr>
          <w:lang w:val="en-US"/>
        </w:rPr>
      </w:pPr>
      <w:r>
        <w:rPr>
          <w:rStyle w:val="FootnoteReference"/>
        </w:rPr>
        <w:footnoteRef/>
      </w:r>
      <w:r>
        <w:t xml:space="preserve"> </w:t>
      </w:r>
      <w:r w:rsidR="0003254C">
        <w:rPr>
          <w:lang w:val="en-US"/>
        </w:rPr>
        <w:t>105037-105043</w:t>
      </w:r>
      <w:r>
        <w:rPr>
          <w:lang w:val="en-US"/>
        </w:rPr>
        <w:t xml:space="preserve">, </w:t>
      </w:r>
      <w:r w:rsidR="0003254C">
        <w:rPr>
          <w:lang w:val="en-US"/>
        </w:rPr>
        <w:t>105072-105075</w:t>
      </w:r>
    </w:p>
  </w:footnote>
  <w:footnote w:id="29">
    <w:p w14:paraId="54F4A406" w14:textId="2B5A36D7" w:rsidR="00E82108" w:rsidRPr="00AA302E" w:rsidRDefault="00E82108" w:rsidP="004C6C03">
      <w:pPr>
        <w:pStyle w:val="FootnoteText"/>
        <w:rPr>
          <w:lang w:val="en-US"/>
        </w:rPr>
      </w:pPr>
      <w:r>
        <w:rPr>
          <w:rStyle w:val="FootnoteReference"/>
        </w:rPr>
        <w:footnoteRef/>
      </w:r>
      <w:r>
        <w:t xml:space="preserve"> </w:t>
      </w:r>
      <w:r>
        <w:rPr>
          <w:lang w:val="en-US"/>
        </w:rPr>
        <w:t xml:space="preserve">103726-103730, </w:t>
      </w:r>
      <w:r>
        <w:t>103721-103725</w:t>
      </w:r>
    </w:p>
  </w:footnote>
  <w:footnote w:id="30">
    <w:p w14:paraId="48456EFE" w14:textId="3F762E8A" w:rsidR="00E82108" w:rsidRPr="00AA302E" w:rsidRDefault="00E82108" w:rsidP="004C6C03">
      <w:pPr>
        <w:pStyle w:val="FootnoteText"/>
        <w:rPr>
          <w:lang w:val="en-US"/>
        </w:rPr>
      </w:pPr>
      <w:r>
        <w:rPr>
          <w:rStyle w:val="FootnoteReference"/>
        </w:rPr>
        <w:footnoteRef/>
      </w:r>
      <w:r>
        <w:t xml:space="preserve"> </w:t>
      </w:r>
      <w:r w:rsidR="0003254C">
        <w:rPr>
          <w:lang w:val="en-US"/>
        </w:rPr>
        <w:t>105072-105075</w:t>
      </w:r>
    </w:p>
  </w:footnote>
  <w:footnote w:id="31">
    <w:p w14:paraId="2ABFE6EF" w14:textId="3CAE3CCC" w:rsidR="00E82108" w:rsidRPr="00AA302E" w:rsidRDefault="00E82108" w:rsidP="004C6C03">
      <w:pPr>
        <w:pStyle w:val="FootnoteText"/>
        <w:rPr>
          <w:lang w:val="en-US"/>
        </w:rPr>
      </w:pPr>
      <w:r>
        <w:rPr>
          <w:rStyle w:val="FootnoteReference"/>
        </w:rPr>
        <w:footnoteRef/>
      </w:r>
      <w:r>
        <w:t xml:space="preserve"> </w:t>
      </w:r>
      <w:r w:rsidR="0003254C">
        <w:rPr>
          <w:lang w:val="en-US"/>
        </w:rPr>
        <w:t>103746 - 103750</w:t>
      </w:r>
    </w:p>
  </w:footnote>
  <w:footnote w:id="32">
    <w:p w14:paraId="1F0B1E71" w14:textId="3EF699D7" w:rsidR="00E82108" w:rsidRPr="00192753" w:rsidRDefault="00E82108" w:rsidP="004C6C03">
      <w:pPr>
        <w:pStyle w:val="FootnoteText"/>
        <w:rPr>
          <w:lang w:val="en-US"/>
        </w:rPr>
      </w:pPr>
      <w:r>
        <w:rPr>
          <w:rStyle w:val="FootnoteReference"/>
        </w:rPr>
        <w:footnoteRef/>
      </w:r>
      <w:r>
        <w:t xml:space="preserve"> </w:t>
      </w:r>
      <w:r w:rsidRPr="00192753">
        <w:t>103721-103725</w:t>
      </w:r>
    </w:p>
  </w:footnote>
  <w:footnote w:id="33">
    <w:p w14:paraId="17887C27" w14:textId="32AA2BD3" w:rsidR="00E82108" w:rsidRPr="00410750" w:rsidRDefault="00E82108" w:rsidP="004C6C03">
      <w:pPr>
        <w:pStyle w:val="FootnoteText"/>
        <w:rPr>
          <w:lang w:val="en-US"/>
        </w:rPr>
      </w:pPr>
      <w:r>
        <w:rPr>
          <w:rStyle w:val="FootnoteReference"/>
        </w:rPr>
        <w:footnoteRef/>
      </w:r>
      <w:r>
        <w:t xml:space="preserve"> </w:t>
      </w:r>
      <w:r w:rsidR="0003254C">
        <w:rPr>
          <w:lang w:val="en-US"/>
        </w:rPr>
        <w:t>105032-105036</w:t>
      </w:r>
    </w:p>
  </w:footnote>
  <w:footnote w:id="34">
    <w:p w14:paraId="6644C5BB" w14:textId="329E444C" w:rsidR="00E82108" w:rsidRPr="00410750" w:rsidRDefault="00E82108" w:rsidP="004C6C03">
      <w:pPr>
        <w:pStyle w:val="FootnoteText"/>
        <w:rPr>
          <w:lang w:val="en-US"/>
        </w:rPr>
      </w:pPr>
      <w:r>
        <w:rPr>
          <w:rStyle w:val="FootnoteReference"/>
        </w:rPr>
        <w:footnoteRef/>
      </w:r>
      <w:r>
        <w:t xml:space="preserve"> </w:t>
      </w:r>
      <w:r w:rsidR="0003254C">
        <w:rPr>
          <w:lang w:val="en-US"/>
        </w:rPr>
        <w:t>104989-104992</w:t>
      </w:r>
    </w:p>
  </w:footnote>
  <w:footnote w:id="35">
    <w:p w14:paraId="089B90B3" w14:textId="4D6EEC54" w:rsidR="00E82108" w:rsidRPr="008D581B" w:rsidRDefault="00E82108" w:rsidP="004C6C03">
      <w:pPr>
        <w:pStyle w:val="FootnoteText"/>
        <w:rPr>
          <w:lang w:val="en-US"/>
        </w:rPr>
      </w:pPr>
      <w:r>
        <w:rPr>
          <w:rStyle w:val="FootnoteReference"/>
        </w:rPr>
        <w:footnoteRef/>
      </w:r>
      <w:r>
        <w:t xml:space="preserve"> These are identified trends rather than being exclusive or definitive. </w:t>
      </w:r>
    </w:p>
  </w:footnote>
  <w:footnote w:id="36">
    <w:p w14:paraId="530AC69E" w14:textId="52BFF81C" w:rsidR="00E82108" w:rsidRPr="002E0D12" w:rsidRDefault="00E82108" w:rsidP="004C6C03">
      <w:pPr>
        <w:pStyle w:val="FootnoteText"/>
        <w:rPr>
          <w:lang w:val="en-US"/>
        </w:rPr>
      </w:pPr>
      <w:r>
        <w:rPr>
          <w:rStyle w:val="FootnoteReference"/>
        </w:rPr>
        <w:footnoteRef/>
      </w:r>
      <w:r>
        <w:t xml:space="preserve"> </w:t>
      </w:r>
      <w:r>
        <w:rPr>
          <w:lang w:val="en-US"/>
        </w:rPr>
        <w:t>Note this has been identified as a trend rather than as an absolute pattern applicable to all such situations.</w:t>
      </w:r>
    </w:p>
  </w:footnote>
  <w:footnote w:id="37">
    <w:p w14:paraId="5F727FF3" w14:textId="17DC1F29" w:rsidR="00E82108" w:rsidRPr="00A43AED" w:rsidRDefault="00E82108" w:rsidP="004C6C03">
      <w:pPr>
        <w:pStyle w:val="FootnoteText"/>
        <w:rPr>
          <w:lang w:val="en-US"/>
        </w:rPr>
      </w:pPr>
      <w:r>
        <w:rPr>
          <w:rStyle w:val="FootnoteReference"/>
        </w:rPr>
        <w:footnoteRef/>
      </w:r>
      <w:r>
        <w:t xml:space="preserve"> </w:t>
      </w:r>
      <w:r w:rsidR="0003254C">
        <w:rPr>
          <w:lang w:val="en-US"/>
        </w:rPr>
        <w:t>105059-105062</w:t>
      </w:r>
      <w:r>
        <w:rPr>
          <w:lang w:val="en-US"/>
        </w:rPr>
        <w:t xml:space="preserve"> </w:t>
      </w:r>
    </w:p>
  </w:footnote>
  <w:footnote w:id="38">
    <w:p w14:paraId="46A38457" w14:textId="1E381B41" w:rsidR="00E82108" w:rsidRPr="00010048" w:rsidRDefault="00E82108" w:rsidP="004C6C03">
      <w:pPr>
        <w:pStyle w:val="FootnoteText"/>
        <w:rPr>
          <w:lang w:val="en-US"/>
        </w:rPr>
      </w:pPr>
      <w:r>
        <w:rPr>
          <w:rStyle w:val="FootnoteReference"/>
        </w:rPr>
        <w:footnoteRef/>
      </w:r>
      <w:r>
        <w:t xml:space="preserve"> </w:t>
      </w:r>
      <w:r w:rsidR="0003254C">
        <w:t>105017-105020</w:t>
      </w:r>
      <w:r>
        <w:t xml:space="preserve">, </w:t>
      </w:r>
      <w:r w:rsidR="0003254C">
        <w:t>105037-105043</w:t>
      </w:r>
    </w:p>
  </w:footnote>
  <w:footnote w:id="39">
    <w:p w14:paraId="0A18C923" w14:textId="36FB6135" w:rsidR="00E82108" w:rsidRPr="009B6C7E" w:rsidRDefault="00E82108" w:rsidP="004C6C03">
      <w:pPr>
        <w:pStyle w:val="FootnoteText"/>
        <w:rPr>
          <w:lang w:val="en-US"/>
        </w:rPr>
      </w:pPr>
      <w:r>
        <w:rPr>
          <w:rStyle w:val="FootnoteReference"/>
        </w:rPr>
        <w:footnoteRef/>
      </w:r>
      <w:r>
        <w:t xml:space="preserve"> </w:t>
      </w:r>
      <w:r w:rsidR="0003254C">
        <w:rPr>
          <w:lang w:val="en-US"/>
        </w:rPr>
        <w:t>105037-105043</w:t>
      </w:r>
    </w:p>
  </w:footnote>
  <w:footnote w:id="40">
    <w:p w14:paraId="73E8FAC9" w14:textId="2F7DFB97" w:rsidR="00E82108" w:rsidRPr="0014331D" w:rsidRDefault="00E82108" w:rsidP="004C6C03">
      <w:pPr>
        <w:pStyle w:val="FootnoteText"/>
        <w:rPr>
          <w:lang w:val="en-US"/>
        </w:rPr>
      </w:pPr>
      <w:r w:rsidRPr="0014331D">
        <w:rPr>
          <w:rStyle w:val="FootnoteReference"/>
          <w:rFonts w:asciiTheme="majorBidi" w:hAnsiTheme="majorBidi" w:cstheme="majorBidi"/>
        </w:rPr>
        <w:footnoteRef/>
      </w:r>
      <w:r w:rsidRPr="0014331D">
        <w:t xml:space="preserve"> </w:t>
      </w:r>
      <w:r w:rsidR="0003254C">
        <w:rPr>
          <w:lang w:val="en-US"/>
        </w:rPr>
        <w:t>105002-105016</w:t>
      </w:r>
      <w:r>
        <w:rPr>
          <w:lang w:val="en-US"/>
        </w:rPr>
        <w:t>. Note that other prevalent forms of sexual and gender-based violence against women, including violence perpetrated by intimate partners and family members outside of or not in relation to conflict settings, often do involve a single perpetrator and single victim, as has been previously discussed in reports of the Commission.</w:t>
      </w:r>
    </w:p>
  </w:footnote>
  <w:footnote w:id="41">
    <w:p w14:paraId="6600AA3F" w14:textId="6D85E0EC"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105017-105020</w:t>
      </w:r>
    </w:p>
  </w:footnote>
  <w:footnote w:id="42">
    <w:p w14:paraId="45AFA281" w14:textId="53DD05A4"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105072-105075</w:t>
      </w:r>
    </w:p>
  </w:footnote>
  <w:footnote w:id="43">
    <w:p w14:paraId="4BF131A6" w14:textId="790E5D8D"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FGD-05</w:t>
      </w:r>
    </w:p>
  </w:footnote>
  <w:footnote w:id="44">
    <w:p w14:paraId="4E80CB03" w14:textId="697A4375"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104961-104964</w:t>
      </w:r>
      <w:r w:rsidRPr="006E7CD7">
        <w:rPr>
          <w:lang w:val="fr-CH"/>
        </w:rPr>
        <w:t xml:space="preserve"> </w:t>
      </w:r>
    </w:p>
  </w:footnote>
  <w:footnote w:id="45">
    <w:p w14:paraId="42902108" w14:textId="2DF65B05" w:rsidR="00E82108" w:rsidRPr="006E7CD7" w:rsidRDefault="00E82108" w:rsidP="004C6C03">
      <w:pPr>
        <w:pStyle w:val="FootnoteText"/>
        <w:rPr>
          <w:lang w:val="fr-CH"/>
        </w:rPr>
      </w:pPr>
      <w:r>
        <w:rPr>
          <w:rStyle w:val="FootnoteReference"/>
        </w:rPr>
        <w:footnoteRef/>
      </w:r>
      <w:r w:rsidRPr="006E7CD7">
        <w:rPr>
          <w:lang w:val="fr-CH"/>
        </w:rPr>
        <w:t xml:space="preserve"> 103667-103673</w:t>
      </w:r>
    </w:p>
  </w:footnote>
  <w:footnote w:id="46">
    <w:p w14:paraId="2E500A32" w14:textId="79FF2BDB" w:rsidR="00E82108" w:rsidRPr="006E7CD7" w:rsidRDefault="00E82108" w:rsidP="004C6C03">
      <w:pPr>
        <w:pStyle w:val="FootnoteText"/>
        <w:rPr>
          <w:lang w:val="fr-CH"/>
        </w:rPr>
      </w:pPr>
      <w:r>
        <w:rPr>
          <w:rStyle w:val="FootnoteReference"/>
        </w:rPr>
        <w:footnoteRef/>
      </w:r>
      <w:r w:rsidRPr="006E7CD7">
        <w:rPr>
          <w:lang w:val="fr-CH"/>
        </w:rPr>
        <w:t xml:space="preserve"> 103667-103673 </w:t>
      </w:r>
      <w:r w:rsidRPr="006E7CD7">
        <w:rPr>
          <w:lang w:val="fr-CH"/>
        </w:rPr>
        <w:tab/>
      </w:r>
    </w:p>
  </w:footnote>
  <w:footnote w:id="47">
    <w:p w14:paraId="0BE45508" w14:textId="6F3AE10E"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104842-104846</w:t>
      </w:r>
    </w:p>
  </w:footnote>
  <w:footnote w:id="48">
    <w:p w14:paraId="5A14EB56" w14:textId="287BC522"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103639 - 103642</w:t>
      </w:r>
    </w:p>
  </w:footnote>
  <w:footnote w:id="49">
    <w:p w14:paraId="019B96F7" w14:textId="77777777" w:rsidR="00E82108" w:rsidRPr="006E7CD7" w:rsidRDefault="00E82108" w:rsidP="004C6C03">
      <w:pPr>
        <w:pStyle w:val="FootnoteText"/>
        <w:rPr>
          <w:lang w:val="fr-CH"/>
        </w:rPr>
      </w:pPr>
      <w:r>
        <w:rPr>
          <w:rStyle w:val="FootnoteReference"/>
        </w:rPr>
        <w:footnoteRef/>
      </w:r>
      <w:r w:rsidRPr="006E7CD7">
        <w:rPr>
          <w:lang w:val="fr-CH"/>
        </w:rPr>
        <w:t xml:space="preserve"> See A/HRC/46/CRP.2, paras. 103-110.</w:t>
      </w:r>
    </w:p>
  </w:footnote>
  <w:footnote w:id="50">
    <w:p w14:paraId="48FB2193" w14:textId="77777777" w:rsidR="00E82108" w:rsidRPr="006E7CD7" w:rsidRDefault="00E82108" w:rsidP="004C6C03">
      <w:pPr>
        <w:pStyle w:val="FootnoteText"/>
        <w:rPr>
          <w:lang w:val="fr-CH"/>
        </w:rPr>
      </w:pPr>
      <w:r>
        <w:rPr>
          <w:rStyle w:val="FootnoteReference"/>
        </w:rPr>
        <w:footnoteRef/>
      </w:r>
      <w:r w:rsidRPr="006E7CD7">
        <w:rPr>
          <w:lang w:val="fr-CH"/>
        </w:rPr>
        <w:t xml:space="preserve">  103324–103327 </w:t>
      </w:r>
    </w:p>
  </w:footnote>
  <w:footnote w:id="51">
    <w:p w14:paraId="4C99BFFD" w14:textId="3652170E" w:rsidR="00E82108" w:rsidRPr="006E7CD7" w:rsidRDefault="00E82108" w:rsidP="004C6C03">
      <w:pPr>
        <w:pStyle w:val="FootnoteText"/>
        <w:rPr>
          <w:lang w:val="fr-CH"/>
        </w:rPr>
      </w:pPr>
      <w:r>
        <w:rPr>
          <w:rStyle w:val="FootnoteReference"/>
        </w:rPr>
        <w:footnoteRef/>
      </w:r>
      <w:r w:rsidRPr="006E7CD7">
        <w:rPr>
          <w:lang w:val="fr-CH"/>
        </w:rPr>
        <w:t xml:space="preserve"> See A/HRC/43/56, paras. 30-36.</w:t>
      </w:r>
    </w:p>
  </w:footnote>
  <w:footnote w:id="52">
    <w:p w14:paraId="035808EE" w14:textId="6D6ED2E0" w:rsidR="00E82108" w:rsidRPr="006E7CD7" w:rsidRDefault="00E82108" w:rsidP="004C6C03">
      <w:pPr>
        <w:pStyle w:val="FootnoteText"/>
        <w:rPr>
          <w:lang w:val="fr-CH"/>
        </w:rPr>
      </w:pPr>
      <w:r>
        <w:rPr>
          <w:rStyle w:val="FootnoteReference"/>
        </w:rPr>
        <w:footnoteRef/>
      </w:r>
      <w:r w:rsidRPr="006E7CD7">
        <w:rPr>
          <w:lang w:val="fr-CH"/>
        </w:rPr>
        <w:t xml:space="preserve"> 103499-103503</w:t>
      </w:r>
    </w:p>
  </w:footnote>
  <w:footnote w:id="53">
    <w:p w14:paraId="3D115550" w14:textId="5BD93E51" w:rsidR="00E82108" w:rsidRPr="006E7CD7" w:rsidRDefault="00E82108" w:rsidP="004C6C03">
      <w:pPr>
        <w:pStyle w:val="FootnoteText"/>
        <w:rPr>
          <w:lang w:val="fr-CH"/>
        </w:rPr>
      </w:pPr>
      <w:r>
        <w:rPr>
          <w:rStyle w:val="FootnoteReference"/>
        </w:rPr>
        <w:footnoteRef/>
      </w:r>
      <w:r w:rsidRPr="006E7CD7">
        <w:rPr>
          <w:lang w:val="fr-CH"/>
        </w:rPr>
        <w:t xml:space="preserve"> 103490-103494</w:t>
      </w:r>
    </w:p>
  </w:footnote>
  <w:footnote w:id="54">
    <w:p w14:paraId="76A6B31B" w14:textId="1BE6C319" w:rsidR="00E82108" w:rsidRPr="006E7CD7" w:rsidRDefault="00E82108" w:rsidP="004C6C03">
      <w:pPr>
        <w:pStyle w:val="FootnoteText"/>
        <w:rPr>
          <w:lang w:val="fr-CH"/>
        </w:rPr>
      </w:pPr>
      <w:r>
        <w:rPr>
          <w:rStyle w:val="FootnoteReference"/>
        </w:rPr>
        <w:footnoteRef/>
      </w:r>
      <w:r w:rsidRPr="006E7CD7">
        <w:rPr>
          <w:lang w:val="fr-CH"/>
        </w:rPr>
        <w:t xml:space="preserve"> 103525-103528, 103481-103485</w:t>
      </w:r>
    </w:p>
  </w:footnote>
  <w:footnote w:id="55">
    <w:p w14:paraId="019D421A" w14:textId="01829515" w:rsidR="00E82108" w:rsidRPr="006E7CD7" w:rsidRDefault="00E82108" w:rsidP="004C6C03">
      <w:pPr>
        <w:pStyle w:val="FootnoteText"/>
        <w:rPr>
          <w:lang w:val="fr-CH"/>
        </w:rPr>
      </w:pPr>
      <w:r>
        <w:rPr>
          <w:rStyle w:val="FootnoteReference"/>
        </w:rPr>
        <w:footnoteRef/>
      </w:r>
      <w:r w:rsidRPr="006E7CD7">
        <w:rPr>
          <w:lang w:val="fr-CH"/>
        </w:rPr>
        <w:t xml:space="preserve"> 103481-103485</w:t>
      </w:r>
    </w:p>
  </w:footnote>
  <w:footnote w:id="56">
    <w:p w14:paraId="192790F7" w14:textId="70BB22B2" w:rsidR="00E82108" w:rsidRPr="006E7CD7" w:rsidRDefault="00E82108" w:rsidP="004C6C03">
      <w:pPr>
        <w:pStyle w:val="FootnoteText"/>
        <w:rPr>
          <w:lang w:val="fr-CH"/>
        </w:rPr>
      </w:pPr>
      <w:r>
        <w:rPr>
          <w:rStyle w:val="FootnoteReference"/>
        </w:rPr>
        <w:footnoteRef/>
      </w:r>
      <w:r w:rsidRPr="006E7CD7">
        <w:rPr>
          <w:lang w:val="fr-CH"/>
        </w:rPr>
        <w:t xml:space="preserve"> 103509-103514</w:t>
      </w:r>
    </w:p>
  </w:footnote>
  <w:footnote w:id="57">
    <w:p w14:paraId="4FA3F548" w14:textId="0FF4B962" w:rsidR="00E82108" w:rsidRPr="006E7CD7" w:rsidRDefault="00E82108" w:rsidP="004C6C03">
      <w:pPr>
        <w:pStyle w:val="FootnoteText"/>
        <w:rPr>
          <w:lang w:val="fr-CH"/>
        </w:rPr>
      </w:pPr>
      <w:r>
        <w:rPr>
          <w:rStyle w:val="FootnoteReference"/>
        </w:rPr>
        <w:footnoteRef/>
      </w:r>
      <w:r w:rsidRPr="006E7CD7">
        <w:rPr>
          <w:lang w:val="fr-CH"/>
        </w:rPr>
        <w:t xml:space="preserve">  102766–102770, </w:t>
      </w:r>
      <w:r w:rsidR="0003254C">
        <w:rPr>
          <w:lang w:val="fr-CH"/>
        </w:rPr>
        <w:t>FGD-05</w:t>
      </w:r>
    </w:p>
  </w:footnote>
  <w:footnote w:id="58">
    <w:p w14:paraId="6005B22E" w14:textId="25835782"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105037-105043</w:t>
      </w:r>
      <w:r w:rsidRPr="006E7CD7">
        <w:rPr>
          <w:highlight w:val="yellow"/>
          <w:lang w:val="fr-CH"/>
        </w:rPr>
        <w:t xml:space="preserve"> </w:t>
      </w:r>
    </w:p>
  </w:footnote>
  <w:footnote w:id="59">
    <w:p w14:paraId="5519EEB9" w14:textId="1578AEBD" w:rsidR="00E82108" w:rsidRPr="006E7CD7" w:rsidRDefault="00E82108" w:rsidP="004C6C03">
      <w:pPr>
        <w:pStyle w:val="FootnoteText"/>
        <w:rPr>
          <w:lang w:val="fr-CH"/>
        </w:rPr>
      </w:pPr>
      <w:r>
        <w:rPr>
          <w:rStyle w:val="FootnoteReference"/>
        </w:rPr>
        <w:footnoteRef/>
      </w:r>
      <w:r w:rsidRPr="006E7CD7">
        <w:rPr>
          <w:lang w:val="fr-CH"/>
        </w:rPr>
        <w:t xml:space="preserve"> 102766-102770</w:t>
      </w:r>
    </w:p>
  </w:footnote>
  <w:footnote w:id="60">
    <w:p w14:paraId="6CECD4D5" w14:textId="4AA25762"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105002-105016</w:t>
      </w:r>
    </w:p>
  </w:footnote>
  <w:footnote w:id="61">
    <w:p w14:paraId="4ABD28D8" w14:textId="4DF8BA3F"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104965-104970</w:t>
      </w:r>
    </w:p>
  </w:footnote>
  <w:footnote w:id="62">
    <w:p w14:paraId="701EA00A" w14:textId="1EA66712"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105059-105062</w:t>
      </w:r>
      <w:r w:rsidRPr="006E7CD7">
        <w:rPr>
          <w:lang w:val="fr-CH"/>
        </w:rPr>
        <w:t xml:space="preserve"> </w:t>
      </w:r>
    </w:p>
  </w:footnote>
  <w:footnote w:id="63">
    <w:p w14:paraId="3E1D0AE7" w14:textId="63775F1B"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104965-104970</w:t>
      </w:r>
    </w:p>
  </w:footnote>
  <w:footnote w:id="64">
    <w:p w14:paraId="4AE18657" w14:textId="560BA485" w:rsidR="00E82108" w:rsidRPr="006E7CD7" w:rsidRDefault="00E82108" w:rsidP="004C6C03">
      <w:pPr>
        <w:pStyle w:val="FootnoteText"/>
        <w:rPr>
          <w:lang w:val="fr-CH"/>
        </w:rPr>
      </w:pPr>
      <w:r>
        <w:rPr>
          <w:rStyle w:val="FootnoteReference"/>
        </w:rPr>
        <w:footnoteRef/>
      </w:r>
      <w:r w:rsidRPr="006E7CD7">
        <w:rPr>
          <w:lang w:val="fr-CH"/>
        </w:rPr>
        <w:t xml:space="preserve">  103741-103745</w:t>
      </w:r>
    </w:p>
  </w:footnote>
  <w:footnote w:id="65">
    <w:p w14:paraId="55D4D044" w14:textId="17B35677" w:rsidR="00E82108" w:rsidRPr="006E7CD7" w:rsidRDefault="00E82108" w:rsidP="004C6C03">
      <w:pPr>
        <w:pStyle w:val="FootnoteText"/>
        <w:rPr>
          <w:lang w:val="fr-CH"/>
        </w:rPr>
      </w:pPr>
      <w:r>
        <w:rPr>
          <w:rStyle w:val="FootnoteReference"/>
        </w:rPr>
        <w:footnoteRef/>
      </w:r>
      <w:r w:rsidRPr="006E7CD7">
        <w:rPr>
          <w:lang w:val="fr-CH"/>
        </w:rPr>
        <w:t xml:space="preserve">  103731-103735</w:t>
      </w:r>
    </w:p>
  </w:footnote>
  <w:footnote w:id="66">
    <w:p w14:paraId="327CA525" w14:textId="3AF79715"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104957-104960</w:t>
      </w:r>
    </w:p>
  </w:footnote>
  <w:footnote w:id="67">
    <w:p w14:paraId="5C65BCF6" w14:textId="75B4A986"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FGD-04</w:t>
      </w:r>
    </w:p>
  </w:footnote>
  <w:footnote w:id="68">
    <w:p w14:paraId="295E1BB1" w14:textId="5608D46B" w:rsidR="00E82108" w:rsidRPr="006E7CD7" w:rsidRDefault="00E82108" w:rsidP="004C6C03">
      <w:pPr>
        <w:pStyle w:val="FootnoteText"/>
        <w:rPr>
          <w:lang w:val="fr-CH"/>
        </w:rPr>
      </w:pPr>
      <w:r>
        <w:rPr>
          <w:rStyle w:val="FootnoteReference"/>
        </w:rPr>
        <w:footnoteRef/>
      </w:r>
      <w:r w:rsidRPr="006E7CD7">
        <w:rPr>
          <w:lang w:val="fr-CH"/>
        </w:rPr>
        <w:t xml:space="preserve">  103721-103725</w:t>
      </w:r>
    </w:p>
  </w:footnote>
  <w:footnote w:id="69">
    <w:p w14:paraId="76339B47" w14:textId="72ED80D2"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104847-104854</w:t>
      </w:r>
      <w:r w:rsidRPr="006E7CD7">
        <w:rPr>
          <w:lang w:val="fr-CH"/>
        </w:rPr>
        <w:t xml:space="preserve">, </w:t>
      </w:r>
      <w:r w:rsidR="0003254C">
        <w:rPr>
          <w:lang w:val="fr-CH"/>
        </w:rPr>
        <w:t>FGD-08</w:t>
      </w:r>
    </w:p>
  </w:footnote>
  <w:footnote w:id="70">
    <w:p w14:paraId="7DD7177A" w14:textId="2BC9E7C3" w:rsidR="00E82108" w:rsidRPr="006E7CD7" w:rsidRDefault="00E82108" w:rsidP="004C6C03">
      <w:pPr>
        <w:pStyle w:val="FootnoteText"/>
        <w:rPr>
          <w:lang w:val="fr-CH"/>
        </w:rPr>
      </w:pPr>
      <w:r>
        <w:rPr>
          <w:rStyle w:val="FootnoteReference"/>
        </w:rPr>
        <w:footnoteRef/>
      </w:r>
      <w:r w:rsidRPr="006E7CD7">
        <w:rPr>
          <w:lang w:val="fr-CH"/>
        </w:rPr>
        <w:t xml:space="preserve"> </w:t>
      </w:r>
      <w:bookmarkStart w:id="28" w:name="_Hlk97470393"/>
      <w:r w:rsidRPr="006E7CD7">
        <w:rPr>
          <w:lang w:val="fr-CH"/>
        </w:rPr>
        <w:t xml:space="preserve"> 103731-103735</w:t>
      </w:r>
      <w:bookmarkEnd w:id="28"/>
      <w:r w:rsidRPr="006E7CD7">
        <w:rPr>
          <w:lang w:val="fr-CH"/>
        </w:rPr>
        <w:t xml:space="preserve"> </w:t>
      </w:r>
    </w:p>
  </w:footnote>
  <w:footnote w:id="71">
    <w:p w14:paraId="01E5D1A1" w14:textId="6F79669C"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104855-104858</w:t>
      </w:r>
    </w:p>
  </w:footnote>
  <w:footnote w:id="72">
    <w:p w14:paraId="2D2E7055" w14:textId="0EFB400D"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103746 - 103750</w:t>
      </w:r>
      <w:r w:rsidRPr="006E7CD7">
        <w:rPr>
          <w:lang w:val="fr-CH"/>
        </w:rPr>
        <w:t xml:space="preserve">, </w:t>
      </w:r>
      <w:r w:rsidR="0003254C">
        <w:rPr>
          <w:lang w:val="fr-CH"/>
        </w:rPr>
        <w:t>103751 - 103755</w:t>
      </w:r>
      <w:r w:rsidRPr="006E7CD7">
        <w:rPr>
          <w:lang w:val="fr-CH"/>
        </w:rPr>
        <w:t xml:space="preserve">, </w:t>
      </w:r>
      <w:r w:rsidR="0003254C">
        <w:rPr>
          <w:lang w:val="fr-CH"/>
        </w:rPr>
        <w:t>103756 -  103760</w:t>
      </w:r>
      <w:r w:rsidRPr="006E7CD7">
        <w:rPr>
          <w:lang w:val="fr-CH"/>
        </w:rPr>
        <w:t xml:space="preserve">, </w:t>
      </w:r>
      <w:r w:rsidR="0003254C">
        <w:rPr>
          <w:lang w:val="fr-CH"/>
        </w:rPr>
        <w:t xml:space="preserve">103761 - </w:t>
      </w:r>
      <w:proofErr w:type="gramStart"/>
      <w:r w:rsidR="0003254C">
        <w:rPr>
          <w:lang w:val="fr-CH"/>
        </w:rPr>
        <w:t xml:space="preserve">103765 </w:t>
      </w:r>
      <w:r w:rsidRPr="006E7CD7">
        <w:rPr>
          <w:lang w:val="fr-CH"/>
        </w:rPr>
        <w:t>,</w:t>
      </w:r>
      <w:proofErr w:type="gramEnd"/>
      <w:r w:rsidRPr="006E7CD7">
        <w:rPr>
          <w:lang w:val="fr-CH"/>
        </w:rPr>
        <w:t xml:space="preserve"> </w:t>
      </w:r>
      <w:r w:rsidR="0003254C">
        <w:rPr>
          <w:lang w:val="fr-CH"/>
        </w:rPr>
        <w:t>103766 - 103770</w:t>
      </w:r>
    </w:p>
  </w:footnote>
  <w:footnote w:id="73">
    <w:p w14:paraId="2FEC009D" w14:textId="7185CDD9" w:rsidR="00E82108" w:rsidRPr="00504461" w:rsidRDefault="00E82108" w:rsidP="004C6C03">
      <w:pPr>
        <w:pStyle w:val="FootnoteText"/>
        <w:rPr>
          <w:lang w:val="en-US"/>
        </w:rPr>
      </w:pPr>
      <w:r>
        <w:rPr>
          <w:rStyle w:val="FootnoteReference"/>
        </w:rPr>
        <w:footnoteRef/>
      </w:r>
      <w:r>
        <w:t xml:space="preserve"> </w:t>
      </w:r>
      <w:r w:rsidR="0003254C">
        <w:rPr>
          <w:lang w:val="en-US"/>
        </w:rPr>
        <w:t>104859-104864</w:t>
      </w:r>
      <w:r>
        <w:rPr>
          <w:lang w:val="en-US"/>
        </w:rPr>
        <w:t xml:space="preserve"> </w:t>
      </w:r>
    </w:p>
  </w:footnote>
  <w:footnote w:id="74">
    <w:p w14:paraId="2F0D146D" w14:textId="15BB39E1" w:rsidR="00E82108" w:rsidRPr="00871156" w:rsidRDefault="00E82108" w:rsidP="004C6C03">
      <w:pPr>
        <w:pStyle w:val="FootnoteText"/>
        <w:rPr>
          <w:lang w:val="en-US"/>
        </w:rPr>
      </w:pPr>
      <w:r>
        <w:rPr>
          <w:rStyle w:val="FootnoteReference"/>
        </w:rPr>
        <w:footnoteRef/>
      </w:r>
      <w:r>
        <w:t xml:space="preserve"> </w:t>
      </w:r>
      <w:r w:rsidR="0003254C">
        <w:rPr>
          <w:lang w:val="en-US"/>
        </w:rPr>
        <w:t>105037-105043</w:t>
      </w:r>
    </w:p>
  </w:footnote>
  <w:footnote w:id="75">
    <w:p w14:paraId="545D7260" w14:textId="77777777" w:rsidR="00E82108" w:rsidRPr="004C6C03" w:rsidRDefault="00E82108" w:rsidP="004C6C03">
      <w:pPr>
        <w:pStyle w:val="FootnoteText"/>
        <w:rPr>
          <w:lang w:val="fr-CH"/>
        </w:rPr>
      </w:pPr>
      <w:r>
        <w:rPr>
          <w:rStyle w:val="FootnoteReference"/>
        </w:rPr>
        <w:footnoteRef/>
      </w:r>
      <w:r>
        <w:t xml:space="preserve"> See “Women and girls who become pregnant as a result of sexual violence in conflict and children born of sexual violence in conflict,” 31 January 2022, S/2022/77, para. </w:t>
      </w:r>
      <w:r w:rsidRPr="004C6C03">
        <w:rPr>
          <w:lang w:val="fr-CH"/>
        </w:rPr>
        <w:t>14.</w:t>
      </w:r>
    </w:p>
  </w:footnote>
  <w:footnote w:id="76">
    <w:p w14:paraId="699849CA" w14:textId="5F0E9087" w:rsidR="00E82108" w:rsidRPr="004C6C03" w:rsidRDefault="00E82108" w:rsidP="004C6C03">
      <w:pPr>
        <w:pStyle w:val="FootnoteText"/>
        <w:rPr>
          <w:lang w:val="fr-CH"/>
        </w:rPr>
      </w:pPr>
      <w:r>
        <w:rPr>
          <w:rStyle w:val="FootnoteReference"/>
        </w:rPr>
        <w:footnoteRef/>
      </w:r>
      <w:r w:rsidRPr="004C6C03">
        <w:rPr>
          <w:lang w:val="fr-CH"/>
        </w:rPr>
        <w:t xml:space="preserve">  102746–102750, </w:t>
      </w:r>
      <w:r w:rsidR="0003254C">
        <w:rPr>
          <w:lang w:val="fr-CH"/>
        </w:rPr>
        <w:t>105032-105036</w:t>
      </w:r>
      <w:r w:rsidRPr="004C6C03">
        <w:rPr>
          <w:lang w:val="fr-CH"/>
        </w:rPr>
        <w:t xml:space="preserve">, 103726-103730, </w:t>
      </w:r>
      <w:r w:rsidR="0003254C">
        <w:rPr>
          <w:lang w:val="fr-CH"/>
        </w:rPr>
        <w:t>105063-105067</w:t>
      </w:r>
      <w:r w:rsidRPr="004C6C03">
        <w:rPr>
          <w:lang w:val="fr-CH"/>
        </w:rPr>
        <w:softHyphen/>
      </w:r>
      <w:r w:rsidRPr="004C6C03">
        <w:rPr>
          <w:lang w:val="fr-CH"/>
        </w:rPr>
        <w:softHyphen/>
        <w:t xml:space="preserve">, </w:t>
      </w:r>
      <w:r w:rsidR="0003254C">
        <w:rPr>
          <w:lang w:val="fr-CH"/>
        </w:rPr>
        <w:t>103746 - 103750</w:t>
      </w:r>
    </w:p>
  </w:footnote>
  <w:footnote w:id="77">
    <w:p w14:paraId="1B3D45EF" w14:textId="3A8B8A65" w:rsidR="00E82108" w:rsidRPr="004C6C03" w:rsidRDefault="00E82108" w:rsidP="004C6C03">
      <w:pPr>
        <w:pStyle w:val="FootnoteText"/>
        <w:rPr>
          <w:lang w:val="fr-CH"/>
        </w:rPr>
      </w:pPr>
      <w:r>
        <w:rPr>
          <w:rStyle w:val="FootnoteReference"/>
        </w:rPr>
        <w:footnoteRef/>
      </w:r>
      <w:r w:rsidRPr="004C6C03">
        <w:rPr>
          <w:lang w:val="fr-CH"/>
        </w:rPr>
        <w:t xml:space="preserve">  102746-102750</w:t>
      </w:r>
    </w:p>
  </w:footnote>
  <w:footnote w:id="78">
    <w:p w14:paraId="690B9509" w14:textId="12A6DA7B" w:rsidR="00E82108" w:rsidRPr="00BF0171" w:rsidRDefault="00E82108" w:rsidP="004C6C03">
      <w:pPr>
        <w:pStyle w:val="FootnoteText"/>
        <w:rPr>
          <w:lang w:val="fr-CH"/>
        </w:rPr>
      </w:pPr>
      <w:r>
        <w:rPr>
          <w:rStyle w:val="FootnoteReference"/>
        </w:rPr>
        <w:footnoteRef/>
      </w:r>
      <w:r w:rsidRPr="00BF0171">
        <w:rPr>
          <w:lang w:val="fr-CH"/>
        </w:rPr>
        <w:t xml:space="preserve"> </w:t>
      </w:r>
      <w:r w:rsidR="0003254C">
        <w:rPr>
          <w:lang w:val="fr-CH"/>
        </w:rPr>
        <w:t>104965-104970</w:t>
      </w:r>
      <w:r w:rsidRPr="00BF0171">
        <w:rPr>
          <w:lang w:val="fr-CH"/>
        </w:rPr>
        <w:t xml:space="preserve"> </w:t>
      </w:r>
    </w:p>
  </w:footnote>
  <w:footnote w:id="79">
    <w:p w14:paraId="188963E5" w14:textId="0E756D1B" w:rsidR="00E82108" w:rsidRPr="00BF0171" w:rsidRDefault="00E82108" w:rsidP="004C6C03">
      <w:pPr>
        <w:pStyle w:val="FootnoteText"/>
        <w:rPr>
          <w:lang w:val="fr-CH"/>
        </w:rPr>
      </w:pPr>
      <w:r>
        <w:rPr>
          <w:rStyle w:val="FootnoteReference"/>
        </w:rPr>
        <w:footnoteRef/>
      </w:r>
      <w:r w:rsidRPr="00BF0171">
        <w:rPr>
          <w:lang w:val="fr-CH"/>
        </w:rPr>
        <w:t xml:space="preserve"> </w:t>
      </w:r>
      <w:r w:rsidR="0003254C">
        <w:rPr>
          <w:lang w:val="fr-CH"/>
        </w:rPr>
        <w:t>104957-104960</w:t>
      </w:r>
      <w:r w:rsidRPr="00BF0171">
        <w:rPr>
          <w:lang w:val="fr-CH"/>
        </w:rPr>
        <w:t xml:space="preserve"> </w:t>
      </w:r>
    </w:p>
  </w:footnote>
  <w:footnote w:id="80">
    <w:p w14:paraId="3BB71E67" w14:textId="48D23620" w:rsidR="00E82108" w:rsidRPr="00BF0171" w:rsidRDefault="00E82108" w:rsidP="004C6C03">
      <w:pPr>
        <w:pStyle w:val="FootnoteText"/>
        <w:rPr>
          <w:lang w:val="fr-CH"/>
        </w:rPr>
      </w:pPr>
      <w:r>
        <w:rPr>
          <w:rStyle w:val="FootnoteReference"/>
        </w:rPr>
        <w:footnoteRef/>
      </w:r>
      <w:r w:rsidRPr="00BF0171">
        <w:rPr>
          <w:lang w:val="fr-CH"/>
        </w:rPr>
        <w:t xml:space="preserve"> </w:t>
      </w:r>
      <w:r w:rsidR="0003254C">
        <w:rPr>
          <w:lang w:val="fr-CH"/>
        </w:rPr>
        <w:t>103751 - 103755</w:t>
      </w:r>
      <w:r w:rsidRPr="00BF0171">
        <w:rPr>
          <w:lang w:val="fr-CH"/>
        </w:rPr>
        <w:t xml:space="preserve">, </w:t>
      </w:r>
      <w:r w:rsidR="0003254C">
        <w:rPr>
          <w:lang w:val="fr-CH"/>
        </w:rPr>
        <w:t xml:space="preserve">103761 - 103765 </w:t>
      </w:r>
    </w:p>
  </w:footnote>
  <w:footnote w:id="81">
    <w:p w14:paraId="354382B5" w14:textId="1EDF9224" w:rsidR="00E82108" w:rsidRPr="00BF0171" w:rsidRDefault="00E82108" w:rsidP="004C6C03">
      <w:pPr>
        <w:pStyle w:val="FootnoteText"/>
        <w:rPr>
          <w:lang w:val="fr-CH"/>
        </w:rPr>
      </w:pPr>
      <w:r>
        <w:rPr>
          <w:rStyle w:val="FootnoteReference"/>
          <w:rFonts w:asciiTheme="majorBidi" w:hAnsiTheme="majorBidi" w:cstheme="majorBidi"/>
        </w:rPr>
        <w:footnoteRef/>
      </w:r>
      <w:r w:rsidRPr="00BF0171">
        <w:rPr>
          <w:lang w:val="fr-CH"/>
        </w:rPr>
        <w:t xml:space="preserve"> </w:t>
      </w:r>
      <w:r w:rsidR="0003254C">
        <w:rPr>
          <w:lang w:val="fr-CH"/>
        </w:rPr>
        <w:t>104855-104858</w:t>
      </w:r>
    </w:p>
  </w:footnote>
  <w:footnote w:id="82">
    <w:p w14:paraId="2C212A79" w14:textId="63869CB4" w:rsidR="00E82108" w:rsidRPr="00BF0171" w:rsidRDefault="00E82108" w:rsidP="004C6C03">
      <w:pPr>
        <w:pStyle w:val="FootnoteText"/>
        <w:rPr>
          <w:lang w:val="fr-CH"/>
        </w:rPr>
      </w:pPr>
      <w:r>
        <w:rPr>
          <w:rStyle w:val="FootnoteReference"/>
        </w:rPr>
        <w:footnoteRef/>
      </w:r>
      <w:r w:rsidRPr="00BF0171">
        <w:rPr>
          <w:lang w:val="fr-CH"/>
        </w:rPr>
        <w:t xml:space="preserve"> </w:t>
      </w:r>
      <w:r w:rsidR="0003254C">
        <w:rPr>
          <w:lang w:val="fr-CH"/>
        </w:rPr>
        <w:t>105079-105082</w:t>
      </w:r>
    </w:p>
  </w:footnote>
  <w:footnote w:id="83">
    <w:p w14:paraId="1CDC910C" w14:textId="77BB4B42" w:rsidR="00E82108" w:rsidRPr="00BF0171" w:rsidRDefault="00E82108" w:rsidP="004C6C03">
      <w:pPr>
        <w:pStyle w:val="FootnoteText"/>
        <w:rPr>
          <w:lang w:val="fr-CH"/>
        </w:rPr>
      </w:pPr>
      <w:r>
        <w:rPr>
          <w:rStyle w:val="FootnoteReference"/>
        </w:rPr>
        <w:footnoteRef/>
      </w:r>
      <w:r w:rsidRPr="00BF0171">
        <w:rPr>
          <w:lang w:val="fr-CH"/>
        </w:rPr>
        <w:t xml:space="preserve"> </w:t>
      </w:r>
      <w:r w:rsidR="0003254C">
        <w:rPr>
          <w:lang w:val="fr-CH"/>
        </w:rPr>
        <w:t>105056-105058</w:t>
      </w:r>
    </w:p>
  </w:footnote>
  <w:footnote w:id="84">
    <w:p w14:paraId="27E42009" w14:textId="4CBBA098" w:rsidR="00E82108" w:rsidRPr="004C6C03" w:rsidRDefault="00E82108" w:rsidP="004C6C03">
      <w:pPr>
        <w:pStyle w:val="FootnoteText"/>
        <w:rPr>
          <w:lang w:val="fr-CH"/>
        </w:rPr>
      </w:pPr>
      <w:r>
        <w:rPr>
          <w:rStyle w:val="FootnoteReference"/>
        </w:rPr>
        <w:footnoteRef/>
      </w:r>
      <w:r w:rsidRPr="004C6C03">
        <w:rPr>
          <w:lang w:val="fr-CH"/>
        </w:rPr>
        <w:t xml:space="preserve"> </w:t>
      </w:r>
      <w:r w:rsidR="0003254C">
        <w:rPr>
          <w:lang w:val="fr-CH"/>
        </w:rPr>
        <w:t>105079-105082</w:t>
      </w:r>
    </w:p>
  </w:footnote>
  <w:footnote w:id="85">
    <w:p w14:paraId="674DCDDC" w14:textId="2383EF70" w:rsidR="00E82108" w:rsidRPr="00504461" w:rsidRDefault="00E82108" w:rsidP="004C6C03">
      <w:pPr>
        <w:pStyle w:val="FootnoteText"/>
        <w:rPr>
          <w:lang w:val="en-US"/>
        </w:rPr>
      </w:pPr>
      <w:r>
        <w:rPr>
          <w:rStyle w:val="FootnoteReference"/>
        </w:rPr>
        <w:footnoteRef/>
      </w:r>
      <w:r w:rsidRPr="004C6C03">
        <w:rPr>
          <w:lang w:val="fr-CH"/>
        </w:rPr>
        <w:t xml:space="preserve"> See A/HRC/37/CRP.2, paras. </w:t>
      </w:r>
      <w:r>
        <w:t>279-357.</w:t>
      </w:r>
    </w:p>
  </w:footnote>
  <w:footnote w:id="86">
    <w:p w14:paraId="31A689E7" w14:textId="16CA23F7" w:rsidR="00E82108" w:rsidRPr="001914AD" w:rsidRDefault="00E82108" w:rsidP="004C6C03">
      <w:pPr>
        <w:pStyle w:val="FootnoteText"/>
        <w:rPr>
          <w:lang w:val="en-US"/>
        </w:rPr>
      </w:pPr>
      <w:r>
        <w:rPr>
          <w:rStyle w:val="FootnoteReference"/>
        </w:rPr>
        <w:footnoteRef/>
      </w:r>
      <w:r w:rsidR="00531BBD">
        <w:t>Confidential Meeting,</w:t>
      </w:r>
      <w:r w:rsidR="0003254C">
        <w:t xml:space="preserve"> November 2021#3</w:t>
      </w:r>
      <w:r>
        <w:t xml:space="preserve">, </w:t>
      </w:r>
      <w:r w:rsidR="00531BBD">
        <w:t>Confidential Meeting,</w:t>
      </w:r>
      <w:r w:rsidR="0003254C">
        <w:t xml:space="preserve"> November 2021#4</w:t>
      </w:r>
      <w:r>
        <w:t xml:space="preserve">, </w:t>
      </w:r>
      <w:r w:rsidR="00531BBD">
        <w:t>Confidential Meeting,</w:t>
      </w:r>
      <w:r w:rsidR="0003254C">
        <w:t xml:space="preserve"> November 2021#5</w:t>
      </w:r>
      <w:r w:rsidRPr="001914AD">
        <w:t xml:space="preserve">; </w:t>
      </w:r>
      <w:r w:rsidR="00531BBD">
        <w:t>Confidential Meeting,</w:t>
      </w:r>
      <w:r w:rsidR="0003254C">
        <w:t xml:space="preserve"> January 2021#1</w:t>
      </w:r>
      <w:r w:rsidRPr="001914AD">
        <w:t xml:space="preserve">, </w:t>
      </w:r>
      <w:r w:rsidR="00531BBD">
        <w:t>Confidential Meeting,</w:t>
      </w:r>
      <w:r w:rsidR="0003254C">
        <w:t xml:space="preserve"> July 2021#1</w:t>
      </w:r>
      <w:r w:rsidRPr="001914AD">
        <w:rPr>
          <w:highlight w:val="yellow"/>
        </w:rPr>
        <w:t xml:space="preserve"> </w:t>
      </w:r>
    </w:p>
  </w:footnote>
  <w:footnote w:id="87">
    <w:p w14:paraId="66FF07C0" w14:textId="7C5D9E72" w:rsidR="00E82108" w:rsidRPr="007C0919" w:rsidRDefault="00E82108" w:rsidP="004C6C03">
      <w:pPr>
        <w:pStyle w:val="FootnoteText"/>
        <w:rPr>
          <w:lang w:val="en-US"/>
        </w:rPr>
      </w:pPr>
      <w:r>
        <w:rPr>
          <w:rStyle w:val="FootnoteReference"/>
        </w:rPr>
        <w:footnoteRef/>
      </w:r>
      <w:r>
        <w:t xml:space="preserve"> As noted above, “NAS” is the common term for the National Salvation Front. </w:t>
      </w:r>
      <w:r>
        <w:rPr>
          <w:lang w:val="en-US"/>
        </w:rPr>
        <w:t>For further details from the Commission on Human Rights in South Sudan about the militarization of Central Equatoria and related human rights violations and abuses, see for example A/HRC/40CRP/1, 20 February 2019, paras. 748-805 and A/HRC/49/78, 18 February 2022, paras. 59-62.</w:t>
      </w:r>
    </w:p>
  </w:footnote>
  <w:footnote w:id="88">
    <w:p w14:paraId="392E49C0" w14:textId="0CD1E389" w:rsidR="00E82108" w:rsidRPr="000C53AB" w:rsidRDefault="00E82108" w:rsidP="004C6C03">
      <w:pPr>
        <w:pStyle w:val="FootnoteText"/>
        <w:rPr>
          <w:lang w:val="en-US"/>
        </w:rPr>
      </w:pPr>
      <w:r>
        <w:rPr>
          <w:rStyle w:val="FootnoteReference"/>
        </w:rPr>
        <w:footnoteRef/>
      </w:r>
      <w:r>
        <w:t xml:space="preserve"> </w:t>
      </w:r>
      <w:r>
        <w:rPr>
          <w:lang w:val="en-US"/>
        </w:rPr>
        <w:t xml:space="preserve">Ibid (2019). </w:t>
      </w:r>
      <w:r w:rsidR="00531BBD">
        <w:rPr>
          <w:lang w:val="en-US"/>
        </w:rPr>
        <w:t>Confidential Meeting,</w:t>
      </w:r>
      <w:r>
        <w:rPr>
          <w:lang w:val="en-US"/>
        </w:rPr>
        <w:t xml:space="preserve"> undisclosed location, February 2022. </w:t>
      </w:r>
    </w:p>
  </w:footnote>
  <w:footnote w:id="89">
    <w:p w14:paraId="4231C118" w14:textId="77777777" w:rsidR="00E82108" w:rsidRPr="007B1571" w:rsidRDefault="00E82108" w:rsidP="004C6C03">
      <w:pPr>
        <w:pStyle w:val="FootnoteText"/>
        <w:rPr>
          <w:lang w:val="en-US"/>
        </w:rPr>
      </w:pPr>
      <w:r>
        <w:rPr>
          <w:rStyle w:val="FootnoteReference"/>
        </w:rPr>
        <w:footnoteRef/>
      </w:r>
      <w:r>
        <w:t xml:space="preserve"> </w:t>
      </w:r>
      <w:r>
        <w:rPr>
          <w:lang w:val="en-US"/>
        </w:rPr>
        <w:t>Although it is involved in the “Rome Talks” peace process.</w:t>
      </w:r>
    </w:p>
  </w:footnote>
  <w:footnote w:id="90">
    <w:p w14:paraId="09C98599" w14:textId="77777777" w:rsidR="00E82108" w:rsidRPr="007B1571" w:rsidRDefault="00E82108" w:rsidP="004C6C03">
      <w:pPr>
        <w:pStyle w:val="FootnoteText"/>
        <w:rPr>
          <w:lang w:val="en-US"/>
        </w:rPr>
      </w:pPr>
      <w:r>
        <w:rPr>
          <w:rStyle w:val="FootnoteReference"/>
        </w:rPr>
        <w:footnoteRef/>
      </w:r>
      <w:r>
        <w:t xml:space="preserve"> </w:t>
      </w:r>
      <w:r>
        <w:rPr>
          <w:lang w:val="en-US"/>
        </w:rPr>
        <w:t>See A/HRC/49/78</w:t>
      </w:r>
    </w:p>
  </w:footnote>
  <w:footnote w:id="91">
    <w:p w14:paraId="7284203E" w14:textId="17BE4225" w:rsidR="00E82108" w:rsidRPr="007B1571" w:rsidRDefault="00E82108" w:rsidP="004C6C03">
      <w:pPr>
        <w:pStyle w:val="FootnoteText"/>
        <w:rPr>
          <w:lang w:val="en-US"/>
        </w:rPr>
      </w:pPr>
      <w:r>
        <w:rPr>
          <w:rStyle w:val="FootnoteReference"/>
        </w:rPr>
        <w:footnoteRef/>
      </w:r>
      <w:r>
        <w:t xml:space="preserve"> </w:t>
      </w:r>
      <w:r w:rsidR="00531BBD">
        <w:rPr>
          <w:lang w:val="en-US"/>
        </w:rPr>
        <w:t>Confidential Meeting</w:t>
      </w:r>
      <w:r>
        <w:rPr>
          <w:lang w:val="en-US"/>
        </w:rPr>
        <w:t>s, locations undisclosed, February 2022.</w:t>
      </w:r>
    </w:p>
  </w:footnote>
  <w:footnote w:id="92">
    <w:p w14:paraId="5A4F4767" w14:textId="1E2DC337" w:rsidR="00554F84" w:rsidRPr="00554F84" w:rsidRDefault="00554F84">
      <w:pPr>
        <w:pStyle w:val="FootnoteText"/>
        <w:rPr>
          <w:lang w:val="en-US"/>
        </w:rPr>
      </w:pPr>
      <w:r>
        <w:rPr>
          <w:rStyle w:val="FootnoteReference"/>
        </w:rPr>
        <w:footnoteRef/>
      </w:r>
      <w:r>
        <w:t xml:space="preserve"> </w:t>
      </w:r>
      <w:r>
        <w:rPr>
          <w:lang w:val="en-US"/>
        </w:rPr>
        <w:t>Confidential Meetings, locations</w:t>
      </w:r>
      <w:r w:rsidR="007A5454">
        <w:rPr>
          <w:lang w:val="en-US"/>
        </w:rPr>
        <w:t xml:space="preserve"> undisclosed</w:t>
      </w:r>
      <w:r>
        <w:rPr>
          <w:lang w:val="en-US"/>
        </w:rPr>
        <w:t>, February 2022.</w:t>
      </w:r>
    </w:p>
  </w:footnote>
  <w:footnote w:id="93">
    <w:p w14:paraId="173EFC2E" w14:textId="5FAA55BB" w:rsidR="00E82108" w:rsidRPr="004F5982" w:rsidRDefault="00E82108" w:rsidP="004C6C03">
      <w:pPr>
        <w:pStyle w:val="FootnoteText"/>
        <w:rPr>
          <w:lang w:val="en-US"/>
        </w:rPr>
      </w:pPr>
      <w:r>
        <w:rPr>
          <w:rStyle w:val="FootnoteReference"/>
        </w:rPr>
        <w:footnoteRef/>
      </w:r>
      <w:r>
        <w:t xml:space="preserve"> Other unlawful acts included, inter alia, the occupation by soldiers of the </w:t>
      </w:r>
      <w:proofErr w:type="spellStart"/>
      <w:r>
        <w:t>Lasu</w:t>
      </w:r>
      <w:proofErr w:type="spellEnd"/>
      <w:r>
        <w:t xml:space="preserve"> primary school, which constitutes a grave violation of the rights of the child as protected under the Convention on the Rights of the Child to which South Sudan is a State Party. See Panel of Experts on South Sudan, S/2020/342, 28 April 2020, paras. 45-53.</w:t>
      </w:r>
    </w:p>
  </w:footnote>
  <w:footnote w:id="94">
    <w:p w14:paraId="4D88E654" w14:textId="3EE2E940" w:rsidR="00E82108" w:rsidRPr="00BB4A8A" w:rsidRDefault="00E82108" w:rsidP="004C6C03">
      <w:pPr>
        <w:pStyle w:val="FootnoteText"/>
        <w:rPr>
          <w:lang w:val="en-US"/>
        </w:rPr>
      </w:pPr>
      <w:r>
        <w:rPr>
          <w:rStyle w:val="FootnoteReference"/>
        </w:rPr>
        <w:footnoteRef/>
      </w:r>
      <w:r>
        <w:t xml:space="preserve"> The Commission has consistently documented and corroborated the widespread violent treatment of civilians in Central Equatoria by SSPDF soldiers on the basis that they are suspected of supporting NAS, in the context of counter-insurgency operations in urban areas and villages. </w:t>
      </w:r>
      <w:r w:rsidR="0003254C">
        <w:t>104901-104903</w:t>
      </w:r>
      <w:r>
        <w:t xml:space="preserve">, </w:t>
      </w:r>
      <w:r w:rsidR="0003254C">
        <w:t>104904-104906</w:t>
      </w:r>
      <w:r>
        <w:t xml:space="preserve">, </w:t>
      </w:r>
      <w:r w:rsidR="0003254C">
        <w:t>104941-104944</w:t>
      </w:r>
      <w:r>
        <w:t xml:space="preserve">, </w:t>
      </w:r>
      <w:r w:rsidR="0003254C">
        <w:t>104907-104910</w:t>
      </w:r>
      <w:r>
        <w:t xml:space="preserve">, </w:t>
      </w:r>
      <w:r w:rsidR="0003254C">
        <w:t>104911-104913</w:t>
      </w:r>
      <w:r>
        <w:t xml:space="preserve">, </w:t>
      </w:r>
      <w:r w:rsidR="0003254C">
        <w:t>104952-104956</w:t>
      </w:r>
      <w:r>
        <w:t xml:space="preserve">, </w:t>
      </w:r>
      <w:r w:rsidR="0003254C">
        <w:t>104837-104841</w:t>
      </w:r>
      <w:r>
        <w:t xml:space="preserve">, </w:t>
      </w:r>
      <w:r w:rsidR="0003254C">
        <w:t>104985-104988</w:t>
      </w:r>
    </w:p>
  </w:footnote>
  <w:footnote w:id="95">
    <w:p w14:paraId="4A276FBB" w14:textId="33A1CFFD" w:rsidR="00E82108" w:rsidRPr="00637CF0" w:rsidRDefault="00E82108" w:rsidP="004C6C03">
      <w:pPr>
        <w:pStyle w:val="FootnoteText"/>
        <w:rPr>
          <w:lang w:val="en-US"/>
        </w:rPr>
      </w:pPr>
      <w:r>
        <w:rPr>
          <w:rStyle w:val="FootnoteReference"/>
        </w:rPr>
        <w:footnoteRef/>
      </w:r>
      <w:r>
        <w:t xml:space="preserve"> </w:t>
      </w:r>
      <w:r w:rsidRPr="00F711CE">
        <w:t xml:space="preserve"> 103731-</w:t>
      </w:r>
      <w:r w:rsidR="0003254C" w:rsidRPr="00F711CE">
        <w:t>103735, 103721</w:t>
      </w:r>
      <w:r w:rsidRPr="00F711CE">
        <w:t>-103725, 103756-103760, 103751-</w:t>
      </w:r>
      <w:proofErr w:type="gramStart"/>
      <w:r w:rsidRPr="00F711CE">
        <w:t>103755,  103726</w:t>
      </w:r>
      <w:proofErr w:type="gramEnd"/>
      <w:r w:rsidRPr="00F711CE">
        <w:t xml:space="preserve">-103730,  103741-103745, </w:t>
      </w:r>
      <w:r w:rsidR="0003254C">
        <w:t>103746 - 103750</w:t>
      </w:r>
      <w:r w:rsidRPr="00F711CE">
        <w:t xml:space="preserve">, </w:t>
      </w:r>
      <w:r w:rsidR="0003254C">
        <w:t xml:space="preserve">103761 - 103765 </w:t>
      </w:r>
      <w:r w:rsidRPr="00F711CE">
        <w:t xml:space="preserve">, </w:t>
      </w:r>
      <w:r w:rsidR="0003254C">
        <w:t>103766 - 103770</w:t>
      </w:r>
    </w:p>
  </w:footnote>
  <w:footnote w:id="96">
    <w:p w14:paraId="68134A1F" w14:textId="77777777" w:rsidR="00E82108" w:rsidRPr="0058289E" w:rsidRDefault="00E82108" w:rsidP="004C6C03">
      <w:pPr>
        <w:pStyle w:val="FootnoteText"/>
        <w:rPr>
          <w:lang w:val="en-US"/>
        </w:rPr>
      </w:pPr>
      <w:r>
        <w:rPr>
          <w:rStyle w:val="FootnoteReference"/>
        </w:rPr>
        <w:footnoteRef/>
      </w:r>
      <w:r>
        <w:t xml:space="preserve"> Where urgent medical and psychosocial support had not been accessed or made available, the Commission supported referrals, although most of the survivors interviewed has already accessed health support and this was indeed a requisite for the conduct of interviews, which in no circumstances take priority over immediate health needs. </w:t>
      </w:r>
    </w:p>
  </w:footnote>
  <w:footnote w:id="97">
    <w:p w14:paraId="4B78B4E6" w14:textId="5E2BB5FA" w:rsidR="00E82108" w:rsidRPr="00BB4A8A" w:rsidRDefault="00E82108" w:rsidP="004C6C03">
      <w:pPr>
        <w:pStyle w:val="FootnoteText"/>
        <w:rPr>
          <w:lang w:val="en-US"/>
        </w:rPr>
      </w:pPr>
      <w:r>
        <w:rPr>
          <w:rStyle w:val="FootnoteReference"/>
        </w:rPr>
        <w:footnoteRef/>
      </w:r>
      <w:r>
        <w:t xml:space="preserve"> </w:t>
      </w:r>
      <w:r>
        <w:rPr>
          <w:lang w:val="en-US"/>
        </w:rPr>
        <w:t>For confidentiality and protection purposes, the precise dates of the crimes are not listed here, but these are securely stored in the Commission’s confidential files and dossiers.</w:t>
      </w:r>
    </w:p>
  </w:footnote>
  <w:footnote w:id="98">
    <w:p w14:paraId="72281213" w14:textId="1D9BA36B" w:rsidR="00E82108" w:rsidRPr="007E1ACE" w:rsidRDefault="00E82108" w:rsidP="004C6C03">
      <w:pPr>
        <w:pStyle w:val="FootnoteText"/>
        <w:rPr>
          <w:lang w:val="en-US"/>
        </w:rPr>
      </w:pPr>
      <w:r>
        <w:rPr>
          <w:rStyle w:val="FootnoteReference"/>
        </w:rPr>
        <w:footnoteRef/>
      </w:r>
      <w:r>
        <w:t xml:space="preserve"> </w:t>
      </w:r>
      <w:r w:rsidR="0003254C">
        <w:rPr>
          <w:lang w:val="en-US"/>
        </w:rPr>
        <w:t>103756-103760</w:t>
      </w:r>
    </w:p>
  </w:footnote>
  <w:footnote w:id="99">
    <w:p w14:paraId="1D79FD9E" w14:textId="1773D2D2" w:rsidR="00E82108" w:rsidRPr="00A76BCE" w:rsidRDefault="00E82108" w:rsidP="004C6C03">
      <w:pPr>
        <w:pStyle w:val="FootnoteText"/>
        <w:rPr>
          <w:lang w:val="en-US"/>
        </w:rPr>
      </w:pPr>
      <w:r>
        <w:rPr>
          <w:rStyle w:val="FootnoteReference"/>
        </w:rPr>
        <w:footnoteRef/>
      </w:r>
      <w:r>
        <w:t xml:space="preserve"> </w:t>
      </w:r>
      <w:r>
        <w:rPr>
          <w:lang w:val="en-US"/>
        </w:rPr>
        <w:t xml:space="preserve"> 103726-103730</w:t>
      </w:r>
    </w:p>
  </w:footnote>
  <w:footnote w:id="100">
    <w:p w14:paraId="78285B2D" w14:textId="516B85F3" w:rsidR="00E82108" w:rsidRPr="00744DC6" w:rsidRDefault="00E82108" w:rsidP="004C6C03">
      <w:pPr>
        <w:pStyle w:val="FootnoteText"/>
        <w:rPr>
          <w:lang w:val="en-US"/>
        </w:rPr>
      </w:pPr>
      <w:r>
        <w:rPr>
          <w:rStyle w:val="FootnoteReference"/>
        </w:rPr>
        <w:footnoteRef/>
      </w:r>
      <w:r>
        <w:t xml:space="preserve"> </w:t>
      </w:r>
      <w:r>
        <w:rPr>
          <w:lang w:val="en-US"/>
        </w:rPr>
        <w:t xml:space="preserve"> </w:t>
      </w:r>
      <w:bookmarkStart w:id="37" w:name="_Hlk97411214"/>
      <w:r>
        <w:rPr>
          <w:lang w:val="en-US"/>
        </w:rPr>
        <w:t>103726-103730</w:t>
      </w:r>
      <w:bookmarkEnd w:id="37"/>
    </w:p>
  </w:footnote>
  <w:footnote w:id="101">
    <w:p w14:paraId="48704FAE" w14:textId="24FE95F1" w:rsidR="00E82108" w:rsidRPr="00C90EC4" w:rsidRDefault="00E82108" w:rsidP="004C6C03">
      <w:pPr>
        <w:pStyle w:val="FootnoteText"/>
        <w:rPr>
          <w:lang w:val="en-US"/>
        </w:rPr>
      </w:pPr>
      <w:r>
        <w:rPr>
          <w:rStyle w:val="FootnoteReference"/>
        </w:rPr>
        <w:footnoteRef/>
      </w:r>
      <w:r>
        <w:t xml:space="preserve"> </w:t>
      </w:r>
      <w:r>
        <w:rPr>
          <w:lang w:val="en-US"/>
        </w:rPr>
        <w:t xml:space="preserve"> 103741-103745</w:t>
      </w:r>
    </w:p>
  </w:footnote>
  <w:footnote w:id="102">
    <w:p w14:paraId="501F0DCC" w14:textId="3618C98A" w:rsidR="00E82108" w:rsidRPr="00C90EC4" w:rsidRDefault="00E82108" w:rsidP="004C6C03">
      <w:pPr>
        <w:pStyle w:val="FootnoteText"/>
        <w:rPr>
          <w:lang w:val="en-US"/>
        </w:rPr>
      </w:pPr>
      <w:r>
        <w:rPr>
          <w:rStyle w:val="FootnoteReference"/>
        </w:rPr>
        <w:footnoteRef/>
      </w:r>
      <w:r>
        <w:t xml:space="preserve"> </w:t>
      </w:r>
      <w:r>
        <w:rPr>
          <w:lang w:val="en-US"/>
        </w:rPr>
        <w:t xml:space="preserve"> 103741-</w:t>
      </w:r>
      <w:r w:rsidR="0003254C">
        <w:rPr>
          <w:lang w:val="en-US"/>
        </w:rPr>
        <w:t>103745,</w:t>
      </w:r>
      <w:r w:rsidR="0003254C" w:rsidRPr="000477E8">
        <w:rPr>
          <w:lang w:val="en-US"/>
        </w:rPr>
        <w:t xml:space="preserve"> </w:t>
      </w:r>
      <w:r w:rsidR="0003254C">
        <w:rPr>
          <w:lang w:val="en-US"/>
        </w:rPr>
        <w:t>103771</w:t>
      </w:r>
      <w:r>
        <w:rPr>
          <w:lang w:val="en-US"/>
        </w:rPr>
        <w:t>-103775</w:t>
      </w:r>
    </w:p>
  </w:footnote>
  <w:footnote w:id="103">
    <w:p w14:paraId="60F11D71" w14:textId="67A7076A" w:rsidR="00E82108" w:rsidRPr="000671CD" w:rsidRDefault="00E82108" w:rsidP="004C6C03">
      <w:pPr>
        <w:pStyle w:val="FootnoteText"/>
        <w:rPr>
          <w:lang w:val="en-US"/>
        </w:rPr>
      </w:pPr>
      <w:r>
        <w:rPr>
          <w:rStyle w:val="FootnoteReference"/>
        </w:rPr>
        <w:footnoteRef/>
      </w:r>
      <w:r>
        <w:t xml:space="preserve"> </w:t>
      </w:r>
      <w:r>
        <w:rPr>
          <w:lang w:val="en-US"/>
        </w:rPr>
        <w:t xml:space="preserve"> 103771-103775</w:t>
      </w:r>
    </w:p>
  </w:footnote>
  <w:footnote w:id="104">
    <w:p w14:paraId="0246C673" w14:textId="0DD45F41" w:rsidR="00E82108" w:rsidRPr="000671CD" w:rsidRDefault="00E82108" w:rsidP="004C6C03">
      <w:pPr>
        <w:pStyle w:val="FootnoteText"/>
        <w:rPr>
          <w:lang w:val="en-US"/>
        </w:rPr>
      </w:pPr>
      <w:r>
        <w:rPr>
          <w:rStyle w:val="FootnoteReference"/>
        </w:rPr>
        <w:footnoteRef/>
      </w:r>
      <w:r>
        <w:t xml:space="preserve"> </w:t>
      </w:r>
      <w:r>
        <w:rPr>
          <w:lang w:val="en-US"/>
        </w:rPr>
        <w:t xml:space="preserve"> 103761-103765</w:t>
      </w:r>
    </w:p>
  </w:footnote>
  <w:footnote w:id="105">
    <w:p w14:paraId="67540EA1" w14:textId="2756E9C0" w:rsidR="00E82108" w:rsidRPr="009A1D9F" w:rsidRDefault="00E82108" w:rsidP="004C6C03">
      <w:pPr>
        <w:pStyle w:val="FootnoteText"/>
        <w:rPr>
          <w:lang w:val="en-US"/>
        </w:rPr>
      </w:pPr>
      <w:r>
        <w:rPr>
          <w:rStyle w:val="FootnoteReference"/>
        </w:rPr>
        <w:footnoteRef/>
      </w:r>
      <w:r>
        <w:t xml:space="preserve"> </w:t>
      </w:r>
      <w:r>
        <w:rPr>
          <w:lang w:val="en-US"/>
        </w:rPr>
        <w:t xml:space="preserve"> 103741-103745</w:t>
      </w:r>
    </w:p>
  </w:footnote>
  <w:footnote w:id="106">
    <w:p w14:paraId="204BAB02" w14:textId="4C5239E0" w:rsidR="00E82108" w:rsidRPr="00DA1374" w:rsidRDefault="00E82108" w:rsidP="004C6C03">
      <w:pPr>
        <w:pStyle w:val="FootnoteText"/>
        <w:rPr>
          <w:lang w:val="en-US"/>
        </w:rPr>
      </w:pPr>
      <w:r>
        <w:rPr>
          <w:rStyle w:val="FootnoteReference"/>
        </w:rPr>
        <w:footnoteRef/>
      </w:r>
      <w:r>
        <w:t xml:space="preserve"> </w:t>
      </w:r>
      <w:r>
        <w:rPr>
          <w:lang w:val="en-US"/>
        </w:rPr>
        <w:t xml:space="preserve"> 103771-103775 </w:t>
      </w:r>
    </w:p>
  </w:footnote>
  <w:footnote w:id="107">
    <w:p w14:paraId="3273FE0E" w14:textId="09831906" w:rsidR="00E82108" w:rsidRPr="00D81B4B" w:rsidRDefault="00E82108" w:rsidP="004C6C03">
      <w:pPr>
        <w:pStyle w:val="FootnoteText"/>
        <w:rPr>
          <w:lang w:val="en-US"/>
        </w:rPr>
      </w:pPr>
      <w:r>
        <w:rPr>
          <w:rStyle w:val="FootnoteReference"/>
        </w:rPr>
        <w:footnoteRef/>
      </w:r>
      <w:r>
        <w:t xml:space="preserve"> </w:t>
      </w:r>
      <w:r>
        <w:rPr>
          <w:lang w:val="en-US"/>
        </w:rPr>
        <w:t xml:space="preserve"> 103741-103745</w:t>
      </w:r>
    </w:p>
  </w:footnote>
  <w:footnote w:id="108">
    <w:p w14:paraId="0EBB1BCD" w14:textId="595FA1D3" w:rsidR="00E82108" w:rsidRPr="00AA4B48" w:rsidRDefault="00E82108" w:rsidP="004C6C03">
      <w:pPr>
        <w:pStyle w:val="FootnoteText"/>
        <w:rPr>
          <w:lang w:val="en-US"/>
        </w:rPr>
      </w:pPr>
      <w:r>
        <w:rPr>
          <w:rStyle w:val="FootnoteReference"/>
        </w:rPr>
        <w:footnoteRef/>
      </w:r>
      <w:r>
        <w:t xml:space="preserve"> </w:t>
      </w:r>
      <w:r w:rsidR="00531BBD">
        <w:t>Confidential Meeting,</w:t>
      </w:r>
      <w:r w:rsidR="0003254C">
        <w:t xml:space="preserve"> November 2021#3</w:t>
      </w:r>
      <w:r w:rsidRPr="00AA4B48">
        <w:t xml:space="preserve">; </w:t>
      </w:r>
      <w:r w:rsidR="00531BBD">
        <w:t>Confidential Meeting,</w:t>
      </w:r>
      <w:r w:rsidR="0003254C">
        <w:t xml:space="preserve"> November 2021#4</w:t>
      </w:r>
      <w:r w:rsidRPr="00AA4B48">
        <w:t xml:space="preserve">; </w:t>
      </w:r>
      <w:r w:rsidR="00531BBD">
        <w:t>Confidential Meeting,</w:t>
      </w:r>
      <w:r w:rsidR="0003254C">
        <w:t xml:space="preserve"> November 2021#5</w:t>
      </w:r>
      <w:r w:rsidRPr="00AA4B48">
        <w:t xml:space="preserve">; </w:t>
      </w:r>
      <w:r w:rsidR="00531BBD">
        <w:t>Confidential Meeting,</w:t>
      </w:r>
      <w:r w:rsidR="0003254C">
        <w:t xml:space="preserve"> January 2021#1</w:t>
      </w:r>
      <w:r w:rsidRPr="00AA4B48">
        <w:t xml:space="preserve">, </w:t>
      </w:r>
      <w:r w:rsidR="00531BBD">
        <w:t>Confidential Meeting,</w:t>
      </w:r>
      <w:r w:rsidR="0003254C">
        <w:t xml:space="preserve"> July 2021#1</w:t>
      </w:r>
      <w:r>
        <w:t>. Identifying features included uniforms, language spoken, physical appearance, weapons carried, and proximity of crime scenes to SSPDF military bases and installations.</w:t>
      </w:r>
    </w:p>
  </w:footnote>
  <w:footnote w:id="109">
    <w:p w14:paraId="46E0E6CE" w14:textId="0AFCCACA" w:rsidR="00E82108" w:rsidRPr="00D55A4E" w:rsidRDefault="00E82108" w:rsidP="004C6C03">
      <w:pPr>
        <w:pStyle w:val="FootnoteText"/>
      </w:pPr>
      <w:r w:rsidRPr="00D55A4E">
        <w:rPr>
          <w:rStyle w:val="FootnoteReference"/>
        </w:rPr>
        <w:footnoteRef/>
      </w:r>
      <w:r w:rsidRPr="00D55A4E">
        <w:t xml:space="preserve"> </w:t>
      </w:r>
      <w:r w:rsidR="00531BBD">
        <w:t>Confidential Meeting,</w:t>
      </w:r>
      <w:r w:rsidR="0003254C">
        <w:t xml:space="preserve"> November 2021#3</w:t>
      </w:r>
      <w:r>
        <w:t xml:space="preserve">; </w:t>
      </w:r>
      <w:r w:rsidR="00531BBD">
        <w:t>Confidential Meeting,</w:t>
      </w:r>
      <w:r w:rsidR="0003254C">
        <w:t xml:space="preserve"> November 2021#4</w:t>
      </w:r>
      <w:r>
        <w:t xml:space="preserve">; </w:t>
      </w:r>
      <w:r w:rsidR="00531BBD">
        <w:t>Confidential Meeting,</w:t>
      </w:r>
      <w:r w:rsidR="0003254C">
        <w:t xml:space="preserve"> November 2021#5</w:t>
      </w:r>
      <w:r>
        <w:t xml:space="preserve">; </w:t>
      </w:r>
      <w:r w:rsidR="00531BBD">
        <w:t>Confidential Meeting,</w:t>
      </w:r>
      <w:r w:rsidR="0003254C">
        <w:t xml:space="preserve"> January 2021#1</w:t>
      </w:r>
      <w:r>
        <w:t xml:space="preserve">, </w:t>
      </w:r>
      <w:r w:rsidR="00531BBD">
        <w:t>Confidential Meeting,</w:t>
      </w:r>
      <w:r w:rsidR="0003254C">
        <w:t xml:space="preserve"> July 2021#1</w:t>
      </w:r>
    </w:p>
  </w:footnote>
  <w:footnote w:id="110">
    <w:p w14:paraId="559D7DE2" w14:textId="3D5C25B3" w:rsidR="00E82108" w:rsidRDefault="00E82108" w:rsidP="004C6C03">
      <w:pPr>
        <w:pStyle w:val="FootnoteText"/>
        <w:rPr>
          <w:lang w:val="en-US"/>
        </w:rPr>
      </w:pPr>
      <w:r>
        <w:rPr>
          <w:rStyle w:val="FootnoteReference"/>
        </w:rPr>
        <w:footnoteRef/>
      </w:r>
      <w:r w:rsidRPr="00CE0E73">
        <w:t xml:space="preserve"> </w:t>
      </w:r>
      <w:r w:rsidR="0003254C">
        <w:rPr>
          <w:lang w:val="en-US"/>
        </w:rPr>
        <w:t>104837-104841</w:t>
      </w:r>
    </w:p>
  </w:footnote>
  <w:footnote w:id="111">
    <w:p w14:paraId="77C94019" w14:textId="77B0E57B" w:rsidR="00E82108" w:rsidRDefault="00E82108" w:rsidP="004C6C03">
      <w:pPr>
        <w:pStyle w:val="FootnoteText"/>
        <w:rPr>
          <w:lang w:val="en-US"/>
        </w:rPr>
      </w:pPr>
      <w:r>
        <w:rPr>
          <w:rStyle w:val="FootnoteReference"/>
        </w:rPr>
        <w:footnoteRef/>
      </w:r>
      <w:r w:rsidRPr="00CE0E73">
        <w:t xml:space="preserve"> </w:t>
      </w:r>
      <w:r w:rsidR="0003254C">
        <w:rPr>
          <w:lang w:val="en-US"/>
        </w:rPr>
        <w:t>104823-104826</w:t>
      </w:r>
    </w:p>
  </w:footnote>
  <w:footnote w:id="112">
    <w:p w14:paraId="183AFF65" w14:textId="24B711A3" w:rsidR="00E82108" w:rsidRPr="00A520FD" w:rsidRDefault="00E82108" w:rsidP="004C6C03">
      <w:pPr>
        <w:pStyle w:val="FootnoteText"/>
        <w:rPr>
          <w:lang w:val="en-US"/>
        </w:rPr>
      </w:pPr>
      <w:r>
        <w:rPr>
          <w:rStyle w:val="FootnoteReference"/>
        </w:rPr>
        <w:footnoteRef/>
      </w:r>
      <w:r>
        <w:t xml:space="preserve"> </w:t>
      </w:r>
      <w:r w:rsidR="0003254C">
        <w:rPr>
          <w:lang w:val="en-US"/>
        </w:rPr>
        <w:t>104911-104913</w:t>
      </w:r>
      <w:r>
        <w:rPr>
          <w:lang w:val="en-US"/>
        </w:rPr>
        <w:t xml:space="preserve">, </w:t>
      </w:r>
      <w:r w:rsidR="0003254C">
        <w:rPr>
          <w:lang w:val="en-US"/>
        </w:rPr>
        <w:t>104929-104933</w:t>
      </w:r>
      <w:r>
        <w:rPr>
          <w:lang w:val="en-US"/>
        </w:rPr>
        <w:t xml:space="preserve">, </w:t>
      </w:r>
      <w:r w:rsidR="0003254C">
        <w:rPr>
          <w:lang w:val="en-US"/>
        </w:rPr>
        <w:t>104934-104936</w:t>
      </w:r>
      <w:r>
        <w:rPr>
          <w:lang w:val="en-US"/>
        </w:rPr>
        <w:t xml:space="preserve">, </w:t>
      </w:r>
      <w:r w:rsidR="0003254C">
        <w:rPr>
          <w:lang w:val="en-US"/>
        </w:rPr>
        <w:t>104937-104940</w:t>
      </w:r>
      <w:r>
        <w:rPr>
          <w:lang w:val="en-US"/>
        </w:rPr>
        <w:t xml:space="preserve">, </w:t>
      </w:r>
      <w:r w:rsidR="0003254C">
        <w:rPr>
          <w:lang w:val="en-US"/>
        </w:rPr>
        <w:t>104904-104906</w:t>
      </w:r>
      <w:r>
        <w:rPr>
          <w:lang w:val="en-US"/>
        </w:rPr>
        <w:t xml:space="preserve">, </w:t>
      </w:r>
      <w:r w:rsidR="0003254C">
        <w:rPr>
          <w:lang w:val="en-US"/>
        </w:rPr>
        <w:t>104914-104916</w:t>
      </w:r>
    </w:p>
  </w:footnote>
  <w:footnote w:id="113">
    <w:p w14:paraId="069AD0B0" w14:textId="73D8B309" w:rsidR="00E82108" w:rsidRPr="0029609E" w:rsidRDefault="00E82108" w:rsidP="004C6C03">
      <w:pPr>
        <w:pStyle w:val="FootnoteText"/>
      </w:pPr>
      <w:r w:rsidRPr="0029609E">
        <w:rPr>
          <w:rStyle w:val="FootnoteReference"/>
        </w:rPr>
        <w:footnoteRef/>
      </w:r>
      <w:r w:rsidRPr="0029609E">
        <w:t xml:space="preserve"> </w:t>
      </w:r>
      <w:r w:rsidR="0003254C">
        <w:t>104837-104841</w:t>
      </w:r>
      <w:r w:rsidR="00531BBD">
        <w:t>,</w:t>
      </w:r>
      <w:r w:rsidRPr="0029609E">
        <w:t xml:space="preserve"> </w:t>
      </w:r>
      <w:r w:rsidR="0003254C">
        <w:t>104823-104826</w:t>
      </w:r>
    </w:p>
  </w:footnote>
  <w:footnote w:id="114">
    <w:p w14:paraId="2AC8C5E8" w14:textId="5A3FC5CD" w:rsidR="00E82108" w:rsidRPr="00201C19" w:rsidRDefault="00E82108" w:rsidP="004C6C03">
      <w:pPr>
        <w:pStyle w:val="FootnoteText"/>
        <w:rPr>
          <w:lang w:val="en-US"/>
        </w:rPr>
      </w:pPr>
      <w:r>
        <w:rPr>
          <w:rStyle w:val="FootnoteReference"/>
        </w:rPr>
        <w:footnoteRef/>
      </w:r>
      <w:r>
        <w:t xml:space="preserve"> </w:t>
      </w:r>
      <w:r w:rsidR="0003254C">
        <w:rPr>
          <w:lang w:val="en-US"/>
        </w:rPr>
        <w:t>104837-104841</w:t>
      </w:r>
    </w:p>
  </w:footnote>
  <w:footnote w:id="115">
    <w:p w14:paraId="33204832" w14:textId="5F05ED3C" w:rsidR="00E82108" w:rsidRPr="000E7DA1" w:rsidRDefault="00E82108" w:rsidP="004C6C03">
      <w:pPr>
        <w:pStyle w:val="FootnoteText"/>
        <w:rPr>
          <w:lang w:val="en-US"/>
        </w:rPr>
      </w:pPr>
      <w:r>
        <w:rPr>
          <w:rStyle w:val="FootnoteReference"/>
        </w:rPr>
        <w:footnoteRef/>
      </w:r>
      <w:r>
        <w:t xml:space="preserve"> </w:t>
      </w:r>
      <w:r>
        <w:rPr>
          <w:lang w:val="en-US"/>
        </w:rPr>
        <w:t>A/HRC/49/78</w:t>
      </w:r>
    </w:p>
  </w:footnote>
  <w:footnote w:id="116">
    <w:p w14:paraId="35F91D60" w14:textId="4A498A28" w:rsidR="00E82108" w:rsidRPr="000E7DA1" w:rsidRDefault="00E82108" w:rsidP="004C6C03">
      <w:pPr>
        <w:pStyle w:val="FootnoteText"/>
        <w:rPr>
          <w:lang w:val="en-US"/>
        </w:rPr>
      </w:pPr>
      <w:r>
        <w:rPr>
          <w:rStyle w:val="FootnoteReference"/>
        </w:rPr>
        <w:footnoteRef/>
      </w:r>
      <w:r>
        <w:t xml:space="preserve"> </w:t>
      </w:r>
      <w:r w:rsidR="00531BBD">
        <w:t>Confidential Meeting,</w:t>
      </w:r>
      <w:r w:rsidRPr="000E7DA1">
        <w:t xml:space="preserve"> November 2021. 104837–104841 and 104904–104906.</w:t>
      </w:r>
    </w:p>
  </w:footnote>
  <w:footnote w:id="117">
    <w:p w14:paraId="6A818CC6" w14:textId="540444C4" w:rsidR="00E82108" w:rsidRPr="0068752C" w:rsidRDefault="00E82108" w:rsidP="004C6C03">
      <w:pPr>
        <w:pStyle w:val="FootnoteText"/>
        <w:rPr>
          <w:lang w:val="en-US"/>
        </w:rPr>
      </w:pPr>
      <w:r>
        <w:rPr>
          <w:rStyle w:val="FootnoteReference"/>
        </w:rPr>
        <w:footnoteRef/>
      </w:r>
      <w:r>
        <w:t xml:space="preserve"> </w:t>
      </w:r>
      <w:r w:rsidR="00531BBD">
        <w:t>Confidential Meeting,</w:t>
      </w:r>
      <w:r w:rsidRPr="0068752C">
        <w:t xml:space="preserve"> November 2021, 104833–104836, 104855–104858, 104837–104841 and 104823–104826.</w:t>
      </w:r>
    </w:p>
  </w:footnote>
  <w:footnote w:id="118">
    <w:p w14:paraId="7BAFB66C" w14:textId="54792735" w:rsidR="00E82108" w:rsidRPr="00954AD9" w:rsidRDefault="00E82108" w:rsidP="004C6C03">
      <w:pPr>
        <w:pStyle w:val="FootnoteText"/>
        <w:rPr>
          <w:lang w:val="en-US"/>
        </w:rPr>
      </w:pPr>
      <w:r>
        <w:rPr>
          <w:rStyle w:val="FootnoteReference"/>
        </w:rPr>
        <w:footnoteRef/>
      </w:r>
      <w:r>
        <w:t xml:space="preserve"> </w:t>
      </w:r>
      <w:r w:rsidR="0003254C">
        <w:rPr>
          <w:lang w:val="en-US"/>
        </w:rPr>
        <w:t>104941-104944</w:t>
      </w:r>
    </w:p>
  </w:footnote>
  <w:footnote w:id="119">
    <w:p w14:paraId="1184F8C9" w14:textId="56DF1C31" w:rsidR="00E82108" w:rsidRPr="00484826" w:rsidRDefault="00E82108" w:rsidP="00CF13DB">
      <w:pPr>
        <w:pStyle w:val="FootnoteText"/>
      </w:pPr>
      <w:r w:rsidRPr="00010573">
        <w:rPr>
          <w:rStyle w:val="FootnoteReference"/>
        </w:rPr>
        <w:footnoteRef/>
      </w:r>
      <w:r w:rsidR="00531BBD">
        <w:t xml:space="preserve"> </w:t>
      </w:r>
      <w:r w:rsidRPr="00504461">
        <w:t xml:space="preserve">104907–104910, </w:t>
      </w:r>
      <w:r w:rsidR="0003254C">
        <w:t>104833-104836</w:t>
      </w:r>
      <w:r w:rsidRPr="00504461">
        <w:t xml:space="preserve">, </w:t>
      </w:r>
      <w:r w:rsidR="00531BBD">
        <w:t>Confidential Meeting,</w:t>
      </w:r>
      <w:r w:rsidR="0003254C">
        <w:t xml:space="preserve"> January 2021#1</w:t>
      </w:r>
      <w:r w:rsidRPr="00504461">
        <w:t xml:space="preserve">, </w:t>
      </w:r>
      <w:r w:rsidR="00531BBD">
        <w:t>Confidential Meeting,</w:t>
      </w:r>
      <w:r w:rsidR="0003254C">
        <w:t xml:space="preserve"> July 2021#1</w:t>
      </w:r>
      <w:r w:rsidRPr="00504461">
        <w:t xml:space="preserve">. </w:t>
      </w:r>
      <w:r w:rsidR="00531BBD">
        <w:t xml:space="preserve">Confidential </w:t>
      </w:r>
      <w:r w:rsidR="00942AE3">
        <w:t>Meetings,</w:t>
      </w:r>
      <w:r w:rsidRPr="00504461">
        <w:t xml:space="preserve"> undisclosed locations, January and February 2022. See also “Alleged NAS Attacks in Central and West Equatoria States April to June 2021,” CTSAMVM, 21 September 2021, https://ctsamvm.org/wp-content/uploads/2021/09/CTSAMVM-REPORT-2021_12-1-1.pdf and “Report…for the period 1 July to 30 September, RJMEC, para. </w:t>
      </w:r>
      <w:r w:rsidRPr="000E300B">
        <w:rPr>
          <w:lang w:val="fr-CH"/>
        </w:rPr>
        <w:t xml:space="preserve">16, https://reliefweb.int/sites/reliefweb.int/files/resources/RJMEC-3rd-Qtr-2021-Report-FINAL-2.pdf, </w:t>
      </w:r>
      <w:r w:rsidRPr="00CF13DB">
        <w:rPr>
          <w:lang w:val="en-US"/>
        </w:rPr>
        <w:t>para</w:t>
      </w:r>
      <w:r w:rsidRPr="000E300B">
        <w:rPr>
          <w:lang w:val="fr-CH"/>
        </w:rPr>
        <w:t xml:space="preserve">. </w:t>
      </w:r>
      <w:r w:rsidRPr="00504461">
        <w:t>16.</w:t>
      </w:r>
    </w:p>
  </w:footnote>
  <w:footnote w:id="120">
    <w:p w14:paraId="728BF868" w14:textId="4394177D" w:rsidR="00E82108" w:rsidRPr="00504461" w:rsidRDefault="00E82108" w:rsidP="004C6C03">
      <w:pPr>
        <w:pStyle w:val="FootnoteText"/>
        <w:rPr>
          <w:lang w:val="en-US"/>
        </w:rPr>
      </w:pPr>
      <w:r>
        <w:rPr>
          <w:rStyle w:val="FootnoteReference"/>
        </w:rPr>
        <w:footnoteRef/>
      </w:r>
      <w:r>
        <w:t xml:space="preserve"> </w:t>
      </w:r>
      <w:r w:rsidR="00531BBD">
        <w:rPr>
          <w:lang w:val="en-US"/>
        </w:rPr>
        <w:t xml:space="preserve">Confidential </w:t>
      </w:r>
      <w:r w:rsidR="00942AE3">
        <w:rPr>
          <w:lang w:val="en-US"/>
        </w:rPr>
        <w:t>Meetings,</w:t>
      </w:r>
      <w:r>
        <w:rPr>
          <w:lang w:val="en-US"/>
        </w:rPr>
        <w:t xml:space="preserve"> undisclosed location, undisclosed month in 2022.</w:t>
      </w:r>
    </w:p>
  </w:footnote>
  <w:footnote w:id="121">
    <w:p w14:paraId="5DD2431A" w14:textId="125A2D9E" w:rsidR="00E82108" w:rsidRPr="002B4888" w:rsidRDefault="00E82108" w:rsidP="004C6C03">
      <w:pPr>
        <w:pStyle w:val="FootnoteText"/>
        <w:rPr>
          <w:lang w:val="en-US"/>
        </w:rPr>
      </w:pPr>
      <w:r>
        <w:rPr>
          <w:rStyle w:val="FootnoteReference"/>
        </w:rPr>
        <w:footnoteRef/>
      </w:r>
      <w:r>
        <w:t xml:space="preserve"> In many parts of the country, motivations for sexual violence were primarily identified as retaliation and revenge, used to punish – especially in Juba, Bor and Malakal where members of the army defected – representatives of a community for acts perpetrated in Juba and even going back to historical conflicts such as the Bor Massacre of 1991. Other motivations for sexual violence included humiliating a group and/or prevention of reproduction of a particular group; this was in numerous witness narration collated by the </w:t>
      </w:r>
      <w:r>
        <w:rPr>
          <w:lang w:val="en-US"/>
        </w:rPr>
        <w:t>AUCISS Report</w:t>
      </w:r>
      <w:r>
        <w:t>. More sexual violence also accompanied other violations such as burning of villages, houses and the stealing of belongings to move groups of people as various sides took control of territory.</w:t>
      </w:r>
    </w:p>
  </w:footnote>
  <w:footnote w:id="122">
    <w:p w14:paraId="600A32CC" w14:textId="456A181D" w:rsidR="00E82108" w:rsidRPr="00C83495" w:rsidRDefault="00E82108" w:rsidP="004C6C03">
      <w:pPr>
        <w:pStyle w:val="FootnoteText"/>
        <w:rPr>
          <w:lang w:val="es-ES"/>
        </w:rPr>
      </w:pPr>
      <w:r>
        <w:rPr>
          <w:rStyle w:val="FootnoteReference"/>
        </w:rPr>
        <w:footnoteRef/>
      </w:r>
      <w:r w:rsidRPr="00C83495">
        <w:rPr>
          <w:lang w:val="es-ES"/>
        </w:rPr>
        <w:t xml:space="preserve"> A/HRC/31/CRP/6 para</w:t>
      </w:r>
      <w:r w:rsidR="00531BBD">
        <w:rPr>
          <w:lang w:val="es-ES"/>
        </w:rPr>
        <w:t>,</w:t>
      </w:r>
      <w:r w:rsidRPr="00C83495">
        <w:rPr>
          <w:lang w:val="es-ES"/>
        </w:rPr>
        <w:t xml:space="preserve"> 206</w:t>
      </w:r>
    </w:p>
  </w:footnote>
  <w:footnote w:id="123">
    <w:p w14:paraId="20AC404D" w14:textId="33B13738" w:rsidR="00E82108" w:rsidRPr="006C24BD" w:rsidRDefault="00E82108" w:rsidP="004C6C03">
      <w:pPr>
        <w:pStyle w:val="FootnoteText"/>
        <w:rPr>
          <w:lang w:val="en-US"/>
        </w:rPr>
      </w:pPr>
      <w:r>
        <w:rPr>
          <w:rStyle w:val="FootnoteReference"/>
        </w:rPr>
        <w:footnoteRef/>
      </w:r>
      <w:r>
        <w:t xml:space="preserve"> </w:t>
      </w:r>
      <w:r>
        <w:rPr>
          <w:lang w:val="en-US"/>
        </w:rPr>
        <w:t>A/HRC/43/56, annex 1, paras</w:t>
      </w:r>
      <w:r w:rsidR="00531BBD">
        <w:rPr>
          <w:lang w:val="en-US"/>
        </w:rPr>
        <w:t>.</w:t>
      </w:r>
      <w:r>
        <w:rPr>
          <w:lang w:val="en-US"/>
        </w:rPr>
        <w:t xml:space="preserve"> 58-60.</w:t>
      </w:r>
    </w:p>
  </w:footnote>
  <w:footnote w:id="124">
    <w:p w14:paraId="50B2AD91" w14:textId="31E184D2" w:rsidR="00E82108" w:rsidRPr="00C83495" w:rsidRDefault="00E82108" w:rsidP="004C6C03">
      <w:pPr>
        <w:pStyle w:val="FootnoteText"/>
        <w:rPr>
          <w:lang w:val="es-ES"/>
        </w:rPr>
      </w:pPr>
      <w:r>
        <w:rPr>
          <w:rStyle w:val="FootnoteReference"/>
        </w:rPr>
        <w:footnoteRef/>
      </w:r>
      <w:r w:rsidRPr="00C83495">
        <w:rPr>
          <w:lang w:val="es-ES"/>
        </w:rPr>
        <w:t xml:space="preserve"> </w:t>
      </w:r>
      <w:r w:rsidRPr="00A307C6">
        <w:t>See</w:t>
      </w:r>
      <w:r w:rsidRPr="00C83495">
        <w:rPr>
          <w:lang w:val="es-ES"/>
        </w:rPr>
        <w:t xml:space="preserve"> A/HRC/40/CRP 1 para</w:t>
      </w:r>
      <w:r w:rsidR="00531BBD">
        <w:rPr>
          <w:lang w:val="es-ES"/>
        </w:rPr>
        <w:t>.</w:t>
      </w:r>
      <w:r w:rsidRPr="00C83495">
        <w:rPr>
          <w:lang w:val="es-ES"/>
        </w:rPr>
        <w:t xml:space="preserve"> 453</w:t>
      </w:r>
    </w:p>
  </w:footnote>
  <w:footnote w:id="125">
    <w:p w14:paraId="71B98171" w14:textId="365022B6" w:rsidR="00E82108" w:rsidRPr="00521341" w:rsidRDefault="00E82108" w:rsidP="00531BBD">
      <w:pPr>
        <w:pStyle w:val="FootnoteText"/>
        <w:rPr>
          <w:highlight w:val="yellow"/>
        </w:rPr>
      </w:pPr>
      <w:r>
        <w:rPr>
          <w:rStyle w:val="FootnoteReference"/>
        </w:rPr>
        <w:footnoteRef/>
      </w:r>
      <w:r>
        <w:t xml:space="preserve"> </w:t>
      </w:r>
      <w:r w:rsidRPr="00504461">
        <w:t>Following an investigation by a committee appointed by the President to the area.</w:t>
      </w:r>
    </w:p>
  </w:footnote>
  <w:footnote w:id="126">
    <w:p w14:paraId="65174AB0" w14:textId="29A4E774" w:rsidR="00E82108" w:rsidRPr="0071668B" w:rsidRDefault="00E82108" w:rsidP="004C6C03">
      <w:pPr>
        <w:pStyle w:val="FootnoteText"/>
        <w:rPr>
          <w:lang w:val="en-US"/>
        </w:rPr>
      </w:pPr>
      <w:r>
        <w:rPr>
          <w:rStyle w:val="FootnoteReference"/>
        </w:rPr>
        <w:footnoteRef/>
      </w:r>
      <w:r>
        <w:t xml:space="preserve"> </w:t>
      </w:r>
      <w:r w:rsidRPr="0071668B">
        <w:t>See Radio Tamazuj “No evidence to back claims of Bentiu rapes: investigation team” December 2018</w:t>
      </w:r>
    </w:p>
  </w:footnote>
  <w:footnote w:id="127">
    <w:p w14:paraId="3D92939A" w14:textId="2CA1DF3C" w:rsidR="00E82108" w:rsidRPr="006E7CD7" w:rsidRDefault="00E82108" w:rsidP="004C6C03">
      <w:pPr>
        <w:pStyle w:val="FootnoteText"/>
        <w:rPr>
          <w:lang w:val="fr-CH"/>
        </w:rPr>
      </w:pPr>
      <w:r>
        <w:rPr>
          <w:rStyle w:val="FootnoteReference"/>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September</w:t>
      </w:r>
      <w:proofErr w:type="spellEnd"/>
      <w:r w:rsidR="0003254C">
        <w:rPr>
          <w:lang w:val="fr-CH"/>
        </w:rPr>
        <w:t xml:space="preserve"> 2021#4</w:t>
      </w:r>
    </w:p>
  </w:footnote>
  <w:footnote w:id="128">
    <w:p w14:paraId="74A7D039" w14:textId="1CF8D98E" w:rsidR="00E82108" w:rsidRPr="006E7CD7" w:rsidRDefault="00E82108" w:rsidP="004C6C03">
      <w:pPr>
        <w:pStyle w:val="FootnoteText"/>
        <w:rPr>
          <w:lang w:val="fr-CH"/>
        </w:rPr>
      </w:pPr>
      <w:r>
        <w:rPr>
          <w:rStyle w:val="FootnoteReference"/>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29">
    <w:p w14:paraId="64EC046E" w14:textId="6151DB32" w:rsidR="00E82108" w:rsidRPr="006E7CD7" w:rsidRDefault="00E82108" w:rsidP="004C6C03">
      <w:pPr>
        <w:pStyle w:val="FootnoteText"/>
        <w:rPr>
          <w:lang w:val="fr-CH"/>
        </w:rPr>
      </w:pPr>
      <w:r>
        <w:rPr>
          <w:rStyle w:val="FootnoteReference"/>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30">
    <w:p w14:paraId="15CBDDCD" w14:textId="77777777" w:rsidR="004C6C03" w:rsidRPr="00E6015F" w:rsidRDefault="004C6C03" w:rsidP="004C6C03">
      <w:pPr>
        <w:pStyle w:val="FootnoteText"/>
      </w:pPr>
      <w:r>
        <w:rPr>
          <w:rStyle w:val="FootnoteReference"/>
        </w:rPr>
        <w:footnoteRef/>
      </w:r>
      <w:r>
        <w:t xml:space="preserve"> Radio Tamazuj </w:t>
      </w:r>
      <w:r w:rsidRPr="000E300B">
        <w:t>“No evidence to back claims of Bentiu rapes: investigation team”</w:t>
      </w:r>
      <w:r>
        <w:t xml:space="preserve"> December 2018. </w:t>
      </w:r>
      <w:r>
        <w:rPr>
          <w:lang w:val="en-US"/>
        </w:rPr>
        <w:t xml:space="preserve">Refugees International October 2019. </w:t>
      </w:r>
      <w:r>
        <w:t>Report of the Investigation Committee for Alleged Incidences of Rape in Bentiu (unpublished).</w:t>
      </w:r>
    </w:p>
  </w:footnote>
  <w:footnote w:id="131">
    <w:p w14:paraId="4908AFEE" w14:textId="37F58F2D" w:rsidR="004C6C03" w:rsidRPr="006E7CD7" w:rsidRDefault="004C6C03" w:rsidP="004C6C03">
      <w:pPr>
        <w:pStyle w:val="FootnoteText"/>
        <w:rPr>
          <w:lang w:val="fr-CH"/>
        </w:rPr>
      </w:pPr>
      <w:r>
        <w:rPr>
          <w:rStyle w:val="FootnoteReference"/>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32">
    <w:p w14:paraId="0A26EC92" w14:textId="44A127EE" w:rsidR="00E82108" w:rsidRPr="001306AD" w:rsidRDefault="00E82108" w:rsidP="004C6C03">
      <w:pPr>
        <w:pStyle w:val="FootnoteText"/>
        <w:rPr>
          <w:lang w:val="en-US"/>
        </w:rPr>
      </w:pPr>
      <w:r>
        <w:rPr>
          <w:rStyle w:val="FootnoteReference"/>
        </w:rPr>
        <w:footnoteRef/>
      </w:r>
      <w:r w:rsidRPr="006E7CD7">
        <w:rPr>
          <w:lang w:val="fr-CH"/>
        </w:rPr>
        <w:t xml:space="preserve"> </w:t>
      </w:r>
      <w:proofErr w:type="spellStart"/>
      <w:r w:rsidRPr="006E7CD7">
        <w:rPr>
          <w:lang w:val="fr-CH"/>
        </w:rPr>
        <w:t>See</w:t>
      </w:r>
      <w:proofErr w:type="spellEnd"/>
      <w:r w:rsidRPr="006E7CD7">
        <w:rPr>
          <w:lang w:val="fr-CH"/>
        </w:rPr>
        <w:t xml:space="preserve"> A/HRC/40/69/3 para 40,</w:t>
      </w:r>
      <w:r w:rsidR="001306AD">
        <w:rPr>
          <w:lang w:val="fr-CH"/>
        </w:rPr>
        <w:t xml:space="preserve"> </w:t>
      </w:r>
      <w:r w:rsidR="00531BBD">
        <w:t>Confidential Meeting,</w:t>
      </w:r>
      <w:r w:rsidR="001306AD">
        <w:t xml:space="preserve"> </w:t>
      </w:r>
      <w:r w:rsidR="001306AD" w:rsidRPr="001306AD">
        <w:t>September</w:t>
      </w:r>
      <w:r w:rsidR="001306AD">
        <w:t xml:space="preserve"> </w:t>
      </w:r>
      <w:r w:rsidR="001306AD" w:rsidRPr="001306AD">
        <w:t>2021#1</w:t>
      </w:r>
    </w:p>
  </w:footnote>
  <w:footnote w:id="133">
    <w:p w14:paraId="4D72D530" w14:textId="043A94C1" w:rsidR="00E82108" w:rsidRPr="003A795C" w:rsidRDefault="00E82108" w:rsidP="004C6C03">
      <w:pPr>
        <w:pStyle w:val="FootnoteText"/>
        <w:rPr>
          <w:lang w:val="en-US"/>
        </w:rPr>
      </w:pPr>
      <w:r>
        <w:rPr>
          <w:rStyle w:val="FootnoteReference"/>
        </w:rPr>
        <w:footnoteRef/>
      </w:r>
      <w:r>
        <w:t xml:space="preserve"> </w:t>
      </w:r>
      <w:r>
        <w:rPr>
          <w:lang w:val="en-US"/>
        </w:rPr>
        <w:t>Refugees International October 2019, “Still in Danger: Women and girls in South Sudan face Sexual Violence in South Sudan despite Peace Deal”, page 13</w:t>
      </w:r>
    </w:p>
  </w:footnote>
  <w:footnote w:id="134">
    <w:p w14:paraId="49697B7D" w14:textId="239D5A6A" w:rsidR="00E82108" w:rsidRPr="000B4DD4"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February 2021#1</w:t>
      </w:r>
    </w:p>
  </w:footnote>
  <w:footnote w:id="135">
    <w:p w14:paraId="6EB33736" w14:textId="7F172D85" w:rsidR="00E82108" w:rsidRPr="007577B5"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February 2021#1</w:t>
      </w:r>
    </w:p>
  </w:footnote>
  <w:footnote w:id="136">
    <w:p w14:paraId="6C59F36C" w14:textId="51245315" w:rsidR="00E82108" w:rsidRPr="0015142E"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February 2021#1</w:t>
      </w:r>
    </w:p>
  </w:footnote>
  <w:footnote w:id="137">
    <w:p w14:paraId="51DC6A26" w14:textId="2A1B5A2D" w:rsidR="00E82108" w:rsidRPr="00253CC0"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February 2021#1</w:t>
      </w:r>
      <w:r>
        <w:rPr>
          <w:lang w:val="en-US"/>
        </w:rPr>
        <w:t xml:space="preserve">, </w:t>
      </w:r>
      <w:r w:rsidR="00531BBD">
        <w:rPr>
          <w:lang w:val="en-US"/>
        </w:rPr>
        <w:t>Confidential Meeting,</w:t>
      </w:r>
      <w:r w:rsidR="0003254C">
        <w:rPr>
          <w:lang w:val="en-US"/>
        </w:rPr>
        <w:t xml:space="preserve"> March 2020#1</w:t>
      </w:r>
    </w:p>
  </w:footnote>
  <w:footnote w:id="138">
    <w:p w14:paraId="0FE10DA6" w14:textId="3DDF4571" w:rsidR="00E82108" w:rsidRPr="0055091F"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March 2020#1</w:t>
      </w:r>
      <w:r>
        <w:rPr>
          <w:lang w:val="en-US"/>
        </w:rPr>
        <w:t xml:space="preserve"> and see Amnesty International, 2012 “South Sudan Overshadowed Conflict: Arms supplies fuel violations in Mayom County, Unity State” that details attacks against civilians in North Unity State using heavy tanks and weaponry in conflict that included Paulino Matiep trained Peter Gadet and then Govor Taban Deng Gai. </w:t>
      </w:r>
    </w:p>
  </w:footnote>
  <w:footnote w:id="139">
    <w:p w14:paraId="7B385544" w14:textId="4508DBD9" w:rsidR="00E82108" w:rsidRPr="0061542C"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March 2020#1</w:t>
      </w:r>
    </w:p>
  </w:footnote>
  <w:footnote w:id="140">
    <w:p w14:paraId="100EA9B0" w14:textId="72573491" w:rsidR="00E82108" w:rsidRPr="009F4654"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September 2021#2</w:t>
      </w:r>
      <w:r>
        <w:rPr>
          <w:lang w:val="en-US"/>
        </w:rPr>
        <w:t xml:space="preserve">, </w:t>
      </w:r>
      <w:r w:rsidR="00531BBD">
        <w:rPr>
          <w:lang w:val="en-US"/>
        </w:rPr>
        <w:t>Confidential Meeting,</w:t>
      </w:r>
      <w:r w:rsidR="0003254C">
        <w:rPr>
          <w:lang w:val="en-US"/>
        </w:rPr>
        <w:t xml:space="preserve"> September 2021#3</w:t>
      </w:r>
    </w:p>
  </w:footnote>
  <w:footnote w:id="141">
    <w:p w14:paraId="5617C562" w14:textId="0E1C5F57" w:rsidR="00E82108" w:rsidRPr="007F1570"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March 2020#1</w:t>
      </w:r>
    </w:p>
  </w:footnote>
  <w:footnote w:id="142">
    <w:p w14:paraId="01E0C2D6" w14:textId="2C659CDD" w:rsidR="00E82108" w:rsidRPr="006E7CD7" w:rsidRDefault="00E82108" w:rsidP="004C6C03">
      <w:pPr>
        <w:pStyle w:val="FootnoteText"/>
        <w:rPr>
          <w:lang w:val="fr-CH"/>
        </w:rPr>
      </w:pPr>
      <w:r>
        <w:rPr>
          <w:rStyle w:val="FootnoteReference"/>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43">
    <w:p w14:paraId="269F4D3B" w14:textId="0F494B2A" w:rsidR="00E82108" w:rsidRPr="006E7CD7" w:rsidRDefault="00E82108" w:rsidP="004C6C03">
      <w:pPr>
        <w:pStyle w:val="FootnoteText"/>
        <w:rPr>
          <w:lang w:val="fr-CH"/>
        </w:rPr>
      </w:pPr>
      <w:r>
        <w:rPr>
          <w:rStyle w:val="FootnoteReference"/>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44">
    <w:p w14:paraId="4862A0D5" w14:textId="7C67EA45" w:rsidR="00E82108" w:rsidRPr="006E7CD7" w:rsidRDefault="00E82108" w:rsidP="004C6C03">
      <w:pPr>
        <w:pStyle w:val="FootnoteText"/>
        <w:rPr>
          <w:lang w:val="fr-CH"/>
        </w:rPr>
      </w:pPr>
      <w:r w:rsidRPr="009C2C26">
        <w:rPr>
          <w:rStyle w:val="FootnoteReference"/>
        </w:rPr>
        <w:footnoteRef/>
      </w:r>
      <w:r w:rsidRPr="006E7CD7">
        <w:rPr>
          <w:lang w:val="fr-CH"/>
        </w:rPr>
        <w:t xml:space="preserve"> </w:t>
      </w:r>
      <w:r w:rsidR="0003254C">
        <w:rPr>
          <w:lang w:val="fr-CH"/>
        </w:rPr>
        <w:t>105083-105088</w:t>
      </w:r>
    </w:p>
  </w:footnote>
  <w:footnote w:id="145">
    <w:p w14:paraId="0AC0F867" w14:textId="7E0EE85B" w:rsidR="00E82108" w:rsidRPr="006E7CD7" w:rsidRDefault="00E82108" w:rsidP="004C6C03">
      <w:pPr>
        <w:pStyle w:val="FootnoteText"/>
        <w:rPr>
          <w:lang w:val="fr-CH"/>
        </w:rPr>
      </w:pPr>
      <w:r w:rsidRPr="009C2C26">
        <w:rPr>
          <w:rStyle w:val="FootnoteReference"/>
        </w:rPr>
        <w:footnoteRef/>
      </w:r>
      <w:r w:rsidRPr="006E7CD7">
        <w:rPr>
          <w:lang w:val="fr-CH"/>
        </w:rPr>
        <w:t xml:space="preserve"> </w:t>
      </w:r>
      <w:r w:rsidR="0003254C">
        <w:rPr>
          <w:lang w:val="fr-CH"/>
        </w:rPr>
        <w:t>105089-105092</w:t>
      </w:r>
    </w:p>
  </w:footnote>
  <w:footnote w:id="146">
    <w:p w14:paraId="280645E9" w14:textId="66025028" w:rsidR="00E82108" w:rsidRPr="006E7CD7" w:rsidRDefault="00E82108" w:rsidP="004C6C03">
      <w:pPr>
        <w:pStyle w:val="FootnoteText"/>
        <w:rPr>
          <w:lang w:val="fr-CH"/>
        </w:rPr>
      </w:pPr>
      <w:r w:rsidRPr="009C2C26">
        <w:rPr>
          <w:rStyle w:val="FootnoteReference"/>
        </w:rPr>
        <w:footnoteRef/>
      </w:r>
      <w:r w:rsidRPr="006E7CD7">
        <w:rPr>
          <w:lang w:val="fr-CH"/>
        </w:rPr>
        <w:t xml:space="preserve"> </w:t>
      </w:r>
      <w:r w:rsidR="0003254C">
        <w:rPr>
          <w:lang w:val="fr-CH"/>
        </w:rPr>
        <w:t>105083-105088</w:t>
      </w:r>
    </w:p>
  </w:footnote>
  <w:footnote w:id="147">
    <w:p w14:paraId="187DA99B" w14:textId="5CE83059" w:rsidR="00E82108" w:rsidRPr="00504461" w:rsidRDefault="00E82108" w:rsidP="004C6C03">
      <w:pPr>
        <w:pStyle w:val="FootnoteText"/>
      </w:pPr>
      <w:r>
        <w:rPr>
          <w:rStyle w:val="FootnoteReference"/>
        </w:rPr>
        <w:footnoteRef/>
      </w:r>
      <w:r>
        <w:t xml:space="preserve"> Report of the Investigation Committee for Alleged Incidences of Rape in Bentiu</w:t>
      </w:r>
      <w:r w:rsidR="00531BBD">
        <w:t xml:space="preserve"> (unpublished)</w:t>
      </w:r>
    </w:p>
  </w:footnote>
  <w:footnote w:id="148">
    <w:p w14:paraId="11E291BA" w14:textId="6FAA2157" w:rsidR="00E82108" w:rsidRPr="00803466"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September 2021#3</w:t>
      </w:r>
      <w:r>
        <w:rPr>
          <w:lang w:val="en-US"/>
        </w:rPr>
        <w:t xml:space="preserve">, </w:t>
      </w:r>
      <w:r w:rsidR="00531BBD">
        <w:rPr>
          <w:lang w:val="en-US"/>
        </w:rPr>
        <w:t>Confidential Meeting,</w:t>
      </w:r>
      <w:r w:rsidR="0003254C">
        <w:rPr>
          <w:lang w:val="en-US"/>
        </w:rPr>
        <w:t xml:space="preserve"> September 2021#4</w:t>
      </w:r>
      <w:r>
        <w:rPr>
          <w:lang w:val="en-US"/>
        </w:rPr>
        <w:t xml:space="preserve">, </w:t>
      </w:r>
      <w:r w:rsidR="0003254C">
        <w:rPr>
          <w:lang w:val="en-US"/>
        </w:rPr>
        <w:t>105017-105020</w:t>
      </w:r>
      <w:r>
        <w:rPr>
          <w:lang w:val="en-US"/>
        </w:rPr>
        <w:t xml:space="preserve">, </w:t>
      </w:r>
      <w:r w:rsidR="0003254C">
        <w:rPr>
          <w:lang w:val="en-US"/>
        </w:rPr>
        <w:t>105037-105043</w:t>
      </w:r>
      <w:r>
        <w:rPr>
          <w:lang w:val="en-US"/>
        </w:rPr>
        <w:t xml:space="preserve">, </w:t>
      </w:r>
      <w:r w:rsidR="0003254C">
        <w:rPr>
          <w:lang w:val="en-US"/>
        </w:rPr>
        <w:t>105032-105036</w:t>
      </w:r>
      <w:r>
        <w:rPr>
          <w:lang w:val="en-US"/>
        </w:rPr>
        <w:t xml:space="preserve">, </w:t>
      </w:r>
      <w:r w:rsidR="0003254C">
        <w:rPr>
          <w:lang w:val="en-US"/>
        </w:rPr>
        <w:t>105021-105028</w:t>
      </w:r>
      <w:r>
        <w:rPr>
          <w:lang w:val="en-US"/>
        </w:rPr>
        <w:t>.</w:t>
      </w:r>
    </w:p>
  </w:footnote>
  <w:footnote w:id="149">
    <w:p w14:paraId="63DE745A" w14:textId="51E0964B" w:rsidR="00E82108" w:rsidRPr="00803466" w:rsidRDefault="00E82108" w:rsidP="004C6C03">
      <w:pPr>
        <w:pStyle w:val="FootnoteText"/>
        <w:rPr>
          <w:lang w:val="en-US"/>
        </w:rPr>
      </w:pPr>
      <w:r>
        <w:rPr>
          <w:rStyle w:val="FootnoteReference"/>
        </w:rPr>
        <w:footnoteRef/>
      </w:r>
      <w:r>
        <w:t xml:space="preserve"> </w:t>
      </w:r>
      <w:r>
        <w:rPr>
          <w:lang w:val="en-US"/>
        </w:rPr>
        <w:t>See A/HRC/49/78, para. 51.</w:t>
      </w:r>
    </w:p>
  </w:footnote>
  <w:footnote w:id="150">
    <w:p w14:paraId="1D2ABC90" w14:textId="1DFC3B91" w:rsidR="00E82108" w:rsidRPr="00293FB5" w:rsidRDefault="00E82108" w:rsidP="004C6C03">
      <w:pPr>
        <w:pStyle w:val="FootnoteText"/>
      </w:pPr>
      <w:r w:rsidRPr="0029609E">
        <w:rPr>
          <w:rStyle w:val="FootnoteReference"/>
        </w:rPr>
        <w:footnoteRef/>
      </w:r>
      <w:r w:rsidRPr="0029609E">
        <w:t xml:space="preserve"> </w:t>
      </w:r>
      <w:r w:rsidR="00531BBD">
        <w:t>Confidential Meeting,</w:t>
      </w:r>
      <w:r w:rsidR="0003254C">
        <w:t xml:space="preserve"> November 2021#2</w:t>
      </w:r>
      <w:r>
        <w:t xml:space="preserve">, </w:t>
      </w:r>
      <w:r w:rsidR="00531BBD">
        <w:t>Confidential Meeting,</w:t>
      </w:r>
      <w:r w:rsidR="0003254C">
        <w:t xml:space="preserve"> November 2021#9</w:t>
      </w:r>
      <w:r>
        <w:t xml:space="preserve">, </w:t>
      </w:r>
      <w:r w:rsidR="00531BBD">
        <w:t>Confidential Meeting,</w:t>
      </w:r>
      <w:r w:rsidR="0003254C">
        <w:t xml:space="preserve"> November 2021#11</w:t>
      </w:r>
      <w:r>
        <w:t xml:space="preserve">, </w:t>
      </w:r>
      <w:r w:rsidR="00531BBD">
        <w:t>Confidential Meeting,</w:t>
      </w:r>
      <w:r w:rsidR="0003254C">
        <w:t xml:space="preserve"> November 2021#12</w:t>
      </w:r>
      <w:r w:rsidRPr="0029609E">
        <w:t xml:space="preserve">, </w:t>
      </w:r>
      <w:r w:rsidR="00531BBD">
        <w:t>Confidential Meeting,</w:t>
      </w:r>
      <w:r w:rsidR="0003254C">
        <w:t xml:space="preserve"> November 2021#10</w:t>
      </w:r>
    </w:p>
  </w:footnote>
  <w:footnote w:id="151">
    <w:p w14:paraId="17AE62A3" w14:textId="19823DB2" w:rsidR="00E82108" w:rsidRPr="00750FEE" w:rsidRDefault="00E82108" w:rsidP="004C6C03">
      <w:pPr>
        <w:pStyle w:val="FootnoteText"/>
        <w:rPr>
          <w:lang w:val="en-US"/>
        </w:rPr>
      </w:pPr>
      <w:r w:rsidRPr="00A06624">
        <w:rPr>
          <w:rStyle w:val="FootnoteReference"/>
        </w:rPr>
        <w:footnoteRef/>
      </w:r>
      <w:r w:rsidRPr="00A06624">
        <w:t xml:space="preserve"> See </w:t>
      </w:r>
      <w:r>
        <w:t>A/HRC/43/56, paras. 61-70</w:t>
      </w:r>
      <w:r w:rsidRPr="00A06624">
        <w:t>.</w:t>
      </w:r>
      <w:r>
        <w:t xml:space="preserve"> </w:t>
      </w:r>
      <w:r w:rsidRPr="0029609E">
        <w:t xml:space="preserve">See </w:t>
      </w:r>
      <w:r>
        <w:t>also</w:t>
      </w:r>
      <w:r w:rsidRPr="0029609E">
        <w:t xml:space="preserve"> Crisis Group, “South Sudan’s South: Conflict in the Equatorias,” 25 May 2016, and “</w:t>
      </w:r>
      <w:r w:rsidRPr="00386F83">
        <w:t>South Sudan’s Other War: Resolving the Insurgency in Equatoria, 25 February 2021.</w:t>
      </w:r>
    </w:p>
  </w:footnote>
  <w:footnote w:id="152">
    <w:p w14:paraId="428D60B6" w14:textId="06A8048C" w:rsidR="00E82108" w:rsidRPr="003A5D2E" w:rsidRDefault="00E82108" w:rsidP="004C6C03">
      <w:pPr>
        <w:pStyle w:val="FootnoteText"/>
        <w:rPr>
          <w:lang w:val="en-US"/>
        </w:rPr>
      </w:pPr>
      <w:r>
        <w:rPr>
          <w:rStyle w:val="FootnoteReference"/>
        </w:rPr>
        <w:footnoteRef/>
      </w:r>
      <w:r>
        <w:t xml:space="preserve"> See OHCHR and UNMISS, “Violations and abuses against civilians in Gbudwe and Tambura States (West Equatoria) April-August 2018,” 18 October 2018, paras. 29 and 66-76.</w:t>
      </w:r>
    </w:p>
  </w:footnote>
  <w:footnote w:id="153">
    <w:p w14:paraId="0F32D355" w14:textId="17AD3B37" w:rsidR="00E82108" w:rsidRPr="00596BCC" w:rsidRDefault="00E82108" w:rsidP="004C6C03">
      <w:pPr>
        <w:pStyle w:val="FootnoteText"/>
        <w:rPr>
          <w:lang w:val="en-US"/>
        </w:rPr>
      </w:pPr>
      <w:r>
        <w:rPr>
          <w:rStyle w:val="FootnoteReference"/>
        </w:rPr>
        <w:footnoteRef/>
      </w:r>
      <w:r>
        <w:t xml:space="preserve"> S/2021/312, p</w:t>
      </w:r>
      <w:r>
        <w:rPr>
          <w:lang w:val="en-US"/>
        </w:rPr>
        <w:t xml:space="preserve">ara. 49. Confidential document, on file with the Commission. </w:t>
      </w:r>
    </w:p>
  </w:footnote>
  <w:footnote w:id="154">
    <w:p w14:paraId="7F9873FC" w14:textId="18A4D973" w:rsidR="00E82108" w:rsidRPr="00790DD7" w:rsidRDefault="00E82108" w:rsidP="004C6C03">
      <w:pPr>
        <w:pStyle w:val="FootnoteText"/>
        <w:rPr>
          <w:lang w:val="en-US"/>
        </w:rPr>
      </w:pPr>
      <w:r>
        <w:rPr>
          <w:rStyle w:val="FootnoteReference"/>
        </w:rPr>
        <w:footnoteRef/>
      </w:r>
      <w:r>
        <w:t xml:space="preserve"> </w:t>
      </w:r>
      <w:r w:rsidR="00531BBD">
        <w:rPr>
          <w:lang w:val="en-US"/>
        </w:rPr>
        <w:t>Confidential Meeting,</w:t>
      </w:r>
      <w:r>
        <w:rPr>
          <w:lang w:val="en-US"/>
        </w:rPr>
        <w:t xml:space="preserve"> undisclosed location, late 2019.</w:t>
      </w:r>
    </w:p>
  </w:footnote>
  <w:footnote w:id="155">
    <w:p w14:paraId="6F5D1DF7" w14:textId="76C327A7" w:rsidR="00E82108" w:rsidRPr="00790DD7" w:rsidRDefault="00E82108" w:rsidP="004C6C03">
      <w:pPr>
        <w:pStyle w:val="FootnoteText"/>
        <w:rPr>
          <w:lang w:val="en-US"/>
        </w:rPr>
      </w:pPr>
      <w:r>
        <w:rPr>
          <w:rStyle w:val="FootnoteReference"/>
        </w:rPr>
        <w:footnoteRef/>
      </w:r>
      <w:r>
        <w:t xml:space="preserve"> </w:t>
      </w:r>
      <w:r>
        <w:rPr>
          <w:lang w:val="en-US"/>
        </w:rPr>
        <w:t>Human Rights Watch stated that thousands of people had been abducted over the years by the SPLM-IO. “</w:t>
      </w:r>
      <w:r w:rsidRPr="00790DD7">
        <w:rPr>
          <w:lang w:val="en-US"/>
        </w:rPr>
        <w:t>Freeing South Sudan’s Captive Women and Girls</w:t>
      </w:r>
      <w:r>
        <w:rPr>
          <w:lang w:val="en-US"/>
        </w:rPr>
        <w:t xml:space="preserve">,” 19 February 2020, Human Rights Watch (originally published in </w:t>
      </w:r>
      <w:r>
        <w:rPr>
          <w:i/>
          <w:iCs/>
          <w:lang w:val="en-US"/>
        </w:rPr>
        <w:t>African Arguments)</w:t>
      </w:r>
      <w:r>
        <w:rPr>
          <w:lang w:val="en-US"/>
        </w:rPr>
        <w:t xml:space="preserve">. </w:t>
      </w:r>
      <w:r>
        <w:t>See also “</w:t>
      </w:r>
      <w:r w:rsidRPr="00790DD7">
        <w:t>SPLM-IO frees 78 abducted women in West Equatoria: UN official</w:t>
      </w:r>
      <w:r>
        <w:t>,” 5 February 2020, Radio Tamazuj.</w:t>
      </w:r>
    </w:p>
  </w:footnote>
  <w:footnote w:id="156">
    <w:p w14:paraId="05F16563" w14:textId="3367537E" w:rsidR="00E82108" w:rsidRPr="00124680" w:rsidRDefault="00E82108" w:rsidP="004C6C03">
      <w:pPr>
        <w:pStyle w:val="FootnoteText"/>
        <w:rPr>
          <w:lang w:val="en-US"/>
        </w:rPr>
      </w:pPr>
      <w:r>
        <w:rPr>
          <w:rStyle w:val="FootnoteReference"/>
        </w:rPr>
        <w:footnoteRef/>
      </w:r>
      <w:r>
        <w:t xml:space="preserve"> </w:t>
      </w:r>
      <w:r w:rsidR="00531BBD">
        <w:t>Confidential Meeting,</w:t>
      </w:r>
      <w:r w:rsidR="0003254C">
        <w:t xml:space="preserve"> November 2021#12</w:t>
      </w:r>
      <w:r>
        <w:t xml:space="preserve">, </w:t>
      </w:r>
      <w:r w:rsidR="00531BBD">
        <w:t>Confidential Meeting,</w:t>
      </w:r>
      <w:r w:rsidR="0003254C">
        <w:t xml:space="preserve"> September 2021#1</w:t>
      </w:r>
      <w:r>
        <w:t xml:space="preserve">, </w:t>
      </w:r>
      <w:r w:rsidR="00531BBD">
        <w:t xml:space="preserve">Confidential </w:t>
      </w:r>
      <w:r w:rsidR="00942AE3">
        <w:t>Meetings,</w:t>
      </w:r>
      <w:r>
        <w:t xml:space="preserve"> Juba, December 2019 and February 2020.</w:t>
      </w:r>
    </w:p>
  </w:footnote>
  <w:footnote w:id="157">
    <w:p w14:paraId="36F38DC5" w14:textId="5293BCE8" w:rsidR="00E82108" w:rsidRPr="00E9489E" w:rsidRDefault="00E82108" w:rsidP="004C6C03">
      <w:pPr>
        <w:pStyle w:val="FootnoteText"/>
        <w:rPr>
          <w:lang w:val="en-US"/>
        </w:rPr>
      </w:pPr>
      <w:r>
        <w:rPr>
          <w:rStyle w:val="FootnoteReference"/>
        </w:rPr>
        <w:footnoteRef/>
      </w:r>
      <w:r>
        <w:t xml:space="preserve"> This happened </w:t>
      </w:r>
      <w:r w:rsidRPr="00E9489E">
        <w:t xml:space="preserve">weeks after </w:t>
      </w:r>
      <w:r>
        <w:t>Government</w:t>
      </w:r>
      <w:r w:rsidRPr="00E9489E">
        <w:t xml:space="preserve"> Forces conducted a deadly attack on SPLM/A-IO Forces</w:t>
      </w:r>
      <w:r>
        <w:t>. See</w:t>
      </w:r>
      <w:r w:rsidRPr="00E9489E">
        <w:t xml:space="preserve"> </w:t>
      </w:r>
      <w:r>
        <w:t>“SPLA-IO officer killed in SSPDF attack in West Equatoria,” South Sudan News Now, 19 June 2020</w:t>
      </w:r>
      <w:r w:rsidR="00531BBD">
        <w:t>.</w:t>
      </w:r>
    </w:p>
  </w:footnote>
  <w:footnote w:id="158">
    <w:p w14:paraId="65AB7C38" w14:textId="17856844" w:rsidR="00E82108" w:rsidRPr="00F773CD" w:rsidRDefault="00E82108" w:rsidP="004C6C03">
      <w:pPr>
        <w:pStyle w:val="FootnoteText"/>
        <w:rPr>
          <w:lang w:val="en-US"/>
        </w:rPr>
      </w:pPr>
      <w:r>
        <w:rPr>
          <w:rStyle w:val="FootnoteReference"/>
        </w:rPr>
        <w:footnoteRef/>
      </w:r>
      <w:r>
        <w:t xml:space="preserve"> Note the SPLM/A is referred to here as the SPLM</w:t>
      </w:r>
      <w:r w:rsidDel="00C67775">
        <w:t xml:space="preserve"> </w:t>
      </w:r>
      <w:r>
        <w:t>-IG (in Government) following the signing of the 2018 Agreement, while the SPLM/A-IO is referred to here using the same term before and after 2019. At the time of publication, the SSPDF is nominally under the command of the SPLM-IG.</w:t>
      </w:r>
    </w:p>
  </w:footnote>
  <w:footnote w:id="159">
    <w:p w14:paraId="25BE3B74" w14:textId="77777777" w:rsidR="00E82108" w:rsidRPr="00226311" w:rsidRDefault="00E82108" w:rsidP="004C6C03">
      <w:pPr>
        <w:pStyle w:val="FootnoteText"/>
        <w:rPr>
          <w:lang w:val="en-US"/>
        </w:rPr>
      </w:pPr>
      <w:r>
        <w:rPr>
          <w:rStyle w:val="FootnoteReference"/>
        </w:rPr>
        <w:footnoteRef/>
      </w:r>
      <w:r>
        <w:t xml:space="preserve"> </w:t>
      </w:r>
      <w:r>
        <w:rPr>
          <w:lang w:val="en-US"/>
        </w:rPr>
        <w:t>His father is Balanda and his mother is Azande.</w:t>
      </w:r>
    </w:p>
  </w:footnote>
  <w:footnote w:id="160">
    <w:p w14:paraId="056CB975" w14:textId="3267E8A5" w:rsidR="00E82108" w:rsidRPr="00964913" w:rsidRDefault="00E82108" w:rsidP="004C6C03">
      <w:pPr>
        <w:pStyle w:val="FootnoteText"/>
        <w:rPr>
          <w:lang w:val="en-US"/>
        </w:rPr>
      </w:pPr>
      <w:r>
        <w:rPr>
          <w:rStyle w:val="FootnoteReference"/>
        </w:rPr>
        <w:footnoteRef/>
      </w:r>
      <w:r>
        <w:t xml:space="preserve"> </w:t>
      </w:r>
      <w:r>
        <w:rPr>
          <w:lang w:val="en-US"/>
        </w:rPr>
        <w:t xml:space="preserve">See the Mandate Report of the Commission, 2022, A/HRC/49/78, paras. 63-76. In line with its mandate from the Human Rights Council, the Commission has drawn up a list of persons of interest whom it considers warrant individual investigation for their roles in human rights violations and abuses, some of which may amount to serious crimes under national and international criminal law. This list of names, with links to evidence collected and preserved, forms part of the Commission’s confidential archives. </w:t>
      </w:r>
    </w:p>
  </w:footnote>
  <w:footnote w:id="161">
    <w:p w14:paraId="6DDF817A" w14:textId="39353D81" w:rsidR="00E82108" w:rsidRPr="00861FC3" w:rsidRDefault="00E82108" w:rsidP="004C6C03">
      <w:pPr>
        <w:pStyle w:val="FootnoteText"/>
        <w:rPr>
          <w:lang w:val="en-US"/>
        </w:rPr>
      </w:pPr>
      <w:r>
        <w:rPr>
          <w:rStyle w:val="FootnoteReference"/>
        </w:rPr>
        <w:footnoteRef/>
      </w:r>
      <w:r>
        <w:t xml:space="preserve"> Ibid.</w:t>
      </w:r>
    </w:p>
  </w:footnote>
  <w:footnote w:id="162">
    <w:p w14:paraId="02DA6D3F" w14:textId="6156C52E" w:rsidR="00E82108" w:rsidRPr="008D1557" w:rsidRDefault="00E82108" w:rsidP="004C6C03">
      <w:pPr>
        <w:pStyle w:val="FootnoteText"/>
        <w:rPr>
          <w:lang w:val="en-US"/>
        </w:rPr>
      </w:pPr>
      <w:r>
        <w:rPr>
          <w:rStyle w:val="FootnoteReference"/>
        </w:rPr>
        <w:footnoteRef/>
      </w:r>
      <w:r>
        <w:t xml:space="preserve"> </w:t>
      </w:r>
      <w:r>
        <w:rPr>
          <w:lang w:val="en-US"/>
        </w:rPr>
        <w:t>State-wide assessment by humanitarian agencies, November 2021.  D126687-D126696.</w:t>
      </w:r>
    </w:p>
  </w:footnote>
  <w:footnote w:id="163">
    <w:p w14:paraId="109DB08E" w14:textId="6CA30349" w:rsidR="00E82108" w:rsidRPr="007625EE" w:rsidRDefault="00E82108" w:rsidP="004C6C03">
      <w:pPr>
        <w:pStyle w:val="FootnoteText"/>
        <w:rPr>
          <w:lang w:val="en-US"/>
        </w:rPr>
      </w:pPr>
      <w:r>
        <w:rPr>
          <w:rStyle w:val="FootnoteReference"/>
        </w:rPr>
        <w:footnoteRef/>
      </w:r>
      <w:r>
        <w:t xml:space="preserve"> </w:t>
      </w:r>
      <w:r>
        <w:rPr>
          <w:lang w:val="en-US"/>
        </w:rPr>
        <w:t>A/HRC/49/78, paras. 43 and 63-76. See also UNMISS and OHCHR, “Attacks on civilians in Tambura County, June-September 2021,” 1 March 2022. See also “South Sudan: survivors describe killings, mass displacement and terror amid fighting in West Equatoria,” Amnesty International, 9 December 2021.</w:t>
      </w:r>
    </w:p>
  </w:footnote>
  <w:footnote w:id="164">
    <w:p w14:paraId="1E9AB810" w14:textId="5B33FA03" w:rsidR="00E82108" w:rsidRPr="004C35DB" w:rsidRDefault="00E82108" w:rsidP="004C6C03">
      <w:pPr>
        <w:pStyle w:val="FootnoteText"/>
        <w:rPr>
          <w:lang w:val="en-US"/>
        </w:rPr>
      </w:pPr>
      <w:r>
        <w:rPr>
          <w:rStyle w:val="FootnoteReference"/>
        </w:rPr>
        <w:footnoteRef/>
      </w:r>
      <w:r>
        <w:t xml:space="preserve"> </w:t>
      </w:r>
      <w:r w:rsidRPr="004C35DB">
        <w:t>104644–104647. Abductions by SPLM/A-IO members have previously been linked to rapes. See OHCHR and UNMISS, “Violations and abuses against civilians in Gbudue and Tambura States (West Equatoria), April–August 2018”, 18 October 2018.</w:t>
      </w:r>
    </w:p>
  </w:footnote>
  <w:footnote w:id="165">
    <w:p w14:paraId="333FD284" w14:textId="08C2E81A" w:rsidR="00E82108" w:rsidRPr="004C35DB" w:rsidRDefault="00E82108" w:rsidP="004C6C03">
      <w:pPr>
        <w:pStyle w:val="FootnoteText"/>
        <w:rPr>
          <w:lang w:val="en-US"/>
        </w:rPr>
      </w:pPr>
      <w:r>
        <w:rPr>
          <w:rStyle w:val="FootnoteReference"/>
        </w:rPr>
        <w:footnoteRef/>
      </w:r>
      <w:r>
        <w:t xml:space="preserve"> </w:t>
      </w:r>
      <w:r w:rsidRPr="004C35DB">
        <w:t>104859–104864 and 104494–104497</w:t>
      </w:r>
    </w:p>
  </w:footnote>
  <w:footnote w:id="166">
    <w:p w14:paraId="7DAE4735" w14:textId="7C30E5C7" w:rsidR="00E82108" w:rsidRPr="004C35DB" w:rsidRDefault="00E82108" w:rsidP="004C6C03">
      <w:pPr>
        <w:pStyle w:val="FootnoteText"/>
        <w:rPr>
          <w:lang w:val="en-US"/>
        </w:rPr>
      </w:pPr>
      <w:r>
        <w:rPr>
          <w:rStyle w:val="FootnoteReference"/>
        </w:rPr>
        <w:footnoteRef/>
      </w:r>
      <w:r>
        <w:t xml:space="preserve"> </w:t>
      </w:r>
      <w:r w:rsidRPr="004C35DB">
        <w:t xml:space="preserve"> 104847–104854</w:t>
      </w:r>
    </w:p>
  </w:footnote>
  <w:footnote w:id="167">
    <w:p w14:paraId="1AEE1FCB" w14:textId="4D8F3FC8" w:rsidR="00E82108" w:rsidRPr="00293FB5" w:rsidRDefault="00E82108" w:rsidP="004C6C03">
      <w:pPr>
        <w:pStyle w:val="FootnoteText"/>
      </w:pPr>
      <w:r w:rsidRPr="0029609E">
        <w:rPr>
          <w:rStyle w:val="FootnoteReference"/>
        </w:rPr>
        <w:footnoteRef/>
      </w:r>
      <w:r w:rsidRPr="0029609E">
        <w:t xml:space="preserve"> </w:t>
      </w:r>
      <w:r w:rsidR="0003254C">
        <w:t>104562-104566</w:t>
      </w:r>
    </w:p>
  </w:footnote>
  <w:footnote w:id="168">
    <w:p w14:paraId="7A51807B" w14:textId="0C2CFE84" w:rsidR="00E82108" w:rsidRPr="00293FB5" w:rsidRDefault="00E82108" w:rsidP="004C6C03">
      <w:pPr>
        <w:pStyle w:val="FootnoteText"/>
      </w:pPr>
      <w:r w:rsidRPr="0029609E">
        <w:rPr>
          <w:rStyle w:val="FootnoteReference"/>
        </w:rPr>
        <w:footnoteRef/>
      </w:r>
      <w:r w:rsidRPr="0029609E">
        <w:t xml:space="preserve"> </w:t>
      </w:r>
      <w:r w:rsidR="0003254C">
        <w:t>104494-104497</w:t>
      </w:r>
    </w:p>
  </w:footnote>
  <w:footnote w:id="169">
    <w:p w14:paraId="6244B891" w14:textId="17412DAD" w:rsidR="00E82108" w:rsidRPr="00293FB5" w:rsidRDefault="00E82108" w:rsidP="004C6C03">
      <w:pPr>
        <w:pStyle w:val="FootnoteText"/>
      </w:pPr>
      <w:r w:rsidRPr="0029609E">
        <w:rPr>
          <w:rStyle w:val="FootnoteReference"/>
        </w:rPr>
        <w:footnoteRef/>
      </w:r>
      <w:r w:rsidRPr="0029609E">
        <w:t xml:space="preserve"> </w:t>
      </w:r>
      <w:r w:rsidR="0003254C">
        <w:t>104859-104864</w:t>
      </w:r>
    </w:p>
  </w:footnote>
  <w:footnote w:id="170">
    <w:p w14:paraId="36318ED1" w14:textId="27CDD0BF" w:rsidR="00E82108" w:rsidRPr="00596BCC" w:rsidRDefault="00E82108" w:rsidP="004C6C03">
      <w:pPr>
        <w:pStyle w:val="FootnoteText"/>
        <w:rPr>
          <w:lang w:val="en-US"/>
        </w:rPr>
      </w:pPr>
      <w:r>
        <w:rPr>
          <w:rStyle w:val="FootnoteReference"/>
        </w:rPr>
        <w:footnoteRef/>
      </w:r>
      <w:r>
        <w:t xml:space="preserve"> </w:t>
      </w:r>
      <w:r w:rsidR="0003254C">
        <w:rPr>
          <w:lang w:val="en-US"/>
        </w:rPr>
        <w:t>104859-104864</w:t>
      </w:r>
    </w:p>
  </w:footnote>
  <w:footnote w:id="171">
    <w:p w14:paraId="5403FC74" w14:textId="1466A3B5" w:rsidR="00E82108" w:rsidRPr="00293FB5" w:rsidRDefault="00E82108" w:rsidP="004C6C03">
      <w:pPr>
        <w:pStyle w:val="FootnoteText"/>
      </w:pPr>
      <w:r w:rsidRPr="0029609E">
        <w:rPr>
          <w:rStyle w:val="FootnoteReference"/>
        </w:rPr>
        <w:footnoteRef/>
      </w:r>
      <w:r w:rsidRPr="0029609E">
        <w:t xml:space="preserve"> </w:t>
      </w:r>
      <w:r w:rsidR="0003254C">
        <w:t>104494-104497</w:t>
      </w:r>
    </w:p>
  </w:footnote>
  <w:footnote w:id="172">
    <w:p w14:paraId="332D93DA" w14:textId="23F9C0DF" w:rsidR="00E82108" w:rsidRPr="00977ECA" w:rsidRDefault="00E82108" w:rsidP="004C6C03">
      <w:pPr>
        <w:pStyle w:val="FootnoteText"/>
        <w:rPr>
          <w:lang w:val="en-US"/>
        </w:rPr>
      </w:pPr>
      <w:r>
        <w:rPr>
          <w:rStyle w:val="FootnoteReference"/>
        </w:rPr>
        <w:footnoteRef/>
      </w:r>
      <w:r>
        <w:t xml:space="preserve"> </w:t>
      </w:r>
      <w:r w:rsidRPr="00EC3AB7">
        <w:t>Including meetings in Juba hosted by President Kiir and First Vice President Riek Machar. See “First Vice President Office's Press Unit Republic of South Sudan,” Facebook post of 15 July 2021 and “Ministry of ICT &amp; Postal Services - Republic of South Sudan,” Facebook post of 27 August 2021.</w:t>
      </w:r>
      <w:r>
        <w:t xml:space="preserve"> The Commission also notes that it was informed by the Government that senior police officers had investigated the violence and produced a report.</w:t>
      </w:r>
    </w:p>
  </w:footnote>
  <w:footnote w:id="173">
    <w:p w14:paraId="7810C736" w14:textId="3802A8E2" w:rsidR="00E82108" w:rsidRPr="006F6809" w:rsidRDefault="00E82108" w:rsidP="004C6C03">
      <w:pPr>
        <w:pStyle w:val="FootnoteText"/>
        <w:rPr>
          <w:lang w:val="en-US"/>
        </w:rPr>
      </w:pPr>
      <w:r>
        <w:rPr>
          <w:rStyle w:val="FootnoteReference"/>
        </w:rPr>
        <w:footnoteRef/>
      </w:r>
      <w:r>
        <w:t xml:space="preserve"> </w:t>
      </w:r>
      <w:r w:rsidR="00531BBD">
        <w:rPr>
          <w:lang w:val="en-US"/>
        </w:rPr>
        <w:t>104733-104737 and 104498-104501.</w:t>
      </w:r>
      <w:r>
        <w:rPr>
          <w:lang w:val="en-US"/>
        </w:rPr>
        <w:t xml:space="preserve">The Commission also holds in its confidential archives </w:t>
      </w:r>
      <w:r w:rsidR="00531BBD">
        <w:rPr>
          <w:lang w:val="en-US"/>
        </w:rPr>
        <w:t xml:space="preserve">with </w:t>
      </w:r>
      <w:r>
        <w:rPr>
          <w:lang w:val="en-US"/>
        </w:rPr>
        <w:t xml:space="preserve">information implicating </w:t>
      </w:r>
      <w:proofErr w:type="spellStart"/>
      <w:r>
        <w:rPr>
          <w:lang w:val="en-US"/>
        </w:rPr>
        <w:t>Futuyo</w:t>
      </w:r>
      <w:proofErr w:type="spellEnd"/>
      <w:r>
        <w:rPr>
          <w:lang w:val="en-US"/>
        </w:rPr>
        <w:t xml:space="preserve"> in other crimes perpetrated between the period 2015 and 2020. </w:t>
      </w:r>
    </w:p>
  </w:footnote>
  <w:footnote w:id="174">
    <w:p w14:paraId="04EB0F2C" w14:textId="2E97B1FC" w:rsidR="00E82108" w:rsidRPr="00977ECA" w:rsidRDefault="00E82108" w:rsidP="004C6C03">
      <w:pPr>
        <w:pStyle w:val="FootnoteText"/>
        <w:rPr>
          <w:lang w:val="en-US"/>
        </w:rPr>
      </w:pPr>
      <w:r>
        <w:rPr>
          <w:rStyle w:val="FootnoteReference"/>
        </w:rPr>
        <w:footnoteRef/>
      </w:r>
      <w:r>
        <w:t xml:space="preserve"> See: Elizabeth A. Armstrong, Miriam Gleckman-Krut and Lanora Johnson, ‘Silence, Power and Inequality: An Intersectional Approach to Sexual Violence,’ </w:t>
      </w:r>
      <w:r w:rsidRPr="008D5484">
        <w:rPr>
          <w:i/>
          <w:iCs/>
        </w:rPr>
        <w:t>Annual Review of Sociology,</w:t>
      </w:r>
      <w:r>
        <w:rPr>
          <w:i/>
          <w:iCs/>
        </w:rPr>
        <w:t xml:space="preserve"> </w:t>
      </w:r>
      <w:r>
        <w:t xml:space="preserve">2018, available at: </w:t>
      </w:r>
      <w:r w:rsidRPr="001C7135">
        <w:t>https://sites.lsa.umich.edu/elizabetharmstrong/wp-content/uploads/sites/218/2021/02/Armstrong-Silence-Power-Inequality.pdf</w:t>
      </w:r>
      <w:r>
        <w:t xml:space="preserve"> (accessed 10 March 2022).</w:t>
      </w:r>
    </w:p>
  </w:footnote>
  <w:footnote w:id="175">
    <w:p w14:paraId="2B755B98" w14:textId="72D092C6" w:rsidR="00E82108" w:rsidRPr="00534A60" w:rsidRDefault="00E82108" w:rsidP="004C6C03">
      <w:pPr>
        <w:pStyle w:val="FootnoteText"/>
        <w:rPr>
          <w:lang w:val="en-US"/>
        </w:rPr>
      </w:pPr>
      <w:r>
        <w:rPr>
          <w:rStyle w:val="FootnoteReference"/>
        </w:rPr>
        <w:footnoteRef/>
      </w:r>
      <w:r>
        <w:t xml:space="preserve"> </w:t>
      </w:r>
      <w:r>
        <w:rPr>
          <w:lang w:val="en-US"/>
        </w:rPr>
        <w:t>For related information shared by survivors and published previously by the Commission, see also A/HRC/46/CRP.2, paras. 160-162.</w:t>
      </w:r>
    </w:p>
  </w:footnote>
  <w:footnote w:id="176">
    <w:p w14:paraId="1AA9BB30" w14:textId="77777777" w:rsidR="00E82108" w:rsidRPr="009627BE" w:rsidRDefault="00E82108" w:rsidP="004C6C03">
      <w:pPr>
        <w:pStyle w:val="FootnoteText"/>
        <w:rPr>
          <w:lang w:val="en-US"/>
        </w:rPr>
      </w:pPr>
      <w:r>
        <w:rPr>
          <w:rStyle w:val="FootnoteReference"/>
        </w:rPr>
        <w:footnoteRef/>
      </w:r>
      <w:r>
        <w:t xml:space="preserve"> According to the United Nations High Commissioner for Refugees, in "Update of UNHCR’s Operations in the East and Horn of Africa, and the Great Lakes Region,” 2 March 2021.</w:t>
      </w:r>
    </w:p>
  </w:footnote>
  <w:footnote w:id="177">
    <w:p w14:paraId="675E8265" w14:textId="0C25913E" w:rsidR="00E82108" w:rsidRPr="00FE1E93" w:rsidRDefault="00E82108" w:rsidP="004C6C03">
      <w:pPr>
        <w:pStyle w:val="FootnoteText"/>
        <w:rPr>
          <w:lang w:val="en-US"/>
        </w:rPr>
      </w:pPr>
      <w:r>
        <w:rPr>
          <w:rStyle w:val="FootnoteReference"/>
        </w:rPr>
        <w:footnoteRef/>
      </w:r>
      <w:r>
        <w:t xml:space="preserve"> </w:t>
      </w:r>
      <w:r w:rsidRPr="00FE1E93">
        <w:t>See https://reliefweb.int/sites/reliefweb.int/files/resources/WFP%20Situation%20Report%20%23296%20-%2029%20October%202021.pdf.</w:t>
      </w:r>
    </w:p>
  </w:footnote>
  <w:footnote w:id="178">
    <w:p w14:paraId="7C7EE392" w14:textId="77777777" w:rsidR="00E82108" w:rsidRPr="009627BE" w:rsidRDefault="00E82108" w:rsidP="004C6C03">
      <w:pPr>
        <w:pStyle w:val="FootnoteText"/>
        <w:rPr>
          <w:lang w:val="en-US"/>
        </w:rPr>
      </w:pPr>
      <w:r>
        <w:rPr>
          <w:rStyle w:val="FootnoteReference"/>
        </w:rPr>
        <w:footnoteRef/>
      </w:r>
      <w:r>
        <w:t xml:space="preserve"> </w:t>
      </w:r>
      <w:r>
        <w:rPr>
          <w:lang w:val="en-US"/>
        </w:rPr>
        <w:t>See A/HRC/49/78, paras. 48-54. See also UN OCHA, “Humanitarian Needs Overview 2022,” 28 February 2022.</w:t>
      </w:r>
    </w:p>
  </w:footnote>
  <w:footnote w:id="179">
    <w:p w14:paraId="1833DBE4" w14:textId="17F5F25B" w:rsidR="00E82108" w:rsidRPr="00414503" w:rsidRDefault="00E82108" w:rsidP="004C6C03">
      <w:pPr>
        <w:pStyle w:val="FootnoteText"/>
        <w:rPr>
          <w:lang w:val="en-US"/>
        </w:rPr>
      </w:pPr>
      <w:r>
        <w:rPr>
          <w:rStyle w:val="FootnoteReference"/>
        </w:rPr>
        <w:footnoteRef/>
      </w:r>
      <w:r>
        <w:t xml:space="preserve"> </w:t>
      </w:r>
      <w:r>
        <w:rPr>
          <w:lang w:val="en-US"/>
        </w:rPr>
        <w:t>For a detailed study, see United Nations Mission in South Sudan and Office of the High Commissioner for Human rights, “Access to Health for Survivors of Conflict-Related Sexual Violence in South Sudan,” May 2020.</w:t>
      </w:r>
    </w:p>
  </w:footnote>
  <w:footnote w:id="180">
    <w:p w14:paraId="021ABE62" w14:textId="5915AB8F" w:rsidR="00E82108" w:rsidRDefault="00E82108" w:rsidP="004C6C03">
      <w:pPr>
        <w:pStyle w:val="FootnoteText"/>
        <w:rPr>
          <w:lang w:val="en-US"/>
        </w:rPr>
      </w:pPr>
      <w:r>
        <w:rPr>
          <w:rStyle w:val="FootnoteReference"/>
        </w:rPr>
        <w:footnoteRef/>
      </w:r>
      <w:r w:rsidRPr="00534A60">
        <w:t xml:space="preserve"> </w:t>
      </w:r>
      <w:r w:rsidR="0003254C">
        <w:rPr>
          <w:lang w:val="en-US"/>
        </w:rPr>
        <w:t>FGD-03</w:t>
      </w:r>
    </w:p>
  </w:footnote>
  <w:footnote w:id="181">
    <w:p w14:paraId="349B8937" w14:textId="6F4CEB94" w:rsidR="00E82108" w:rsidRPr="00484320" w:rsidRDefault="00E82108" w:rsidP="004C6C03">
      <w:pPr>
        <w:pStyle w:val="FootnoteText"/>
        <w:rPr>
          <w:lang w:val="en-US"/>
        </w:rPr>
      </w:pPr>
      <w:r>
        <w:rPr>
          <w:rStyle w:val="FootnoteReference"/>
        </w:rPr>
        <w:footnoteRef/>
      </w:r>
      <w:r>
        <w:t xml:space="preserve"> </w:t>
      </w:r>
      <w:r w:rsidR="0003254C" w:rsidRPr="0003254C">
        <w:t>105072-105075</w:t>
      </w:r>
    </w:p>
  </w:footnote>
  <w:footnote w:id="182">
    <w:p w14:paraId="2871241B" w14:textId="06A73E09" w:rsidR="00E82108" w:rsidRPr="007D62DE" w:rsidRDefault="00E82108" w:rsidP="004C6C03">
      <w:pPr>
        <w:pStyle w:val="FootnoteText"/>
        <w:rPr>
          <w:lang w:val="en-US"/>
        </w:rPr>
      </w:pPr>
      <w:r>
        <w:rPr>
          <w:rStyle w:val="FootnoteReference"/>
        </w:rPr>
        <w:footnoteRef/>
      </w:r>
      <w:r>
        <w:t xml:space="preserve"> </w:t>
      </w:r>
      <w:r w:rsidR="0003254C">
        <w:t>105068-105071</w:t>
      </w:r>
    </w:p>
  </w:footnote>
  <w:footnote w:id="183">
    <w:p w14:paraId="48DBEBEA" w14:textId="119F314E" w:rsidR="00E82108" w:rsidRPr="006C7A0C" w:rsidRDefault="00E82108" w:rsidP="004C6C03">
      <w:pPr>
        <w:pStyle w:val="FootnoteText"/>
        <w:rPr>
          <w:lang w:val="en-US"/>
        </w:rPr>
      </w:pPr>
      <w:r>
        <w:rPr>
          <w:rStyle w:val="FootnoteReference"/>
        </w:rPr>
        <w:footnoteRef/>
      </w:r>
      <w:r>
        <w:t xml:space="preserve"> </w:t>
      </w:r>
      <w:r w:rsidR="0003254C">
        <w:rPr>
          <w:lang w:val="en-US"/>
        </w:rPr>
        <w:t>FGD-03</w:t>
      </w:r>
    </w:p>
  </w:footnote>
  <w:footnote w:id="184">
    <w:p w14:paraId="2609D342" w14:textId="4240887A" w:rsidR="00E82108" w:rsidRPr="00B30EC9" w:rsidRDefault="00E82108" w:rsidP="004C6C03">
      <w:pPr>
        <w:pStyle w:val="FootnoteText"/>
        <w:rPr>
          <w:lang w:val="en-US"/>
        </w:rPr>
      </w:pPr>
      <w:r>
        <w:rPr>
          <w:rStyle w:val="FootnoteReference"/>
        </w:rPr>
        <w:footnoteRef/>
      </w:r>
      <w:r>
        <w:t xml:space="preserve"> </w:t>
      </w:r>
      <w:r w:rsidR="0003254C">
        <w:t>FGD-05</w:t>
      </w:r>
    </w:p>
  </w:footnote>
  <w:footnote w:id="185">
    <w:p w14:paraId="27224AE8" w14:textId="39D2155E" w:rsidR="00E82108" w:rsidRPr="00D2517F" w:rsidRDefault="00E82108" w:rsidP="004C6C03">
      <w:pPr>
        <w:pStyle w:val="FootnoteText"/>
        <w:rPr>
          <w:lang w:val="en-US"/>
        </w:rPr>
      </w:pPr>
      <w:r>
        <w:rPr>
          <w:rStyle w:val="FootnoteReference"/>
        </w:rPr>
        <w:footnoteRef/>
      </w:r>
      <w:r>
        <w:t xml:space="preserve"> </w:t>
      </w:r>
      <w:r w:rsidR="00531BBD">
        <w:rPr>
          <w:lang w:val="en-US"/>
        </w:rPr>
        <w:t xml:space="preserve">Confidential </w:t>
      </w:r>
      <w:r w:rsidR="00942AE3">
        <w:rPr>
          <w:lang w:val="en-US"/>
        </w:rPr>
        <w:t>Meetings,</w:t>
      </w:r>
      <w:r>
        <w:rPr>
          <w:lang w:val="en-US"/>
        </w:rPr>
        <w:t xml:space="preserve"> undisclosed locations, February 2022.</w:t>
      </w:r>
    </w:p>
  </w:footnote>
  <w:footnote w:id="186">
    <w:p w14:paraId="3AACD614" w14:textId="3170F915" w:rsidR="00E82108" w:rsidRPr="00DF79C7" w:rsidRDefault="00E82108" w:rsidP="004C6C03">
      <w:pPr>
        <w:pStyle w:val="FootnoteText"/>
        <w:rPr>
          <w:lang w:val="en-US"/>
        </w:rPr>
      </w:pPr>
      <w:r>
        <w:rPr>
          <w:rStyle w:val="FootnoteReference"/>
        </w:rPr>
        <w:footnoteRef/>
      </w:r>
      <w:r>
        <w:t xml:space="preserve"> </w:t>
      </w:r>
      <w:r w:rsidR="0003254C">
        <w:t>105032-105036</w:t>
      </w:r>
      <w:r>
        <w:t xml:space="preserve">, 103726-103730, </w:t>
      </w:r>
      <w:r w:rsidR="0003254C">
        <w:t>103746 - 103750</w:t>
      </w:r>
    </w:p>
  </w:footnote>
  <w:footnote w:id="187">
    <w:p w14:paraId="3BC40646" w14:textId="3A42AA6B" w:rsidR="00E82108" w:rsidRPr="004A2639" w:rsidRDefault="00E82108" w:rsidP="004C6C03">
      <w:pPr>
        <w:pStyle w:val="FootnoteText"/>
        <w:rPr>
          <w:lang w:val="en-US"/>
        </w:rPr>
      </w:pPr>
      <w:r>
        <w:rPr>
          <w:rStyle w:val="FootnoteReference"/>
        </w:rPr>
        <w:footnoteRef/>
      </w:r>
      <w:r>
        <w:t xml:space="preserve"> </w:t>
      </w:r>
      <w:r w:rsidR="0003254C">
        <w:rPr>
          <w:lang w:val="en-US"/>
        </w:rPr>
        <w:t>105063-105067</w:t>
      </w:r>
    </w:p>
  </w:footnote>
  <w:footnote w:id="188">
    <w:p w14:paraId="3000D988" w14:textId="0FCBAA46" w:rsidR="00E82108" w:rsidRPr="00DF79C7" w:rsidRDefault="00E82108" w:rsidP="004C6C03">
      <w:pPr>
        <w:pStyle w:val="FootnoteText"/>
        <w:rPr>
          <w:lang w:val="en-US"/>
        </w:rPr>
      </w:pPr>
      <w:r>
        <w:rPr>
          <w:rStyle w:val="FootnoteReference"/>
        </w:rPr>
        <w:footnoteRef/>
      </w:r>
      <w:r>
        <w:t xml:space="preserve"> </w:t>
      </w:r>
      <w:r w:rsidR="0003254C">
        <w:rPr>
          <w:lang w:val="en-US"/>
        </w:rPr>
        <w:t>104965-104970</w:t>
      </w:r>
    </w:p>
  </w:footnote>
  <w:footnote w:id="189">
    <w:p w14:paraId="18AF3C28" w14:textId="5AB4E78D" w:rsidR="00E82108" w:rsidRPr="00177DFA" w:rsidRDefault="00E82108" w:rsidP="004C6C03">
      <w:pPr>
        <w:pStyle w:val="FootnoteText"/>
        <w:rPr>
          <w:lang w:val="en-US"/>
        </w:rPr>
      </w:pPr>
      <w:r>
        <w:rPr>
          <w:rStyle w:val="FootnoteReference"/>
        </w:rPr>
        <w:footnoteRef/>
      </w:r>
      <w:r>
        <w:t xml:space="preserve"> </w:t>
      </w:r>
      <w:r w:rsidR="00531BBD">
        <w:rPr>
          <w:lang w:val="en-US"/>
        </w:rPr>
        <w:t>Confidential Meeting,</w:t>
      </w:r>
      <w:r>
        <w:rPr>
          <w:lang w:val="en-US"/>
        </w:rPr>
        <w:t xml:space="preserve"> undisclosed location, February 2022.</w:t>
      </w:r>
    </w:p>
  </w:footnote>
  <w:footnote w:id="190">
    <w:p w14:paraId="28BD00AA" w14:textId="462BBFE5" w:rsidR="00E82108" w:rsidRDefault="00E82108" w:rsidP="004C6C03">
      <w:pPr>
        <w:pStyle w:val="FootnoteText"/>
        <w:rPr>
          <w:lang w:val="en-US"/>
        </w:rPr>
      </w:pPr>
      <w:r>
        <w:rPr>
          <w:rStyle w:val="FootnoteReference"/>
        </w:rPr>
        <w:footnoteRef/>
      </w:r>
      <w:r w:rsidRPr="00EA39D1">
        <w:t xml:space="preserve"> </w:t>
      </w:r>
      <w:r w:rsidR="0003254C">
        <w:rPr>
          <w:lang w:val="en-US"/>
        </w:rPr>
        <w:t>105076-105078</w:t>
      </w:r>
    </w:p>
  </w:footnote>
  <w:footnote w:id="191">
    <w:p w14:paraId="6109A9DB" w14:textId="370C3D7C" w:rsidR="00E82108" w:rsidRPr="00FC5927" w:rsidRDefault="00E82108" w:rsidP="004C6C03">
      <w:pPr>
        <w:pStyle w:val="FootnoteText"/>
        <w:rPr>
          <w:lang w:val="en-US"/>
        </w:rPr>
      </w:pPr>
      <w:r>
        <w:rPr>
          <w:rStyle w:val="FootnoteReference"/>
        </w:rPr>
        <w:footnoteRef/>
      </w:r>
      <w:r>
        <w:t xml:space="preserve"> </w:t>
      </w:r>
      <w:r w:rsidRPr="00FC5927">
        <w:t>This was discussed at length as a key issue at the Conference on Sustaining Transitional Justice in South Sudan</w:t>
      </w:r>
      <w:r>
        <w:t>, organized by the Commission in December 2021 and attended by a range of key stakeholders including ministers of the Government and representatives of the African Union and United Nations system</w:t>
      </w:r>
      <w:r w:rsidRPr="00FC5927">
        <w:t>. Many civil society participants working with survivors of highlighted the criticality of the issue and need for clear and robust policy approaches</w:t>
      </w:r>
      <w:r>
        <w:t>, immediately and in prompt transitional justice processes</w:t>
      </w:r>
      <w:r w:rsidRPr="00FC5927">
        <w:t xml:space="preserve">. </w:t>
      </w:r>
      <w:r>
        <w:t>For a summary see</w:t>
      </w:r>
      <w:r w:rsidRPr="00FC5927">
        <w:t xml:space="preserve"> </w:t>
      </w:r>
      <w:hyperlink r:id="rId1" w:history="1">
        <w:r w:rsidRPr="000E685B">
          <w:rPr>
            <w:rStyle w:val="Hyperlink"/>
          </w:rPr>
          <w:t>https://www.ohchr.org/EN/HRBodies/HRC/Pages/NewsDetail.aspx?NewsID=27972&amp;LangID=E</w:t>
        </w:r>
      </w:hyperlink>
      <w:r>
        <w:t xml:space="preserve"> </w:t>
      </w:r>
      <w:r w:rsidRPr="00FC5927">
        <w:t xml:space="preserve">and </w:t>
      </w:r>
      <w:r>
        <w:t xml:space="preserve">for resolutions of the Conference see also </w:t>
      </w:r>
      <w:hyperlink r:id="rId2" w:history="1">
        <w:r w:rsidRPr="000E685B">
          <w:rPr>
            <w:rStyle w:val="Hyperlink"/>
          </w:rPr>
          <w:t>https://www.ohchr.org/Documents/HRBodies/HRCouncil/CoHRSouthSudan/Summary_Resolutions_Conference_13-15_Dec_2021.pdf</w:t>
        </w:r>
      </w:hyperlink>
      <w:r w:rsidRPr="00FC5927">
        <w:t>.</w:t>
      </w:r>
      <w:r>
        <w:t xml:space="preserve"> </w:t>
      </w:r>
    </w:p>
  </w:footnote>
  <w:footnote w:id="192">
    <w:p w14:paraId="01109B6A" w14:textId="0AF76130" w:rsidR="00E82108" w:rsidRDefault="00E82108" w:rsidP="004C6C03">
      <w:pPr>
        <w:pStyle w:val="FootnoteText"/>
        <w:rPr>
          <w:lang w:val="en-US"/>
        </w:rPr>
      </w:pPr>
      <w:r>
        <w:rPr>
          <w:rStyle w:val="FootnoteReference"/>
        </w:rPr>
        <w:footnoteRef/>
      </w:r>
      <w:r>
        <w:t xml:space="preserve"> </w:t>
      </w:r>
      <w:r w:rsidR="0003254C">
        <w:t>FGD-03</w:t>
      </w:r>
      <w:r>
        <w:t xml:space="preserve">, </w:t>
      </w:r>
      <w:r w:rsidR="0003254C">
        <w:t>105063-105067</w:t>
      </w:r>
    </w:p>
  </w:footnote>
  <w:footnote w:id="193">
    <w:p w14:paraId="70FC7D5F" w14:textId="73A52997" w:rsidR="00E82108" w:rsidRPr="007D62DE" w:rsidRDefault="00E82108" w:rsidP="004C6C03">
      <w:pPr>
        <w:pStyle w:val="FootnoteText"/>
        <w:rPr>
          <w:lang w:val="en-US"/>
        </w:rPr>
      </w:pPr>
      <w:r>
        <w:rPr>
          <w:rStyle w:val="FootnoteReference"/>
        </w:rPr>
        <w:footnoteRef/>
      </w:r>
      <w:r>
        <w:t xml:space="preserve"> </w:t>
      </w:r>
      <w:r w:rsidR="0003254C" w:rsidRPr="0003254C">
        <w:t>105072-105075</w:t>
      </w:r>
      <w:r>
        <w:rPr>
          <w:lang w:val="en-US"/>
        </w:rPr>
        <w:t>,</w:t>
      </w:r>
      <w:r w:rsidR="0003254C">
        <w:rPr>
          <w:lang w:val="en-US"/>
        </w:rPr>
        <w:t xml:space="preserve"> </w:t>
      </w:r>
      <w:r w:rsidR="0003254C" w:rsidRPr="0003254C">
        <w:t>105079-105082</w:t>
      </w:r>
      <w:r>
        <w:rPr>
          <w:lang w:val="en-US"/>
        </w:rPr>
        <w:t xml:space="preserve">, </w:t>
      </w:r>
      <w:r w:rsidR="0003254C" w:rsidRPr="0003254C">
        <w:t>105076-105078</w:t>
      </w:r>
    </w:p>
  </w:footnote>
  <w:footnote w:id="194">
    <w:p w14:paraId="50143DF3" w14:textId="35F05B76" w:rsidR="00E82108" w:rsidRDefault="00E82108" w:rsidP="004C6C03">
      <w:pPr>
        <w:pStyle w:val="FootnoteText"/>
        <w:rPr>
          <w:lang w:val="en-US"/>
        </w:rPr>
      </w:pPr>
      <w:r w:rsidRPr="00874A96">
        <w:rPr>
          <w:rStyle w:val="FootnoteReference"/>
          <w:rFonts w:asciiTheme="majorBidi" w:hAnsiTheme="majorBidi" w:cstheme="majorBidi"/>
        </w:rPr>
        <w:footnoteRef/>
      </w:r>
      <w:r w:rsidRPr="00874A96">
        <w:t xml:space="preserve"> </w:t>
      </w:r>
      <w:r w:rsidR="0003254C">
        <w:t>FGD-03</w:t>
      </w:r>
      <w:r>
        <w:t>.</w:t>
      </w:r>
    </w:p>
  </w:footnote>
  <w:footnote w:id="195">
    <w:p w14:paraId="6A2C564F" w14:textId="129FCA00" w:rsidR="00E82108" w:rsidRPr="009771CE" w:rsidRDefault="00E82108" w:rsidP="004C6C03">
      <w:pPr>
        <w:pStyle w:val="FootnoteText"/>
        <w:rPr>
          <w:lang w:val="en-US"/>
        </w:rPr>
      </w:pPr>
      <w:r>
        <w:rPr>
          <w:rStyle w:val="FootnoteReference"/>
        </w:rPr>
        <w:footnoteRef/>
      </w:r>
      <w:r>
        <w:t xml:space="preserve"> </w:t>
      </w:r>
      <w:r w:rsidR="0003254C">
        <w:rPr>
          <w:lang w:val="en-US"/>
        </w:rPr>
        <w:t>FGD-07</w:t>
      </w:r>
      <w:r>
        <w:rPr>
          <w:lang w:val="en-US"/>
        </w:rPr>
        <w:t xml:space="preserve">, </w:t>
      </w:r>
      <w:r w:rsidR="0003254C">
        <w:rPr>
          <w:lang w:val="en-US"/>
        </w:rPr>
        <w:t>104827-104832</w:t>
      </w:r>
    </w:p>
  </w:footnote>
  <w:footnote w:id="196">
    <w:p w14:paraId="24E9F41F" w14:textId="77445086" w:rsidR="00E82108" w:rsidRDefault="00E82108" w:rsidP="004C6C03">
      <w:pPr>
        <w:pStyle w:val="FootnoteText"/>
        <w:rPr>
          <w:lang w:val="en-US"/>
        </w:rPr>
      </w:pPr>
      <w:r>
        <w:rPr>
          <w:rStyle w:val="FootnoteReference"/>
        </w:rPr>
        <w:footnoteRef/>
      </w:r>
      <w:r w:rsidRPr="00391F8D">
        <w:t xml:space="preserve"> </w:t>
      </w:r>
      <w:r w:rsidR="0003254C">
        <w:rPr>
          <w:lang w:val="en-US"/>
        </w:rPr>
        <w:t>105068-105071</w:t>
      </w:r>
    </w:p>
  </w:footnote>
  <w:footnote w:id="197">
    <w:p w14:paraId="3E470C19" w14:textId="35A676E3" w:rsidR="00E82108" w:rsidRDefault="00E82108" w:rsidP="004C6C03">
      <w:pPr>
        <w:pStyle w:val="FootnoteText"/>
        <w:rPr>
          <w:lang w:val="en-US"/>
        </w:rPr>
      </w:pPr>
      <w:r>
        <w:rPr>
          <w:rStyle w:val="FootnoteReference"/>
        </w:rPr>
        <w:footnoteRef/>
      </w:r>
      <w:r w:rsidRPr="00391F8D">
        <w:t xml:space="preserve"> </w:t>
      </w:r>
      <w:r w:rsidR="0003254C">
        <w:t>FGD-05</w:t>
      </w:r>
    </w:p>
  </w:footnote>
  <w:footnote w:id="198">
    <w:p w14:paraId="5A35658A" w14:textId="48A64F7C" w:rsidR="00E82108" w:rsidRPr="0065396B" w:rsidRDefault="00E82108" w:rsidP="004C6C03">
      <w:pPr>
        <w:pStyle w:val="FootnoteText"/>
        <w:rPr>
          <w:lang w:val="en-US"/>
        </w:rPr>
      </w:pPr>
      <w:r>
        <w:rPr>
          <w:rStyle w:val="FootnoteReference"/>
        </w:rPr>
        <w:footnoteRef/>
      </w:r>
      <w:r w:rsidRPr="0065396B">
        <w:t>For detailed findings</w:t>
      </w:r>
      <w:r>
        <w:t xml:space="preserve"> of the Commission on this issue</w:t>
      </w:r>
      <w:r w:rsidRPr="0065396B">
        <w:t xml:space="preserve">, see </w:t>
      </w:r>
      <w:hyperlink r:id="rId3" w:history="1">
        <w:r w:rsidRPr="00322AFD">
          <w:rPr>
            <w:rStyle w:val="Hyperlink"/>
          </w:rPr>
          <w:t>https://www.ohchr.org/Documents/HRBodies/HRCouncil/CoHRSouthSudan/A-HRC-48-CRP.3.pdf</w:t>
        </w:r>
      </w:hyperlink>
      <w:r>
        <w:t xml:space="preserve">  </w:t>
      </w:r>
    </w:p>
  </w:footnote>
  <w:footnote w:id="199">
    <w:p w14:paraId="24F24422" w14:textId="2F4D2CD1"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105017-105020</w:t>
      </w:r>
      <w:r w:rsidRPr="006E7CD7">
        <w:rPr>
          <w:lang w:val="fr-CH"/>
        </w:rPr>
        <w:t xml:space="preserve">, </w:t>
      </w:r>
      <w:r w:rsidR="0003254C">
        <w:rPr>
          <w:lang w:val="fr-CH"/>
        </w:rPr>
        <w:t>FGD-03</w:t>
      </w:r>
      <w:r w:rsidRPr="006E7CD7">
        <w:rPr>
          <w:lang w:val="fr-CH"/>
        </w:rPr>
        <w:t xml:space="preserve">, </w:t>
      </w:r>
      <w:r w:rsidR="0003254C">
        <w:rPr>
          <w:lang w:val="fr-CH"/>
        </w:rPr>
        <w:t>104859-104864</w:t>
      </w:r>
    </w:p>
  </w:footnote>
  <w:footnote w:id="200">
    <w:p w14:paraId="122A6392" w14:textId="7FC161F2"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104965-104970</w:t>
      </w:r>
    </w:p>
  </w:footnote>
  <w:footnote w:id="201">
    <w:p w14:paraId="2A5B9F8E" w14:textId="000D6F01"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105056-105058</w:t>
      </w:r>
      <w:r w:rsidRPr="006E7CD7">
        <w:rPr>
          <w:lang w:val="fr-CH"/>
        </w:rPr>
        <w:t xml:space="preserve">, </w:t>
      </w:r>
      <w:r w:rsidR="0003254C">
        <w:rPr>
          <w:lang w:val="fr-CH"/>
        </w:rPr>
        <w:t>105059-105062</w:t>
      </w:r>
    </w:p>
  </w:footnote>
  <w:footnote w:id="202">
    <w:p w14:paraId="481D7E86" w14:textId="042253C9"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105063-105067</w:t>
      </w:r>
      <w:r w:rsidRPr="006E7CD7">
        <w:rPr>
          <w:lang w:val="fr-CH"/>
        </w:rPr>
        <w:t xml:space="preserve">, </w:t>
      </w:r>
      <w:r w:rsidR="0003254C">
        <w:rPr>
          <w:lang w:val="fr-CH"/>
        </w:rPr>
        <w:t>FGD-05</w:t>
      </w:r>
    </w:p>
  </w:footnote>
  <w:footnote w:id="203">
    <w:p w14:paraId="2E8BBA11" w14:textId="101C0C28" w:rsidR="00E82108" w:rsidRDefault="00E82108" w:rsidP="004C6C03">
      <w:pPr>
        <w:pStyle w:val="FootnoteText"/>
        <w:rPr>
          <w:lang w:val="en-US"/>
        </w:rPr>
      </w:pPr>
      <w:r>
        <w:rPr>
          <w:rStyle w:val="FootnoteReference"/>
        </w:rPr>
        <w:footnoteRef/>
      </w:r>
      <w:r w:rsidRPr="00391F8D">
        <w:t xml:space="preserve"> </w:t>
      </w:r>
      <w:r w:rsidR="0003254C">
        <w:t>FGD-07</w:t>
      </w:r>
    </w:p>
  </w:footnote>
  <w:footnote w:id="204">
    <w:p w14:paraId="790473D4" w14:textId="3ADF4CE5" w:rsidR="00E82108" w:rsidRPr="000A4075" w:rsidRDefault="00E82108" w:rsidP="004C6C03">
      <w:pPr>
        <w:pStyle w:val="FootnoteText"/>
        <w:rPr>
          <w:lang w:val="en-US"/>
        </w:rPr>
      </w:pPr>
      <w:r>
        <w:rPr>
          <w:rStyle w:val="FootnoteReference"/>
        </w:rPr>
        <w:footnoteRef/>
      </w:r>
      <w:r>
        <w:t xml:space="preserve"> </w:t>
      </w:r>
      <w:r w:rsidR="0003254C">
        <w:rPr>
          <w:lang w:val="en-US"/>
        </w:rPr>
        <w:t>105017-105020</w:t>
      </w:r>
    </w:p>
  </w:footnote>
  <w:footnote w:id="205">
    <w:p w14:paraId="2D04A299" w14:textId="21AE6272" w:rsidR="00E82108" w:rsidRPr="008E60F3" w:rsidRDefault="00E82108" w:rsidP="004C6C03">
      <w:pPr>
        <w:pStyle w:val="FootnoteText"/>
        <w:rPr>
          <w:lang w:val="en-US"/>
        </w:rPr>
      </w:pPr>
      <w:r>
        <w:rPr>
          <w:rStyle w:val="FootnoteReference"/>
        </w:rPr>
        <w:footnoteRef/>
      </w:r>
      <w:r>
        <w:t xml:space="preserve"> </w:t>
      </w:r>
      <w:r w:rsidR="0003254C">
        <w:t>105037-105043</w:t>
      </w:r>
    </w:p>
  </w:footnote>
  <w:footnote w:id="206">
    <w:p w14:paraId="25B3CF47" w14:textId="679E523B" w:rsidR="00E82108" w:rsidRPr="00F14CC7" w:rsidRDefault="00E82108" w:rsidP="004C6C03">
      <w:pPr>
        <w:pStyle w:val="FootnoteText"/>
        <w:rPr>
          <w:lang w:val="en-US"/>
        </w:rPr>
      </w:pPr>
      <w:r>
        <w:rPr>
          <w:rStyle w:val="FootnoteReference"/>
        </w:rPr>
        <w:footnoteRef/>
      </w:r>
      <w:r>
        <w:t xml:space="preserve"> </w:t>
      </w:r>
      <w:r>
        <w:rPr>
          <w:lang w:val="en-US"/>
        </w:rPr>
        <w:t xml:space="preserve"> 103731-103735, </w:t>
      </w:r>
      <w:r w:rsidR="0003254C">
        <w:rPr>
          <w:lang w:val="en-US"/>
        </w:rPr>
        <w:t>103746 - 103750</w:t>
      </w:r>
    </w:p>
  </w:footnote>
  <w:footnote w:id="207">
    <w:p w14:paraId="76468415" w14:textId="1931D794" w:rsidR="00E82108" w:rsidRPr="00AF4F91"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November 2021#1</w:t>
      </w:r>
      <w:r>
        <w:rPr>
          <w:lang w:val="en-US"/>
        </w:rPr>
        <w:t>(08)</w:t>
      </w:r>
    </w:p>
  </w:footnote>
  <w:footnote w:id="208">
    <w:p w14:paraId="473A48C1" w14:textId="254EB6CB" w:rsidR="00E82108" w:rsidRPr="00FC15D0"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November 2021#1</w:t>
      </w:r>
      <w:r>
        <w:rPr>
          <w:lang w:val="en-US"/>
        </w:rPr>
        <w:t xml:space="preserve"> </w:t>
      </w:r>
    </w:p>
  </w:footnote>
  <w:footnote w:id="209">
    <w:p w14:paraId="5073FCA8" w14:textId="19144FF7" w:rsidR="00E82108" w:rsidRPr="009627BE" w:rsidRDefault="00E82108" w:rsidP="004C6C03">
      <w:pPr>
        <w:pStyle w:val="FootnoteText"/>
        <w:rPr>
          <w:lang w:val="en-US"/>
        </w:rPr>
      </w:pPr>
      <w:r>
        <w:rPr>
          <w:rStyle w:val="FootnoteReference"/>
        </w:rPr>
        <w:footnoteRef/>
      </w:r>
      <w:r>
        <w:t xml:space="preserve"> Indicatively, a recent household survey conducted by the United Nations High Commissioner for Refugees found that 54 percent of the refugee returnees interviewed were members of female-headed households. “</w:t>
      </w:r>
      <w:r w:rsidRPr="007A6002">
        <w:t>UNHCR South Sudan: Refugee Returnee Household Survey (Oct - Dec 2021)</w:t>
      </w:r>
      <w:r>
        <w:t>,” 31 December 2021.</w:t>
      </w:r>
    </w:p>
  </w:footnote>
  <w:footnote w:id="210">
    <w:p w14:paraId="7F2E517A" w14:textId="58AF87D3" w:rsidR="00E82108" w:rsidRPr="00C52FC4" w:rsidRDefault="00E82108" w:rsidP="004C6C03">
      <w:pPr>
        <w:pStyle w:val="FootnoteText"/>
        <w:rPr>
          <w:lang w:val="en-US"/>
        </w:rPr>
      </w:pPr>
      <w:r w:rsidRPr="00C52FC4">
        <w:rPr>
          <w:rStyle w:val="FootnoteReference"/>
        </w:rPr>
        <w:footnoteRef/>
      </w:r>
      <w:r w:rsidRPr="00C52FC4">
        <w:t xml:space="preserve"> </w:t>
      </w:r>
      <w:r w:rsidR="0003254C">
        <w:t>FGD-05</w:t>
      </w:r>
      <w:r w:rsidRPr="00C52FC4">
        <w:t xml:space="preserve">, </w:t>
      </w:r>
      <w:r w:rsidR="0003254C">
        <w:rPr>
          <w:lang w:val="en-US"/>
        </w:rPr>
        <w:t>105063-105067</w:t>
      </w:r>
      <w:r w:rsidRPr="00C52FC4">
        <w:rPr>
          <w:lang w:val="en-US"/>
        </w:rPr>
        <w:t>, 102746-102750</w:t>
      </w:r>
    </w:p>
  </w:footnote>
  <w:footnote w:id="211">
    <w:p w14:paraId="17786B5D" w14:textId="4EF90372" w:rsidR="00E82108" w:rsidRPr="00C52FC4" w:rsidRDefault="00E82108" w:rsidP="004C6C03">
      <w:pPr>
        <w:pStyle w:val="FootnoteText"/>
        <w:rPr>
          <w:lang w:val="en-US"/>
        </w:rPr>
      </w:pPr>
      <w:r w:rsidRPr="00C52FC4">
        <w:rPr>
          <w:rStyle w:val="FootnoteReference"/>
        </w:rPr>
        <w:footnoteRef/>
      </w:r>
      <w:r w:rsidRPr="00C52FC4">
        <w:t xml:space="preserve"> </w:t>
      </w:r>
      <w:r w:rsidR="0003254C">
        <w:rPr>
          <w:lang w:val="en-US"/>
        </w:rPr>
        <w:t>104859-104864</w:t>
      </w:r>
    </w:p>
  </w:footnote>
  <w:footnote w:id="212">
    <w:p w14:paraId="2BA9050C" w14:textId="09ACD1A5" w:rsidR="00E82108" w:rsidRPr="00C52FC4" w:rsidRDefault="00E82108" w:rsidP="004C6C03">
      <w:pPr>
        <w:pStyle w:val="FootnoteText"/>
        <w:rPr>
          <w:lang w:val="en-US"/>
        </w:rPr>
      </w:pPr>
      <w:r w:rsidRPr="00C52FC4">
        <w:rPr>
          <w:rStyle w:val="FootnoteReference"/>
        </w:rPr>
        <w:footnoteRef/>
      </w:r>
      <w:r w:rsidRPr="00391F8D">
        <w:t xml:space="preserve"> </w:t>
      </w:r>
      <w:r w:rsidR="0003254C">
        <w:rPr>
          <w:lang w:val="en-US"/>
        </w:rPr>
        <w:t>FGD-04</w:t>
      </w:r>
      <w:r>
        <w:rPr>
          <w:lang w:val="en-US"/>
        </w:rPr>
        <w:t xml:space="preserve">, </w:t>
      </w:r>
      <w:r w:rsidR="0003254C">
        <w:rPr>
          <w:lang w:val="en-US"/>
        </w:rPr>
        <w:t>FGD-05</w:t>
      </w:r>
    </w:p>
  </w:footnote>
  <w:footnote w:id="213">
    <w:p w14:paraId="0E3366B8" w14:textId="2322D515" w:rsidR="00E82108" w:rsidRPr="00C52FC4" w:rsidRDefault="00E82108" w:rsidP="004C6C03">
      <w:pPr>
        <w:pStyle w:val="FootnoteText"/>
        <w:rPr>
          <w:lang w:val="en-US"/>
        </w:rPr>
      </w:pPr>
      <w:r w:rsidRPr="00C52FC4">
        <w:rPr>
          <w:rStyle w:val="FootnoteReference"/>
        </w:rPr>
        <w:footnoteRef/>
      </w:r>
      <w:r w:rsidRPr="00391F8D">
        <w:t xml:space="preserve"> </w:t>
      </w:r>
      <w:r w:rsidR="0003254C">
        <w:rPr>
          <w:lang w:val="en-US"/>
        </w:rPr>
        <w:t>FGD-05</w:t>
      </w:r>
    </w:p>
  </w:footnote>
  <w:footnote w:id="214">
    <w:p w14:paraId="5C4DA31D" w14:textId="0315EA50" w:rsidR="00E82108" w:rsidRPr="006E345D" w:rsidRDefault="00E82108" w:rsidP="004C6C03">
      <w:pPr>
        <w:pStyle w:val="FootnoteText"/>
        <w:rPr>
          <w:lang w:val="en-US"/>
        </w:rPr>
      </w:pPr>
      <w:r>
        <w:rPr>
          <w:rStyle w:val="FootnoteReference"/>
        </w:rPr>
        <w:footnoteRef/>
      </w:r>
      <w:r>
        <w:t xml:space="preserve"> </w:t>
      </w:r>
      <w:r w:rsidR="0003254C">
        <w:rPr>
          <w:lang w:val="en-US"/>
        </w:rPr>
        <w:t>FGD-04</w:t>
      </w:r>
      <w:r>
        <w:rPr>
          <w:lang w:val="en-US"/>
        </w:rPr>
        <w:t xml:space="preserve">, </w:t>
      </w:r>
      <w:r w:rsidR="0003254C">
        <w:rPr>
          <w:lang w:val="en-US"/>
        </w:rPr>
        <w:t>FGD-05</w:t>
      </w:r>
    </w:p>
  </w:footnote>
  <w:footnote w:id="215">
    <w:p w14:paraId="1E2E38EB" w14:textId="16FF4645" w:rsidR="00E82108" w:rsidRPr="00AF4F91"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November 2021#1</w:t>
      </w:r>
      <w:r>
        <w:rPr>
          <w:lang w:val="en-US"/>
        </w:rPr>
        <w:t>(08)</w:t>
      </w:r>
    </w:p>
  </w:footnote>
  <w:footnote w:id="216">
    <w:p w14:paraId="6E4A5B32" w14:textId="2059D8AA" w:rsidR="00E82108" w:rsidRPr="00415B10"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November 2021#2</w:t>
      </w:r>
      <w:r>
        <w:rPr>
          <w:lang w:val="en-US"/>
        </w:rPr>
        <w:t xml:space="preserve">(07) </w:t>
      </w:r>
    </w:p>
  </w:footnote>
  <w:footnote w:id="217">
    <w:p w14:paraId="339EF5C2" w14:textId="5B3D0B80" w:rsidR="00E82108" w:rsidRPr="00DB3247" w:rsidRDefault="00E82108" w:rsidP="004C6C03">
      <w:pPr>
        <w:pStyle w:val="FootnoteText"/>
      </w:pPr>
      <w:r>
        <w:rPr>
          <w:rStyle w:val="FootnoteReference"/>
        </w:rPr>
        <w:footnoteRef/>
      </w:r>
      <w:r>
        <w:t xml:space="preserve"> South Sudan NGO Forum, “UN Member State Virtual Briefing on the Humanitarian Situation in South Sudan,” 6 May 2021, </w:t>
      </w:r>
      <w:r w:rsidRPr="00DB3247">
        <w:t>https://reliefweb.int/report/south-sudan/un-member-state-virtual-briefing-humanitarian-situation-south-sudan-ngo-forum</w:t>
      </w:r>
    </w:p>
  </w:footnote>
  <w:footnote w:id="218">
    <w:p w14:paraId="3B8BB82E" w14:textId="1ECDCCAA" w:rsidR="00E82108" w:rsidRPr="00083157" w:rsidRDefault="00E82108" w:rsidP="004C6C03">
      <w:pPr>
        <w:pStyle w:val="FootnoteText"/>
        <w:rPr>
          <w:lang w:val="en-US"/>
        </w:rPr>
      </w:pPr>
      <w:r>
        <w:rPr>
          <w:rStyle w:val="FootnoteReference"/>
        </w:rPr>
        <w:footnoteRef/>
      </w:r>
      <w:r>
        <w:t xml:space="preserve"> S/RES/1325, </w:t>
      </w:r>
      <w:r w:rsidRPr="00083157">
        <w:t>S/RES/1820</w:t>
      </w:r>
    </w:p>
  </w:footnote>
  <w:footnote w:id="219">
    <w:p w14:paraId="47A70B62" w14:textId="77777777" w:rsidR="00E82108" w:rsidRPr="00D3756A" w:rsidRDefault="00E82108" w:rsidP="004C6C03">
      <w:pPr>
        <w:pStyle w:val="FootnoteText"/>
        <w:rPr>
          <w:lang w:val="en-US"/>
        </w:rPr>
      </w:pPr>
      <w:r>
        <w:rPr>
          <w:rStyle w:val="FootnoteReference"/>
        </w:rPr>
        <w:footnoteRef/>
      </w:r>
      <w:r>
        <w:t xml:space="preserve"> The Republic of South Sudan Joint Defence Board (JDB), “Action plan for the armed forces on addressing conflict-related sexual violence in South Sudan,” January 2021.</w:t>
      </w:r>
    </w:p>
  </w:footnote>
  <w:footnote w:id="220">
    <w:p w14:paraId="6E6C77F4" w14:textId="77777777" w:rsidR="00E82108" w:rsidRPr="00F44D29" w:rsidRDefault="00E82108" w:rsidP="004C6C03">
      <w:pPr>
        <w:pStyle w:val="FootnoteText"/>
        <w:rPr>
          <w:lang w:val="en-US"/>
        </w:rPr>
      </w:pPr>
      <w:r>
        <w:rPr>
          <w:rStyle w:val="FootnoteReference"/>
        </w:rPr>
        <w:footnoteRef/>
      </w:r>
      <w:r>
        <w:t xml:space="preserve"> See </w:t>
      </w:r>
      <w:r>
        <w:rPr>
          <w:lang w:val="en-US"/>
        </w:rPr>
        <w:t>A/HRC/WG.6/40/SSD/1, paras. 75 and 112.</w:t>
      </w:r>
    </w:p>
  </w:footnote>
  <w:footnote w:id="221">
    <w:p w14:paraId="6E5B84D4" w14:textId="57C976A2" w:rsidR="00E82108" w:rsidRPr="008F45CC" w:rsidRDefault="00E82108" w:rsidP="004C6C03">
      <w:pPr>
        <w:pStyle w:val="FootnoteText"/>
        <w:rPr>
          <w:lang w:val="en-US"/>
        </w:rPr>
      </w:pPr>
      <w:r>
        <w:rPr>
          <w:rStyle w:val="FootnoteReference"/>
        </w:rPr>
        <w:footnoteRef/>
      </w:r>
      <w:r>
        <w:t xml:space="preserve"> “Women activists demand dismissal of Minister Peter Mayen,” Radio Tamazuj, 10 August 2021. </w:t>
      </w:r>
      <w:r>
        <w:rPr>
          <w:lang w:val="en-US"/>
        </w:rPr>
        <w:t xml:space="preserve">Note that the political party of which he was a member reportedly terminated his membership due to his violent conduct. </w:t>
      </w:r>
      <w:r>
        <w:t xml:space="preserve">See </w:t>
      </w:r>
      <w:r>
        <w:rPr>
          <w:lang w:val="en-US"/>
        </w:rPr>
        <w:t xml:space="preserve">“Women are on their own in unequal South Sudan,” New Frame, 14 December 2021. </w:t>
      </w:r>
    </w:p>
  </w:footnote>
  <w:footnote w:id="222">
    <w:p w14:paraId="5242C52C" w14:textId="77777777" w:rsidR="00E82108" w:rsidRPr="00F03FC1" w:rsidRDefault="00E82108" w:rsidP="004C6C03">
      <w:pPr>
        <w:pStyle w:val="FootnoteText"/>
        <w:rPr>
          <w:lang w:val="en-US"/>
        </w:rPr>
      </w:pPr>
      <w:r>
        <w:rPr>
          <w:rStyle w:val="FootnoteReference"/>
        </w:rPr>
        <w:footnoteRef/>
      </w:r>
      <w:r>
        <w:t xml:space="preserve"> </w:t>
      </w:r>
      <w:r>
        <w:rPr>
          <w:lang w:val="en-US"/>
        </w:rPr>
        <w:t>See A/HRC/49/78, para. 47.</w:t>
      </w:r>
    </w:p>
  </w:footnote>
  <w:footnote w:id="223">
    <w:p w14:paraId="7CB89E0A" w14:textId="7A1B8B58" w:rsidR="00E82108" w:rsidRPr="00534382" w:rsidRDefault="00E82108" w:rsidP="004C6C03">
      <w:pPr>
        <w:pStyle w:val="FootnoteText"/>
        <w:rPr>
          <w:lang w:val="en-US"/>
        </w:rPr>
      </w:pPr>
      <w:r>
        <w:rPr>
          <w:rStyle w:val="FootnoteReference"/>
        </w:rPr>
        <w:footnoteRef/>
      </w:r>
      <w:r>
        <w:t xml:space="preserve"> </w:t>
      </w:r>
      <w:r>
        <w:rPr>
          <w:lang w:val="en-US"/>
        </w:rPr>
        <w:t>See earlier reports of the Commission, for example A/HRC/40/CRP.1 paras. 961-984.</w:t>
      </w:r>
    </w:p>
  </w:footnote>
  <w:footnote w:id="224">
    <w:p w14:paraId="57B5789B" w14:textId="1CA15A54" w:rsidR="00E82108" w:rsidRPr="0009290A" w:rsidRDefault="00E82108" w:rsidP="004C6C03">
      <w:pPr>
        <w:pStyle w:val="FootnoteText"/>
        <w:rPr>
          <w:lang w:val="en-US"/>
        </w:rPr>
      </w:pPr>
      <w:r>
        <w:rPr>
          <w:rStyle w:val="FootnoteReference"/>
        </w:rPr>
        <w:footnoteRef/>
      </w:r>
      <w:r>
        <w:t xml:space="preserve"> </w:t>
      </w:r>
      <w:r w:rsidR="00531BBD">
        <w:rPr>
          <w:lang w:val="en-US"/>
        </w:rPr>
        <w:t xml:space="preserve">Confidential </w:t>
      </w:r>
      <w:r w:rsidR="00942AE3">
        <w:rPr>
          <w:lang w:val="en-US"/>
        </w:rPr>
        <w:t>Meetings,</w:t>
      </w:r>
      <w:r>
        <w:rPr>
          <w:lang w:val="en-US"/>
        </w:rPr>
        <w:t xml:space="preserve"> undisclosed dates</w:t>
      </w:r>
      <w:r w:rsidR="004C6C03">
        <w:rPr>
          <w:lang w:val="en-US"/>
        </w:rPr>
        <w:t xml:space="preserve"> in 2021 and 2022</w:t>
      </w:r>
      <w:r>
        <w:rPr>
          <w:lang w:val="en-US"/>
        </w:rPr>
        <w:t>, undisclosed locations.</w:t>
      </w:r>
    </w:p>
  </w:footnote>
  <w:footnote w:id="225">
    <w:p w14:paraId="347800F1" w14:textId="77777777" w:rsidR="00E82108" w:rsidRPr="00234DF7" w:rsidRDefault="00E82108" w:rsidP="004C6C03">
      <w:pPr>
        <w:pStyle w:val="FootnoteText"/>
        <w:rPr>
          <w:lang w:val="en-US"/>
        </w:rPr>
      </w:pPr>
      <w:r>
        <w:rPr>
          <w:rStyle w:val="FootnoteReference"/>
        </w:rPr>
        <w:footnoteRef/>
      </w:r>
      <w:r>
        <w:t xml:space="preserve"> </w:t>
      </w:r>
      <w:r>
        <w:rPr>
          <w:lang w:val="en-US"/>
        </w:rPr>
        <w:t>A/HRC/WG.6/40/SSD/, para. 46.</w:t>
      </w:r>
    </w:p>
  </w:footnote>
  <w:footnote w:id="226">
    <w:p w14:paraId="7AC8E88D" w14:textId="75B3016C" w:rsidR="00E82108" w:rsidRPr="007D3C7A" w:rsidRDefault="00E82108" w:rsidP="004C6C03">
      <w:pPr>
        <w:pStyle w:val="FootnoteText"/>
        <w:rPr>
          <w:lang w:val="en-US"/>
        </w:rPr>
      </w:pPr>
      <w:r>
        <w:rPr>
          <w:rStyle w:val="FootnoteReference"/>
        </w:rPr>
        <w:footnoteRef/>
      </w:r>
      <w:r>
        <w:t xml:space="preserve"> </w:t>
      </w:r>
      <w:r w:rsidR="00531BBD">
        <w:rPr>
          <w:lang w:val="en-US"/>
        </w:rPr>
        <w:t xml:space="preserve">Confidential </w:t>
      </w:r>
      <w:r w:rsidR="00942AE3">
        <w:rPr>
          <w:lang w:val="en-US"/>
        </w:rPr>
        <w:t>Meetings,</w:t>
      </w:r>
      <w:r>
        <w:rPr>
          <w:lang w:val="en-US"/>
        </w:rPr>
        <w:t xml:space="preserve"> Juba and Yei, February 2022.</w:t>
      </w:r>
    </w:p>
  </w:footnote>
  <w:footnote w:id="227">
    <w:p w14:paraId="704B9687" w14:textId="64DA8DE7" w:rsidR="00E82108" w:rsidRPr="005D3986" w:rsidRDefault="00E82108" w:rsidP="004C6C03">
      <w:pPr>
        <w:pStyle w:val="FootnoteText"/>
        <w:rPr>
          <w:lang w:val="en-US"/>
        </w:rPr>
      </w:pPr>
      <w:r>
        <w:rPr>
          <w:rStyle w:val="FootnoteReference"/>
        </w:rPr>
        <w:footnoteRef/>
      </w:r>
      <w:r>
        <w:t xml:space="preserve"> </w:t>
      </w:r>
      <w:r w:rsidRPr="00900B34">
        <w:t xml:space="preserve">The Commission has previously highlighted how members of the </w:t>
      </w:r>
      <w:r>
        <w:t>Government</w:t>
      </w:r>
      <w:r w:rsidRPr="00900B34">
        <w:t xml:space="preserve"> prioritise the financing of military and security apparatuses and overlook the rampant theft of the country’s wealth and resources, thereby reneging on its obligation to ensure the realization of the human rights of its people. For detailed findings, see https://www.ohchr.org/Documents/HRBodies/HRCouncil/CoHRSouthSudan/A-HRC-48-CRP.3.pdf.</w:t>
      </w:r>
    </w:p>
  </w:footnote>
  <w:footnote w:id="228">
    <w:p w14:paraId="088E629C" w14:textId="6EF1D981" w:rsidR="00E82108" w:rsidRPr="005571E7" w:rsidRDefault="00E82108" w:rsidP="004C6C03">
      <w:pPr>
        <w:pStyle w:val="FootnoteText"/>
        <w:rPr>
          <w:lang w:val="en-US"/>
        </w:rPr>
      </w:pPr>
      <w:r>
        <w:rPr>
          <w:rStyle w:val="FootnoteReference"/>
        </w:rPr>
        <w:footnoteRef/>
      </w:r>
      <w:r>
        <w:t xml:space="preserve"> </w:t>
      </w:r>
      <w:r w:rsidR="00531BBD">
        <w:rPr>
          <w:lang w:val="en-US"/>
        </w:rPr>
        <w:t>Confidential Meeting,</w:t>
      </w:r>
      <w:r w:rsidR="0003254C">
        <w:rPr>
          <w:lang w:val="en-US"/>
        </w:rPr>
        <w:t xml:space="preserve"> November 2021#8</w:t>
      </w:r>
    </w:p>
  </w:footnote>
  <w:footnote w:id="229">
    <w:p w14:paraId="5969B809" w14:textId="244E822E" w:rsidR="00E82108" w:rsidRPr="00FE20F0" w:rsidRDefault="00E82108" w:rsidP="004C6C03">
      <w:pPr>
        <w:pStyle w:val="FootnoteText"/>
        <w:rPr>
          <w:lang w:val="en-US"/>
        </w:rPr>
      </w:pPr>
      <w:r>
        <w:rPr>
          <w:rStyle w:val="FootnoteReference"/>
        </w:rPr>
        <w:footnoteRef/>
      </w:r>
      <w:r>
        <w:t xml:space="preserve"> </w:t>
      </w:r>
      <w:r w:rsidR="00531BBD">
        <w:rPr>
          <w:lang w:val="en-US"/>
        </w:rPr>
        <w:t>Confidential Meeting,</w:t>
      </w:r>
      <w:r>
        <w:rPr>
          <w:lang w:val="en-US"/>
        </w:rPr>
        <w:t xml:space="preserve"> undisclosed location, February 2022. </w:t>
      </w:r>
    </w:p>
  </w:footnote>
  <w:footnote w:id="230">
    <w:p w14:paraId="490F78D5" w14:textId="384E1EEE" w:rsidR="00E82108" w:rsidRPr="00704497" w:rsidRDefault="00E82108" w:rsidP="004C6C03">
      <w:pPr>
        <w:pStyle w:val="FootnoteText"/>
        <w:rPr>
          <w:lang w:val="en-US"/>
        </w:rPr>
      </w:pPr>
      <w:r>
        <w:rPr>
          <w:rStyle w:val="FootnoteReference"/>
        </w:rPr>
        <w:footnoteRef/>
      </w:r>
      <w:r>
        <w:t xml:space="preserve"> </w:t>
      </w:r>
      <w:r>
        <w:rPr>
          <w:lang w:val="en-US"/>
        </w:rPr>
        <w:t>CEDAW/C/SSD/CO/1, para. 29.</w:t>
      </w:r>
    </w:p>
  </w:footnote>
  <w:footnote w:id="231">
    <w:p w14:paraId="47C62868" w14:textId="77777777" w:rsidR="00E82108" w:rsidRPr="00B23AA5" w:rsidRDefault="00E82108" w:rsidP="004C6C03">
      <w:pPr>
        <w:pStyle w:val="FootnoteText"/>
        <w:rPr>
          <w:lang w:val="en-US"/>
        </w:rPr>
      </w:pPr>
      <w:r>
        <w:rPr>
          <w:rStyle w:val="FootnoteReference"/>
        </w:rPr>
        <w:footnoteRef/>
      </w:r>
      <w:r>
        <w:t xml:space="preserve"> See A/HRC/46/CRP.2, para. 148.</w:t>
      </w:r>
    </w:p>
  </w:footnote>
  <w:footnote w:id="232">
    <w:p w14:paraId="1808F048" w14:textId="55A7342E" w:rsidR="00E82108" w:rsidRPr="0014331D" w:rsidRDefault="00E82108" w:rsidP="004C6C03">
      <w:pPr>
        <w:pStyle w:val="FootnoteText"/>
        <w:rPr>
          <w:lang w:val="en-US"/>
        </w:rPr>
      </w:pPr>
      <w:r w:rsidRPr="0014331D">
        <w:rPr>
          <w:rStyle w:val="FootnoteReference"/>
          <w:rFonts w:asciiTheme="majorBidi" w:hAnsiTheme="majorBidi" w:cstheme="majorBidi"/>
        </w:rPr>
        <w:footnoteRef/>
      </w:r>
      <w:r w:rsidRPr="0014331D">
        <w:t xml:space="preserve"> </w:t>
      </w:r>
      <w:r w:rsidR="00531BBD">
        <w:rPr>
          <w:lang w:val="en-US"/>
        </w:rPr>
        <w:t>Confidential Meeting,</w:t>
      </w:r>
      <w:r w:rsidR="0003254C">
        <w:rPr>
          <w:lang w:val="en-US"/>
        </w:rPr>
        <w:t xml:space="preserve"> November 2021#3</w:t>
      </w:r>
      <w:r w:rsidR="00531BBD">
        <w:rPr>
          <w:lang w:val="en-US"/>
        </w:rPr>
        <w:t>,</w:t>
      </w:r>
      <w:r w:rsidRPr="0014331D">
        <w:rPr>
          <w:lang w:val="en-US"/>
        </w:rPr>
        <w:t xml:space="preserve"> </w:t>
      </w:r>
      <w:r w:rsidR="00531BBD">
        <w:rPr>
          <w:lang w:val="en-US"/>
        </w:rPr>
        <w:t>Confidential Meeting,</w:t>
      </w:r>
      <w:r w:rsidR="0003254C">
        <w:rPr>
          <w:lang w:val="en-US"/>
        </w:rPr>
        <w:t xml:space="preserve"> November 2021#4</w:t>
      </w:r>
      <w:r w:rsidR="00531BBD">
        <w:rPr>
          <w:lang w:val="en-US"/>
        </w:rPr>
        <w:t>,</w:t>
      </w:r>
      <w:r w:rsidRPr="0014331D">
        <w:rPr>
          <w:lang w:val="en-US"/>
        </w:rPr>
        <w:t xml:space="preserve"> </w:t>
      </w:r>
      <w:r w:rsidR="0003254C">
        <w:rPr>
          <w:lang w:val="en-US"/>
        </w:rPr>
        <w:t>104837-104841</w:t>
      </w:r>
    </w:p>
  </w:footnote>
  <w:footnote w:id="233">
    <w:p w14:paraId="29F6AD1C" w14:textId="1A8FEFB6" w:rsidR="00E82108" w:rsidRPr="00417336" w:rsidRDefault="00E82108" w:rsidP="004C6C03">
      <w:pPr>
        <w:pStyle w:val="FootnoteText"/>
        <w:rPr>
          <w:lang w:val="en-US"/>
        </w:rPr>
      </w:pPr>
      <w:r>
        <w:rPr>
          <w:rStyle w:val="FootnoteReference"/>
        </w:rPr>
        <w:footnoteRef/>
      </w:r>
      <w:r>
        <w:t xml:space="preserve"> </w:t>
      </w:r>
      <w:r w:rsidR="00531BBD">
        <w:rPr>
          <w:lang w:val="en-US"/>
        </w:rPr>
        <w:t xml:space="preserve">Confidential </w:t>
      </w:r>
      <w:r w:rsidR="00942AE3">
        <w:rPr>
          <w:lang w:val="en-US"/>
        </w:rPr>
        <w:t>Meetings,</w:t>
      </w:r>
      <w:r>
        <w:rPr>
          <w:lang w:val="en-US"/>
        </w:rPr>
        <w:t xml:space="preserve"> undisclosed locations, February 2022.</w:t>
      </w:r>
    </w:p>
  </w:footnote>
  <w:footnote w:id="234">
    <w:p w14:paraId="775BD26D" w14:textId="77777777" w:rsidR="00E82108" w:rsidRPr="0044036B" w:rsidRDefault="00E82108" w:rsidP="004C6C03">
      <w:pPr>
        <w:pStyle w:val="FootnoteText"/>
        <w:rPr>
          <w:lang w:val="en-US"/>
        </w:rPr>
      </w:pPr>
      <w:r>
        <w:rPr>
          <w:rStyle w:val="FootnoteReference"/>
        </w:rPr>
        <w:footnoteRef/>
      </w:r>
      <w:r>
        <w:t xml:space="preserve"> </w:t>
      </w:r>
      <w:r>
        <w:rPr>
          <w:lang w:val="en-US"/>
        </w:rPr>
        <w:t>See A/HRC/WG.6/40/SSD/1, para 58</w:t>
      </w:r>
    </w:p>
  </w:footnote>
  <w:footnote w:id="235">
    <w:p w14:paraId="18A495D6" w14:textId="5A730E17" w:rsidR="00E82108" w:rsidRPr="00000F09" w:rsidRDefault="00E82108" w:rsidP="004C6C03">
      <w:pPr>
        <w:pStyle w:val="FootnoteText"/>
        <w:rPr>
          <w:lang w:val="en-US"/>
        </w:rPr>
      </w:pPr>
      <w:r>
        <w:rPr>
          <w:rStyle w:val="FootnoteReference"/>
        </w:rPr>
        <w:footnoteRef/>
      </w:r>
      <w:r>
        <w:t xml:space="preserve"> </w:t>
      </w:r>
      <w:r w:rsidR="00531BBD">
        <w:t xml:space="preserve">Confidential </w:t>
      </w:r>
      <w:r w:rsidR="00942AE3">
        <w:t>Meetings,</w:t>
      </w:r>
      <w:r>
        <w:t xml:space="preserve"> undisclosed locations</w:t>
      </w:r>
      <w:r w:rsidRPr="00000F09">
        <w:t>, November 2021</w:t>
      </w:r>
      <w:r>
        <w:t xml:space="preserve"> and February 2022</w:t>
      </w:r>
      <w:r w:rsidRPr="00000F09">
        <w:t>. 104837–104841.</w:t>
      </w:r>
    </w:p>
  </w:footnote>
  <w:footnote w:id="236">
    <w:p w14:paraId="7D14FE7E" w14:textId="3A044DCA" w:rsidR="00E82108" w:rsidRPr="0014331D" w:rsidRDefault="00E82108" w:rsidP="004C6C03">
      <w:pPr>
        <w:pStyle w:val="FootnoteText"/>
        <w:rPr>
          <w:lang w:val="en-US"/>
        </w:rPr>
      </w:pPr>
      <w:r w:rsidRPr="0014331D">
        <w:rPr>
          <w:rStyle w:val="FootnoteReference"/>
          <w:rFonts w:asciiTheme="majorBidi" w:hAnsiTheme="majorBidi" w:cstheme="majorBidi"/>
        </w:rPr>
        <w:footnoteRef/>
      </w:r>
      <w:r w:rsidRPr="0014331D">
        <w:t xml:space="preserve"> </w:t>
      </w:r>
      <w:r w:rsidR="00531BBD">
        <w:rPr>
          <w:lang w:val="en-US"/>
        </w:rPr>
        <w:t>Confidential Meeting, undisclosed location,</w:t>
      </w:r>
      <w:r w:rsidR="0003254C">
        <w:rPr>
          <w:lang w:val="en-US"/>
        </w:rPr>
        <w:t xml:space="preserve"> November 2021#4</w:t>
      </w:r>
      <w:r>
        <w:rPr>
          <w:lang w:val="en-US"/>
        </w:rPr>
        <w:t xml:space="preserve">, </w:t>
      </w:r>
      <w:r w:rsidR="00531BBD">
        <w:rPr>
          <w:lang w:val="en-US"/>
        </w:rPr>
        <w:t>Confidential Meeting,</w:t>
      </w:r>
      <w:r>
        <w:rPr>
          <w:lang w:val="en-US"/>
        </w:rPr>
        <w:t xml:space="preserve"> Yei, February 2022.</w:t>
      </w:r>
    </w:p>
  </w:footnote>
  <w:footnote w:id="237">
    <w:p w14:paraId="4F107839" w14:textId="71785CDF" w:rsidR="00E82108" w:rsidRPr="00CC64C8" w:rsidRDefault="00E82108" w:rsidP="004C6C03">
      <w:pPr>
        <w:pStyle w:val="FootnoteText"/>
        <w:rPr>
          <w:lang w:val="en-US"/>
        </w:rPr>
      </w:pPr>
      <w:r>
        <w:rPr>
          <w:rStyle w:val="FootnoteReference"/>
        </w:rPr>
        <w:footnoteRef/>
      </w:r>
      <w:r>
        <w:t xml:space="preserve"> </w:t>
      </w:r>
      <w:r w:rsidR="00531BBD">
        <w:t>Confidential Meeting,</w:t>
      </w:r>
      <w:r w:rsidRPr="00CC64C8">
        <w:t xml:space="preserve"> undisclosed location, November 2021.</w:t>
      </w:r>
    </w:p>
  </w:footnote>
  <w:footnote w:id="238">
    <w:p w14:paraId="661AAB91" w14:textId="7CD87AAD" w:rsidR="00E82108" w:rsidRPr="006E7CD7" w:rsidRDefault="00E82108" w:rsidP="004C6C03">
      <w:pPr>
        <w:pStyle w:val="FootnoteText"/>
        <w:rPr>
          <w:lang w:val="fr-CH"/>
        </w:rPr>
      </w:pPr>
      <w:r>
        <w:rPr>
          <w:rStyle w:val="FootnoteReference"/>
        </w:rPr>
        <w:footnoteRef/>
      </w:r>
      <w:r w:rsidRPr="006E7CD7">
        <w:rPr>
          <w:lang w:val="fr-CH"/>
        </w:rPr>
        <w:t xml:space="preserve"> </w:t>
      </w:r>
      <w:r w:rsidR="0003254C">
        <w:rPr>
          <w:lang w:val="fr-CH"/>
        </w:rPr>
        <w:t>104303-104307</w:t>
      </w:r>
      <w:r w:rsidRPr="006E7CD7">
        <w:rPr>
          <w:lang w:val="fr-CH"/>
        </w:rPr>
        <w:t xml:space="preserve">, </w:t>
      </w:r>
      <w:r w:rsidR="0003254C">
        <w:rPr>
          <w:lang w:val="fr-CH"/>
        </w:rPr>
        <w:t>104256-104260</w:t>
      </w:r>
      <w:r w:rsidRPr="006E7CD7">
        <w:rPr>
          <w:lang w:val="fr-CH"/>
        </w:rPr>
        <w:t xml:space="preserve">, </w:t>
      </w:r>
      <w:r w:rsidR="0003254C">
        <w:rPr>
          <w:lang w:val="fr-CH"/>
        </w:rPr>
        <w:t>104247-104251</w:t>
      </w:r>
      <w:r w:rsidRPr="006E7CD7">
        <w:rPr>
          <w:lang w:val="fr-CH"/>
        </w:rPr>
        <w:t xml:space="preserve">, </w:t>
      </w:r>
      <w:r w:rsidR="0003254C">
        <w:rPr>
          <w:lang w:val="fr-CH"/>
        </w:rPr>
        <w:t>104261-104266</w:t>
      </w:r>
      <w:r w:rsidRPr="006E7CD7">
        <w:rPr>
          <w:lang w:val="fr-CH"/>
        </w:rPr>
        <w:t xml:space="preserve">, </w:t>
      </w:r>
      <w:r w:rsidR="0003254C">
        <w:rPr>
          <w:lang w:val="fr-CH"/>
        </w:rPr>
        <w:t>D124258-D124264</w:t>
      </w:r>
      <w:r w:rsidRPr="006E7CD7">
        <w:rPr>
          <w:lang w:val="fr-CH"/>
        </w:rPr>
        <w:t xml:space="preserve">. </w:t>
      </w:r>
    </w:p>
  </w:footnote>
  <w:footnote w:id="239">
    <w:p w14:paraId="2834BC22" w14:textId="77777777" w:rsidR="00E82108" w:rsidRPr="008350A3" w:rsidRDefault="00E82108" w:rsidP="004C6C03">
      <w:pPr>
        <w:pStyle w:val="FootnoteText"/>
        <w:rPr>
          <w:lang w:val="en-US"/>
        </w:rPr>
      </w:pPr>
      <w:r>
        <w:rPr>
          <w:rStyle w:val="FootnoteReference"/>
        </w:rPr>
        <w:footnoteRef/>
      </w:r>
      <w:r>
        <w:t xml:space="preserve"> </w:t>
      </w:r>
      <w:r w:rsidRPr="00D042C1">
        <w:t>Other steps by authorities to address attacks by armed forces on civilians including sexual violence have been limited, with the conduct of a State Investigative Committee formed in 2018 being particularly problematic for including certain SPLA soldiers in investigative activities into the very incident that they were involved in, including a site visit to the religious compound that was attacked.</w:t>
      </w:r>
      <w:r>
        <w:t xml:space="preserve"> See </w:t>
      </w:r>
      <w:r>
        <w:rPr>
          <w:lang w:val="en-US"/>
        </w:rPr>
        <w:t>A/HRC/49/78, paras. 801-805.</w:t>
      </w:r>
    </w:p>
  </w:footnote>
  <w:footnote w:id="240">
    <w:p w14:paraId="0A2231C2" w14:textId="77777777" w:rsidR="00E82108" w:rsidRPr="00CC73BC" w:rsidRDefault="00E82108" w:rsidP="004C6C03">
      <w:pPr>
        <w:pStyle w:val="FootnoteText"/>
        <w:rPr>
          <w:lang w:val="en-US"/>
        </w:rPr>
      </w:pPr>
      <w:r>
        <w:rPr>
          <w:rStyle w:val="FootnoteReference"/>
        </w:rPr>
        <w:footnoteRef/>
      </w:r>
      <w:r>
        <w:t xml:space="preserve"> A/HRC/46/CRP.2, para. 148. See also </w:t>
      </w:r>
      <w:r w:rsidRPr="00F7310E">
        <w:t>David K. Deng, Transitional Justice Working Group (TJWG) South Sudan: Justice Landscape Assessment, p. 17.</w:t>
      </w:r>
    </w:p>
  </w:footnote>
  <w:footnote w:id="241">
    <w:p w14:paraId="5CDB84F0" w14:textId="418D0EF4" w:rsidR="00E82108" w:rsidRPr="00015451" w:rsidRDefault="00E82108" w:rsidP="004C6C03">
      <w:pPr>
        <w:pStyle w:val="FootnoteText"/>
        <w:rPr>
          <w:lang w:val="en-US"/>
        </w:rPr>
      </w:pPr>
      <w:r>
        <w:rPr>
          <w:rStyle w:val="FootnoteReference"/>
        </w:rPr>
        <w:footnoteRef/>
      </w:r>
      <w:r>
        <w:t xml:space="preserve"> </w:t>
      </w:r>
      <w:r>
        <w:rPr>
          <w:lang w:val="en-US"/>
        </w:rPr>
        <w:t>See A/HRC/40/CRP.1, paras. 994-1004. The CEDAW Committee, in its 2020 concluding observations on South Sudan, noted its members were “further concerned about the evasive tactics used to avoid paying court-ordered compensation to victims, including in the care of the Terrain Hotel.” CEDAW/C/SSD/CO/1, para. 22.</w:t>
      </w:r>
    </w:p>
  </w:footnote>
  <w:footnote w:id="242">
    <w:p w14:paraId="2014CBAE" w14:textId="3C29DD93" w:rsidR="00E82108" w:rsidRPr="006E7CD7" w:rsidRDefault="00E82108" w:rsidP="004C6C03">
      <w:pPr>
        <w:pStyle w:val="FootnoteText"/>
        <w:rPr>
          <w:lang w:val="en-US"/>
        </w:rPr>
      </w:pPr>
      <w:r>
        <w:rPr>
          <w:rStyle w:val="FootnoteReference"/>
        </w:rPr>
        <w:footnoteRef/>
      </w:r>
      <w:r>
        <w:t xml:space="preserve"> Ibid.</w:t>
      </w:r>
    </w:p>
  </w:footnote>
  <w:footnote w:id="243">
    <w:p w14:paraId="6C87E47E" w14:textId="0A6878DA" w:rsidR="00E82108" w:rsidRPr="00854120" w:rsidRDefault="00E82108" w:rsidP="004C6C03">
      <w:pPr>
        <w:pStyle w:val="FootnoteText"/>
        <w:rPr>
          <w:lang w:val="en-US"/>
        </w:rPr>
      </w:pPr>
      <w:r>
        <w:rPr>
          <w:rStyle w:val="FootnoteReference"/>
        </w:rPr>
        <w:footnoteRef/>
      </w:r>
      <w:r>
        <w:t xml:space="preserve">  102958-102962 and </w:t>
      </w:r>
      <w:r w:rsidR="00531BBD">
        <w:t>Confidential Meeting,</w:t>
      </w:r>
      <w:r>
        <w:t xml:space="preserve"> Yambio, November 2021.</w:t>
      </w:r>
    </w:p>
  </w:footnote>
  <w:footnote w:id="244">
    <w:p w14:paraId="3455B8E6" w14:textId="77777777" w:rsidR="00E82108" w:rsidRPr="0044036B" w:rsidRDefault="00E82108" w:rsidP="004C6C03">
      <w:pPr>
        <w:pStyle w:val="FootnoteText"/>
        <w:rPr>
          <w:lang w:val="en-US"/>
        </w:rPr>
      </w:pPr>
      <w:r>
        <w:rPr>
          <w:rStyle w:val="FootnoteReference"/>
        </w:rPr>
        <w:footnoteRef/>
      </w:r>
      <w:r>
        <w:t xml:space="preserve"> </w:t>
      </w:r>
      <w:r>
        <w:rPr>
          <w:lang w:val="en-US"/>
        </w:rPr>
        <w:t>See for example A/HRC/WG.6/40/SSD/1, para. 59.</w:t>
      </w:r>
    </w:p>
  </w:footnote>
  <w:footnote w:id="245">
    <w:p w14:paraId="57A32499" w14:textId="6B802D5D" w:rsidR="00E82108" w:rsidRPr="00CF6B15" w:rsidRDefault="00E82108" w:rsidP="004C6C03">
      <w:pPr>
        <w:pStyle w:val="FootnoteText"/>
        <w:rPr>
          <w:lang w:val="en-US"/>
        </w:rPr>
      </w:pPr>
      <w:r w:rsidRPr="00CF6B15">
        <w:rPr>
          <w:rStyle w:val="FootnoteReference"/>
        </w:rPr>
        <w:footnoteRef/>
      </w:r>
      <w:r w:rsidRPr="00CF6B15">
        <w:t xml:space="preserve"> </w:t>
      </w:r>
      <w:r w:rsidRPr="00CF6B15">
        <w:rPr>
          <w:lang w:val="en-US"/>
        </w:rPr>
        <w:t xml:space="preserve">For further discussion of relationships and opportunities involving interaction between these systems, see for example </w:t>
      </w:r>
      <w:r>
        <w:rPr>
          <w:lang w:val="en-US"/>
        </w:rPr>
        <w:t>International</w:t>
      </w:r>
      <w:r w:rsidRPr="00CF6B15">
        <w:rPr>
          <w:lang w:val="en-US"/>
        </w:rPr>
        <w:t xml:space="preserve"> Commission of Jurists, “Indigenous and other traditional or customary justice systems: selected </w:t>
      </w:r>
      <w:r>
        <w:rPr>
          <w:lang w:val="en-US"/>
        </w:rPr>
        <w:t>international</w:t>
      </w:r>
      <w:r w:rsidRPr="00CF6B15">
        <w:rPr>
          <w:lang w:val="en-US"/>
        </w:rPr>
        <w:t xml:space="preserve"> sources,” 29 November 2019.</w:t>
      </w:r>
    </w:p>
  </w:footnote>
  <w:footnote w:id="246">
    <w:p w14:paraId="120F849E" w14:textId="7761D931" w:rsidR="00E82108" w:rsidRPr="00CF6B15" w:rsidRDefault="00E82108" w:rsidP="004C6C03">
      <w:pPr>
        <w:pStyle w:val="FootnoteText"/>
        <w:rPr>
          <w:lang w:val="en-US"/>
        </w:rPr>
      </w:pPr>
      <w:r w:rsidRPr="00CF6B15">
        <w:rPr>
          <w:rStyle w:val="FootnoteReference"/>
        </w:rPr>
        <w:footnoteRef/>
      </w:r>
      <w:r w:rsidRPr="00CF6B15">
        <w:t xml:space="preserve"> CEDAW/C/SSD/CO/1</w:t>
      </w:r>
    </w:p>
  </w:footnote>
  <w:footnote w:id="247">
    <w:p w14:paraId="28BFE1A4" w14:textId="7EEB149A" w:rsidR="00E82108" w:rsidRPr="00B66093" w:rsidRDefault="00E82108" w:rsidP="004C6C03">
      <w:pPr>
        <w:pStyle w:val="FootnoteText"/>
        <w:rPr>
          <w:lang w:val="en-US"/>
        </w:rPr>
      </w:pPr>
      <w:r w:rsidRPr="00CF6B15">
        <w:rPr>
          <w:rStyle w:val="FootnoteReference"/>
        </w:rPr>
        <w:footnoteRef/>
      </w:r>
      <w:r w:rsidRPr="00CF6B15">
        <w:t xml:space="preserve"> </w:t>
      </w:r>
      <w:r w:rsidR="0003254C">
        <w:rPr>
          <w:lang w:val="en-US"/>
        </w:rPr>
        <w:t>104859-104864</w:t>
      </w:r>
      <w:r>
        <w:rPr>
          <w:lang w:val="en-US"/>
        </w:rPr>
        <w:t xml:space="preserve"> </w:t>
      </w:r>
    </w:p>
  </w:footnote>
  <w:footnote w:id="248">
    <w:p w14:paraId="6440252C" w14:textId="65120CA5" w:rsidR="00E82108" w:rsidRPr="00690886" w:rsidRDefault="00E82108" w:rsidP="004C6C03">
      <w:pPr>
        <w:pStyle w:val="FootnoteText"/>
        <w:rPr>
          <w:lang w:val="en-US"/>
        </w:rPr>
      </w:pPr>
      <w:r>
        <w:rPr>
          <w:rStyle w:val="FootnoteReference"/>
        </w:rPr>
        <w:footnoteRef/>
      </w:r>
      <w:r>
        <w:t xml:space="preserve"> </w:t>
      </w:r>
      <w:r w:rsidR="0003254C">
        <w:rPr>
          <w:lang w:val="en-US"/>
        </w:rPr>
        <w:t>105002-105016</w:t>
      </w:r>
      <w:r w:rsidRPr="001C3FA0">
        <w:rPr>
          <w:highlight w:val="yellow"/>
          <w:lang w:val="en-US"/>
        </w:rPr>
        <w:t xml:space="preserve"> </w:t>
      </w:r>
    </w:p>
  </w:footnote>
  <w:footnote w:id="249">
    <w:p w14:paraId="0BDEE599" w14:textId="01F864DB" w:rsidR="00E82108" w:rsidRPr="004402AD" w:rsidRDefault="00E82108" w:rsidP="004C6C03">
      <w:pPr>
        <w:pStyle w:val="FootnoteText"/>
        <w:rPr>
          <w:lang w:val="en-US"/>
        </w:rPr>
      </w:pPr>
      <w:r>
        <w:rPr>
          <w:rStyle w:val="FootnoteReference"/>
        </w:rPr>
        <w:footnoteRef/>
      </w:r>
      <w:r>
        <w:t xml:space="preserve"> </w:t>
      </w:r>
      <w:r w:rsidRPr="004402AD">
        <w:t xml:space="preserve"> 103726-103730</w:t>
      </w:r>
      <w:r>
        <w:t xml:space="preserve"> </w:t>
      </w:r>
    </w:p>
  </w:footnote>
  <w:footnote w:id="250">
    <w:p w14:paraId="011AE58B" w14:textId="74ED395A" w:rsidR="00E82108" w:rsidRPr="00386F83" w:rsidRDefault="00E82108" w:rsidP="004C6C03">
      <w:pPr>
        <w:pStyle w:val="FootnoteText"/>
      </w:pPr>
      <w:r w:rsidRPr="0029609E">
        <w:rPr>
          <w:rStyle w:val="FootnoteReference"/>
        </w:rPr>
        <w:footnoteRef/>
      </w:r>
      <w:r w:rsidRPr="0029609E">
        <w:t xml:space="preserve"> </w:t>
      </w:r>
      <w:r w:rsidR="00531BBD">
        <w:t>Confidential Meeting,</w:t>
      </w:r>
      <w:r w:rsidR="0003254C">
        <w:t xml:space="preserve"> November 2021#6</w:t>
      </w:r>
      <w:r w:rsidRPr="0029609E">
        <w:t>(10).</w:t>
      </w:r>
      <w:r w:rsidRPr="00293FB5">
        <w:t xml:space="preserve"> </w:t>
      </w:r>
      <w:r w:rsidR="00531BBD">
        <w:t>Confidential Meeting,</w:t>
      </w:r>
      <w:r w:rsidR="0003254C">
        <w:t xml:space="preserve"> November 2021#7</w:t>
      </w:r>
      <w:r w:rsidRPr="00293FB5">
        <w:t>(6).</w:t>
      </w:r>
      <w:r w:rsidRPr="00386F83">
        <w:t xml:space="preserve"> </w:t>
      </w:r>
      <w:r w:rsidR="0003254C">
        <w:t>104847-104854</w:t>
      </w:r>
      <w:r w:rsidRPr="00386F83">
        <w:t>(27).</w:t>
      </w:r>
    </w:p>
  </w:footnote>
  <w:footnote w:id="251">
    <w:p w14:paraId="7FE4B97E" w14:textId="568524A7" w:rsidR="00E82108" w:rsidRPr="00293FB5" w:rsidRDefault="00E82108" w:rsidP="004C6C03">
      <w:pPr>
        <w:pStyle w:val="FootnoteText"/>
      </w:pPr>
      <w:r w:rsidRPr="0029609E">
        <w:rPr>
          <w:rStyle w:val="FootnoteReference"/>
        </w:rPr>
        <w:footnoteRef/>
      </w:r>
      <w:r w:rsidRPr="0029609E">
        <w:t xml:space="preserve"> </w:t>
      </w:r>
      <w:r w:rsidR="00531BBD">
        <w:t>Confidential Meeting,</w:t>
      </w:r>
      <w:r w:rsidR="0003254C">
        <w:t xml:space="preserve"> November 2021#12</w:t>
      </w:r>
      <w:r w:rsidRPr="0029609E">
        <w:t>(15).</w:t>
      </w:r>
    </w:p>
  </w:footnote>
  <w:footnote w:id="252">
    <w:p w14:paraId="04AD193B" w14:textId="206210BA" w:rsidR="00E82108" w:rsidRPr="00A22777" w:rsidRDefault="00E82108" w:rsidP="004C6C03">
      <w:pPr>
        <w:pStyle w:val="FootnoteText"/>
        <w:rPr>
          <w:lang w:val="en-US"/>
        </w:rPr>
      </w:pPr>
      <w:r>
        <w:rPr>
          <w:rStyle w:val="FootnoteReference"/>
        </w:rPr>
        <w:footnoteRef/>
      </w:r>
      <w:r>
        <w:t xml:space="preserve"> </w:t>
      </w:r>
      <w:r>
        <w:rPr>
          <w:lang w:val="en-US"/>
        </w:rPr>
        <w:t>103741-103745</w:t>
      </w:r>
    </w:p>
  </w:footnote>
  <w:footnote w:id="253">
    <w:p w14:paraId="7FAD8E39" w14:textId="41C3473F" w:rsidR="00E82108" w:rsidRPr="006618CC" w:rsidRDefault="00E82108" w:rsidP="004C6C03">
      <w:pPr>
        <w:pStyle w:val="FootnoteText"/>
        <w:rPr>
          <w:lang w:val="en-US"/>
        </w:rPr>
      </w:pPr>
      <w:r>
        <w:rPr>
          <w:rStyle w:val="FootnoteReference"/>
        </w:rPr>
        <w:footnoteRef/>
      </w:r>
      <w:r>
        <w:t xml:space="preserve"> </w:t>
      </w:r>
      <w:r w:rsidR="0003254C">
        <w:rPr>
          <w:lang w:val="en-US"/>
        </w:rPr>
        <w:t>104847-104854</w:t>
      </w:r>
    </w:p>
  </w:footnote>
  <w:footnote w:id="254">
    <w:p w14:paraId="40361DD6" w14:textId="41358FC8" w:rsidR="00E82108" w:rsidRPr="00A77BC6" w:rsidRDefault="00E82108" w:rsidP="004C6C03">
      <w:pPr>
        <w:pStyle w:val="FootnoteText"/>
        <w:rPr>
          <w:lang w:val="en-US"/>
        </w:rPr>
      </w:pPr>
      <w:r>
        <w:rPr>
          <w:rStyle w:val="FootnoteReference"/>
        </w:rPr>
        <w:footnoteRef/>
      </w:r>
      <w:r>
        <w:t xml:space="preserve"> </w:t>
      </w:r>
      <w:r w:rsidR="0003254C">
        <w:rPr>
          <w:lang w:val="en-US"/>
        </w:rPr>
        <w:t>105017-105020</w:t>
      </w:r>
    </w:p>
  </w:footnote>
  <w:footnote w:id="255">
    <w:p w14:paraId="772381C4" w14:textId="41F65C45" w:rsidR="00E82108" w:rsidRPr="00DF1CD9" w:rsidRDefault="00E82108" w:rsidP="004C6C03">
      <w:pPr>
        <w:pStyle w:val="FootnoteText"/>
        <w:rPr>
          <w:lang w:val="en-US"/>
        </w:rPr>
      </w:pPr>
      <w:r>
        <w:rPr>
          <w:rStyle w:val="FootnoteReference"/>
        </w:rPr>
        <w:footnoteRef/>
      </w:r>
      <w:r>
        <w:t xml:space="preserve"> </w:t>
      </w:r>
      <w:r w:rsidR="0003254C">
        <w:rPr>
          <w:lang w:val="en-US"/>
        </w:rPr>
        <w:t>105017-105020</w:t>
      </w:r>
    </w:p>
  </w:footnote>
  <w:footnote w:id="256">
    <w:p w14:paraId="2836330B" w14:textId="016541FA" w:rsidR="00E82108" w:rsidRPr="00127B01" w:rsidRDefault="00E82108" w:rsidP="004C6C03">
      <w:pPr>
        <w:pStyle w:val="FootnoteText"/>
        <w:rPr>
          <w:lang w:val="en-US"/>
        </w:rPr>
      </w:pPr>
      <w:r>
        <w:rPr>
          <w:rStyle w:val="FootnoteReference"/>
        </w:rPr>
        <w:footnoteRef/>
      </w:r>
      <w:r>
        <w:t xml:space="preserve"> </w:t>
      </w:r>
      <w:r w:rsidR="0003254C">
        <w:rPr>
          <w:lang w:val="en-US"/>
        </w:rPr>
        <w:t>104952-104956</w:t>
      </w:r>
    </w:p>
  </w:footnote>
  <w:footnote w:id="257">
    <w:p w14:paraId="4250E3C5" w14:textId="0C2D58C6" w:rsidR="00E82108" w:rsidRPr="0050668D" w:rsidRDefault="00E82108" w:rsidP="004C6C03">
      <w:pPr>
        <w:pStyle w:val="FootnoteText"/>
        <w:rPr>
          <w:lang w:val="en-US"/>
        </w:rPr>
      </w:pPr>
      <w:r>
        <w:rPr>
          <w:rStyle w:val="FootnoteReference"/>
        </w:rPr>
        <w:footnoteRef/>
      </w:r>
      <w:r>
        <w:t xml:space="preserve"> </w:t>
      </w:r>
      <w:r w:rsidR="0003254C">
        <w:rPr>
          <w:lang w:val="en-US"/>
        </w:rPr>
        <w:t>104837-104841</w:t>
      </w:r>
    </w:p>
  </w:footnote>
  <w:footnote w:id="258">
    <w:p w14:paraId="41016532" w14:textId="510C2FC6" w:rsidR="00E82108" w:rsidRPr="00717179" w:rsidRDefault="00E82108" w:rsidP="004C6C03">
      <w:pPr>
        <w:pStyle w:val="FootnoteText"/>
        <w:rPr>
          <w:lang w:val="en-US"/>
        </w:rPr>
      </w:pPr>
      <w:r>
        <w:rPr>
          <w:rStyle w:val="FootnoteReference"/>
        </w:rPr>
        <w:footnoteRef/>
      </w:r>
      <w:r>
        <w:t xml:space="preserve"> </w:t>
      </w:r>
      <w:r>
        <w:rPr>
          <w:lang w:val="en-US"/>
        </w:rPr>
        <w:t>See “</w:t>
      </w:r>
      <w:r w:rsidRPr="00717179">
        <w:rPr>
          <w:lang w:val="en-US"/>
        </w:rPr>
        <w:t>Transitional justice and accountability: a roadmap for sustainable peace in South Sudan</w:t>
      </w:r>
      <w:r>
        <w:rPr>
          <w:lang w:val="en-US"/>
        </w:rPr>
        <w:t xml:space="preserve">,” </w:t>
      </w:r>
      <w:r w:rsidRPr="00717179">
        <w:rPr>
          <w:lang w:val="en-US"/>
        </w:rPr>
        <w:t>Section V - Key considerations in implementation of Chapter V of the Revital</w:t>
      </w:r>
      <w:r>
        <w:rPr>
          <w:lang w:val="en-US"/>
        </w:rPr>
        <w:t>iz</w:t>
      </w:r>
      <w:r w:rsidRPr="00717179">
        <w:rPr>
          <w:lang w:val="en-US"/>
        </w:rPr>
        <w:t>ed Peace Agreement</w:t>
      </w:r>
      <w:r>
        <w:rPr>
          <w:lang w:val="en-US"/>
        </w:rPr>
        <w:t xml:space="preserve">, </w:t>
      </w:r>
      <w:r w:rsidRPr="00717179">
        <w:rPr>
          <w:lang w:val="en-US"/>
        </w:rPr>
        <w:t>October 2020</w:t>
      </w:r>
      <w:r>
        <w:rPr>
          <w:lang w:val="en-US"/>
        </w:rPr>
        <w:t xml:space="preserve">, </w:t>
      </w:r>
      <w:r w:rsidRPr="00717179">
        <w:rPr>
          <w:lang w:val="en-US"/>
        </w:rPr>
        <w:t>A/HRC/45/CRP.</w:t>
      </w:r>
      <w:r>
        <w:rPr>
          <w:lang w:val="en-US"/>
        </w:rPr>
        <w:t xml:space="preserve">4. See also </w:t>
      </w:r>
      <w:r w:rsidRPr="00717179">
        <w:rPr>
          <w:lang w:val="en-US"/>
        </w:rPr>
        <w:t>A/75/174.</w:t>
      </w:r>
    </w:p>
  </w:footnote>
  <w:footnote w:id="259">
    <w:p w14:paraId="316EEBBD" w14:textId="45843FF9" w:rsidR="00E82108" w:rsidRPr="005E4F08" w:rsidRDefault="00E82108" w:rsidP="004C6C03">
      <w:pPr>
        <w:pStyle w:val="FootnoteText"/>
        <w:rPr>
          <w:lang w:val="en-US"/>
        </w:rPr>
      </w:pPr>
      <w:r>
        <w:rPr>
          <w:rStyle w:val="FootnoteReference"/>
        </w:rPr>
        <w:footnoteRef/>
      </w:r>
      <w:r>
        <w:t xml:space="preserve"> </w:t>
      </w:r>
      <w:r>
        <w:rPr>
          <w:lang w:val="en-US"/>
        </w:rPr>
        <w:t xml:space="preserve">See A/HRC/49/78, paras 82-86. As noted above, the Commission in December 2021 hosted a high-level Conference to sustain momentum on the implementation of transitional justice processes, an outcome of which was resolutions by participants to, inter alia, address blockages, including by improving cooperation between the Government of South Sudan and the African Union to establish the Hybrid Court. </w:t>
      </w:r>
    </w:p>
  </w:footnote>
  <w:footnote w:id="260">
    <w:p w14:paraId="5F11178E" w14:textId="62C44B85" w:rsidR="00E82108" w:rsidRPr="00AF1C36" w:rsidRDefault="00E82108" w:rsidP="004C6C03">
      <w:pPr>
        <w:pStyle w:val="FootnoteText"/>
        <w:rPr>
          <w:lang w:val="en-US"/>
        </w:rPr>
      </w:pPr>
      <w:r>
        <w:rPr>
          <w:rStyle w:val="FootnoteReference"/>
        </w:rPr>
        <w:footnoteRef/>
      </w:r>
      <w:r>
        <w:t xml:space="preserve"> </w:t>
      </w:r>
      <w:r w:rsidRPr="001A3FD9">
        <w:t xml:space="preserve">This perspective is reinforced by </w:t>
      </w:r>
      <w:r>
        <w:t>United Nations Security Council resolution 1820 on women, peace and security</w:t>
      </w:r>
      <w:r w:rsidRPr="001A3FD9">
        <w:t>, which states makes the point that wartime sexual violence is “a tactic of war” used to “humiliate, dominate, instil fear in, disperse and/or forcibly relocate civilian members of a community or ethnic group</w:t>
      </w:r>
      <w:r>
        <w:t>.</w:t>
      </w:r>
      <w:r w:rsidRPr="001A3FD9">
        <w:t>”</w:t>
      </w:r>
      <w:r>
        <w:t xml:space="preserve"> S/RES/1820</w:t>
      </w:r>
    </w:p>
  </w:footnote>
  <w:footnote w:id="261">
    <w:p w14:paraId="3C4588EB" w14:textId="2F442748" w:rsidR="00E82108" w:rsidRPr="006E7CD7" w:rsidRDefault="00E82108" w:rsidP="004C6C03">
      <w:pPr>
        <w:pStyle w:val="FootnoteText"/>
        <w:rPr>
          <w:lang w:val="en-US"/>
        </w:rPr>
      </w:pPr>
      <w:r>
        <w:rPr>
          <w:rStyle w:val="FootnoteReference"/>
        </w:rPr>
        <w:footnoteRef/>
      </w:r>
      <w:r>
        <w:t xml:space="preserve"> </w:t>
      </w:r>
      <w:r w:rsidRPr="00BC49D2">
        <w:t xml:space="preserve">For example, amendment No. 6 of the Transitional Constitution was guaranteed through the </w:t>
      </w:r>
      <w:r>
        <w:t xml:space="preserve">Revitalized Agreement </w:t>
      </w:r>
      <w:r w:rsidRPr="00BC49D2">
        <w:t>and the National Action Plan on UNSCR 1325.</w:t>
      </w:r>
    </w:p>
  </w:footnote>
  <w:footnote w:id="262">
    <w:p w14:paraId="33A56418" w14:textId="77777777" w:rsidR="00E82108" w:rsidRDefault="00E82108" w:rsidP="004C6C03">
      <w:pPr>
        <w:pStyle w:val="FootnoteText"/>
      </w:pPr>
      <w:r>
        <w:rPr>
          <w:rStyle w:val="FootnoteReference"/>
        </w:rPr>
        <w:footnoteRef/>
      </w:r>
      <w:r>
        <w:t xml:space="preserve"> </w:t>
      </w:r>
      <w:r>
        <w:rPr>
          <w:lang w:val="en-US"/>
        </w:rPr>
        <w:t xml:space="preserve">AU </w:t>
      </w:r>
      <w:r w:rsidRPr="00304353">
        <w:rPr>
          <w:lang w:val="en-US"/>
        </w:rPr>
        <w:t>Kinshasa Declaration and Call for Action of the African Union Heads of State on Positive Masculinity in Leadership to End Violence against Women and Girls in Africa, November 2021</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293B" w14:textId="6F30BB81" w:rsidR="00E82108" w:rsidRPr="009B2958" w:rsidRDefault="00E82108">
    <w:pPr>
      <w:pStyle w:val="Header"/>
      <w:rPr>
        <w:lang w:val="en-US"/>
      </w:rPr>
    </w:pPr>
    <w:r>
      <w:rPr>
        <w:lang w:val="en-US"/>
      </w:rPr>
      <w:t>A/HRC/49/CRP.4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BE9E" w14:textId="3EBB2898" w:rsidR="00E82108" w:rsidRPr="00712CBD" w:rsidRDefault="00E82108" w:rsidP="00EC6FBA">
    <w:pPr>
      <w:pStyle w:val="Header"/>
      <w:jc w:val="right"/>
      <w:rPr>
        <w:lang w:val="en-US"/>
      </w:rPr>
    </w:pPr>
    <w:r>
      <w:rPr>
        <w:lang w:val="en-US"/>
      </w:rPr>
      <w:t>A/HRC/49/CRP.4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2C7"/>
    <w:multiLevelType w:val="hybridMultilevel"/>
    <w:tmpl w:val="29727034"/>
    <w:lvl w:ilvl="0" w:tplc="E6E2054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C50"/>
    <w:multiLevelType w:val="hybridMultilevel"/>
    <w:tmpl w:val="3BC20974"/>
    <w:lvl w:ilvl="0" w:tplc="93B05096">
      <w:start w:val="1"/>
      <w:numFmt w:val="decimal"/>
      <w:pStyle w:val="H23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A57579E"/>
    <w:multiLevelType w:val="hybridMultilevel"/>
    <w:tmpl w:val="BB28682A"/>
    <w:lvl w:ilvl="0" w:tplc="FFFFFFFF">
      <w:start w:val="1"/>
      <w:numFmt w:val="decimal"/>
      <w:lvlText w:val="%1."/>
      <w:lvlJc w:val="left"/>
      <w:pPr>
        <w:ind w:left="720" w:hanging="360"/>
      </w:pPr>
      <w:rPr>
        <w:rFonts w:hint="default"/>
      </w:rPr>
    </w:lvl>
    <w:lvl w:ilvl="1" w:tplc="E6E2054E">
      <w:start w:val="1"/>
      <w:numFmt w:val="lowerLetter"/>
      <w:lvlText w:val="(%2)"/>
      <w:lvlJc w:val="left"/>
      <w:pPr>
        <w:ind w:left="1440" w:hanging="360"/>
      </w:pPr>
      <w:rPr>
        <w:rFonts w:ascii="Times New Roman" w:eastAsiaTheme="minorHAns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D5A7938"/>
    <w:multiLevelType w:val="hybridMultilevel"/>
    <w:tmpl w:val="7E3E7F1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C04BB8"/>
    <w:multiLevelType w:val="hybridMultilevel"/>
    <w:tmpl w:val="7E3E7F1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A52000"/>
    <w:multiLevelType w:val="hybridMultilevel"/>
    <w:tmpl w:val="29727034"/>
    <w:lvl w:ilvl="0" w:tplc="FFFFFFFF">
      <w:start w:val="1"/>
      <w:numFmt w:val="lowerLetter"/>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61743C"/>
    <w:multiLevelType w:val="hybridMultilevel"/>
    <w:tmpl w:val="352A1684"/>
    <w:lvl w:ilvl="0" w:tplc="23C0C9BC">
      <w:start w:val="1"/>
      <w:numFmt w:val="decimal"/>
      <w:pStyle w:val="Paragraph"/>
      <w:lvlText w:val="%1."/>
      <w:lvlJc w:val="left"/>
      <w:pPr>
        <w:ind w:left="72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11163"/>
    <w:multiLevelType w:val="hybridMultilevel"/>
    <w:tmpl w:val="29727034"/>
    <w:lvl w:ilvl="0" w:tplc="FFFFFFFF">
      <w:start w:val="1"/>
      <w:numFmt w:val="lowerLetter"/>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06D78"/>
    <w:multiLevelType w:val="hybridMultilevel"/>
    <w:tmpl w:val="DA9C227C"/>
    <w:lvl w:ilvl="0" w:tplc="7F92A60C">
      <w:start w:val="1"/>
      <w:numFmt w:val="upperRoman"/>
      <w:pStyle w:val="HChG"/>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F5D4F"/>
    <w:multiLevelType w:val="hybridMultilevel"/>
    <w:tmpl w:val="393C364A"/>
    <w:lvl w:ilvl="0" w:tplc="39363416">
      <w:start w:val="1"/>
      <w:numFmt w:val="decimal"/>
      <w:pStyle w:val="BodyText"/>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CE669A5"/>
    <w:multiLevelType w:val="multilevel"/>
    <w:tmpl w:val="2B7A5FDC"/>
    <w:lvl w:ilvl="0">
      <w:start w:val="1"/>
      <w:numFmt w:val="bullet"/>
      <w:pStyle w:val="NormalBullet"/>
      <w:lvlText w:val=""/>
      <w:lvlJc w:val="left"/>
      <w:pPr>
        <w:tabs>
          <w:tab w:val="num" w:pos="1700"/>
        </w:tabs>
        <w:ind w:left="1542" w:hanging="202"/>
      </w:pPr>
      <w:rPr>
        <w:rFonts w:ascii="Symbol" w:hAnsi="Symbol" w:hint="default"/>
      </w:rPr>
    </w:lvl>
    <w:lvl w:ilvl="1">
      <w:start w:val="1"/>
      <w:numFmt w:val="lowerLetter"/>
      <w:lvlText w:val="%2)"/>
      <w:lvlJc w:val="left"/>
      <w:pPr>
        <w:tabs>
          <w:tab w:val="num" w:pos="2060"/>
        </w:tabs>
        <w:ind w:left="2060" w:hanging="360"/>
      </w:pPr>
      <w:rPr>
        <w:rFonts w:hint="default"/>
      </w:rPr>
    </w:lvl>
    <w:lvl w:ilvl="2">
      <w:start w:val="1"/>
      <w:numFmt w:val="lowerRoman"/>
      <w:lvlText w:val="%3)"/>
      <w:lvlJc w:val="left"/>
      <w:pPr>
        <w:tabs>
          <w:tab w:val="num" w:pos="2420"/>
        </w:tabs>
        <w:ind w:left="2420" w:hanging="360"/>
      </w:pPr>
      <w:rPr>
        <w:rFonts w:hint="default"/>
      </w:rPr>
    </w:lvl>
    <w:lvl w:ilvl="3">
      <w:start w:val="1"/>
      <w:numFmt w:val="decimal"/>
      <w:lvlText w:val="(%4)"/>
      <w:lvlJc w:val="left"/>
      <w:pPr>
        <w:tabs>
          <w:tab w:val="num" w:pos="2780"/>
        </w:tabs>
        <w:ind w:left="2780" w:hanging="360"/>
      </w:pPr>
      <w:rPr>
        <w:rFonts w:hint="default"/>
      </w:rPr>
    </w:lvl>
    <w:lvl w:ilvl="4">
      <w:start w:val="1"/>
      <w:numFmt w:val="lowerLetter"/>
      <w:lvlText w:val="(%5)"/>
      <w:lvlJc w:val="left"/>
      <w:pPr>
        <w:tabs>
          <w:tab w:val="num" w:pos="3140"/>
        </w:tabs>
        <w:ind w:left="3140" w:hanging="360"/>
      </w:pPr>
      <w:rPr>
        <w:rFonts w:hint="default"/>
      </w:rPr>
    </w:lvl>
    <w:lvl w:ilvl="5">
      <w:start w:val="1"/>
      <w:numFmt w:val="lowerRoman"/>
      <w:lvlText w:val="(%6)"/>
      <w:lvlJc w:val="left"/>
      <w:pPr>
        <w:tabs>
          <w:tab w:val="num" w:pos="3500"/>
        </w:tabs>
        <w:ind w:left="3500" w:hanging="360"/>
      </w:pPr>
      <w:rPr>
        <w:rFonts w:hint="default"/>
      </w:rPr>
    </w:lvl>
    <w:lvl w:ilvl="6">
      <w:start w:val="1"/>
      <w:numFmt w:val="decimal"/>
      <w:lvlText w:val="%7."/>
      <w:lvlJc w:val="left"/>
      <w:pPr>
        <w:tabs>
          <w:tab w:val="num" w:pos="3860"/>
        </w:tabs>
        <w:ind w:left="3860" w:hanging="360"/>
      </w:pPr>
      <w:rPr>
        <w:rFonts w:hint="default"/>
      </w:rPr>
    </w:lvl>
    <w:lvl w:ilvl="7">
      <w:start w:val="1"/>
      <w:numFmt w:val="lowerLetter"/>
      <w:lvlText w:val="%8."/>
      <w:lvlJc w:val="left"/>
      <w:pPr>
        <w:tabs>
          <w:tab w:val="num" w:pos="4220"/>
        </w:tabs>
        <w:ind w:left="4220" w:hanging="360"/>
      </w:pPr>
      <w:rPr>
        <w:rFonts w:hint="default"/>
      </w:rPr>
    </w:lvl>
    <w:lvl w:ilvl="8">
      <w:start w:val="1"/>
      <w:numFmt w:val="lowerRoman"/>
      <w:lvlText w:val="%9."/>
      <w:lvlJc w:val="left"/>
      <w:pPr>
        <w:tabs>
          <w:tab w:val="num" w:pos="4580"/>
        </w:tabs>
        <w:ind w:left="4580" w:hanging="360"/>
      </w:pPr>
      <w:rPr>
        <w:rFonts w:hint="default"/>
      </w:rPr>
    </w:lvl>
  </w:abstractNum>
  <w:abstractNum w:abstractNumId="14" w15:restartNumberingAfterBreak="0">
    <w:nsid w:val="632F3D6C"/>
    <w:multiLevelType w:val="hybridMultilevel"/>
    <w:tmpl w:val="0B588A64"/>
    <w:lvl w:ilvl="0" w:tplc="56383848">
      <w:start w:val="1"/>
      <w:numFmt w:val="decimal"/>
      <w:lvlText w:val="%1."/>
      <w:lvlJc w:val="left"/>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386" w:hanging="360"/>
      </w:pPr>
    </w:lvl>
    <w:lvl w:ilvl="2" w:tplc="0409000F">
      <w:start w:val="1"/>
      <w:numFmt w:val="decimal"/>
      <w:lvlText w:val="%3."/>
      <w:lvlJc w:val="left"/>
      <w:pPr>
        <w:ind w:left="2106" w:hanging="180"/>
      </w:pPr>
    </w:lvl>
    <w:lvl w:ilvl="3" w:tplc="0409000F">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6A2A1401"/>
    <w:multiLevelType w:val="hybridMultilevel"/>
    <w:tmpl w:val="84E024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5D5B47"/>
    <w:multiLevelType w:val="hybridMultilevel"/>
    <w:tmpl w:val="DE340F9A"/>
    <w:lvl w:ilvl="0" w:tplc="09D23B0C">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11"/>
  </w:num>
  <w:num w:numId="5">
    <w:abstractNumId w:val="2"/>
  </w:num>
  <w:num w:numId="6">
    <w:abstractNumId w:val="13"/>
  </w:num>
  <w:num w:numId="7">
    <w:abstractNumId w:val="12"/>
  </w:num>
  <w:num w:numId="8">
    <w:abstractNumId w:val="1"/>
  </w:num>
  <w:num w:numId="9">
    <w:abstractNumId w:val="9"/>
  </w:num>
  <w:num w:numId="10">
    <w:abstractNumId w:val="6"/>
  </w:num>
  <w:num w:numId="11">
    <w:abstractNumId w:val="16"/>
  </w:num>
  <w:num w:numId="12">
    <w:abstractNumId w:val="4"/>
  </w:num>
  <w:num w:numId="13">
    <w:abstractNumId w:val="9"/>
    <w:lvlOverride w:ilvl="0">
      <w:startOverride w:val="202"/>
    </w:lvlOverride>
  </w:num>
  <w:num w:numId="14">
    <w:abstractNumId w:val="7"/>
  </w:num>
  <w:num w:numId="15">
    <w:abstractNumId w:val="11"/>
    <w:lvlOverride w:ilvl="0">
      <w:startOverride w:val="1"/>
    </w:lvlOverride>
  </w:num>
  <w:num w:numId="16">
    <w:abstractNumId w:val="14"/>
  </w:num>
  <w:num w:numId="17">
    <w:abstractNumId w:val="17"/>
  </w:num>
  <w:num w:numId="18">
    <w:abstractNumId w:val="9"/>
  </w:num>
  <w:num w:numId="19">
    <w:abstractNumId w:val="9"/>
  </w:num>
  <w:num w:numId="20">
    <w:abstractNumId w:val="9"/>
  </w:num>
  <w:num w:numId="21">
    <w:abstractNumId w:val="0"/>
  </w:num>
  <w:num w:numId="22">
    <w:abstractNumId w:val="8"/>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ZA"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ZW" w:vendorID="64" w:dllVersion="0" w:nlCheck="1" w:checkStyle="0"/>
  <w:activeWritingStyle w:appName="MSWord" w:lang="en-ZA"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BA"/>
    <w:rsid w:val="0000012D"/>
    <w:rsid w:val="00000B70"/>
    <w:rsid w:val="00000F09"/>
    <w:rsid w:val="000019E0"/>
    <w:rsid w:val="00001A63"/>
    <w:rsid w:val="00001C4C"/>
    <w:rsid w:val="000020BD"/>
    <w:rsid w:val="0000314D"/>
    <w:rsid w:val="000038EC"/>
    <w:rsid w:val="00003D38"/>
    <w:rsid w:val="00003E53"/>
    <w:rsid w:val="000040ED"/>
    <w:rsid w:val="000041F3"/>
    <w:rsid w:val="0000454D"/>
    <w:rsid w:val="000053AE"/>
    <w:rsid w:val="00006902"/>
    <w:rsid w:val="000075B4"/>
    <w:rsid w:val="0000796E"/>
    <w:rsid w:val="00007D9A"/>
    <w:rsid w:val="00007F7F"/>
    <w:rsid w:val="00010048"/>
    <w:rsid w:val="000107A0"/>
    <w:rsid w:val="00010AC1"/>
    <w:rsid w:val="00010DBB"/>
    <w:rsid w:val="00011685"/>
    <w:rsid w:val="00011A6C"/>
    <w:rsid w:val="00011AEF"/>
    <w:rsid w:val="0001208B"/>
    <w:rsid w:val="000125F7"/>
    <w:rsid w:val="0001357B"/>
    <w:rsid w:val="00013ACF"/>
    <w:rsid w:val="00013ED3"/>
    <w:rsid w:val="000141B7"/>
    <w:rsid w:val="00014B9E"/>
    <w:rsid w:val="00014DF8"/>
    <w:rsid w:val="00014E62"/>
    <w:rsid w:val="000151E6"/>
    <w:rsid w:val="000152D6"/>
    <w:rsid w:val="0001551A"/>
    <w:rsid w:val="000159AB"/>
    <w:rsid w:val="00017C43"/>
    <w:rsid w:val="000206E0"/>
    <w:rsid w:val="00020897"/>
    <w:rsid w:val="00020A88"/>
    <w:rsid w:val="00020A90"/>
    <w:rsid w:val="00021B1B"/>
    <w:rsid w:val="0002275A"/>
    <w:rsid w:val="0002278E"/>
    <w:rsid w:val="00022DB5"/>
    <w:rsid w:val="00022F6F"/>
    <w:rsid w:val="000234B0"/>
    <w:rsid w:val="00023A50"/>
    <w:rsid w:val="00023D0C"/>
    <w:rsid w:val="00024333"/>
    <w:rsid w:val="00024837"/>
    <w:rsid w:val="00024E55"/>
    <w:rsid w:val="00025033"/>
    <w:rsid w:val="000267D7"/>
    <w:rsid w:val="0002762A"/>
    <w:rsid w:val="0002769F"/>
    <w:rsid w:val="00027AFC"/>
    <w:rsid w:val="00027E33"/>
    <w:rsid w:val="00030A2F"/>
    <w:rsid w:val="000317A1"/>
    <w:rsid w:val="0003180B"/>
    <w:rsid w:val="0003254C"/>
    <w:rsid w:val="00032561"/>
    <w:rsid w:val="00032D49"/>
    <w:rsid w:val="00032EE6"/>
    <w:rsid w:val="00033713"/>
    <w:rsid w:val="00033BA3"/>
    <w:rsid w:val="00033CA4"/>
    <w:rsid w:val="00034271"/>
    <w:rsid w:val="00034B5A"/>
    <w:rsid w:val="000352F2"/>
    <w:rsid w:val="000354D8"/>
    <w:rsid w:val="000356E1"/>
    <w:rsid w:val="000357B2"/>
    <w:rsid w:val="00036258"/>
    <w:rsid w:val="00036E22"/>
    <w:rsid w:val="000375D7"/>
    <w:rsid w:val="0003797E"/>
    <w:rsid w:val="000403D1"/>
    <w:rsid w:val="0004049B"/>
    <w:rsid w:val="000408C5"/>
    <w:rsid w:val="00040F70"/>
    <w:rsid w:val="00041529"/>
    <w:rsid w:val="00041D15"/>
    <w:rsid w:val="00041F21"/>
    <w:rsid w:val="00042075"/>
    <w:rsid w:val="00042F36"/>
    <w:rsid w:val="000449AA"/>
    <w:rsid w:val="0004547B"/>
    <w:rsid w:val="00045B9C"/>
    <w:rsid w:val="00046246"/>
    <w:rsid w:val="000467DC"/>
    <w:rsid w:val="00046F84"/>
    <w:rsid w:val="00047121"/>
    <w:rsid w:val="000477E8"/>
    <w:rsid w:val="000508E8"/>
    <w:rsid w:val="00050D66"/>
    <w:rsid w:val="00050F6B"/>
    <w:rsid w:val="000517B2"/>
    <w:rsid w:val="00051E9E"/>
    <w:rsid w:val="00051FB4"/>
    <w:rsid w:val="000522C5"/>
    <w:rsid w:val="00052633"/>
    <w:rsid w:val="00052DDA"/>
    <w:rsid w:val="000536C2"/>
    <w:rsid w:val="0005421E"/>
    <w:rsid w:val="00054321"/>
    <w:rsid w:val="000552DF"/>
    <w:rsid w:val="00056467"/>
    <w:rsid w:val="0005662A"/>
    <w:rsid w:val="00056832"/>
    <w:rsid w:val="00056A84"/>
    <w:rsid w:val="000575EE"/>
    <w:rsid w:val="00057860"/>
    <w:rsid w:val="00060280"/>
    <w:rsid w:val="00060925"/>
    <w:rsid w:val="000611F2"/>
    <w:rsid w:val="000615DF"/>
    <w:rsid w:val="00061735"/>
    <w:rsid w:val="00061C4A"/>
    <w:rsid w:val="00061C96"/>
    <w:rsid w:val="000629A6"/>
    <w:rsid w:val="0006343B"/>
    <w:rsid w:val="000637C4"/>
    <w:rsid w:val="00063993"/>
    <w:rsid w:val="00064D59"/>
    <w:rsid w:val="00065C15"/>
    <w:rsid w:val="00066095"/>
    <w:rsid w:val="0006630A"/>
    <w:rsid w:val="00066497"/>
    <w:rsid w:val="000671CD"/>
    <w:rsid w:val="00067798"/>
    <w:rsid w:val="00067E09"/>
    <w:rsid w:val="00067F1D"/>
    <w:rsid w:val="00067F8E"/>
    <w:rsid w:val="000705E0"/>
    <w:rsid w:val="00070C2B"/>
    <w:rsid w:val="00070CD5"/>
    <w:rsid w:val="00071147"/>
    <w:rsid w:val="00071A84"/>
    <w:rsid w:val="00072C8C"/>
    <w:rsid w:val="00072DC8"/>
    <w:rsid w:val="00073490"/>
    <w:rsid w:val="00073984"/>
    <w:rsid w:val="00073E6E"/>
    <w:rsid w:val="00073E70"/>
    <w:rsid w:val="0007438B"/>
    <w:rsid w:val="00074C6C"/>
    <w:rsid w:val="00074C8C"/>
    <w:rsid w:val="00074F84"/>
    <w:rsid w:val="000752F3"/>
    <w:rsid w:val="0007595B"/>
    <w:rsid w:val="000760ED"/>
    <w:rsid w:val="000761E1"/>
    <w:rsid w:val="00076342"/>
    <w:rsid w:val="000765F8"/>
    <w:rsid w:val="000766DB"/>
    <w:rsid w:val="000774E5"/>
    <w:rsid w:val="000775BD"/>
    <w:rsid w:val="00077B69"/>
    <w:rsid w:val="00077D62"/>
    <w:rsid w:val="00077FCE"/>
    <w:rsid w:val="00080819"/>
    <w:rsid w:val="00080AA5"/>
    <w:rsid w:val="00081250"/>
    <w:rsid w:val="00081268"/>
    <w:rsid w:val="000813C3"/>
    <w:rsid w:val="00081956"/>
    <w:rsid w:val="00081ADD"/>
    <w:rsid w:val="00081B66"/>
    <w:rsid w:val="000825DB"/>
    <w:rsid w:val="00082C2F"/>
    <w:rsid w:val="00082D4D"/>
    <w:rsid w:val="00083000"/>
    <w:rsid w:val="00083157"/>
    <w:rsid w:val="0008425C"/>
    <w:rsid w:val="00084577"/>
    <w:rsid w:val="0008516E"/>
    <w:rsid w:val="0008538C"/>
    <w:rsid w:val="00086209"/>
    <w:rsid w:val="00086D45"/>
    <w:rsid w:val="00086E9A"/>
    <w:rsid w:val="000876EB"/>
    <w:rsid w:val="00087B49"/>
    <w:rsid w:val="00087C2D"/>
    <w:rsid w:val="0009070C"/>
    <w:rsid w:val="000908C1"/>
    <w:rsid w:val="00091419"/>
    <w:rsid w:val="00091443"/>
    <w:rsid w:val="0009178B"/>
    <w:rsid w:val="00091CF8"/>
    <w:rsid w:val="00091D00"/>
    <w:rsid w:val="0009225A"/>
    <w:rsid w:val="0009290A"/>
    <w:rsid w:val="000931C0"/>
    <w:rsid w:val="000934E9"/>
    <w:rsid w:val="00093ECB"/>
    <w:rsid w:val="000948F9"/>
    <w:rsid w:val="00094981"/>
    <w:rsid w:val="00094B27"/>
    <w:rsid w:val="000953EC"/>
    <w:rsid w:val="00095504"/>
    <w:rsid w:val="000958FB"/>
    <w:rsid w:val="000961FA"/>
    <w:rsid w:val="00096DF9"/>
    <w:rsid w:val="0009764C"/>
    <w:rsid w:val="0009793A"/>
    <w:rsid w:val="000A005E"/>
    <w:rsid w:val="000A01A6"/>
    <w:rsid w:val="000A0B09"/>
    <w:rsid w:val="000A185C"/>
    <w:rsid w:val="000A316C"/>
    <w:rsid w:val="000A4075"/>
    <w:rsid w:val="000A4663"/>
    <w:rsid w:val="000A48D1"/>
    <w:rsid w:val="000A4A4E"/>
    <w:rsid w:val="000A4C9B"/>
    <w:rsid w:val="000A54CD"/>
    <w:rsid w:val="000A5553"/>
    <w:rsid w:val="000A5BAC"/>
    <w:rsid w:val="000A611C"/>
    <w:rsid w:val="000A6207"/>
    <w:rsid w:val="000A6A08"/>
    <w:rsid w:val="000A6AF0"/>
    <w:rsid w:val="000A6C16"/>
    <w:rsid w:val="000A6DE5"/>
    <w:rsid w:val="000A7D9F"/>
    <w:rsid w:val="000B00E3"/>
    <w:rsid w:val="000B0463"/>
    <w:rsid w:val="000B0AB9"/>
    <w:rsid w:val="000B0CFA"/>
    <w:rsid w:val="000B0F99"/>
    <w:rsid w:val="000B1301"/>
    <w:rsid w:val="000B175B"/>
    <w:rsid w:val="000B1A00"/>
    <w:rsid w:val="000B1FA6"/>
    <w:rsid w:val="000B23E5"/>
    <w:rsid w:val="000B2615"/>
    <w:rsid w:val="000B2851"/>
    <w:rsid w:val="000B2DF3"/>
    <w:rsid w:val="000B30FB"/>
    <w:rsid w:val="000B33EA"/>
    <w:rsid w:val="000B34CB"/>
    <w:rsid w:val="000B372F"/>
    <w:rsid w:val="000B3922"/>
    <w:rsid w:val="000B3A0F"/>
    <w:rsid w:val="000B4A3B"/>
    <w:rsid w:val="000B611B"/>
    <w:rsid w:val="000B7BF4"/>
    <w:rsid w:val="000B7F99"/>
    <w:rsid w:val="000C0415"/>
    <w:rsid w:val="000C0578"/>
    <w:rsid w:val="000C06B3"/>
    <w:rsid w:val="000C08D3"/>
    <w:rsid w:val="000C0FCF"/>
    <w:rsid w:val="000C1007"/>
    <w:rsid w:val="000C10F4"/>
    <w:rsid w:val="000C15C9"/>
    <w:rsid w:val="000C1685"/>
    <w:rsid w:val="000C1AE7"/>
    <w:rsid w:val="000C20AD"/>
    <w:rsid w:val="000C290D"/>
    <w:rsid w:val="000C30D7"/>
    <w:rsid w:val="000C3114"/>
    <w:rsid w:val="000C315C"/>
    <w:rsid w:val="000C389E"/>
    <w:rsid w:val="000C3A73"/>
    <w:rsid w:val="000C410E"/>
    <w:rsid w:val="000C501C"/>
    <w:rsid w:val="000C5275"/>
    <w:rsid w:val="000C53AB"/>
    <w:rsid w:val="000C54F5"/>
    <w:rsid w:val="000C5565"/>
    <w:rsid w:val="000C589E"/>
    <w:rsid w:val="000C59D8"/>
    <w:rsid w:val="000C5C64"/>
    <w:rsid w:val="000C5EFD"/>
    <w:rsid w:val="000C70AD"/>
    <w:rsid w:val="000C74A3"/>
    <w:rsid w:val="000C75D4"/>
    <w:rsid w:val="000D0832"/>
    <w:rsid w:val="000D10A2"/>
    <w:rsid w:val="000D17B2"/>
    <w:rsid w:val="000D1851"/>
    <w:rsid w:val="000D1D49"/>
    <w:rsid w:val="000D25F2"/>
    <w:rsid w:val="000D3644"/>
    <w:rsid w:val="000D3917"/>
    <w:rsid w:val="000D3AF1"/>
    <w:rsid w:val="000D3BFE"/>
    <w:rsid w:val="000D3DC5"/>
    <w:rsid w:val="000D47B0"/>
    <w:rsid w:val="000D4C06"/>
    <w:rsid w:val="000D5BF4"/>
    <w:rsid w:val="000D696C"/>
    <w:rsid w:val="000D6DCA"/>
    <w:rsid w:val="000D6F3B"/>
    <w:rsid w:val="000D79BF"/>
    <w:rsid w:val="000D7D9C"/>
    <w:rsid w:val="000D7EC6"/>
    <w:rsid w:val="000E020D"/>
    <w:rsid w:val="000E0415"/>
    <w:rsid w:val="000E0D48"/>
    <w:rsid w:val="000E0D66"/>
    <w:rsid w:val="000E2634"/>
    <w:rsid w:val="000E2EDB"/>
    <w:rsid w:val="000E300B"/>
    <w:rsid w:val="000E32CE"/>
    <w:rsid w:val="000E32D8"/>
    <w:rsid w:val="000E3BE8"/>
    <w:rsid w:val="000E3D65"/>
    <w:rsid w:val="000E3F2F"/>
    <w:rsid w:val="000E5063"/>
    <w:rsid w:val="000E50C6"/>
    <w:rsid w:val="000E54DD"/>
    <w:rsid w:val="000E5751"/>
    <w:rsid w:val="000E59F1"/>
    <w:rsid w:val="000E5B49"/>
    <w:rsid w:val="000E5FAB"/>
    <w:rsid w:val="000E673B"/>
    <w:rsid w:val="000E6911"/>
    <w:rsid w:val="000E6A64"/>
    <w:rsid w:val="000E7413"/>
    <w:rsid w:val="000E7AA2"/>
    <w:rsid w:val="000E7D9A"/>
    <w:rsid w:val="000E7DA1"/>
    <w:rsid w:val="000E7F2C"/>
    <w:rsid w:val="000F02D6"/>
    <w:rsid w:val="000F04FF"/>
    <w:rsid w:val="000F07A4"/>
    <w:rsid w:val="000F2263"/>
    <w:rsid w:val="000F26E3"/>
    <w:rsid w:val="000F3648"/>
    <w:rsid w:val="000F3A96"/>
    <w:rsid w:val="000F3AA7"/>
    <w:rsid w:val="000F4514"/>
    <w:rsid w:val="000F4957"/>
    <w:rsid w:val="000F5C59"/>
    <w:rsid w:val="000F6D2F"/>
    <w:rsid w:val="000F6E19"/>
    <w:rsid w:val="000F7CE4"/>
    <w:rsid w:val="0010011C"/>
    <w:rsid w:val="00101BEC"/>
    <w:rsid w:val="00101DB3"/>
    <w:rsid w:val="00101EEE"/>
    <w:rsid w:val="00101F54"/>
    <w:rsid w:val="001021D3"/>
    <w:rsid w:val="001028A2"/>
    <w:rsid w:val="00102F4B"/>
    <w:rsid w:val="001035D7"/>
    <w:rsid w:val="00103A54"/>
    <w:rsid w:val="001042DA"/>
    <w:rsid w:val="001045D4"/>
    <w:rsid w:val="00104F91"/>
    <w:rsid w:val="00105D66"/>
    <w:rsid w:val="001063E8"/>
    <w:rsid w:val="001074C2"/>
    <w:rsid w:val="0011058E"/>
    <w:rsid w:val="00110630"/>
    <w:rsid w:val="001106D2"/>
    <w:rsid w:val="00111025"/>
    <w:rsid w:val="00111E9A"/>
    <w:rsid w:val="001124B1"/>
    <w:rsid w:val="00112A82"/>
    <w:rsid w:val="001134F8"/>
    <w:rsid w:val="0011352C"/>
    <w:rsid w:val="001135D1"/>
    <w:rsid w:val="00113BC1"/>
    <w:rsid w:val="001142BD"/>
    <w:rsid w:val="0011477B"/>
    <w:rsid w:val="00115718"/>
    <w:rsid w:val="001158F0"/>
    <w:rsid w:val="00115D1A"/>
    <w:rsid w:val="00115FB2"/>
    <w:rsid w:val="001168EB"/>
    <w:rsid w:val="001171C1"/>
    <w:rsid w:val="00117332"/>
    <w:rsid w:val="001202D4"/>
    <w:rsid w:val="00120B03"/>
    <w:rsid w:val="0012175D"/>
    <w:rsid w:val="00121C82"/>
    <w:rsid w:val="00121DA2"/>
    <w:rsid w:val="00122004"/>
    <w:rsid w:val="00122580"/>
    <w:rsid w:val="0012259D"/>
    <w:rsid w:val="00123961"/>
    <w:rsid w:val="00123D70"/>
    <w:rsid w:val="00123E17"/>
    <w:rsid w:val="00124223"/>
    <w:rsid w:val="00124680"/>
    <w:rsid w:val="00124BFA"/>
    <w:rsid w:val="0012515E"/>
    <w:rsid w:val="001256DB"/>
    <w:rsid w:val="00125737"/>
    <w:rsid w:val="00125793"/>
    <w:rsid w:val="00125DF6"/>
    <w:rsid w:val="0012643E"/>
    <w:rsid w:val="00127568"/>
    <w:rsid w:val="00127B01"/>
    <w:rsid w:val="001306AD"/>
    <w:rsid w:val="00131AC4"/>
    <w:rsid w:val="00131ED6"/>
    <w:rsid w:val="00132F6D"/>
    <w:rsid w:val="00133990"/>
    <w:rsid w:val="00133F3A"/>
    <w:rsid w:val="00134414"/>
    <w:rsid w:val="001355C7"/>
    <w:rsid w:val="00135F0C"/>
    <w:rsid w:val="001360A6"/>
    <w:rsid w:val="001363CA"/>
    <w:rsid w:val="00136420"/>
    <w:rsid w:val="00136652"/>
    <w:rsid w:val="001367B1"/>
    <w:rsid w:val="00136886"/>
    <w:rsid w:val="001368D5"/>
    <w:rsid w:val="00136D1B"/>
    <w:rsid w:val="0013729D"/>
    <w:rsid w:val="00137734"/>
    <w:rsid w:val="00140807"/>
    <w:rsid w:val="00140AB5"/>
    <w:rsid w:val="001430F5"/>
    <w:rsid w:val="0014315D"/>
    <w:rsid w:val="00143D53"/>
    <w:rsid w:val="001440D0"/>
    <w:rsid w:val="0014471B"/>
    <w:rsid w:val="001448D2"/>
    <w:rsid w:val="00144957"/>
    <w:rsid w:val="00144C33"/>
    <w:rsid w:val="00144F91"/>
    <w:rsid w:val="001462F6"/>
    <w:rsid w:val="0014690A"/>
    <w:rsid w:val="00146A2E"/>
    <w:rsid w:val="00146A67"/>
    <w:rsid w:val="00146D32"/>
    <w:rsid w:val="00147968"/>
    <w:rsid w:val="001479B1"/>
    <w:rsid w:val="00147A8F"/>
    <w:rsid w:val="001509BA"/>
    <w:rsid w:val="00151473"/>
    <w:rsid w:val="00151A81"/>
    <w:rsid w:val="00152347"/>
    <w:rsid w:val="001524E1"/>
    <w:rsid w:val="00152AAC"/>
    <w:rsid w:val="0015442E"/>
    <w:rsid w:val="00154645"/>
    <w:rsid w:val="00155128"/>
    <w:rsid w:val="00155C13"/>
    <w:rsid w:val="0015662D"/>
    <w:rsid w:val="00157566"/>
    <w:rsid w:val="001577F2"/>
    <w:rsid w:val="00157D59"/>
    <w:rsid w:val="00160E95"/>
    <w:rsid w:val="0016161F"/>
    <w:rsid w:val="001620F5"/>
    <w:rsid w:val="0016296C"/>
    <w:rsid w:val="00162C90"/>
    <w:rsid w:val="001630CA"/>
    <w:rsid w:val="001634E8"/>
    <w:rsid w:val="00163CFF"/>
    <w:rsid w:val="00163E42"/>
    <w:rsid w:val="00164246"/>
    <w:rsid w:val="00164454"/>
    <w:rsid w:val="001649D6"/>
    <w:rsid w:val="0016550D"/>
    <w:rsid w:val="001657BC"/>
    <w:rsid w:val="00165805"/>
    <w:rsid w:val="001658B8"/>
    <w:rsid w:val="0016617E"/>
    <w:rsid w:val="00166B93"/>
    <w:rsid w:val="00167012"/>
    <w:rsid w:val="0016735B"/>
    <w:rsid w:val="001675F7"/>
    <w:rsid w:val="00167615"/>
    <w:rsid w:val="00170881"/>
    <w:rsid w:val="00170A33"/>
    <w:rsid w:val="00170A48"/>
    <w:rsid w:val="00171625"/>
    <w:rsid w:val="00171668"/>
    <w:rsid w:val="00172201"/>
    <w:rsid w:val="001722F3"/>
    <w:rsid w:val="001727B0"/>
    <w:rsid w:val="00172973"/>
    <w:rsid w:val="001748C1"/>
    <w:rsid w:val="001771EF"/>
    <w:rsid w:val="0017727B"/>
    <w:rsid w:val="00177828"/>
    <w:rsid w:val="00177907"/>
    <w:rsid w:val="00177D7D"/>
    <w:rsid w:val="00177D99"/>
    <w:rsid w:val="00177DFA"/>
    <w:rsid w:val="00180158"/>
    <w:rsid w:val="00180C3B"/>
    <w:rsid w:val="00180C47"/>
    <w:rsid w:val="0018179F"/>
    <w:rsid w:val="00182024"/>
    <w:rsid w:val="00182AF6"/>
    <w:rsid w:val="00183662"/>
    <w:rsid w:val="001836DE"/>
    <w:rsid w:val="00183BA1"/>
    <w:rsid w:val="00183D94"/>
    <w:rsid w:val="00183DA4"/>
    <w:rsid w:val="00184345"/>
    <w:rsid w:val="0018444C"/>
    <w:rsid w:val="0018445D"/>
    <w:rsid w:val="0018460A"/>
    <w:rsid w:val="00184D40"/>
    <w:rsid w:val="00185CE1"/>
    <w:rsid w:val="00186367"/>
    <w:rsid w:val="00186565"/>
    <w:rsid w:val="00187871"/>
    <w:rsid w:val="00187AAD"/>
    <w:rsid w:val="00187F15"/>
    <w:rsid w:val="001900A6"/>
    <w:rsid w:val="0019075A"/>
    <w:rsid w:val="00190901"/>
    <w:rsid w:val="001914AD"/>
    <w:rsid w:val="00191C05"/>
    <w:rsid w:val="00191F5E"/>
    <w:rsid w:val="00192493"/>
    <w:rsid w:val="00192753"/>
    <w:rsid w:val="00193DAE"/>
    <w:rsid w:val="00193F13"/>
    <w:rsid w:val="00194A02"/>
    <w:rsid w:val="0019525C"/>
    <w:rsid w:val="001955BD"/>
    <w:rsid w:val="00195EDB"/>
    <w:rsid w:val="001A0232"/>
    <w:rsid w:val="001A13C7"/>
    <w:rsid w:val="001A16D1"/>
    <w:rsid w:val="001A19B8"/>
    <w:rsid w:val="001A1B48"/>
    <w:rsid w:val="001A23B0"/>
    <w:rsid w:val="001A3A7E"/>
    <w:rsid w:val="001A3D9B"/>
    <w:rsid w:val="001A3FD9"/>
    <w:rsid w:val="001A4367"/>
    <w:rsid w:val="001A5A58"/>
    <w:rsid w:val="001A5D59"/>
    <w:rsid w:val="001A5FAA"/>
    <w:rsid w:val="001A6295"/>
    <w:rsid w:val="001A6368"/>
    <w:rsid w:val="001A6B40"/>
    <w:rsid w:val="001A7420"/>
    <w:rsid w:val="001A7E1B"/>
    <w:rsid w:val="001A7F8D"/>
    <w:rsid w:val="001B0036"/>
    <w:rsid w:val="001B1E61"/>
    <w:rsid w:val="001B1EA3"/>
    <w:rsid w:val="001B1F5D"/>
    <w:rsid w:val="001B217A"/>
    <w:rsid w:val="001B21A6"/>
    <w:rsid w:val="001B2347"/>
    <w:rsid w:val="001B29B0"/>
    <w:rsid w:val="001B2ABF"/>
    <w:rsid w:val="001B34BB"/>
    <w:rsid w:val="001B3CDA"/>
    <w:rsid w:val="001B3D17"/>
    <w:rsid w:val="001B4B04"/>
    <w:rsid w:val="001B5FDB"/>
    <w:rsid w:val="001B7896"/>
    <w:rsid w:val="001C0024"/>
    <w:rsid w:val="001C0158"/>
    <w:rsid w:val="001C0499"/>
    <w:rsid w:val="001C0AA3"/>
    <w:rsid w:val="001C1F9C"/>
    <w:rsid w:val="001C2414"/>
    <w:rsid w:val="001C2AF2"/>
    <w:rsid w:val="001C2F41"/>
    <w:rsid w:val="001C394A"/>
    <w:rsid w:val="001C440A"/>
    <w:rsid w:val="001C4E1F"/>
    <w:rsid w:val="001C51B3"/>
    <w:rsid w:val="001C6663"/>
    <w:rsid w:val="001C7135"/>
    <w:rsid w:val="001C7895"/>
    <w:rsid w:val="001C7948"/>
    <w:rsid w:val="001D032B"/>
    <w:rsid w:val="001D0BED"/>
    <w:rsid w:val="001D1B8C"/>
    <w:rsid w:val="001D2305"/>
    <w:rsid w:val="001D2334"/>
    <w:rsid w:val="001D26DF"/>
    <w:rsid w:val="001D28A5"/>
    <w:rsid w:val="001D28DC"/>
    <w:rsid w:val="001D2985"/>
    <w:rsid w:val="001D3521"/>
    <w:rsid w:val="001D39D4"/>
    <w:rsid w:val="001D4422"/>
    <w:rsid w:val="001D4BCF"/>
    <w:rsid w:val="001D4C59"/>
    <w:rsid w:val="001D52A4"/>
    <w:rsid w:val="001D5372"/>
    <w:rsid w:val="001D567A"/>
    <w:rsid w:val="001D5B5B"/>
    <w:rsid w:val="001D6501"/>
    <w:rsid w:val="001D697C"/>
    <w:rsid w:val="001D7425"/>
    <w:rsid w:val="001D7814"/>
    <w:rsid w:val="001E03A2"/>
    <w:rsid w:val="001E0823"/>
    <w:rsid w:val="001E08E6"/>
    <w:rsid w:val="001E0B5F"/>
    <w:rsid w:val="001E19AA"/>
    <w:rsid w:val="001E19E1"/>
    <w:rsid w:val="001E1A32"/>
    <w:rsid w:val="001E1DB5"/>
    <w:rsid w:val="001E2790"/>
    <w:rsid w:val="001E2958"/>
    <w:rsid w:val="001E2E50"/>
    <w:rsid w:val="001E32CB"/>
    <w:rsid w:val="001E41FF"/>
    <w:rsid w:val="001E44A9"/>
    <w:rsid w:val="001E6F5F"/>
    <w:rsid w:val="001E73C7"/>
    <w:rsid w:val="001E76BE"/>
    <w:rsid w:val="001E7A87"/>
    <w:rsid w:val="001F0189"/>
    <w:rsid w:val="001F0BE5"/>
    <w:rsid w:val="001F10B8"/>
    <w:rsid w:val="001F11D2"/>
    <w:rsid w:val="001F18CA"/>
    <w:rsid w:val="001F3660"/>
    <w:rsid w:val="001F39D7"/>
    <w:rsid w:val="001F3D11"/>
    <w:rsid w:val="001F3F2C"/>
    <w:rsid w:val="001F558F"/>
    <w:rsid w:val="001F5906"/>
    <w:rsid w:val="001F5969"/>
    <w:rsid w:val="001F734F"/>
    <w:rsid w:val="001F758C"/>
    <w:rsid w:val="001F75CC"/>
    <w:rsid w:val="001F7890"/>
    <w:rsid w:val="001F7C9D"/>
    <w:rsid w:val="002003A8"/>
    <w:rsid w:val="002005D6"/>
    <w:rsid w:val="00200FF6"/>
    <w:rsid w:val="00201A4E"/>
    <w:rsid w:val="00201C19"/>
    <w:rsid w:val="002022C3"/>
    <w:rsid w:val="00202A9D"/>
    <w:rsid w:val="0020363E"/>
    <w:rsid w:val="00203711"/>
    <w:rsid w:val="002037F4"/>
    <w:rsid w:val="002041EF"/>
    <w:rsid w:val="002044B2"/>
    <w:rsid w:val="002045BC"/>
    <w:rsid w:val="00204CCA"/>
    <w:rsid w:val="0020512F"/>
    <w:rsid w:val="002051EB"/>
    <w:rsid w:val="00207DD9"/>
    <w:rsid w:val="00210515"/>
    <w:rsid w:val="00210CE3"/>
    <w:rsid w:val="00211697"/>
    <w:rsid w:val="0021181F"/>
    <w:rsid w:val="00211E0B"/>
    <w:rsid w:val="00211E72"/>
    <w:rsid w:val="002125B1"/>
    <w:rsid w:val="00214047"/>
    <w:rsid w:val="00214672"/>
    <w:rsid w:val="00215179"/>
    <w:rsid w:val="002154FF"/>
    <w:rsid w:val="00215DDC"/>
    <w:rsid w:val="00215E53"/>
    <w:rsid w:val="0021603B"/>
    <w:rsid w:val="002161DB"/>
    <w:rsid w:val="002168BB"/>
    <w:rsid w:val="002169A6"/>
    <w:rsid w:val="00216DBF"/>
    <w:rsid w:val="002170A7"/>
    <w:rsid w:val="0022002C"/>
    <w:rsid w:val="00220496"/>
    <w:rsid w:val="00220672"/>
    <w:rsid w:val="0022130F"/>
    <w:rsid w:val="00221403"/>
    <w:rsid w:val="00221C34"/>
    <w:rsid w:val="0022245C"/>
    <w:rsid w:val="00222610"/>
    <w:rsid w:val="00222FEF"/>
    <w:rsid w:val="00224F5F"/>
    <w:rsid w:val="00226265"/>
    <w:rsid w:val="0022651F"/>
    <w:rsid w:val="00227314"/>
    <w:rsid w:val="002276F0"/>
    <w:rsid w:val="002303B4"/>
    <w:rsid w:val="002305EF"/>
    <w:rsid w:val="00230704"/>
    <w:rsid w:val="00230CC9"/>
    <w:rsid w:val="00231D10"/>
    <w:rsid w:val="0023240F"/>
    <w:rsid w:val="0023277E"/>
    <w:rsid w:val="00232823"/>
    <w:rsid w:val="0023294B"/>
    <w:rsid w:val="00232CF3"/>
    <w:rsid w:val="0023322F"/>
    <w:rsid w:val="00233406"/>
    <w:rsid w:val="00233AF1"/>
    <w:rsid w:val="00233E8F"/>
    <w:rsid w:val="00234101"/>
    <w:rsid w:val="00234424"/>
    <w:rsid w:val="0023443D"/>
    <w:rsid w:val="0023470A"/>
    <w:rsid w:val="00234B27"/>
    <w:rsid w:val="0023517A"/>
    <w:rsid w:val="00235C63"/>
    <w:rsid w:val="00236609"/>
    <w:rsid w:val="00237007"/>
    <w:rsid w:val="002373E9"/>
    <w:rsid w:val="002375AA"/>
    <w:rsid w:val="00237785"/>
    <w:rsid w:val="00240161"/>
    <w:rsid w:val="002404AF"/>
    <w:rsid w:val="00241070"/>
    <w:rsid w:val="002410DD"/>
    <w:rsid w:val="002413D8"/>
    <w:rsid w:val="00241466"/>
    <w:rsid w:val="00241E42"/>
    <w:rsid w:val="00241EBB"/>
    <w:rsid w:val="00242598"/>
    <w:rsid w:val="00242B09"/>
    <w:rsid w:val="00242C5A"/>
    <w:rsid w:val="00244EE3"/>
    <w:rsid w:val="00244FBB"/>
    <w:rsid w:val="002458BC"/>
    <w:rsid w:val="00245A98"/>
    <w:rsid w:val="00246D45"/>
    <w:rsid w:val="00250074"/>
    <w:rsid w:val="0025009A"/>
    <w:rsid w:val="00250607"/>
    <w:rsid w:val="00250A03"/>
    <w:rsid w:val="00250CF8"/>
    <w:rsid w:val="00251095"/>
    <w:rsid w:val="0025142A"/>
    <w:rsid w:val="00251889"/>
    <w:rsid w:val="00251C69"/>
    <w:rsid w:val="002526DD"/>
    <w:rsid w:val="002532E1"/>
    <w:rsid w:val="00253D54"/>
    <w:rsid w:val="00253D58"/>
    <w:rsid w:val="00254412"/>
    <w:rsid w:val="002548A2"/>
    <w:rsid w:val="0025495B"/>
    <w:rsid w:val="002551D4"/>
    <w:rsid w:val="00255362"/>
    <w:rsid w:val="002556F4"/>
    <w:rsid w:val="00255810"/>
    <w:rsid w:val="00257877"/>
    <w:rsid w:val="002606EC"/>
    <w:rsid w:val="00260C7D"/>
    <w:rsid w:val="00261132"/>
    <w:rsid w:val="00261222"/>
    <w:rsid w:val="00261D18"/>
    <w:rsid w:val="00261EA1"/>
    <w:rsid w:val="00263183"/>
    <w:rsid w:val="002633A7"/>
    <w:rsid w:val="00263C4B"/>
    <w:rsid w:val="00264079"/>
    <w:rsid w:val="0026467A"/>
    <w:rsid w:val="002648E8"/>
    <w:rsid w:val="002650D7"/>
    <w:rsid w:val="00265D35"/>
    <w:rsid w:val="002664A1"/>
    <w:rsid w:val="002666F0"/>
    <w:rsid w:val="002669A2"/>
    <w:rsid w:val="002669AA"/>
    <w:rsid w:val="00266DEE"/>
    <w:rsid w:val="002674DD"/>
    <w:rsid w:val="00270A13"/>
    <w:rsid w:val="0027112E"/>
    <w:rsid w:val="0027121D"/>
    <w:rsid w:val="002722E4"/>
    <w:rsid w:val="00272595"/>
    <w:rsid w:val="00272F9A"/>
    <w:rsid w:val="002737CB"/>
    <w:rsid w:val="002742D3"/>
    <w:rsid w:val="00274385"/>
    <w:rsid w:val="002743F1"/>
    <w:rsid w:val="00274458"/>
    <w:rsid w:val="0027476B"/>
    <w:rsid w:val="00274F47"/>
    <w:rsid w:val="00275371"/>
    <w:rsid w:val="00275450"/>
    <w:rsid w:val="002757C0"/>
    <w:rsid w:val="00275E85"/>
    <w:rsid w:val="0027658D"/>
    <w:rsid w:val="00276B3A"/>
    <w:rsid w:val="00276BC0"/>
    <w:rsid w:val="00276EA4"/>
    <w:rsid w:val="00276F4E"/>
    <w:rsid w:val="0027725F"/>
    <w:rsid w:val="002805ED"/>
    <w:rsid w:val="00280A99"/>
    <w:rsid w:val="002819AD"/>
    <w:rsid w:val="00281FBD"/>
    <w:rsid w:val="00282A38"/>
    <w:rsid w:val="00283787"/>
    <w:rsid w:val="002838B9"/>
    <w:rsid w:val="00285AA2"/>
    <w:rsid w:val="002867CA"/>
    <w:rsid w:val="00286E34"/>
    <w:rsid w:val="00287555"/>
    <w:rsid w:val="002911E6"/>
    <w:rsid w:val="002913F6"/>
    <w:rsid w:val="00291A6A"/>
    <w:rsid w:val="00291AE7"/>
    <w:rsid w:val="00291FA9"/>
    <w:rsid w:val="00292687"/>
    <w:rsid w:val="00292948"/>
    <w:rsid w:val="002930E8"/>
    <w:rsid w:val="00294883"/>
    <w:rsid w:val="002949A9"/>
    <w:rsid w:val="0029500B"/>
    <w:rsid w:val="00295A4C"/>
    <w:rsid w:val="002960D5"/>
    <w:rsid w:val="00296A09"/>
    <w:rsid w:val="00296B9C"/>
    <w:rsid w:val="00297730"/>
    <w:rsid w:val="002977A8"/>
    <w:rsid w:val="00297B50"/>
    <w:rsid w:val="00297E89"/>
    <w:rsid w:val="002A02F4"/>
    <w:rsid w:val="002A0847"/>
    <w:rsid w:val="002A115D"/>
    <w:rsid w:val="002A15D1"/>
    <w:rsid w:val="002A1F85"/>
    <w:rsid w:val="002A2DF3"/>
    <w:rsid w:val="002A350A"/>
    <w:rsid w:val="002A355C"/>
    <w:rsid w:val="002A404B"/>
    <w:rsid w:val="002A4834"/>
    <w:rsid w:val="002A4FBC"/>
    <w:rsid w:val="002A50B4"/>
    <w:rsid w:val="002A50B8"/>
    <w:rsid w:val="002A547F"/>
    <w:rsid w:val="002A57C5"/>
    <w:rsid w:val="002A6323"/>
    <w:rsid w:val="002A691C"/>
    <w:rsid w:val="002A6AAF"/>
    <w:rsid w:val="002A6F7B"/>
    <w:rsid w:val="002A7036"/>
    <w:rsid w:val="002A7BAB"/>
    <w:rsid w:val="002A7EC4"/>
    <w:rsid w:val="002B00D0"/>
    <w:rsid w:val="002B0176"/>
    <w:rsid w:val="002B0D3B"/>
    <w:rsid w:val="002B1531"/>
    <w:rsid w:val="002B16E8"/>
    <w:rsid w:val="002B1B3C"/>
    <w:rsid w:val="002B209F"/>
    <w:rsid w:val="002B22D0"/>
    <w:rsid w:val="002B2357"/>
    <w:rsid w:val="002B28B0"/>
    <w:rsid w:val="002B2A84"/>
    <w:rsid w:val="002B32BF"/>
    <w:rsid w:val="002B475F"/>
    <w:rsid w:val="002B4B7C"/>
    <w:rsid w:val="002B4C48"/>
    <w:rsid w:val="002B5866"/>
    <w:rsid w:val="002B74F6"/>
    <w:rsid w:val="002B750C"/>
    <w:rsid w:val="002B7D8B"/>
    <w:rsid w:val="002C0DC3"/>
    <w:rsid w:val="002C0F95"/>
    <w:rsid w:val="002C1DAC"/>
    <w:rsid w:val="002C1E14"/>
    <w:rsid w:val="002C21F0"/>
    <w:rsid w:val="002C2234"/>
    <w:rsid w:val="002C2693"/>
    <w:rsid w:val="002C2EA3"/>
    <w:rsid w:val="002C3D6D"/>
    <w:rsid w:val="002C4600"/>
    <w:rsid w:val="002C4B85"/>
    <w:rsid w:val="002C547E"/>
    <w:rsid w:val="002C5576"/>
    <w:rsid w:val="002C58DB"/>
    <w:rsid w:val="002C5A8C"/>
    <w:rsid w:val="002C6338"/>
    <w:rsid w:val="002C6E4B"/>
    <w:rsid w:val="002C79F8"/>
    <w:rsid w:val="002C7A70"/>
    <w:rsid w:val="002D041B"/>
    <w:rsid w:val="002D06C9"/>
    <w:rsid w:val="002D06E4"/>
    <w:rsid w:val="002D0BAA"/>
    <w:rsid w:val="002D13A8"/>
    <w:rsid w:val="002D2CA3"/>
    <w:rsid w:val="002D2F04"/>
    <w:rsid w:val="002D3E6A"/>
    <w:rsid w:val="002D4AAB"/>
    <w:rsid w:val="002D585E"/>
    <w:rsid w:val="002D654C"/>
    <w:rsid w:val="002E00A3"/>
    <w:rsid w:val="002E0D12"/>
    <w:rsid w:val="002E1372"/>
    <w:rsid w:val="002E1D2A"/>
    <w:rsid w:val="002E1EFF"/>
    <w:rsid w:val="002E2FD5"/>
    <w:rsid w:val="002E3AAD"/>
    <w:rsid w:val="002E48BA"/>
    <w:rsid w:val="002E4EA9"/>
    <w:rsid w:val="002E56B5"/>
    <w:rsid w:val="002E57AA"/>
    <w:rsid w:val="002E5A68"/>
    <w:rsid w:val="002E5B5F"/>
    <w:rsid w:val="002E5D51"/>
    <w:rsid w:val="002E5DB9"/>
    <w:rsid w:val="002E6C76"/>
    <w:rsid w:val="002E6F3E"/>
    <w:rsid w:val="002E6FD6"/>
    <w:rsid w:val="002E7275"/>
    <w:rsid w:val="002E73FC"/>
    <w:rsid w:val="002F10A5"/>
    <w:rsid w:val="002F1399"/>
    <w:rsid w:val="002F1A19"/>
    <w:rsid w:val="002F2976"/>
    <w:rsid w:val="002F48A0"/>
    <w:rsid w:val="002F4AAE"/>
    <w:rsid w:val="002F5039"/>
    <w:rsid w:val="002F5551"/>
    <w:rsid w:val="002F59C2"/>
    <w:rsid w:val="002F6C9B"/>
    <w:rsid w:val="002F792C"/>
    <w:rsid w:val="00300AF8"/>
    <w:rsid w:val="00301449"/>
    <w:rsid w:val="00301521"/>
    <w:rsid w:val="00301A32"/>
    <w:rsid w:val="00301DB2"/>
    <w:rsid w:val="0030202A"/>
    <w:rsid w:val="00302C05"/>
    <w:rsid w:val="0030329F"/>
    <w:rsid w:val="00303846"/>
    <w:rsid w:val="00304353"/>
    <w:rsid w:val="00304E65"/>
    <w:rsid w:val="003053F2"/>
    <w:rsid w:val="0030555F"/>
    <w:rsid w:val="003061C0"/>
    <w:rsid w:val="00306AC1"/>
    <w:rsid w:val="00306D7F"/>
    <w:rsid w:val="0030736A"/>
    <w:rsid w:val="00307585"/>
    <w:rsid w:val="00307723"/>
    <w:rsid w:val="003100D5"/>
    <w:rsid w:val="003107D4"/>
    <w:rsid w:val="003107FA"/>
    <w:rsid w:val="00310AEF"/>
    <w:rsid w:val="00310FFF"/>
    <w:rsid w:val="0031100A"/>
    <w:rsid w:val="00311253"/>
    <w:rsid w:val="003114D2"/>
    <w:rsid w:val="00311FC9"/>
    <w:rsid w:val="003121DD"/>
    <w:rsid w:val="00312344"/>
    <w:rsid w:val="00313424"/>
    <w:rsid w:val="0031473A"/>
    <w:rsid w:val="00314AFF"/>
    <w:rsid w:val="00314DB4"/>
    <w:rsid w:val="00314EC5"/>
    <w:rsid w:val="003155CC"/>
    <w:rsid w:val="00315F80"/>
    <w:rsid w:val="00316E9E"/>
    <w:rsid w:val="003171C2"/>
    <w:rsid w:val="003179EB"/>
    <w:rsid w:val="003179F0"/>
    <w:rsid w:val="00317CBF"/>
    <w:rsid w:val="003213C9"/>
    <w:rsid w:val="003219DC"/>
    <w:rsid w:val="0032275C"/>
    <w:rsid w:val="003228DF"/>
    <w:rsid w:val="003229D8"/>
    <w:rsid w:val="003239EC"/>
    <w:rsid w:val="00323D6E"/>
    <w:rsid w:val="0032545C"/>
    <w:rsid w:val="00325480"/>
    <w:rsid w:val="00325CE9"/>
    <w:rsid w:val="00326631"/>
    <w:rsid w:val="00326DEA"/>
    <w:rsid w:val="003272DE"/>
    <w:rsid w:val="00327370"/>
    <w:rsid w:val="0032778F"/>
    <w:rsid w:val="00327ADE"/>
    <w:rsid w:val="00327AFE"/>
    <w:rsid w:val="00330E21"/>
    <w:rsid w:val="003314D1"/>
    <w:rsid w:val="00331E26"/>
    <w:rsid w:val="003320DE"/>
    <w:rsid w:val="003323ED"/>
    <w:rsid w:val="00332BAF"/>
    <w:rsid w:val="003333A9"/>
    <w:rsid w:val="0033368A"/>
    <w:rsid w:val="00333F9E"/>
    <w:rsid w:val="003342F7"/>
    <w:rsid w:val="003344E7"/>
    <w:rsid w:val="0033482D"/>
    <w:rsid w:val="003348A7"/>
    <w:rsid w:val="00334986"/>
    <w:rsid w:val="00335191"/>
    <w:rsid w:val="0033587B"/>
    <w:rsid w:val="00335A2F"/>
    <w:rsid w:val="00335F64"/>
    <w:rsid w:val="00336309"/>
    <w:rsid w:val="00336668"/>
    <w:rsid w:val="00337BFB"/>
    <w:rsid w:val="00337FF6"/>
    <w:rsid w:val="0034036A"/>
    <w:rsid w:val="003411AB"/>
    <w:rsid w:val="00341937"/>
    <w:rsid w:val="00342729"/>
    <w:rsid w:val="00342B41"/>
    <w:rsid w:val="00343C0A"/>
    <w:rsid w:val="00343F4C"/>
    <w:rsid w:val="00343FEE"/>
    <w:rsid w:val="0034401D"/>
    <w:rsid w:val="0034424A"/>
    <w:rsid w:val="00344355"/>
    <w:rsid w:val="00345213"/>
    <w:rsid w:val="0034530F"/>
    <w:rsid w:val="003459AA"/>
    <w:rsid w:val="003463CC"/>
    <w:rsid w:val="00346E6D"/>
    <w:rsid w:val="00346EBE"/>
    <w:rsid w:val="00347A7E"/>
    <w:rsid w:val="00350082"/>
    <w:rsid w:val="003505BE"/>
    <w:rsid w:val="00350B34"/>
    <w:rsid w:val="003516EE"/>
    <w:rsid w:val="00351A6B"/>
    <w:rsid w:val="003523FE"/>
    <w:rsid w:val="00352D5D"/>
    <w:rsid w:val="00353853"/>
    <w:rsid w:val="0035465C"/>
    <w:rsid w:val="00354848"/>
    <w:rsid w:val="003552B9"/>
    <w:rsid w:val="003568BD"/>
    <w:rsid w:val="00356B81"/>
    <w:rsid w:val="003607B5"/>
    <w:rsid w:val="00360F3F"/>
    <w:rsid w:val="003610A6"/>
    <w:rsid w:val="003613D0"/>
    <w:rsid w:val="003619E5"/>
    <w:rsid w:val="003627FD"/>
    <w:rsid w:val="00362BC4"/>
    <w:rsid w:val="00362C7E"/>
    <w:rsid w:val="00362FCB"/>
    <w:rsid w:val="003631CC"/>
    <w:rsid w:val="00363346"/>
    <w:rsid w:val="003652DA"/>
    <w:rsid w:val="00365A4A"/>
    <w:rsid w:val="00366064"/>
    <w:rsid w:val="00366DD9"/>
    <w:rsid w:val="003670D0"/>
    <w:rsid w:val="003671B9"/>
    <w:rsid w:val="00367368"/>
    <w:rsid w:val="0036784C"/>
    <w:rsid w:val="00370477"/>
    <w:rsid w:val="00370A76"/>
    <w:rsid w:val="00371135"/>
    <w:rsid w:val="00371426"/>
    <w:rsid w:val="00371DFC"/>
    <w:rsid w:val="0037244A"/>
    <w:rsid w:val="003724D5"/>
    <w:rsid w:val="00373031"/>
    <w:rsid w:val="003731A6"/>
    <w:rsid w:val="0037373C"/>
    <w:rsid w:val="00373794"/>
    <w:rsid w:val="003744F9"/>
    <w:rsid w:val="00374734"/>
    <w:rsid w:val="00375418"/>
    <w:rsid w:val="003756A4"/>
    <w:rsid w:val="003757A0"/>
    <w:rsid w:val="003759DD"/>
    <w:rsid w:val="00376672"/>
    <w:rsid w:val="003767AC"/>
    <w:rsid w:val="003768B3"/>
    <w:rsid w:val="003774F8"/>
    <w:rsid w:val="00377990"/>
    <w:rsid w:val="0038122D"/>
    <w:rsid w:val="0038138B"/>
    <w:rsid w:val="003816B2"/>
    <w:rsid w:val="00381B9F"/>
    <w:rsid w:val="00381E4E"/>
    <w:rsid w:val="0038249C"/>
    <w:rsid w:val="00382F89"/>
    <w:rsid w:val="0038319F"/>
    <w:rsid w:val="00383A38"/>
    <w:rsid w:val="00383A64"/>
    <w:rsid w:val="00383BFD"/>
    <w:rsid w:val="003846DE"/>
    <w:rsid w:val="003852B3"/>
    <w:rsid w:val="00386EF0"/>
    <w:rsid w:val="003871D2"/>
    <w:rsid w:val="003874EC"/>
    <w:rsid w:val="003874F5"/>
    <w:rsid w:val="003905AE"/>
    <w:rsid w:val="00390612"/>
    <w:rsid w:val="003915E4"/>
    <w:rsid w:val="0039176F"/>
    <w:rsid w:val="00391F8D"/>
    <w:rsid w:val="00392105"/>
    <w:rsid w:val="0039277A"/>
    <w:rsid w:val="00392DE7"/>
    <w:rsid w:val="00393112"/>
    <w:rsid w:val="00393782"/>
    <w:rsid w:val="00393794"/>
    <w:rsid w:val="00393D3F"/>
    <w:rsid w:val="003944B9"/>
    <w:rsid w:val="00395696"/>
    <w:rsid w:val="00395B79"/>
    <w:rsid w:val="00395E12"/>
    <w:rsid w:val="003972E0"/>
    <w:rsid w:val="003973C4"/>
    <w:rsid w:val="003975ED"/>
    <w:rsid w:val="003A0078"/>
    <w:rsid w:val="003A0BFF"/>
    <w:rsid w:val="003A1648"/>
    <w:rsid w:val="003A190A"/>
    <w:rsid w:val="003A1C96"/>
    <w:rsid w:val="003A220A"/>
    <w:rsid w:val="003A2436"/>
    <w:rsid w:val="003A2674"/>
    <w:rsid w:val="003A2807"/>
    <w:rsid w:val="003A2E3A"/>
    <w:rsid w:val="003A2ECD"/>
    <w:rsid w:val="003A320B"/>
    <w:rsid w:val="003A3695"/>
    <w:rsid w:val="003A36D1"/>
    <w:rsid w:val="003A3AF4"/>
    <w:rsid w:val="003A3C52"/>
    <w:rsid w:val="003A3D53"/>
    <w:rsid w:val="003A473F"/>
    <w:rsid w:val="003A4957"/>
    <w:rsid w:val="003A51A8"/>
    <w:rsid w:val="003A61A2"/>
    <w:rsid w:val="003A678F"/>
    <w:rsid w:val="003A6AD9"/>
    <w:rsid w:val="003A6E2A"/>
    <w:rsid w:val="003A72AF"/>
    <w:rsid w:val="003A7B3F"/>
    <w:rsid w:val="003A7F55"/>
    <w:rsid w:val="003B00F3"/>
    <w:rsid w:val="003B0B68"/>
    <w:rsid w:val="003B0FB8"/>
    <w:rsid w:val="003B1320"/>
    <w:rsid w:val="003B15E3"/>
    <w:rsid w:val="003B1704"/>
    <w:rsid w:val="003B1C5B"/>
    <w:rsid w:val="003B2150"/>
    <w:rsid w:val="003B215D"/>
    <w:rsid w:val="003B2205"/>
    <w:rsid w:val="003B2FE0"/>
    <w:rsid w:val="003B34E8"/>
    <w:rsid w:val="003B3D01"/>
    <w:rsid w:val="003B44B9"/>
    <w:rsid w:val="003B4507"/>
    <w:rsid w:val="003B53BA"/>
    <w:rsid w:val="003B5A28"/>
    <w:rsid w:val="003B65F5"/>
    <w:rsid w:val="003B6C5F"/>
    <w:rsid w:val="003B7264"/>
    <w:rsid w:val="003B7BB0"/>
    <w:rsid w:val="003C06DC"/>
    <w:rsid w:val="003C0748"/>
    <w:rsid w:val="003C28D3"/>
    <w:rsid w:val="003C2A65"/>
    <w:rsid w:val="003C2CC4"/>
    <w:rsid w:val="003C3C10"/>
    <w:rsid w:val="003C3DA5"/>
    <w:rsid w:val="003C5284"/>
    <w:rsid w:val="003C54A4"/>
    <w:rsid w:val="003C6373"/>
    <w:rsid w:val="003C70B1"/>
    <w:rsid w:val="003C7745"/>
    <w:rsid w:val="003C7CE8"/>
    <w:rsid w:val="003D0280"/>
    <w:rsid w:val="003D053E"/>
    <w:rsid w:val="003D0CFB"/>
    <w:rsid w:val="003D1B67"/>
    <w:rsid w:val="003D1BAD"/>
    <w:rsid w:val="003D2104"/>
    <w:rsid w:val="003D26B0"/>
    <w:rsid w:val="003D3244"/>
    <w:rsid w:val="003D36A5"/>
    <w:rsid w:val="003D39EB"/>
    <w:rsid w:val="003D3A52"/>
    <w:rsid w:val="003D3E03"/>
    <w:rsid w:val="003D3FF2"/>
    <w:rsid w:val="003D4256"/>
    <w:rsid w:val="003D45E6"/>
    <w:rsid w:val="003D4B23"/>
    <w:rsid w:val="003D4C66"/>
    <w:rsid w:val="003D4E5C"/>
    <w:rsid w:val="003D5A43"/>
    <w:rsid w:val="003D5CF8"/>
    <w:rsid w:val="003D64B9"/>
    <w:rsid w:val="003E04D0"/>
    <w:rsid w:val="003E083E"/>
    <w:rsid w:val="003E1A3F"/>
    <w:rsid w:val="003E1D2F"/>
    <w:rsid w:val="003E22AF"/>
    <w:rsid w:val="003E2918"/>
    <w:rsid w:val="003E43D4"/>
    <w:rsid w:val="003E467B"/>
    <w:rsid w:val="003E4A51"/>
    <w:rsid w:val="003E5494"/>
    <w:rsid w:val="003E58D1"/>
    <w:rsid w:val="003E66F7"/>
    <w:rsid w:val="003E6748"/>
    <w:rsid w:val="003E698C"/>
    <w:rsid w:val="003E6AC3"/>
    <w:rsid w:val="003E7296"/>
    <w:rsid w:val="003E7449"/>
    <w:rsid w:val="003E76DE"/>
    <w:rsid w:val="003E79AF"/>
    <w:rsid w:val="003F01F0"/>
    <w:rsid w:val="003F06B7"/>
    <w:rsid w:val="003F06BD"/>
    <w:rsid w:val="003F07F4"/>
    <w:rsid w:val="003F17BD"/>
    <w:rsid w:val="003F1E63"/>
    <w:rsid w:val="003F21A7"/>
    <w:rsid w:val="003F30E8"/>
    <w:rsid w:val="003F3F0C"/>
    <w:rsid w:val="003F473B"/>
    <w:rsid w:val="003F4881"/>
    <w:rsid w:val="003F5E25"/>
    <w:rsid w:val="003F6209"/>
    <w:rsid w:val="003F63A5"/>
    <w:rsid w:val="003F6641"/>
    <w:rsid w:val="003F69F4"/>
    <w:rsid w:val="003F7678"/>
    <w:rsid w:val="003F7D73"/>
    <w:rsid w:val="00400FEF"/>
    <w:rsid w:val="00401217"/>
    <w:rsid w:val="00401455"/>
    <w:rsid w:val="00402666"/>
    <w:rsid w:val="00403066"/>
    <w:rsid w:val="004030BB"/>
    <w:rsid w:val="00403754"/>
    <w:rsid w:val="00403806"/>
    <w:rsid w:val="00404A48"/>
    <w:rsid w:val="004052BB"/>
    <w:rsid w:val="00405447"/>
    <w:rsid w:val="004062DD"/>
    <w:rsid w:val="00406F21"/>
    <w:rsid w:val="00407C84"/>
    <w:rsid w:val="00410750"/>
    <w:rsid w:val="00410949"/>
    <w:rsid w:val="00410D39"/>
    <w:rsid w:val="00411D49"/>
    <w:rsid w:val="00411E47"/>
    <w:rsid w:val="00412EC4"/>
    <w:rsid w:val="00413031"/>
    <w:rsid w:val="004132BA"/>
    <w:rsid w:val="0041347B"/>
    <w:rsid w:val="00413785"/>
    <w:rsid w:val="00414503"/>
    <w:rsid w:val="00414EA0"/>
    <w:rsid w:val="004155D8"/>
    <w:rsid w:val="00415BE7"/>
    <w:rsid w:val="00417331"/>
    <w:rsid w:val="00417784"/>
    <w:rsid w:val="00417A08"/>
    <w:rsid w:val="00420352"/>
    <w:rsid w:val="0042054C"/>
    <w:rsid w:val="00420751"/>
    <w:rsid w:val="004209E8"/>
    <w:rsid w:val="00420A1D"/>
    <w:rsid w:val="00420DDF"/>
    <w:rsid w:val="00420FC7"/>
    <w:rsid w:val="00421534"/>
    <w:rsid w:val="00421620"/>
    <w:rsid w:val="0042277A"/>
    <w:rsid w:val="004232A0"/>
    <w:rsid w:val="0042373D"/>
    <w:rsid w:val="00423B24"/>
    <w:rsid w:val="00424346"/>
    <w:rsid w:val="0042456C"/>
    <w:rsid w:val="00424C80"/>
    <w:rsid w:val="00425265"/>
    <w:rsid w:val="00425586"/>
    <w:rsid w:val="004268AA"/>
    <w:rsid w:val="00426C6E"/>
    <w:rsid w:val="0042722A"/>
    <w:rsid w:val="004277D0"/>
    <w:rsid w:val="00427A3F"/>
    <w:rsid w:val="00427AED"/>
    <w:rsid w:val="00430257"/>
    <w:rsid w:val="00430725"/>
    <w:rsid w:val="00430811"/>
    <w:rsid w:val="004325C6"/>
    <w:rsid w:val="004325CB"/>
    <w:rsid w:val="00435319"/>
    <w:rsid w:val="004355EA"/>
    <w:rsid w:val="00435A39"/>
    <w:rsid w:val="004365FE"/>
    <w:rsid w:val="004373B0"/>
    <w:rsid w:val="004373C8"/>
    <w:rsid w:val="00437B2B"/>
    <w:rsid w:val="004402AD"/>
    <w:rsid w:val="004410AA"/>
    <w:rsid w:val="0044144C"/>
    <w:rsid w:val="0044179E"/>
    <w:rsid w:val="0044188D"/>
    <w:rsid w:val="0044248C"/>
    <w:rsid w:val="004426D3"/>
    <w:rsid w:val="00442711"/>
    <w:rsid w:val="00443348"/>
    <w:rsid w:val="00443A85"/>
    <w:rsid w:val="0044463C"/>
    <w:rsid w:val="00444B3E"/>
    <w:rsid w:val="0044503A"/>
    <w:rsid w:val="00445AA1"/>
    <w:rsid w:val="00445BF3"/>
    <w:rsid w:val="00446AAF"/>
    <w:rsid w:val="00446D3E"/>
    <w:rsid w:val="00446DE4"/>
    <w:rsid w:val="0044719F"/>
    <w:rsid w:val="0044767A"/>
    <w:rsid w:val="00447761"/>
    <w:rsid w:val="0044783E"/>
    <w:rsid w:val="00447F8B"/>
    <w:rsid w:val="004502D7"/>
    <w:rsid w:val="00450BE7"/>
    <w:rsid w:val="00450D14"/>
    <w:rsid w:val="0045154B"/>
    <w:rsid w:val="00451600"/>
    <w:rsid w:val="0045197E"/>
    <w:rsid w:val="00451A33"/>
    <w:rsid w:val="00451EC3"/>
    <w:rsid w:val="00453396"/>
    <w:rsid w:val="004533FB"/>
    <w:rsid w:val="00453897"/>
    <w:rsid w:val="0045400D"/>
    <w:rsid w:val="0045431E"/>
    <w:rsid w:val="00454684"/>
    <w:rsid w:val="00454EF3"/>
    <w:rsid w:val="00456078"/>
    <w:rsid w:val="0045689E"/>
    <w:rsid w:val="00456AA5"/>
    <w:rsid w:val="004570C8"/>
    <w:rsid w:val="004576EE"/>
    <w:rsid w:val="00457759"/>
    <w:rsid w:val="00457C18"/>
    <w:rsid w:val="00460BF5"/>
    <w:rsid w:val="00461265"/>
    <w:rsid w:val="00461C51"/>
    <w:rsid w:val="004630C8"/>
    <w:rsid w:val="0046376D"/>
    <w:rsid w:val="004638AF"/>
    <w:rsid w:val="00464656"/>
    <w:rsid w:val="00465983"/>
    <w:rsid w:val="004664CD"/>
    <w:rsid w:val="00466713"/>
    <w:rsid w:val="00467DD5"/>
    <w:rsid w:val="0047168B"/>
    <w:rsid w:val="004718E4"/>
    <w:rsid w:val="00471C75"/>
    <w:rsid w:val="00472071"/>
    <w:rsid w:val="004720EF"/>
    <w:rsid w:val="004721B1"/>
    <w:rsid w:val="0047253E"/>
    <w:rsid w:val="004729B6"/>
    <w:rsid w:val="00472A7A"/>
    <w:rsid w:val="004730CA"/>
    <w:rsid w:val="0047335D"/>
    <w:rsid w:val="00473C07"/>
    <w:rsid w:val="00473D7B"/>
    <w:rsid w:val="00474925"/>
    <w:rsid w:val="00474D68"/>
    <w:rsid w:val="004752B6"/>
    <w:rsid w:val="00475917"/>
    <w:rsid w:val="00475A91"/>
    <w:rsid w:val="00475B25"/>
    <w:rsid w:val="004764B1"/>
    <w:rsid w:val="00476BA1"/>
    <w:rsid w:val="00477650"/>
    <w:rsid w:val="0047790B"/>
    <w:rsid w:val="004804E1"/>
    <w:rsid w:val="00480FFD"/>
    <w:rsid w:val="004827A3"/>
    <w:rsid w:val="00483191"/>
    <w:rsid w:val="004832C6"/>
    <w:rsid w:val="004833F1"/>
    <w:rsid w:val="00483639"/>
    <w:rsid w:val="004837E0"/>
    <w:rsid w:val="00484320"/>
    <w:rsid w:val="00484DDC"/>
    <w:rsid w:val="00485421"/>
    <w:rsid w:val="004854D6"/>
    <w:rsid w:val="004859EC"/>
    <w:rsid w:val="00485EAC"/>
    <w:rsid w:val="00486B3D"/>
    <w:rsid w:val="00487FF1"/>
    <w:rsid w:val="00491181"/>
    <w:rsid w:val="004917BD"/>
    <w:rsid w:val="00491DDB"/>
    <w:rsid w:val="00491E6B"/>
    <w:rsid w:val="004921E9"/>
    <w:rsid w:val="00492340"/>
    <w:rsid w:val="0049262E"/>
    <w:rsid w:val="00492D57"/>
    <w:rsid w:val="004930F0"/>
    <w:rsid w:val="00493D51"/>
    <w:rsid w:val="00494D8C"/>
    <w:rsid w:val="00496505"/>
    <w:rsid w:val="00496A15"/>
    <w:rsid w:val="00496BF5"/>
    <w:rsid w:val="00496EFF"/>
    <w:rsid w:val="00497367"/>
    <w:rsid w:val="004A1278"/>
    <w:rsid w:val="004A210C"/>
    <w:rsid w:val="004A238E"/>
    <w:rsid w:val="004A2639"/>
    <w:rsid w:val="004A3DFD"/>
    <w:rsid w:val="004A4AAB"/>
    <w:rsid w:val="004A52B4"/>
    <w:rsid w:val="004A6998"/>
    <w:rsid w:val="004A7761"/>
    <w:rsid w:val="004A7826"/>
    <w:rsid w:val="004A7930"/>
    <w:rsid w:val="004A7A1F"/>
    <w:rsid w:val="004B0203"/>
    <w:rsid w:val="004B0485"/>
    <w:rsid w:val="004B0668"/>
    <w:rsid w:val="004B06B1"/>
    <w:rsid w:val="004B09E3"/>
    <w:rsid w:val="004B1325"/>
    <w:rsid w:val="004B22B4"/>
    <w:rsid w:val="004B29C9"/>
    <w:rsid w:val="004B2D3E"/>
    <w:rsid w:val="004B2ED7"/>
    <w:rsid w:val="004B3E95"/>
    <w:rsid w:val="004B403C"/>
    <w:rsid w:val="004B4589"/>
    <w:rsid w:val="004B51F2"/>
    <w:rsid w:val="004B59A9"/>
    <w:rsid w:val="004B6005"/>
    <w:rsid w:val="004B64D4"/>
    <w:rsid w:val="004B6F58"/>
    <w:rsid w:val="004B719E"/>
    <w:rsid w:val="004B75D2"/>
    <w:rsid w:val="004C0325"/>
    <w:rsid w:val="004C0512"/>
    <w:rsid w:val="004C051B"/>
    <w:rsid w:val="004C0B00"/>
    <w:rsid w:val="004C106B"/>
    <w:rsid w:val="004C1B3B"/>
    <w:rsid w:val="004C21B6"/>
    <w:rsid w:val="004C24C7"/>
    <w:rsid w:val="004C250C"/>
    <w:rsid w:val="004C259F"/>
    <w:rsid w:val="004C29CC"/>
    <w:rsid w:val="004C35DB"/>
    <w:rsid w:val="004C3F06"/>
    <w:rsid w:val="004C41B9"/>
    <w:rsid w:val="004C4EDB"/>
    <w:rsid w:val="004C558F"/>
    <w:rsid w:val="004C5F09"/>
    <w:rsid w:val="004C6C03"/>
    <w:rsid w:val="004D0729"/>
    <w:rsid w:val="004D0A43"/>
    <w:rsid w:val="004D0C1F"/>
    <w:rsid w:val="004D1140"/>
    <w:rsid w:val="004D19BB"/>
    <w:rsid w:val="004D1AF1"/>
    <w:rsid w:val="004D1EA8"/>
    <w:rsid w:val="004D22FF"/>
    <w:rsid w:val="004D2786"/>
    <w:rsid w:val="004D30D7"/>
    <w:rsid w:val="004D4027"/>
    <w:rsid w:val="004D41BB"/>
    <w:rsid w:val="004D4528"/>
    <w:rsid w:val="004D5673"/>
    <w:rsid w:val="004D5937"/>
    <w:rsid w:val="004D650A"/>
    <w:rsid w:val="004D791F"/>
    <w:rsid w:val="004D7EE6"/>
    <w:rsid w:val="004E0109"/>
    <w:rsid w:val="004E066F"/>
    <w:rsid w:val="004E0A11"/>
    <w:rsid w:val="004E1308"/>
    <w:rsid w:val="004E1D92"/>
    <w:rsid w:val="004E24BC"/>
    <w:rsid w:val="004E2E17"/>
    <w:rsid w:val="004E43E4"/>
    <w:rsid w:val="004E4856"/>
    <w:rsid w:val="004E6AEB"/>
    <w:rsid w:val="004E72C9"/>
    <w:rsid w:val="004E738F"/>
    <w:rsid w:val="004F01FA"/>
    <w:rsid w:val="004F1A37"/>
    <w:rsid w:val="004F1E52"/>
    <w:rsid w:val="004F2380"/>
    <w:rsid w:val="004F2412"/>
    <w:rsid w:val="004F272C"/>
    <w:rsid w:val="004F3493"/>
    <w:rsid w:val="004F3C32"/>
    <w:rsid w:val="004F3EDD"/>
    <w:rsid w:val="004F3FF3"/>
    <w:rsid w:val="004F55ED"/>
    <w:rsid w:val="004F5982"/>
    <w:rsid w:val="004F67B7"/>
    <w:rsid w:val="004F7134"/>
    <w:rsid w:val="004F72BF"/>
    <w:rsid w:val="005001F7"/>
    <w:rsid w:val="005011FA"/>
    <w:rsid w:val="00501605"/>
    <w:rsid w:val="00501621"/>
    <w:rsid w:val="00501D49"/>
    <w:rsid w:val="00501FA5"/>
    <w:rsid w:val="00502131"/>
    <w:rsid w:val="00502E24"/>
    <w:rsid w:val="00503297"/>
    <w:rsid w:val="005034C8"/>
    <w:rsid w:val="005039AF"/>
    <w:rsid w:val="0050410A"/>
    <w:rsid w:val="00504276"/>
    <w:rsid w:val="00504461"/>
    <w:rsid w:val="00504463"/>
    <w:rsid w:val="005044CC"/>
    <w:rsid w:val="005045DE"/>
    <w:rsid w:val="00504D71"/>
    <w:rsid w:val="005052D2"/>
    <w:rsid w:val="005058DA"/>
    <w:rsid w:val="0050668D"/>
    <w:rsid w:val="00510707"/>
    <w:rsid w:val="00510E54"/>
    <w:rsid w:val="00511A37"/>
    <w:rsid w:val="00511F0D"/>
    <w:rsid w:val="00512740"/>
    <w:rsid w:val="00515E42"/>
    <w:rsid w:val="005166B4"/>
    <w:rsid w:val="00516796"/>
    <w:rsid w:val="005177ED"/>
    <w:rsid w:val="00517E80"/>
    <w:rsid w:val="00520442"/>
    <w:rsid w:val="00521088"/>
    <w:rsid w:val="0052176C"/>
    <w:rsid w:val="00522142"/>
    <w:rsid w:val="0052272A"/>
    <w:rsid w:val="0052282B"/>
    <w:rsid w:val="005229D5"/>
    <w:rsid w:val="00522CC7"/>
    <w:rsid w:val="00522FBA"/>
    <w:rsid w:val="005231E7"/>
    <w:rsid w:val="00523221"/>
    <w:rsid w:val="00523A47"/>
    <w:rsid w:val="00524026"/>
    <w:rsid w:val="00525CA7"/>
    <w:rsid w:val="005261E5"/>
    <w:rsid w:val="00526A0A"/>
    <w:rsid w:val="00526F44"/>
    <w:rsid w:val="00526FF6"/>
    <w:rsid w:val="005317A6"/>
    <w:rsid w:val="00531BBD"/>
    <w:rsid w:val="00531FA9"/>
    <w:rsid w:val="005324CB"/>
    <w:rsid w:val="005326D6"/>
    <w:rsid w:val="0053272B"/>
    <w:rsid w:val="00533075"/>
    <w:rsid w:val="00533E1D"/>
    <w:rsid w:val="0053420C"/>
    <w:rsid w:val="00534382"/>
    <w:rsid w:val="00534A60"/>
    <w:rsid w:val="0053553D"/>
    <w:rsid w:val="0053553E"/>
    <w:rsid w:val="00535E2F"/>
    <w:rsid w:val="00536960"/>
    <w:rsid w:val="00536C31"/>
    <w:rsid w:val="00536E6A"/>
    <w:rsid w:val="00536EC0"/>
    <w:rsid w:val="00537105"/>
    <w:rsid w:val="00537314"/>
    <w:rsid w:val="00537BD6"/>
    <w:rsid w:val="00537E73"/>
    <w:rsid w:val="00540B80"/>
    <w:rsid w:val="00541884"/>
    <w:rsid w:val="00541F8C"/>
    <w:rsid w:val="005420A0"/>
    <w:rsid w:val="005420F2"/>
    <w:rsid w:val="0054250B"/>
    <w:rsid w:val="00542574"/>
    <w:rsid w:val="00542CB1"/>
    <w:rsid w:val="005436AB"/>
    <w:rsid w:val="00543909"/>
    <w:rsid w:val="00544F97"/>
    <w:rsid w:val="005455D0"/>
    <w:rsid w:val="00545DB0"/>
    <w:rsid w:val="00546611"/>
    <w:rsid w:val="00546924"/>
    <w:rsid w:val="00546A2D"/>
    <w:rsid w:val="00546DBF"/>
    <w:rsid w:val="0054774D"/>
    <w:rsid w:val="00547C08"/>
    <w:rsid w:val="00550026"/>
    <w:rsid w:val="00550280"/>
    <w:rsid w:val="005507E7"/>
    <w:rsid w:val="00550920"/>
    <w:rsid w:val="00550DE8"/>
    <w:rsid w:val="0055231A"/>
    <w:rsid w:val="005526AF"/>
    <w:rsid w:val="0055270B"/>
    <w:rsid w:val="0055300D"/>
    <w:rsid w:val="00553D76"/>
    <w:rsid w:val="0055465A"/>
    <w:rsid w:val="00554F84"/>
    <w:rsid w:val="005550A5"/>
    <w:rsid w:val="005552B5"/>
    <w:rsid w:val="00555D35"/>
    <w:rsid w:val="00555DFD"/>
    <w:rsid w:val="00555E46"/>
    <w:rsid w:val="00556E1E"/>
    <w:rsid w:val="00557278"/>
    <w:rsid w:val="00557301"/>
    <w:rsid w:val="005575E3"/>
    <w:rsid w:val="00557B41"/>
    <w:rsid w:val="005609E4"/>
    <w:rsid w:val="0056117B"/>
    <w:rsid w:val="0056127F"/>
    <w:rsid w:val="00561793"/>
    <w:rsid w:val="005621EF"/>
    <w:rsid w:val="00562621"/>
    <w:rsid w:val="00562AF2"/>
    <w:rsid w:val="00562F89"/>
    <w:rsid w:val="00563CED"/>
    <w:rsid w:val="005649E0"/>
    <w:rsid w:val="0056561E"/>
    <w:rsid w:val="0056572E"/>
    <w:rsid w:val="00565AFD"/>
    <w:rsid w:val="005665B6"/>
    <w:rsid w:val="00566CEA"/>
    <w:rsid w:val="00566D8B"/>
    <w:rsid w:val="00567734"/>
    <w:rsid w:val="00567EE6"/>
    <w:rsid w:val="005701FC"/>
    <w:rsid w:val="0057047A"/>
    <w:rsid w:val="005708BD"/>
    <w:rsid w:val="0057112B"/>
    <w:rsid w:val="0057119E"/>
    <w:rsid w:val="00571365"/>
    <w:rsid w:val="00572034"/>
    <w:rsid w:val="005737D0"/>
    <w:rsid w:val="0057469A"/>
    <w:rsid w:val="00574CAE"/>
    <w:rsid w:val="005755B1"/>
    <w:rsid w:val="0057670E"/>
    <w:rsid w:val="00576B9A"/>
    <w:rsid w:val="005773B7"/>
    <w:rsid w:val="005803B9"/>
    <w:rsid w:val="00580C28"/>
    <w:rsid w:val="00580F69"/>
    <w:rsid w:val="005813FE"/>
    <w:rsid w:val="00582209"/>
    <w:rsid w:val="00582304"/>
    <w:rsid w:val="0058289E"/>
    <w:rsid w:val="005828C0"/>
    <w:rsid w:val="00583370"/>
    <w:rsid w:val="005837D5"/>
    <w:rsid w:val="005841F0"/>
    <w:rsid w:val="00584A5E"/>
    <w:rsid w:val="00584C53"/>
    <w:rsid w:val="00584CB9"/>
    <w:rsid w:val="0058621B"/>
    <w:rsid w:val="005863EF"/>
    <w:rsid w:val="0058687C"/>
    <w:rsid w:val="0058766E"/>
    <w:rsid w:val="00590014"/>
    <w:rsid w:val="0059023C"/>
    <w:rsid w:val="00590626"/>
    <w:rsid w:val="00591393"/>
    <w:rsid w:val="00591595"/>
    <w:rsid w:val="0059203A"/>
    <w:rsid w:val="0059233F"/>
    <w:rsid w:val="0059286F"/>
    <w:rsid w:val="00592AE2"/>
    <w:rsid w:val="00592C42"/>
    <w:rsid w:val="005942D6"/>
    <w:rsid w:val="00594372"/>
    <w:rsid w:val="00594CAB"/>
    <w:rsid w:val="0059547C"/>
    <w:rsid w:val="00595C83"/>
    <w:rsid w:val="00595FC4"/>
    <w:rsid w:val="00596BCC"/>
    <w:rsid w:val="0059772E"/>
    <w:rsid w:val="0059780D"/>
    <w:rsid w:val="00597C62"/>
    <w:rsid w:val="00597D1E"/>
    <w:rsid w:val="005A09C7"/>
    <w:rsid w:val="005A0C8C"/>
    <w:rsid w:val="005A0E16"/>
    <w:rsid w:val="005A1DC5"/>
    <w:rsid w:val="005A2407"/>
    <w:rsid w:val="005A245B"/>
    <w:rsid w:val="005A24CD"/>
    <w:rsid w:val="005A2D91"/>
    <w:rsid w:val="005A326D"/>
    <w:rsid w:val="005A3507"/>
    <w:rsid w:val="005A3DAF"/>
    <w:rsid w:val="005A418D"/>
    <w:rsid w:val="005A4C55"/>
    <w:rsid w:val="005A5E70"/>
    <w:rsid w:val="005A5F6C"/>
    <w:rsid w:val="005A68CF"/>
    <w:rsid w:val="005A6B2E"/>
    <w:rsid w:val="005A6CB5"/>
    <w:rsid w:val="005A77EC"/>
    <w:rsid w:val="005A7D6F"/>
    <w:rsid w:val="005B06C8"/>
    <w:rsid w:val="005B0CB4"/>
    <w:rsid w:val="005B0D6F"/>
    <w:rsid w:val="005B0F8B"/>
    <w:rsid w:val="005B14CD"/>
    <w:rsid w:val="005B1AF0"/>
    <w:rsid w:val="005B2438"/>
    <w:rsid w:val="005B26E5"/>
    <w:rsid w:val="005B2BCA"/>
    <w:rsid w:val="005B3D10"/>
    <w:rsid w:val="005B3DB3"/>
    <w:rsid w:val="005B3F0F"/>
    <w:rsid w:val="005B441A"/>
    <w:rsid w:val="005B4800"/>
    <w:rsid w:val="005B55B3"/>
    <w:rsid w:val="005B58B1"/>
    <w:rsid w:val="005B5A9D"/>
    <w:rsid w:val="005B5BBF"/>
    <w:rsid w:val="005B60D0"/>
    <w:rsid w:val="005B6BF4"/>
    <w:rsid w:val="005B6E48"/>
    <w:rsid w:val="005B6F7F"/>
    <w:rsid w:val="005B7023"/>
    <w:rsid w:val="005C015C"/>
    <w:rsid w:val="005C0544"/>
    <w:rsid w:val="005C074C"/>
    <w:rsid w:val="005C2065"/>
    <w:rsid w:val="005C2318"/>
    <w:rsid w:val="005C2A9C"/>
    <w:rsid w:val="005C2D94"/>
    <w:rsid w:val="005C2F35"/>
    <w:rsid w:val="005C35B9"/>
    <w:rsid w:val="005C3C1C"/>
    <w:rsid w:val="005C3EB4"/>
    <w:rsid w:val="005C41B3"/>
    <w:rsid w:val="005C5446"/>
    <w:rsid w:val="005C6472"/>
    <w:rsid w:val="005C67B7"/>
    <w:rsid w:val="005C6AEC"/>
    <w:rsid w:val="005C6B35"/>
    <w:rsid w:val="005C6BB7"/>
    <w:rsid w:val="005C704E"/>
    <w:rsid w:val="005C7F50"/>
    <w:rsid w:val="005D0DBC"/>
    <w:rsid w:val="005D1482"/>
    <w:rsid w:val="005D2AAC"/>
    <w:rsid w:val="005D3303"/>
    <w:rsid w:val="005D378A"/>
    <w:rsid w:val="005D3870"/>
    <w:rsid w:val="005D3E0C"/>
    <w:rsid w:val="005D406C"/>
    <w:rsid w:val="005D53BE"/>
    <w:rsid w:val="005D785B"/>
    <w:rsid w:val="005D79CD"/>
    <w:rsid w:val="005E030D"/>
    <w:rsid w:val="005E0973"/>
    <w:rsid w:val="005E0C4A"/>
    <w:rsid w:val="005E0DCC"/>
    <w:rsid w:val="005E1013"/>
    <w:rsid w:val="005E1712"/>
    <w:rsid w:val="005E1CFB"/>
    <w:rsid w:val="005E1D93"/>
    <w:rsid w:val="005E2040"/>
    <w:rsid w:val="005E2A82"/>
    <w:rsid w:val="005E37EA"/>
    <w:rsid w:val="005E3B68"/>
    <w:rsid w:val="005E3C57"/>
    <w:rsid w:val="005E3F25"/>
    <w:rsid w:val="005E4006"/>
    <w:rsid w:val="005E437F"/>
    <w:rsid w:val="005E5B1D"/>
    <w:rsid w:val="005E5C4D"/>
    <w:rsid w:val="005E68D0"/>
    <w:rsid w:val="005E6B64"/>
    <w:rsid w:val="005E6F0B"/>
    <w:rsid w:val="005E77C9"/>
    <w:rsid w:val="005E77E8"/>
    <w:rsid w:val="005E7D55"/>
    <w:rsid w:val="005F02D7"/>
    <w:rsid w:val="005F03A0"/>
    <w:rsid w:val="005F06D5"/>
    <w:rsid w:val="005F0ACF"/>
    <w:rsid w:val="005F14A4"/>
    <w:rsid w:val="005F19E0"/>
    <w:rsid w:val="005F1A17"/>
    <w:rsid w:val="005F1E31"/>
    <w:rsid w:val="005F21E7"/>
    <w:rsid w:val="005F2B9C"/>
    <w:rsid w:val="005F3C8A"/>
    <w:rsid w:val="005F49CF"/>
    <w:rsid w:val="005F4B17"/>
    <w:rsid w:val="005F4BB9"/>
    <w:rsid w:val="005F5392"/>
    <w:rsid w:val="005F550D"/>
    <w:rsid w:val="005F62EF"/>
    <w:rsid w:val="005F73E7"/>
    <w:rsid w:val="005F74E2"/>
    <w:rsid w:val="005F7955"/>
    <w:rsid w:val="005F7E94"/>
    <w:rsid w:val="00602018"/>
    <w:rsid w:val="0060207B"/>
    <w:rsid w:val="0060221E"/>
    <w:rsid w:val="0060232C"/>
    <w:rsid w:val="00603039"/>
    <w:rsid w:val="00603279"/>
    <w:rsid w:val="00603578"/>
    <w:rsid w:val="00604286"/>
    <w:rsid w:val="0060453D"/>
    <w:rsid w:val="00604D19"/>
    <w:rsid w:val="006050A9"/>
    <w:rsid w:val="00605231"/>
    <w:rsid w:val="00605930"/>
    <w:rsid w:val="0060664C"/>
    <w:rsid w:val="0060684D"/>
    <w:rsid w:val="00607066"/>
    <w:rsid w:val="006070D8"/>
    <w:rsid w:val="00607441"/>
    <w:rsid w:val="006074B4"/>
    <w:rsid w:val="00610D12"/>
    <w:rsid w:val="00611960"/>
    <w:rsid w:val="00611AAC"/>
    <w:rsid w:val="00611DCE"/>
    <w:rsid w:val="00611FC4"/>
    <w:rsid w:val="0061270C"/>
    <w:rsid w:val="00612CCE"/>
    <w:rsid w:val="00613002"/>
    <w:rsid w:val="0061391E"/>
    <w:rsid w:val="00613B33"/>
    <w:rsid w:val="006142B1"/>
    <w:rsid w:val="00614E55"/>
    <w:rsid w:val="00614F2F"/>
    <w:rsid w:val="0061581A"/>
    <w:rsid w:val="0061630D"/>
    <w:rsid w:val="00616377"/>
    <w:rsid w:val="00616783"/>
    <w:rsid w:val="00616B57"/>
    <w:rsid w:val="006176FB"/>
    <w:rsid w:val="00617831"/>
    <w:rsid w:val="00620003"/>
    <w:rsid w:val="006213F0"/>
    <w:rsid w:val="00621575"/>
    <w:rsid w:val="00621C35"/>
    <w:rsid w:val="00622040"/>
    <w:rsid w:val="006226B8"/>
    <w:rsid w:val="006239DE"/>
    <w:rsid w:val="00623E90"/>
    <w:rsid w:val="006245E1"/>
    <w:rsid w:val="00624B50"/>
    <w:rsid w:val="006254C5"/>
    <w:rsid w:val="00626437"/>
    <w:rsid w:val="00626582"/>
    <w:rsid w:val="006269D2"/>
    <w:rsid w:val="006270F5"/>
    <w:rsid w:val="006271E7"/>
    <w:rsid w:val="006273E6"/>
    <w:rsid w:val="00627941"/>
    <w:rsid w:val="006304C9"/>
    <w:rsid w:val="00630CDF"/>
    <w:rsid w:val="00631642"/>
    <w:rsid w:val="0063194C"/>
    <w:rsid w:val="0063238A"/>
    <w:rsid w:val="006327DD"/>
    <w:rsid w:val="00632B39"/>
    <w:rsid w:val="00632D79"/>
    <w:rsid w:val="0063316E"/>
    <w:rsid w:val="006332D0"/>
    <w:rsid w:val="00633D01"/>
    <w:rsid w:val="006341F3"/>
    <w:rsid w:val="006344D6"/>
    <w:rsid w:val="00634578"/>
    <w:rsid w:val="0063506A"/>
    <w:rsid w:val="00635076"/>
    <w:rsid w:val="00635626"/>
    <w:rsid w:val="00635A7B"/>
    <w:rsid w:val="00635EAA"/>
    <w:rsid w:val="00635F41"/>
    <w:rsid w:val="0063644C"/>
    <w:rsid w:val="006368A9"/>
    <w:rsid w:val="00637383"/>
    <w:rsid w:val="00637CF0"/>
    <w:rsid w:val="006408D8"/>
    <w:rsid w:val="00640B26"/>
    <w:rsid w:val="00640DC6"/>
    <w:rsid w:val="00641E1E"/>
    <w:rsid w:val="00641E71"/>
    <w:rsid w:val="0064251D"/>
    <w:rsid w:val="00642D01"/>
    <w:rsid w:val="006430D0"/>
    <w:rsid w:val="00643BA1"/>
    <w:rsid w:val="00643DE2"/>
    <w:rsid w:val="00644144"/>
    <w:rsid w:val="0064480F"/>
    <w:rsid w:val="00644B7F"/>
    <w:rsid w:val="00644E23"/>
    <w:rsid w:val="006455A0"/>
    <w:rsid w:val="006458CC"/>
    <w:rsid w:val="00645B54"/>
    <w:rsid w:val="0064648A"/>
    <w:rsid w:val="00646737"/>
    <w:rsid w:val="0064758F"/>
    <w:rsid w:val="00650029"/>
    <w:rsid w:val="006504F1"/>
    <w:rsid w:val="006506C2"/>
    <w:rsid w:val="00651140"/>
    <w:rsid w:val="00651D5C"/>
    <w:rsid w:val="00651E8E"/>
    <w:rsid w:val="006520A0"/>
    <w:rsid w:val="00652F12"/>
    <w:rsid w:val="00652F6B"/>
    <w:rsid w:val="0065396B"/>
    <w:rsid w:val="00653B4D"/>
    <w:rsid w:val="00653B82"/>
    <w:rsid w:val="00654495"/>
    <w:rsid w:val="00655025"/>
    <w:rsid w:val="00655066"/>
    <w:rsid w:val="006557A8"/>
    <w:rsid w:val="00655B60"/>
    <w:rsid w:val="00655CCF"/>
    <w:rsid w:val="00657AAD"/>
    <w:rsid w:val="00657C7C"/>
    <w:rsid w:val="00657D9B"/>
    <w:rsid w:val="00660CBB"/>
    <w:rsid w:val="00660D84"/>
    <w:rsid w:val="00661108"/>
    <w:rsid w:val="006612F5"/>
    <w:rsid w:val="006614C7"/>
    <w:rsid w:val="00661F02"/>
    <w:rsid w:val="00662724"/>
    <w:rsid w:val="00662D5B"/>
    <w:rsid w:val="00663D37"/>
    <w:rsid w:val="00663DB1"/>
    <w:rsid w:val="00663E66"/>
    <w:rsid w:val="0066423D"/>
    <w:rsid w:val="00664370"/>
    <w:rsid w:val="00664451"/>
    <w:rsid w:val="0066797D"/>
    <w:rsid w:val="00667A8F"/>
    <w:rsid w:val="0067069E"/>
    <w:rsid w:val="00670741"/>
    <w:rsid w:val="00670D99"/>
    <w:rsid w:val="006718CF"/>
    <w:rsid w:val="006722DD"/>
    <w:rsid w:val="006723E5"/>
    <w:rsid w:val="006728C4"/>
    <w:rsid w:val="00672CD0"/>
    <w:rsid w:val="00672D3D"/>
    <w:rsid w:val="00673043"/>
    <w:rsid w:val="00673154"/>
    <w:rsid w:val="00673FA3"/>
    <w:rsid w:val="006743D2"/>
    <w:rsid w:val="00675481"/>
    <w:rsid w:val="00675F8B"/>
    <w:rsid w:val="00676751"/>
    <w:rsid w:val="0068058C"/>
    <w:rsid w:val="00680D7D"/>
    <w:rsid w:val="00680F3E"/>
    <w:rsid w:val="0068101C"/>
    <w:rsid w:val="00681298"/>
    <w:rsid w:val="0068135E"/>
    <w:rsid w:val="006829FA"/>
    <w:rsid w:val="00682D71"/>
    <w:rsid w:val="00682FFE"/>
    <w:rsid w:val="006832A1"/>
    <w:rsid w:val="00683302"/>
    <w:rsid w:val="0068369F"/>
    <w:rsid w:val="00683AB3"/>
    <w:rsid w:val="00684071"/>
    <w:rsid w:val="00684402"/>
    <w:rsid w:val="006844EA"/>
    <w:rsid w:val="00684AAE"/>
    <w:rsid w:val="0068501B"/>
    <w:rsid w:val="0068550D"/>
    <w:rsid w:val="006857AC"/>
    <w:rsid w:val="00686DB5"/>
    <w:rsid w:val="0068752C"/>
    <w:rsid w:val="006875EA"/>
    <w:rsid w:val="00687603"/>
    <w:rsid w:val="00687903"/>
    <w:rsid w:val="00690886"/>
    <w:rsid w:val="00690BBE"/>
    <w:rsid w:val="00690CAE"/>
    <w:rsid w:val="00690E67"/>
    <w:rsid w:val="00690E8C"/>
    <w:rsid w:val="00690F71"/>
    <w:rsid w:val="00691CD2"/>
    <w:rsid w:val="0069217D"/>
    <w:rsid w:val="006921B7"/>
    <w:rsid w:val="00692385"/>
    <w:rsid w:val="00693B21"/>
    <w:rsid w:val="006940B7"/>
    <w:rsid w:val="006940DC"/>
    <w:rsid w:val="006945A9"/>
    <w:rsid w:val="00694D64"/>
    <w:rsid w:val="006952C9"/>
    <w:rsid w:val="0069537E"/>
    <w:rsid w:val="006956BA"/>
    <w:rsid w:val="00695E2F"/>
    <w:rsid w:val="006961B9"/>
    <w:rsid w:val="006964B7"/>
    <w:rsid w:val="00696BD6"/>
    <w:rsid w:val="00696C9D"/>
    <w:rsid w:val="006973E6"/>
    <w:rsid w:val="006A06D3"/>
    <w:rsid w:val="006A0D49"/>
    <w:rsid w:val="006A0DF5"/>
    <w:rsid w:val="006A1606"/>
    <w:rsid w:val="006A1948"/>
    <w:rsid w:val="006A2A0C"/>
    <w:rsid w:val="006A2B8C"/>
    <w:rsid w:val="006A2ECD"/>
    <w:rsid w:val="006A46A2"/>
    <w:rsid w:val="006A4BE4"/>
    <w:rsid w:val="006A4C02"/>
    <w:rsid w:val="006A52BE"/>
    <w:rsid w:val="006A57D6"/>
    <w:rsid w:val="006A59BC"/>
    <w:rsid w:val="006A625B"/>
    <w:rsid w:val="006A6269"/>
    <w:rsid w:val="006A62EF"/>
    <w:rsid w:val="006A6B9D"/>
    <w:rsid w:val="006A6D28"/>
    <w:rsid w:val="006A6D5E"/>
    <w:rsid w:val="006A6FF4"/>
    <w:rsid w:val="006A7392"/>
    <w:rsid w:val="006A79D9"/>
    <w:rsid w:val="006B0691"/>
    <w:rsid w:val="006B0995"/>
    <w:rsid w:val="006B19C4"/>
    <w:rsid w:val="006B1CD6"/>
    <w:rsid w:val="006B2775"/>
    <w:rsid w:val="006B27D4"/>
    <w:rsid w:val="006B3189"/>
    <w:rsid w:val="006B3852"/>
    <w:rsid w:val="006B3CC1"/>
    <w:rsid w:val="006B3E86"/>
    <w:rsid w:val="006B46D6"/>
    <w:rsid w:val="006B5456"/>
    <w:rsid w:val="006B5571"/>
    <w:rsid w:val="006B5DDC"/>
    <w:rsid w:val="006B5EFE"/>
    <w:rsid w:val="006B74B5"/>
    <w:rsid w:val="006B7891"/>
    <w:rsid w:val="006B799C"/>
    <w:rsid w:val="006B7D65"/>
    <w:rsid w:val="006C026D"/>
    <w:rsid w:val="006C02AB"/>
    <w:rsid w:val="006C04CF"/>
    <w:rsid w:val="006C1035"/>
    <w:rsid w:val="006C11FD"/>
    <w:rsid w:val="006C1716"/>
    <w:rsid w:val="006C222F"/>
    <w:rsid w:val="006C24BD"/>
    <w:rsid w:val="006C25D3"/>
    <w:rsid w:val="006C2CAE"/>
    <w:rsid w:val="006C392E"/>
    <w:rsid w:val="006C414E"/>
    <w:rsid w:val="006C43E0"/>
    <w:rsid w:val="006C4403"/>
    <w:rsid w:val="006C4571"/>
    <w:rsid w:val="006C4609"/>
    <w:rsid w:val="006C50E4"/>
    <w:rsid w:val="006C5969"/>
    <w:rsid w:val="006C69CF"/>
    <w:rsid w:val="006C6A7E"/>
    <w:rsid w:val="006C7A0C"/>
    <w:rsid w:val="006C7C2F"/>
    <w:rsid w:val="006D0095"/>
    <w:rsid w:val="006D040C"/>
    <w:rsid w:val="006D0417"/>
    <w:rsid w:val="006D0990"/>
    <w:rsid w:val="006D0AB9"/>
    <w:rsid w:val="006D0D89"/>
    <w:rsid w:val="006D14D5"/>
    <w:rsid w:val="006D1F6A"/>
    <w:rsid w:val="006D2038"/>
    <w:rsid w:val="006D22EC"/>
    <w:rsid w:val="006D2410"/>
    <w:rsid w:val="006D2B98"/>
    <w:rsid w:val="006D3463"/>
    <w:rsid w:val="006D43AB"/>
    <w:rsid w:val="006D6334"/>
    <w:rsid w:val="006D6DA6"/>
    <w:rsid w:val="006D7628"/>
    <w:rsid w:val="006D7F71"/>
    <w:rsid w:val="006E02E8"/>
    <w:rsid w:val="006E0D18"/>
    <w:rsid w:val="006E13C5"/>
    <w:rsid w:val="006E27EE"/>
    <w:rsid w:val="006E297A"/>
    <w:rsid w:val="006E2A1C"/>
    <w:rsid w:val="006E2A57"/>
    <w:rsid w:val="006E2EBC"/>
    <w:rsid w:val="006E30C1"/>
    <w:rsid w:val="006E345D"/>
    <w:rsid w:val="006E35D1"/>
    <w:rsid w:val="006E3908"/>
    <w:rsid w:val="006E397D"/>
    <w:rsid w:val="006E3BA7"/>
    <w:rsid w:val="006E550B"/>
    <w:rsid w:val="006E564B"/>
    <w:rsid w:val="006E62A6"/>
    <w:rsid w:val="006E6789"/>
    <w:rsid w:val="006E6B95"/>
    <w:rsid w:val="006E7105"/>
    <w:rsid w:val="006E7827"/>
    <w:rsid w:val="006E7CD2"/>
    <w:rsid w:val="006E7CD7"/>
    <w:rsid w:val="006F008B"/>
    <w:rsid w:val="006F041F"/>
    <w:rsid w:val="006F0662"/>
    <w:rsid w:val="006F091D"/>
    <w:rsid w:val="006F0E30"/>
    <w:rsid w:val="006F0F5F"/>
    <w:rsid w:val="006F13F0"/>
    <w:rsid w:val="006F155E"/>
    <w:rsid w:val="006F2287"/>
    <w:rsid w:val="006F2E7D"/>
    <w:rsid w:val="006F327B"/>
    <w:rsid w:val="006F358F"/>
    <w:rsid w:val="006F35EE"/>
    <w:rsid w:val="006F3968"/>
    <w:rsid w:val="006F3F05"/>
    <w:rsid w:val="006F4092"/>
    <w:rsid w:val="006F5035"/>
    <w:rsid w:val="006F51E1"/>
    <w:rsid w:val="006F5391"/>
    <w:rsid w:val="006F58E8"/>
    <w:rsid w:val="006F5A87"/>
    <w:rsid w:val="006F6809"/>
    <w:rsid w:val="006F68C4"/>
    <w:rsid w:val="006F6FF6"/>
    <w:rsid w:val="006F7FEB"/>
    <w:rsid w:val="00700B08"/>
    <w:rsid w:val="007014A7"/>
    <w:rsid w:val="00701876"/>
    <w:rsid w:val="00701BE0"/>
    <w:rsid w:val="0070217A"/>
    <w:rsid w:val="00702233"/>
    <w:rsid w:val="00704497"/>
    <w:rsid w:val="00704977"/>
    <w:rsid w:val="007062EB"/>
    <w:rsid w:val="007065EB"/>
    <w:rsid w:val="0070663E"/>
    <w:rsid w:val="00707365"/>
    <w:rsid w:val="00707CE2"/>
    <w:rsid w:val="00707D8F"/>
    <w:rsid w:val="00707D9D"/>
    <w:rsid w:val="00710F11"/>
    <w:rsid w:val="0071211B"/>
    <w:rsid w:val="00712837"/>
    <w:rsid w:val="00712CBD"/>
    <w:rsid w:val="0071590E"/>
    <w:rsid w:val="00715DBB"/>
    <w:rsid w:val="007161CD"/>
    <w:rsid w:val="0071668B"/>
    <w:rsid w:val="00717179"/>
    <w:rsid w:val="00717B32"/>
    <w:rsid w:val="00720183"/>
    <w:rsid w:val="007202B3"/>
    <w:rsid w:val="00720449"/>
    <w:rsid w:val="007206CF"/>
    <w:rsid w:val="00720A2C"/>
    <w:rsid w:val="00720CE1"/>
    <w:rsid w:val="00721554"/>
    <w:rsid w:val="00721A51"/>
    <w:rsid w:val="007222D2"/>
    <w:rsid w:val="007222FC"/>
    <w:rsid w:val="007224B7"/>
    <w:rsid w:val="00723025"/>
    <w:rsid w:val="0072331A"/>
    <w:rsid w:val="0072435F"/>
    <w:rsid w:val="00724AAD"/>
    <w:rsid w:val="00725009"/>
    <w:rsid w:val="00725819"/>
    <w:rsid w:val="007261EE"/>
    <w:rsid w:val="0072622A"/>
    <w:rsid w:val="0072632A"/>
    <w:rsid w:val="00726394"/>
    <w:rsid w:val="00726407"/>
    <w:rsid w:val="007266B4"/>
    <w:rsid w:val="007274CB"/>
    <w:rsid w:val="00730E7A"/>
    <w:rsid w:val="0073111F"/>
    <w:rsid w:val="00731128"/>
    <w:rsid w:val="0073148A"/>
    <w:rsid w:val="007326E6"/>
    <w:rsid w:val="0073278F"/>
    <w:rsid w:val="00733A97"/>
    <w:rsid w:val="00733EE3"/>
    <w:rsid w:val="00733F31"/>
    <w:rsid w:val="00735641"/>
    <w:rsid w:val="00735C9F"/>
    <w:rsid w:val="007369BE"/>
    <w:rsid w:val="00736CDA"/>
    <w:rsid w:val="00737712"/>
    <w:rsid w:val="00737B80"/>
    <w:rsid w:val="007414E0"/>
    <w:rsid w:val="00741E66"/>
    <w:rsid w:val="0074200B"/>
    <w:rsid w:val="00742276"/>
    <w:rsid w:val="0074231C"/>
    <w:rsid w:val="00743418"/>
    <w:rsid w:val="00743EA5"/>
    <w:rsid w:val="00744784"/>
    <w:rsid w:val="00744915"/>
    <w:rsid w:val="00744DC6"/>
    <w:rsid w:val="00745966"/>
    <w:rsid w:val="0074647D"/>
    <w:rsid w:val="00746622"/>
    <w:rsid w:val="00746664"/>
    <w:rsid w:val="0074681A"/>
    <w:rsid w:val="0074717A"/>
    <w:rsid w:val="007473E0"/>
    <w:rsid w:val="0075045D"/>
    <w:rsid w:val="0075068E"/>
    <w:rsid w:val="00750A0C"/>
    <w:rsid w:val="00751214"/>
    <w:rsid w:val="007514A4"/>
    <w:rsid w:val="00751A81"/>
    <w:rsid w:val="007526F2"/>
    <w:rsid w:val="00752914"/>
    <w:rsid w:val="007529DC"/>
    <w:rsid w:val="0075331F"/>
    <w:rsid w:val="00753D53"/>
    <w:rsid w:val="00753D87"/>
    <w:rsid w:val="0075437A"/>
    <w:rsid w:val="00754D5E"/>
    <w:rsid w:val="007554D4"/>
    <w:rsid w:val="00755AD5"/>
    <w:rsid w:val="0075617F"/>
    <w:rsid w:val="0075687F"/>
    <w:rsid w:val="00756AC6"/>
    <w:rsid w:val="00757450"/>
    <w:rsid w:val="00757E55"/>
    <w:rsid w:val="00760F5B"/>
    <w:rsid w:val="0076112B"/>
    <w:rsid w:val="007611EC"/>
    <w:rsid w:val="007617A7"/>
    <w:rsid w:val="0076193D"/>
    <w:rsid w:val="00761E66"/>
    <w:rsid w:val="00761EC6"/>
    <w:rsid w:val="0076237D"/>
    <w:rsid w:val="00762E97"/>
    <w:rsid w:val="00763945"/>
    <w:rsid w:val="00763C6E"/>
    <w:rsid w:val="00763E62"/>
    <w:rsid w:val="00765430"/>
    <w:rsid w:val="0076569C"/>
    <w:rsid w:val="00765DBE"/>
    <w:rsid w:val="007660FF"/>
    <w:rsid w:val="00766DE6"/>
    <w:rsid w:val="007678EF"/>
    <w:rsid w:val="00770929"/>
    <w:rsid w:val="0077177D"/>
    <w:rsid w:val="007720AE"/>
    <w:rsid w:val="0077240E"/>
    <w:rsid w:val="007725D3"/>
    <w:rsid w:val="00774BBE"/>
    <w:rsid w:val="00774EF4"/>
    <w:rsid w:val="00775912"/>
    <w:rsid w:val="00775C74"/>
    <w:rsid w:val="00775F45"/>
    <w:rsid w:val="00776019"/>
    <w:rsid w:val="007767BF"/>
    <w:rsid w:val="00776D30"/>
    <w:rsid w:val="00776EBB"/>
    <w:rsid w:val="007770D2"/>
    <w:rsid w:val="00777588"/>
    <w:rsid w:val="00777976"/>
    <w:rsid w:val="00780003"/>
    <w:rsid w:val="007803DA"/>
    <w:rsid w:val="00781146"/>
    <w:rsid w:val="0078332F"/>
    <w:rsid w:val="007835F8"/>
    <w:rsid w:val="007838F3"/>
    <w:rsid w:val="00783D30"/>
    <w:rsid w:val="007843DC"/>
    <w:rsid w:val="00784BDA"/>
    <w:rsid w:val="00784D24"/>
    <w:rsid w:val="00784EDD"/>
    <w:rsid w:val="00785555"/>
    <w:rsid w:val="00785CAD"/>
    <w:rsid w:val="00785D8D"/>
    <w:rsid w:val="00785DB2"/>
    <w:rsid w:val="00785EEA"/>
    <w:rsid w:val="0078632F"/>
    <w:rsid w:val="00787608"/>
    <w:rsid w:val="00790DD7"/>
    <w:rsid w:val="007911BF"/>
    <w:rsid w:val="00791218"/>
    <w:rsid w:val="00791382"/>
    <w:rsid w:val="00791B26"/>
    <w:rsid w:val="00791BDE"/>
    <w:rsid w:val="00791D49"/>
    <w:rsid w:val="00792399"/>
    <w:rsid w:val="00792858"/>
    <w:rsid w:val="0079301B"/>
    <w:rsid w:val="00793928"/>
    <w:rsid w:val="00793AE6"/>
    <w:rsid w:val="00793BA1"/>
    <w:rsid w:val="00793E8E"/>
    <w:rsid w:val="0079408A"/>
    <w:rsid w:val="00794A08"/>
    <w:rsid w:val="00794FF2"/>
    <w:rsid w:val="007954E2"/>
    <w:rsid w:val="00795CCB"/>
    <w:rsid w:val="00796423"/>
    <w:rsid w:val="007A00EC"/>
    <w:rsid w:val="007A0CDF"/>
    <w:rsid w:val="007A0E78"/>
    <w:rsid w:val="007A1853"/>
    <w:rsid w:val="007A1BD2"/>
    <w:rsid w:val="007A1F48"/>
    <w:rsid w:val="007A2AB1"/>
    <w:rsid w:val="007A409E"/>
    <w:rsid w:val="007A41F0"/>
    <w:rsid w:val="007A5454"/>
    <w:rsid w:val="007A6002"/>
    <w:rsid w:val="007A612B"/>
    <w:rsid w:val="007A6140"/>
    <w:rsid w:val="007A6194"/>
    <w:rsid w:val="007A6296"/>
    <w:rsid w:val="007A670F"/>
    <w:rsid w:val="007A79E4"/>
    <w:rsid w:val="007B0CDA"/>
    <w:rsid w:val="007B1571"/>
    <w:rsid w:val="007B1A6C"/>
    <w:rsid w:val="007B20CA"/>
    <w:rsid w:val="007B23B2"/>
    <w:rsid w:val="007B2663"/>
    <w:rsid w:val="007B4D98"/>
    <w:rsid w:val="007B5405"/>
    <w:rsid w:val="007B6080"/>
    <w:rsid w:val="007B66B3"/>
    <w:rsid w:val="007B6BA5"/>
    <w:rsid w:val="007C0919"/>
    <w:rsid w:val="007C0A71"/>
    <w:rsid w:val="007C102E"/>
    <w:rsid w:val="007C167B"/>
    <w:rsid w:val="007C1790"/>
    <w:rsid w:val="007C1AB8"/>
    <w:rsid w:val="007C1B62"/>
    <w:rsid w:val="007C1BF0"/>
    <w:rsid w:val="007C21A7"/>
    <w:rsid w:val="007C25A5"/>
    <w:rsid w:val="007C2896"/>
    <w:rsid w:val="007C3390"/>
    <w:rsid w:val="007C3FC4"/>
    <w:rsid w:val="007C414F"/>
    <w:rsid w:val="007C45A9"/>
    <w:rsid w:val="007C4F4B"/>
    <w:rsid w:val="007C4FE8"/>
    <w:rsid w:val="007C61A6"/>
    <w:rsid w:val="007C67BC"/>
    <w:rsid w:val="007C7425"/>
    <w:rsid w:val="007C7F7F"/>
    <w:rsid w:val="007D0686"/>
    <w:rsid w:val="007D0C22"/>
    <w:rsid w:val="007D1417"/>
    <w:rsid w:val="007D1B22"/>
    <w:rsid w:val="007D1CE3"/>
    <w:rsid w:val="007D2778"/>
    <w:rsid w:val="007D2CDC"/>
    <w:rsid w:val="007D3180"/>
    <w:rsid w:val="007D321D"/>
    <w:rsid w:val="007D4423"/>
    <w:rsid w:val="007D445C"/>
    <w:rsid w:val="007D4E34"/>
    <w:rsid w:val="007D5015"/>
    <w:rsid w:val="007D50AC"/>
    <w:rsid w:val="007D5327"/>
    <w:rsid w:val="007D5C73"/>
    <w:rsid w:val="007D62DE"/>
    <w:rsid w:val="007D62F2"/>
    <w:rsid w:val="007D6539"/>
    <w:rsid w:val="007D7047"/>
    <w:rsid w:val="007D7F0F"/>
    <w:rsid w:val="007D7FE4"/>
    <w:rsid w:val="007E006F"/>
    <w:rsid w:val="007E0220"/>
    <w:rsid w:val="007E040E"/>
    <w:rsid w:val="007E0CA0"/>
    <w:rsid w:val="007E115F"/>
    <w:rsid w:val="007E1453"/>
    <w:rsid w:val="007E16CA"/>
    <w:rsid w:val="007E16F6"/>
    <w:rsid w:val="007E19AA"/>
    <w:rsid w:val="007E1ACE"/>
    <w:rsid w:val="007E1E20"/>
    <w:rsid w:val="007E1F08"/>
    <w:rsid w:val="007E2C6A"/>
    <w:rsid w:val="007E2F5F"/>
    <w:rsid w:val="007E2F7F"/>
    <w:rsid w:val="007E3302"/>
    <w:rsid w:val="007E39F3"/>
    <w:rsid w:val="007E3F87"/>
    <w:rsid w:val="007E43F5"/>
    <w:rsid w:val="007E4C8A"/>
    <w:rsid w:val="007E4D0B"/>
    <w:rsid w:val="007E5327"/>
    <w:rsid w:val="007E5C12"/>
    <w:rsid w:val="007E5E71"/>
    <w:rsid w:val="007E6153"/>
    <w:rsid w:val="007E6253"/>
    <w:rsid w:val="007E629E"/>
    <w:rsid w:val="007E635A"/>
    <w:rsid w:val="007E6580"/>
    <w:rsid w:val="007E6CA8"/>
    <w:rsid w:val="007E7DA7"/>
    <w:rsid w:val="007F0398"/>
    <w:rsid w:val="007F0418"/>
    <w:rsid w:val="007F0509"/>
    <w:rsid w:val="007F1CF4"/>
    <w:rsid w:val="007F237A"/>
    <w:rsid w:val="007F2D4B"/>
    <w:rsid w:val="007F4806"/>
    <w:rsid w:val="007F4883"/>
    <w:rsid w:val="007F49CE"/>
    <w:rsid w:val="007F49FA"/>
    <w:rsid w:val="007F519D"/>
    <w:rsid w:val="007F6002"/>
    <w:rsid w:val="007F6071"/>
    <w:rsid w:val="007F6611"/>
    <w:rsid w:val="007F6935"/>
    <w:rsid w:val="008000BE"/>
    <w:rsid w:val="008002E3"/>
    <w:rsid w:val="00800634"/>
    <w:rsid w:val="008014D1"/>
    <w:rsid w:val="00801996"/>
    <w:rsid w:val="00802119"/>
    <w:rsid w:val="00802A0B"/>
    <w:rsid w:val="00802E86"/>
    <w:rsid w:val="008030F4"/>
    <w:rsid w:val="00803466"/>
    <w:rsid w:val="0080355C"/>
    <w:rsid w:val="00803927"/>
    <w:rsid w:val="0080396B"/>
    <w:rsid w:val="00804A3D"/>
    <w:rsid w:val="00804B43"/>
    <w:rsid w:val="00804BF5"/>
    <w:rsid w:val="00805BF6"/>
    <w:rsid w:val="00806C0A"/>
    <w:rsid w:val="00806EF4"/>
    <w:rsid w:val="0081006A"/>
    <w:rsid w:val="00810165"/>
    <w:rsid w:val="00810901"/>
    <w:rsid w:val="00810EA7"/>
    <w:rsid w:val="008116B0"/>
    <w:rsid w:val="008116B5"/>
    <w:rsid w:val="008135AB"/>
    <w:rsid w:val="008138DF"/>
    <w:rsid w:val="00814273"/>
    <w:rsid w:val="008142E2"/>
    <w:rsid w:val="008145D3"/>
    <w:rsid w:val="00814A46"/>
    <w:rsid w:val="008155C3"/>
    <w:rsid w:val="00815B0A"/>
    <w:rsid w:val="008162C3"/>
    <w:rsid w:val="00816CE8"/>
    <w:rsid w:val="00816D0D"/>
    <w:rsid w:val="008175E9"/>
    <w:rsid w:val="00817EE3"/>
    <w:rsid w:val="008201B7"/>
    <w:rsid w:val="008202D9"/>
    <w:rsid w:val="00820853"/>
    <w:rsid w:val="008216A4"/>
    <w:rsid w:val="0082243E"/>
    <w:rsid w:val="00822D3D"/>
    <w:rsid w:val="008231B4"/>
    <w:rsid w:val="0082397D"/>
    <w:rsid w:val="00823F84"/>
    <w:rsid w:val="0082418D"/>
    <w:rsid w:val="008242D7"/>
    <w:rsid w:val="00824958"/>
    <w:rsid w:val="00824DC2"/>
    <w:rsid w:val="00825281"/>
    <w:rsid w:val="008254F9"/>
    <w:rsid w:val="00825509"/>
    <w:rsid w:val="0082554D"/>
    <w:rsid w:val="00827F27"/>
    <w:rsid w:val="00830037"/>
    <w:rsid w:val="00830377"/>
    <w:rsid w:val="008310B8"/>
    <w:rsid w:val="00831568"/>
    <w:rsid w:val="00831681"/>
    <w:rsid w:val="008318EE"/>
    <w:rsid w:val="00831E9B"/>
    <w:rsid w:val="00832105"/>
    <w:rsid w:val="00832D4E"/>
    <w:rsid w:val="00832E88"/>
    <w:rsid w:val="008332DB"/>
    <w:rsid w:val="0083364E"/>
    <w:rsid w:val="0083388C"/>
    <w:rsid w:val="00833E1E"/>
    <w:rsid w:val="00833EE7"/>
    <w:rsid w:val="008340C2"/>
    <w:rsid w:val="008347DF"/>
    <w:rsid w:val="00834BBF"/>
    <w:rsid w:val="00834F53"/>
    <w:rsid w:val="008350A3"/>
    <w:rsid w:val="008351D0"/>
    <w:rsid w:val="00836369"/>
    <w:rsid w:val="0083648F"/>
    <w:rsid w:val="00836AED"/>
    <w:rsid w:val="00837ECA"/>
    <w:rsid w:val="008401D7"/>
    <w:rsid w:val="0084023B"/>
    <w:rsid w:val="00840B27"/>
    <w:rsid w:val="0084101A"/>
    <w:rsid w:val="008411A5"/>
    <w:rsid w:val="00841ADA"/>
    <w:rsid w:val="00841CC7"/>
    <w:rsid w:val="008423FE"/>
    <w:rsid w:val="0084262E"/>
    <w:rsid w:val="00842658"/>
    <w:rsid w:val="0084477A"/>
    <w:rsid w:val="00844B3A"/>
    <w:rsid w:val="00844E93"/>
    <w:rsid w:val="008454A9"/>
    <w:rsid w:val="008459FA"/>
    <w:rsid w:val="00846169"/>
    <w:rsid w:val="00847A92"/>
    <w:rsid w:val="008508E3"/>
    <w:rsid w:val="0085228A"/>
    <w:rsid w:val="0085271F"/>
    <w:rsid w:val="00852F4D"/>
    <w:rsid w:val="00853FA0"/>
    <w:rsid w:val="00854F14"/>
    <w:rsid w:val="00855354"/>
    <w:rsid w:val="00855D0A"/>
    <w:rsid w:val="008562B5"/>
    <w:rsid w:val="008565EA"/>
    <w:rsid w:val="008565EE"/>
    <w:rsid w:val="00856A10"/>
    <w:rsid w:val="00856CD2"/>
    <w:rsid w:val="00856D1A"/>
    <w:rsid w:val="00857322"/>
    <w:rsid w:val="0085794B"/>
    <w:rsid w:val="00857F17"/>
    <w:rsid w:val="008605B0"/>
    <w:rsid w:val="00860FF4"/>
    <w:rsid w:val="0086128C"/>
    <w:rsid w:val="00861299"/>
    <w:rsid w:val="008612BA"/>
    <w:rsid w:val="0086163A"/>
    <w:rsid w:val="00861ABC"/>
    <w:rsid w:val="00861BC6"/>
    <w:rsid w:val="00861FC3"/>
    <w:rsid w:val="00862898"/>
    <w:rsid w:val="00862BB8"/>
    <w:rsid w:val="0086309B"/>
    <w:rsid w:val="00863634"/>
    <w:rsid w:val="0086384C"/>
    <w:rsid w:val="00864A3D"/>
    <w:rsid w:val="00864BE7"/>
    <w:rsid w:val="00865520"/>
    <w:rsid w:val="00865E79"/>
    <w:rsid w:val="008667AC"/>
    <w:rsid w:val="00866A15"/>
    <w:rsid w:val="0086709E"/>
    <w:rsid w:val="008672AA"/>
    <w:rsid w:val="00867582"/>
    <w:rsid w:val="00867F7E"/>
    <w:rsid w:val="00867FF6"/>
    <w:rsid w:val="00870032"/>
    <w:rsid w:val="00870394"/>
    <w:rsid w:val="00870AB4"/>
    <w:rsid w:val="00871156"/>
    <w:rsid w:val="00871467"/>
    <w:rsid w:val="008716E4"/>
    <w:rsid w:val="00871D3C"/>
    <w:rsid w:val="00871FD5"/>
    <w:rsid w:val="008732A3"/>
    <w:rsid w:val="00873CAB"/>
    <w:rsid w:val="0087447B"/>
    <w:rsid w:val="008745DA"/>
    <w:rsid w:val="00874A96"/>
    <w:rsid w:val="00875398"/>
    <w:rsid w:val="0087544C"/>
    <w:rsid w:val="0087562E"/>
    <w:rsid w:val="008758A5"/>
    <w:rsid w:val="00875A0B"/>
    <w:rsid w:val="008764F9"/>
    <w:rsid w:val="008769D9"/>
    <w:rsid w:val="00876D00"/>
    <w:rsid w:val="0087728E"/>
    <w:rsid w:val="00880ADA"/>
    <w:rsid w:val="00880B8A"/>
    <w:rsid w:val="0088110A"/>
    <w:rsid w:val="00881130"/>
    <w:rsid w:val="008813BB"/>
    <w:rsid w:val="00881E1C"/>
    <w:rsid w:val="00881FF1"/>
    <w:rsid w:val="00882040"/>
    <w:rsid w:val="00882562"/>
    <w:rsid w:val="00883F1B"/>
    <w:rsid w:val="00884778"/>
    <w:rsid w:val="008847BB"/>
    <w:rsid w:val="00884FEE"/>
    <w:rsid w:val="008855F7"/>
    <w:rsid w:val="00885749"/>
    <w:rsid w:val="00885BE2"/>
    <w:rsid w:val="00885D01"/>
    <w:rsid w:val="00886857"/>
    <w:rsid w:val="00886F2E"/>
    <w:rsid w:val="00887319"/>
    <w:rsid w:val="0088749D"/>
    <w:rsid w:val="008879B7"/>
    <w:rsid w:val="00887C2A"/>
    <w:rsid w:val="00890242"/>
    <w:rsid w:val="0089052E"/>
    <w:rsid w:val="0089061E"/>
    <w:rsid w:val="00891CF8"/>
    <w:rsid w:val="008921E3"/>
    <w:rsid w:val="0089255B"/>
    <w:rsid w:val="008928E2"/>
    <w:rsid w:val="00892F01"/>
    <w:rsid w:val="00893BFB"/>
    <w:rsid w:val="00893D39"/>
    <w:rsid w:val="00894CD2"/>
    <w:rsid w:val="00895222"/>
    <w:rsid w:val="00895689"/>
    <w:rsid w:val="00895A0C"/>
    <w:rsid w:val="00896B7E"/>
    <w:rsid w:val="00897083"/>
    <w:rsid w:val="008979B1"/>
    <w:rsid w:val="00897A8F"/>
    <w:rsid w:val="008A016A"/>
    <w:rsid w:val="008A0621"/>
    <w:rsid w:val="008A06E6"/>
    <w:rsid w:val="008A0F26"/>
    <w:rsid w:val="008A1B09"/>
    <w:rsid w:val="008A1E2C"/>
    <w:rsid w:val="008A23E0"/>
    <w:rsid w:val="008A27EB"/>
    <w:rsid w:val="008A2E51"/>
    <w:rsid w:val="008A33D3"/>
    <w:rsid w:val="008A3880"/>
    <w:rsid w:val="008A39D1"/>
    <w:rsid w:val="008A3E76"/>
    <w:rsid w:val="008A3F80"/>
    <w:rsid w:val="008A4075"/>
    <w:rsid w:val="008A408B"/>
    <w:rsid w:val="008A462E"/>
    <w:rsid w:val="008A4DFA"/>
    <w:rsid w:val="008A4FAB"/>
    <w:rsid w:val="008A5A31"/>
    <w:rsid w:val="008A6736"/>
    <w:rsid w:val="008A6B25"/>
    <w:rsid w:val="008A6C4F"/>
    <w:rsid w:val="008A6DE6"/>
    <w:rsid w:val="008A7572"/>
    <w:rsid w:val="008A7624"/>
    <w:rsid w:val="008A773D"/>
    <w:rsid w:val="008A7E05"/>
    <w:rsid w:val="008B04BF"/>
    <w:rsid w:val="008B17CC"/>
    <w:rsid w:val="008B1B72"/>
    <w:rsid w:val="008B2364"/>
    <w:rsid w:val="008B2A10"/>
    <w:rsid w:val="008B2D96"/>
    <w:rsid w:val="008B3BBF"/>
    <w:rsid w:val="008B433B"/>
    <w:rsid w:val="008B459E"/>
    <w:rsid w:val="008B5458"/>
    <w:rsid w:val="008B54D4"/>
    <w:rsid w:val="008B56D0"/>
    <w:rsid w:val="008B6380"/>
    <w:rsid w:val="008B6890"/>
    <w:rsid w:val="008B769D"/>
    <w:rsid w:val="008B7A80"/>
    <w:rsid w:val="008B7AE8"/>
    <w:rsid w:val="008C15F5"/>
    <w:rsid w:val="008C1711"/>
    <w:rsid w:val="008C1E4D"/>
    <w:rsid w:val="008C2BE4"/>
    <w:rsid w:val="008C2F8A"/>
    <w:rsid w:val="008C349B"/>
    <w:rsid w:val="008C383D"/>
    <w:rsid w:val="008C4F42"/>
    <w:rsid w:val="008C50EA"/>
    <w:rsid w:val="008C51CE"/>
    <w:rsid w:val="008C5DA0"/>
    <w:rsid w:val="008C6062"/>
    <w:rsid w:val="008C67CD"/>
    <w:rsid w:val="008C6878"/>
    <w:rsid w:val="008C73CA"/>
    <w:rsid w:val="008C779B"/>
    <w:rsid w:val="008D0607"/>
    <w:rsid w:val="008D1979"/>
    <w:rsid w:val="008D1990"/>
    <w:rsid w:val="008D19E6"/>
    <w:rsid w:val="008D1F77"/>
    <w:rsid w:val="008D2B42"/>
    <w:rsid w:val="008D3431"/>
    <w:rsid w:val="008D386B"/>
    <w:rsid w:val="008D3942"/>
    <w:rsid w:val="008D5484"/>
    <w:rsid w:val="008D581B"/>
    <w:rsid w:val="008D6918"/>
    <w:rsid w:val="008D6F23"/>
    <w:rsid w:val="008D776C"/>
    <w:rsid w:val="008D7A28"/>
    <w:rsid w:val="008E06E0"/>
    <w:rsid w:val="008E0E46"/>
    <w:rsid w:val="008E1625"/>
    <w:rsid w:val="008E2889"/>
    <w:rsid w:val="008E3048"/>
    <w:rsid w:val="008E32AD"/>
    <w:rsid w:val="008E3614"/>
    <w:rsid w:val="008E36F2"/>
    <w:rsid w:val="008E37A7"/>
    <w:rsid w:val="008E4607"/>
    <w:rsid w:val="008E53D0"/>
    <w:rsid w:val="008E55BE"/>
    <w:rsid w:val="008E60F3"/>
    <w:rsid w:val="008E672A"/>
    <w:rsid w:val="008E68FE"/>
    <w:rsid w:val="008E7CBC"/>
    <w:rsid w:val="008F1AA8"/>
    <w:rsid w:val="008F22B6"/>
    <w:rsid w:val="008F2D60"/>
    <w:rsid w:val="008F45CC"/>
    <w:rsid w:val="008F4D10"/>
    <w:rsid w:val="008F52D0"/>
    <w:rsid w:val="008F53E2"/>
    <w:rsid w:val="008F588A"/>
    <w:rsid w:val="008F5B25"/>
    <w:rsid w:val="008F6F13"/>
    <w:rsid w:val="008F7913"/>
    <w:rsid w:val="00901F06"/>
    <w:rsid w:val="0090255B"/>
    <w:rsid w:val="00902937"/>
    <w:rsid w:val="00902DE6"/>
    <w:rsid w:val="00903D2A"/>
    <w:rsid w:val="009042E7"/>
    <w:rsid w:val="0090452C"/>
    <w:rsid w:val="00904CFA"/>
    <w:rsid w:val="00904DF7"/>
    <w:rsid w:val="00905AB9"/>
    <w:rsid w:val="00905C5E"/>
    <w:rsid w:val="00906C9F"/>
    <w:rsid w:val="00907366"/>
    <w:rsid w:val="00907C3F"/>
    <w:rsid w:val="009108D3"/>
    <w:rsid w:val="00910BB2"/>
    <w:rsid w:val="00910BF2"/>
    <w:rsid w:val="00910F86"/>
    <w:rsid w:val="00910FB2"/>
    <w:rsid w:val="00911151"/>
    <w:rsid w:val="00911B53"/>
    <w:rsid w:val="0091212E"/>
    <w:rsid w:val="0091219A"/>
    <w:rsid w:val="00912D5B"/>
    <w:rsid w:val="00913EE2"/>
    <w:rsid w:val="00914DBB"/>
    <w:rsid w:val="0091570B"/>
    <w:rsid w:val="00916795"/>
    <w:rsid w:val="00916E30"/>
    <w:rsid w:val="00917E1D"/>
    <w:rsid w:val="00917FAE"/>
    <w:rsid w:val="00920061"/>
    <w:rsid w:val="0092009B"/>
    <w:rsid w:val="00920D63"/>
    <w:rsid w:val="009211B0"/>
    <w:rsid w:val="009213A1"/>
    <w:rsid w:val="00921766"/>
    <w:rsid w:val="009218C2"/>
    <w:rsid w:val="0092195D"/>
    <w:rsid w:val="00921981"/>
    <w:rsid w:val="00921D92"/>
    <w:rsid w:val="00921E1A"/>
    <w:rsid w:val="00921FA3"/>
    <w:rsid w:val="009221E7"/>
    <w:rsid w:val="0092237C"/>
    <w:rsid w:val="00922586"/>
    <w:rsid w:val="0092293C"/>
    <w:rsid w:val="00922C12"/>
    <w:rsid w:val="00922C8E"/>
    <w:rsid w:val="00923486"/>
    <w:rsid w:val="009239F1"/>
    <w:rsid w:val="00923EE2"/>
    <w:rsid w:val="009243FB"/>
    <w:rsid w:val="009244F9"/>
    <w:rsid w:val="0092471E"/>
    <w:rsid w:val="00924CD7"/>
    <w:rsid w:val="0092539C"/>
    <w:rsid w:val="00925CD1"/>
    <w:rsid w:val="00925DAA"/>
    <w:rsid w:val="0092612B"/>
    <w:rsid w:val="00926373"/>
    <w:rsid w:val="0092643D"/>
    <w:rsid w:val="00926B9E"/>
    <w:rsid w:val="00926CAA"/>
    <w:rsid w:val="00926F5B"/>
    <w:rsid w:val="009279DB"/>
    <w:rsid w:val="00927C27"/>
    <w:rsid w:val="00930062"/>
    <w:rsid w:val="00930725"/>
    <w:rsid w:val="00930CF4"/>
    <w:rsid w:val="00931392"/>
    <w:rsid w:val="00931A0C"/>
    <w:rsid w:val="009323B3"/>
    <w:rsid w:val="00932F35"/>
    <w:rsid w:val="009333A2"/>
    <w:rsid w:val="009340F5"/>
    <w:rsid w:val="009341DC"/>
    <w:rsid w:val="00934BB9"/>
    <w:rsid w:val="00935D36"/>
    <w:rsid w:val="0093707B"/>
    <w:rsid w:val="009400EB"/>
    <w:rsid w:val="0094024B"/>
    <w:rsid w:val="00940EBF"/>
    <w:rsid w:val="009427E3"/>
    <w:rsid w:val="00942AE3"/>
    <w:rsid w:val="00942F9E"/>
    <w:rsid w:val="0094448F"/>
    <w:rsid w:val="00944585"/>
    <w:rsid w:val="00944922"/>
    <w:rsid w:val="009451A6"/>
    <w:rsid w:val="0094536C"/>
    <w:rsid w:val="00945443"/>
    <w:rsid w:val="009455AB"/>
    <w:rsid w:val="009456C2"/>
    <w:rsid w:val="009457E4"/>
    <w:rsid w:val="00946575"/>
    <w:rsid w:val="00946ECD"/>
    <w:rsid w:val="00947575"/>
    <w:rsid w:val="009500E3"/>
    <w:rsid w:val="00950317"/>
    <w:rsid w:val="00950501"/>
    <w:rsid w:val="009505C1"/>
    <w:rsid w:val="009507C6"/>
    <w:rsid w:val="00950D13"/>
    <w:rsid w:val="00951221"/>
    <w:rsid w:val="0095220B"/>
    <w:rsid w:val="00952247"/>
    <w:rsid w:val="00952505"/>
    <w:rsid w:val="00952783"/>
    <w:rsid w:val="00952A68"/>
    <w:rsid w:val="00952ACD"/>
    <w:rsid w:val="00953188"/>
    <w:rsid w:val="00953764"/>
    <w:rsid w:val="00953823"/>
    <w:rsid w:val="0095410A"/>
    <w:rsid w:val="00954AD9"/>
    <w:rsid w:val="00954F2D"/>
    <w:rsid w:val="0095589A"/>
    <w:rsid w:val="00955F59"/>
    <w:rsid w:val="00956295"/>
    <w:rsid w:val="009562F8"/>
    <w:rsid w:val="009568B6"/>
    <w:rsid w:val="00956981"/>
    <w:rsid w:val="00956D9B"/>
    <w:rsid w:val="00957252"/>
    <w:rsid w:val="00961510"/>
    <w:rsid w:val="00961DFA"/>
    <w:rsid w:val="009622E8"/>
    <w:rsid w:val="0096243D"/>
    <w:rsid w:val="009627BE"/>
    <w:rsid w:val="00963225"/>
    <w:rsid w:val="00963CBA"/>
    <w:rsid w:val="00964143"/>
    <w:rsid w:val="0096477D"/>
    <w:rsid w:val="00964913"/>
    <w:rsid w:val="009654B7"/>
    <w:rsid w:val="00966F2B"/>
    <w:rsid w:val="00967426"/>
    <w:rsid w:val="00967E31"/>
    <w:rsid w:val="0097019A"/>
    <w:rsid w:val="0097108A"/>
    <w:rsid w:val="009717BD"/>
    <w:rsid w:val="00972D53"/>
    <w:rsid w:val="00973286"/>
    <w:rsid w:val="009734AB"/>
    <w:rsid w:val="00973B0E"/>
    <w:rsid w:val="00973EE4"/>
    <w:rsid w:val="00974BA0"/>
    <w:rsid w:val="00975ADA"/>
    <w:rsid w:val="00975D68"/>
    <w:rsid w:val="00976EC1"/>
    <w:rsid w:val="00976F50"/>
    <w:rsid w:val="009771CE"/>
    <w:rsid w:val="00977C71"/>
    <w:rsid w:val="00977ECA"/>
    <w:rsid w:val="00980643"/>
    <w:rsid w:val="0098065B"/>
    <w:rsid w:val="00980953"/>
    <w:rsid w:val="0098128F"/>
    <w:rsid w:val="00982862"/>
    <w:rsid w:val="00982D05"/>
    <w:rsid w:val="00982FB2"/>
    <w:rsid w:val="0098322A"/>
    <w:rsid w:val="0098370B"/>
    <w:rsid w:val="0098374D"/>
    <w:rsid w:val="00983888"/>
    <w:rsid w:val="009840CE"/>
    <w:rsid w:val="00984302"/>
    <w:rsid w:val="00984F9B"/>
    <w:rsid w:val="009854A7"/>
    <w:rsid w:val="00985E42"/>
    <w:rsid w:val="00985E94"/>
    <w:rsid w:val="009907F7"/>
    <w:rsid w:val="00990DC9"/>
    <w:rsid w:val="00990F53"/>
    <w:rsid w:val="00991007"/>
    <w:rsid w:val="00991261"/>
    <w:rsid w:val="00991466"/>
    <w:rsid w:val="00991765"/>
    <w:rsid w:val="00991AB7"/>
    <w:rsid w:val="00991AC4"/>
    <w:rsid w:val="00991CAD"/>
    <w:rsid w:val="0099211D"/>
    <w:rsid w:val="0099219D"/>
    <w:rsid w:val="0099327E"/>
    <w:rsid w:val="00993489"/>
    <w:rsid w:val="00993C8D"/>
    <w:rsid w:val="00993C92"/>
    <w:rsid w:val="00993FDD"/>
    <w:rsid w:val="00994C8E"/>
    <w:rsid w:val="00994E31"/>
    <w:rsid w:val="00994FDF"/>
    <w:rsid w:val="00995585"/>
    <w:rsid w:val="009956A6"/>
    <w:rsid w:val="00995A39"/>
    <w:rsid w:val="0099656A"/>
    <w:rsid w:val="00996615"/>
    <w:rsid w:val="00997C52"/>
    <w:rsid w:val="00997D2C"/>
    <w:rsid w:val="009A002A"/>
    <w:rsid w:val="009A0B83"/>
    <w:rsid w:val="009A0C86"/>
    <w:rsid w:val="009A106B"/>
    <w:rsid w:val="009A1D9F"/>
    <w:rsid w:val="009A1E33"/>
    <w:rsid w:val="009A24F4"/>
    <w:rsid w:val="009A3C29"/>
    <w:rsid w:val="009A4135"/>
    <w:rsid w:val="009A4945"/>
    <w:rsid w:val="009A49D0"/>
    <w:rsid w:val="009A4A68"/>
    <w:rsid w:val="009A4B3A"/>
    <w:rsid w:val="009A4FB4"/>
    <w:rsid w:val="009A5A0C"/>
    <w:rsid w:val="009A6113"/>
    <w:rsid w:val="009A6249"/>
    <w:rsid w:val="009A6287"/>
    <w:rsid w:val="009A64AD"/>
    <w:rsid w:val="009A67E1"/>
    <w:rsid w:val="009A7745"/>
    <w:rsid w:val="009A78A8"/>
    <w:rsid w:val="009A7C20"/>
    <w:rsid w:val="009B0318"/>
    <w:rsid w:val="009B0506"/>
    <w:rsid w:val="009B0C0B"/>
    <w:rsid w:val="009B1DC4"/>
    <w:rsid w:val="009B2604"/>
    <w:rsid w:val="009B2714"/>
    <w:rsid w:val="009B2958"/>
    <w:rsid w:val="009B3672"/>
    <w:rsid w:val="009B3800"/>
    <w:rsid w:val="009B4070"/>
    <w:rsid w:val="009B4656"/>
    <w:rsid w:val="009B54FF"/>
    <w:rsid w:val="009B564B"/>
    <w:rsid w:val="009B5892"/>
    <w:rsid w:val="009B6073"/>
    <w:rsid w:val="009B6B7F"/>
    <w:rsid w:val="009B6C7E"/>
    <w:rsid w:val="009B7506"/>
    <w:rsid w:val="009C0036"/>
    <w:rsid w:val="009C02FF"/>
    <w:rsid w:val="009C0705"/>
    <w:rsid w:val="009C0FFB"/>
    <w:rsid w:val="009C12E8"/>
    <w:rsid w:val="009C17D8"/>
    <w:rsid w:val="009C1C49"/>
    <w:rsid w:val="009C26CE"/>
    <w:rsid w:val="009C2C26"/>
    <w:rsid w:val="009C2FB7"/>
    <w:rsid w:val="009C3AC3"/>
    <w:rsid w:val="009C3DB0"/>
    <w:rsid w:val="009C5E96"/>
    <w:rsid w:val="009C6175"/>
    <w:rsid w:val="009C6575"/>
    <w:rsid w:val="009C666A"/>
    <w:rsid w:val="009C67B5"/>
    <w:rsid w:val="009C67FB"/>
    <w:rsid w:val="009C69D1"/>
    <w:rsid w:val="009C6DB1"/>
    <w:rsid w:val="009C6E00"/>
    <w:rsid w:val="009C74F8"/>
    <w:rsid w:val="009C78BC"/>
    <w:rsid w:val="009D196F"/>
    <w:rsid w:val="009D1C89"/>
    <w:rsid w:val="009D1D02"/>
    <w:rsid w:val="009D22AC"/>
    <w:rsid w:val="009D24A8"/>
    <w:rsid w:val="009D2E37"/>
    <w:rsid w:val="009D3481"/>
    <w:rsid w:val="009D4148"/>
    <w:rsid w:val="009D43A3"/>
    <w:rsid w:val="009D50DB"/>
    <w:rsid w:val="009D54E8"/>
    <w:rsid w:val="009D5CC0"/>
    <w:rsid w:val="009D6DE6"/>
    <w:rsid w:val="009D75B8"/>
    <w:rsid w:val="009D7948"/>
    <w:rsid w:val="009E010D"/>
    <w:rsid w:val="009E06A9"/>
    <w:rsid w:val="009E097B"/>
    <w:rsid w:val="009E0E0F"/>
    <w:rsid w:val="009E161D"/>
    <w:rsid w:val="009E180C"/>
    <w:rsid w:val="009E1A06"/>
    <w:rsid w:val="009E1C4E"/>
    <w:rsid w:val="009E203B"/>
    <w:rsid w:val="009E20E6"/>
    <w:rsid w:val="009E20FD"/>
    <w:rsid w:val="009E21E5"/>
    <w:rsid w:val="009E254F"/>
    <w:rsid w:val="009E27EA"/>
    <w:rsid w:val="009E3141"/>
    <w:rsid w:val="009E322F"/>
    <w:rsid w:val="009E3735"/>
    <w:rsid w:val="009E388A"/>
    <w:rsid w:val="009E392B"/>
    <w:rsid w:val="009E4C32"/>
    <w:rsid w:val="009E503C"/>
    <w:rsid w:val="009E51FF"/>
    <w:rsid w:val="009E5715"/>
    <w:rsid w:val="009E5C2F"/>
    <w:rsid w:val="009E60B5"/>
    <w:rsid w:val="009E6238"/>
    <w:rsid w:val="009E6E05"/>
    <w:rsid w:val="009E6E96"/>
    <w:rsid w:val="009E7334"/>
    <w:rsid w:val="009E754A"/>
    <w:rsid w:val="009E77AB"/>
    <w:rsid w:val="009E7FAA"/>
    <w:rsid w:val="009F099A"/>
    <w:rsid w:val="009F0A75"/>
    <w:rsid w:val="009F1894"/>
    <w:rsid w:val="009F22B5"/>
    <w:rsid w:val="009F230C"/>
    <w:rsid w:val="009F2675"/>
    <w:rsid w:val="009F3132"/>
    <w:rsid w:val="009F3855"/>
    <w:rsid w:val="009F4096"/>
    <w:rsid w:val="009F4654"/>
    <w:rsid w:val="009F5598"/>
    <w:rsid w:val="009F58F4"/>
    <w:rsid w:val="009F5BA6"/>
    <w:rsid w:val="009F5F05"/>
    <w:rsid w:val="009F63CD"/>
    <w:rsid w:val="009F6BAA"/>
    <w:rsid w:val="009F6D43"/>
    <w:rsid w:val="009F724B"/>
    <w:rsid w:val="009F73E2"/>
    <w:rsid w:val="009F7A81"/>
    <w:rsid w:val="009F7BD5"/>
    <w:rsid w:val="00A001EE"/>
    <w:rsid w:val="00A0036A"/>
    <w:rsid w:val="00A00776"/>
    <w:rsid w:val="00A00A93"/>
    <w:rsid w:val="00A01157"/>
    <w:rsid w:val="00A01EBF"/>
    <w:rsid w:val="00A026BA"/>
    <w:rsid w:val="00A02AF1"/>
    <w:rsid w:val="00A02EE4"/>
    <w:rsid w:val="00A030BA"/>
    <w:rsid w:val="00A03B27"/>
    <w:rsid w:val="00A04946"/>
    <w:rsid w:val="00A04FAB"/>
    <w:rsid w:val="00A0521D"/>
    <w:rsid w:val="00A05780"/>
    <w:rsid w:val="00A05DEA"/>
    <w:rsid w:val="00A05E0B"/>
    <w:rsid w:val="00A05ED0"/>
    <w:rsid w:val="00A062DC"/>
    <w:rsid w:val="00A06624"/>
    <w:rsid w:val="00A06D34"/>
    <w:rsid w:val="00A10C5D"/>
    <w:rsid w:val="00A111AC"/>
    <w:rsid w:val="00A11600"/>
    <w:rsid w:val="00A1195D"/>
    <w:rsid w:val="00A12243"/>
    <w:rsid w:val="00A1427D"/>
    <w:rsid w:val="00A14486"/>
    <w:rsid w:val="00A144A7"/>
    <w:rsid w:val="00A14897"/>
    <w:rsid w:val="00A14B0F"/>
    <w:rsid w:val="00A15B3F"/>
    <w:rsid w:val="00A15F2A"/>
    <w:rsid w:val="00A16510"/>
    <w:rsid w:val="00A16C62"/>
    <w:rsid w:val="00A16EF1"/>
    <w:rsid w:val="00A17FE6"/>
    <w:rsid w:val="00A202D5"/>
    <w:rsid w:val="00A206BA"/>
    <w:rsid w:val="00A20923"/>
    <w:rsid w:val="00A20BC8"/>
    <w:rsid w:val="00A20EC1"/>
    <w:rsid w:val="00A211AC"/>
    <w:rsid w:val="00A216C4"/>
    <w:rsid w:val="00A21D80"/>
    <w:rsid w:val="00A21D99"/>
    <w:rsid w:val="00A22777"/>
    <w:rsid w:val="00A23EE4"/>
    <w:rsid w:val="00A254FA"/>
    <w:rsid w:val="00A2596B"/>
    <w:rsid w:val="00A263DA"/>
    <w:rsid w:val="00A27EF7"/>
    <w:rsid w:val="00A307C6"/>
    <w:rsid w:val="00A30ED9"/>
    <w:rsid w:val="00A30EF0"/>
    <w:rsid w:val="00A30EF5"/>
    <w:rsid w:val="00A32E14"/>
    <w:rsid w:val="00A3371A"/>
    <w:rsid w:val="00A3428E"/>
    <w:rsid w:val="00A3456B"/>
    <w:rsid w:val="00A3497E"/>
    <w:rsid w:val="00A34DAA"/>
    <w:rsid w:val="00A35D89"/>
    <w:rsid w:val="00A35E5F"/>
    <w:rsid w:val="00A36074"/>
    <w:rsid w:val="00A36487"/>
    <w:rsid w:val="00A3687F"/>
    <w:rsid w:val="00A36913"/>
    <w:rsid w:val="00A369B1"/>
    <w:rsid w:val="00A36C72"/>
    <w:rsid w:val="00A37281"/>
    <w:rsid w:val="00A377E9"/>
    <w:rsid w:val="00A40508"/>
    <w:rsid w:val="00A41E34"/>
    <w:rsid w:val="00A42118"/>
    <w:rsid w:val="00A42C91"/>
    <w:rsid w:val="00A42D83"/>
    <w:rsid w:val="00A42EE9"/>
    <w:rsid w:val="00A43080"/>
    <w:rsid w:val="00A433AF"/>
    <w:rsid w:val="00A43AED"/>
    <w:rsid w:val="00A43B61"/>
    <w:rsid w:val="00A43E31"/>
    <w:rsid w:val="00A44978"/>
    <w:rsid w:val="00A45C39"/>
    <w:rsid w:val="00A45E8F"/>
    <w:rsid w:val="00A4634F"/>
    <w:rsid w:val="00A465C1"/>
    <w:rsid w:val="00A46815"/>
    <w:rsid w:val="00A47236"/>
    <w:rsid w:val="00A50104"/>
    <w:rsid w:val="00A504CE"/>
    <w:rsid w:val="00A50928"/>
    <w:rsid w:val="00A50F56"/>
    <w:rsid w:val="00A51122"/>
    <w:rsid w:val="00A5145C"/>
    <w:rsid w:val="00A51ACA"/>
    <w:rsid w:val="00A51CF3"/>
    <w:rsid w:val="00A520FD"/>
    <w:rsid w:val="00A521A3"/>
    <w:rsid w:val="00A52339"/>
    <w:rsid w:val="00A52AC1"/>
    <w:rsid w:val="00A52D6A"/>
    <w:rsid w:val="00A5301D"/>
    <w:rsid w:val="00A533BC"/>
    <w:rsid w:val="00A534A0"/>
    <w:rsid w:val="00A53CB1"/>
    <w:rsid w:val="00A540E4"/>
    <w:rsid w:val="00A5434D"/>
    <w:rsid w:val="00A555FD"/>
    <w:rsid w:val="00A55A4E"/>
    <w:rsid w:val="00A55F0C"/>
    <w:rsid w:val="00A56089"/>
    <w:rsid w:val="00A56934"/>
    <w:rsid w:val="00A57382"/>
    <w:rsid w:val="00A575F3"/>
    <w:rsid w:val="00A60D23"/>
    <w:rsid w:val="00A60E52"/>
    <w:rsid w:val="00A61EC7"/>
    <w:rsid w:val="00A61F51"/>
    <w:rsid w:val="00A626DB"/>
    <w:rsid w:val="00A62AC4"/>
    <w:rsid w:val="00A62E8F"/>
    <w:rsid w:val="00A6391B"/>
    <w:rsid w:val="00A64072"/>
    <w:rsid w:val="00A6433D"/>
    <w:rsid w:val="00A65072"/>
    <w:rsid w:val="00A65182"/>
    <w:rsid w:val="00A65303"/>
    <w:rsid w:val="00A65414"/>
    <w:rsid w:val="00A6634B"/>
    <w:rsid w:val="00A663C2"/>
    <w:rsid w:val="00A67D29"/>
    <w:rsid w:val="00A67F53"/>
    <w:rsid w:val="00A72F22"/>
    <w:rsid w:val="00A734AE"/>
    <w:rsid w:val="00A73CF0"/>
    <w:rsid w:val="00A73D32"/>
    <w:rsid w:val="00A74396"/>
    <w:rsid w:val="00A748A6"/>
    <w:rsid w:val="00A74A8A"/>
    <w:rsid w:val="00A75D19"/>
    <w:rsid w:val="00A76240"/>
    <w:rsid w:val="00A76516"/>
    <w:rsid w:val="00A76BCE"/>
    <w:rsid w:val="00A77BC6"/>
    <w:rsid w:val="00A80B41"/>
    <w:rsid w:val="00A8190F"/>
    <w:rsid w:val="00A81BA3"/>
    <w:rsid w:val="00A8228E"/>
    <w:rsid w:val="00A8489C"/>
    <w:rsid w:val="00A84C76"/>
    <w:rsid w:val="00A84D3E"/>
    <w:rsid w:val="00A85C93"/>
    <w:rsid w:val="00A864EB"/>
    <w:rsid w:val="00A8740E"/>
    <w:rsid w:val="00A876A8"/>
    <w:rsid w:val="00A87723"/>
    <w:rsid w:val="00A879A4"/>
    <w:rsid w:val="00A87E95"/>
    <w:rsid w:val="00A87EDC"/>
    <w:rsid w:val="00A913EC"/>
    <w:rsid w:val="00A91B14"/>
    <w:rsid w:val="00A91B8B"/>
    <w:rsid w:val="00A92779"/>
    <w:rsid w:val="00A92ADF"/>
    <w:rsid w:val="00A92E29"/>
    <w:rsid w:val="00A9326A"/>
    <w:rsid w:val="00A93463"/>
    <w:rsid w:val="00A93EA9"/>
    <w:rsid w:val="00A93EC1"/>
    <w:rsid w:val="00A940AC"/>
    <w:rsid w:val="00A950BA"/>
    <w:rsid w:val="00A9523D"/>
    <w:rsid w:val="00A95254"/>
    <w:rsid w:val="00A953C6"/>
    <w:rsid w:val="00A96573"/>
    <w:rsid w:val="00A966DE"/>
    <w:rsid w:val="00A96DEC"/>
    <w:rsid w:val="00A97233"/>
    <w:rsid w:val="00A97F3C"/>
    <w:rsid w:val="00AA043B"/>
    <w:rsid w:val="00AA1B2C"/>
    <w:rsid w:val="00AA302E"/>
    <w:rsid w:val="00AA4247"/>
    <w:rsid w:val="00AA461E"/>
    <w:rsid w:val="00AA4B48"/>
    <w:rsid w:val="00AA5489"/>
    <w:rsid w:val="00AA57FC"/>
    <w:rsid w:val="00AA58E1"/>
    <w:rsid w:val="00AA59E0"/>
    <w:rsid w:val="00AA5B2B"/>
    <w:rsid w:val="00AA5B9F"/>
    <w:rsid w:val="00AA7B11"/>
    <w:rsid w:val="00AA7E9E"/>
    <w:rsid w:val="00AB116C"/>
    <w:rsid w:val="00AB17C1"/>
    <w:rsid w:val="00AB1939"/>
    <w:rsid w:val="00AB1EBA"/>
    <w:rsid w:val="00AB2697"/>
    <w:rsid w:val="00AB2DAA"/>
    <w:rsid w:val="00AB30E6"/>
    <w:rsid w:val="00AB3437"/>
    <w:rsid w:val="00AB3556"/>
    <w:rsid w:val="00AB4431"/>
    <w:rsid w:val="00AB480F"/>
    <w:rsid w:val="00AB4C78"/>
    <w:rsid w:val="00AB50BE"/>
    <w:rsid w:val="00AB5185"/>
    <w:rsid w:val="00AB5402"/>
    <w:rsid w:val="00AB5537"/>
    <w:rsid w:val="00AB6062"/>
    <w:rsid w:val="00AB6399"/>
    <w:rsid w:val="00AB6ACA"/>
    <w:rsid w:val="00AB6B0E"/>
    <w:rsid w:val="00AB6BBD"/>
    <w:rsid w:val="00AB72D1"/>
    <w:rsid w:val="00AB7390"/>
    <w:rsid w:val="00AB7788"/>
    <w:rsid w:val="00AB7AC6"/>
    <w:rsid w:val="00AB7D24"/>
    <w:rsid w:val="00AB7EF0"/>
    <w:rsid w:val="00AC0286"/>
    <w:rsid w:val="00AC0470"/>
    <w:rsid w:val="00AC07EF"/>
    <w:rsid w:val="00AC0C09"/>
    <w:rsid w:val="00AC1F52"/>
    <w:rsid w:val="00AC289C"/>
    <w:rsid w:val="00AC2C8F"/>
    <w:rsid w:val="00AC2ED7"/>
    <w:rsid w:val="00AC3A75"/>
    <w:rsid w:val="00AC444F"/>
    <w:rsid w:val="00AC4CA0"/>
    <w:rsid w:val="00AC5AE2"/>
    <w:rsid w:val="00AC5D29"/>
    <w:rsid w:val="00AC633E"/>
    <w:rsid w:val="00AC65B7"/>
    <w:rsid w:val="00AC697C"/>
    <w:rsid w:val="00AC7343"/>
    <w:rsid w:val="00AC78A1"/>
    <w:rsid w:val="00AC792D"/>
    <w:rsid w:val="00AD04EA"/>
    <w:rsid w:val="00AD09E9"/>
    <w:rsid w:val="00AD0B6B"/>
    <w:rsid w:val="00AD141F"/>
    <w:rsid w:val="00AD1597"/>
    <w:rsid w:val="00AD1C1F"/>
    <w:rsid w:val="00AD268F"/>
    <w:rsid w:val="00AD2DC1"/>
    <w:rsid w:val="00AD3071"/>
    <w:rsid w:val="00AD35DE"/>
    <w:rsid w:val="00AD3F1A"/>
    <w:rsid w:val="00AD40DA"/>
    <w:rsid w:val="00AD4136"/>
    <w:rsid w:val="00AD439D"/>
    <w:rsid w:val="00AD4BFB"/>
    <w:rsid w:val="00AD53B1"/>
    <w:rsid w:val="00AD5474"/>
    <w:rsid w:val="00AD5539"/>
    <w:rsid w:val="00AD5567"/>
    <w:rsid w:val="00AD586A"/>
    <w:rsid w:val="00AD63C0"/>
    <w:rsid w:val="00AD662D"/>
    <w:rsid w:val="00AD6870"/>
    <w:rsid w:val="00AD6E63"/>
    <w:rsid w:val="00AD7266"/>
    <w:rsid w:val="00AE0A58"/>
    <w:rsid w:val="00AE0AB9"/>
    <w:rsid w:val="00AE0EE7"/>
    <w:rsid w:val="00AE0F94"/>
    <w:rsid w:val="00AE14A4"/>
    <w:rsid w:val="00AE1664"/>
    <w:rsid w:val="00AE1954"/>
    <w:rsid w:val="00AE1B2B"/>
    <w:rsid w:val="00AE1C38"/>
    <w:rsid w:val="00AE1CB5"/>
    <w:rsid w:val="00AE1E90"/>
    <w:rsid w:val="00AE2238"/>
    <w:rsid w:val="00AE2A19"/>
    <w:rsid w:val="00AE2C5E"/>
    <w:rsid w:val="00AE3076"/>
    <w:rsid w:val="00AE3675"/>
    <w:rsid w:val="00AE3ECA"/>
    <w:rsid w:val="00AE4C95"/>
    <w:rsid w:val="00AE4E8E"/>
    <w:rsid w:val="00AE4E9B"/>
    <w:rsid w:val="00AE5636"/>
    <w:rsid w:val="00AE5BFE"/>
    <w:rsid w:val="00AE5D3D"/>
    <w:rsid w:val="00AE5E14"/>
    <w:rsid w:val="00AE66D3"/>
    <w:rsid w:val="00AF0576"/>
    <w:rsid w:val="00AF0FD5"/>
    <w:rsid w:val="00AF1C36"/>
    <w:rsid w:val="00AF2EE7"/>
    <w:rsid w:val="00AF3512"/>
    <w:rsid w:val="00AF37E6"/>
    <w:rsid w:val="00AF3829"/>
    <w:rsid w:val="00AF4E59"/>
    <w:rsid w:val="00AF5139"/>
    <w:rsid w:val="00AF5B51"/>
    <w:rsid w:val="00AF5CB7"/>
    <w:rsid w:val="00AF6131"/>
    <w:rsid w:val="00AF6EE7"/>
    <w:rsid w:val="00B00EAC"/>
    <w:rsid w:val="00B01023"/>
    <w:rsid w:val="00B019F1"/>
    <w:rsid w:val="00B01F23"/>
    <w:rsid w:val="00B02115"/>
    <w:rsid w:val="00B0291D"/>
    <w:rsid w:val="00B02C4B"/>
    <w:rsid w:val="00B03012"/>
    <w:rsid w:val="00B03737"/>
    <w:rsid w:val="00B037F0"/>
    <w:rsid w:val="00B04513"/>
    <w:rsid w:val="00B0468F"/>
    <w:rsid w:val="00B04BBD"/>
    <w:rsid w:val="00B050F6"/>
    <w:rsid w:val="00B0533E"/>
    <w:rsid w:val="00B059E3"/>
    <w:rsid w:val="00B1030B"/>
    <w:rsid w:val="00B10792"/>
    <w:rsid w:val="00B10A49"/>
    <w:rsid w:val="00B10CCC"/>
    <w:rsid w:val="00B1152E"/>
    <w:rsid w:val="00B116C5"/>
    <w:rsid w:val="00B1194E"/>
    <w:rsid w:val="00B11B96"/>
    <w:rsid w:val="00B12CBA"/>
    <w:rsid w:val="00B13554"/>
    <w:rsid w:val="00B13585"/>
    <w:rsid w:val="00B14E2A"/>
    <w:rsid w:val="00B15771"/>
    <w:rsid w:val="00B16383"/>
    <w:rsid w:val="00B165D9"/>
    <w:rsid w:val="00B168F1"/>
    <w:rsid w:val="00B17176"/>
    <w:rsid w:val="00B17D31"/>
    <w:rsid w:val="00B17DEE"/>
    <w:rsid w:val="00B20490"/>
    <w:rsid w:val="00B20828"/>
    <w:rsid w:val="00B217A0"/>
    <w:rsid w:val="00B21873"/>
    <w:rsid w:val="00B21BA5"/>
    <w:rsid w:val="00B21F11"/>
    <w:rsid w:val="00B2327D"/>
    <w:rsid w:val="00B23AA5"/>
    <w:rsid w:val="00B2494F"/>
    <w:rsid w:val="00B24E30"/>
    <w:rsid w:val="00B24FB0"/>
    <w:rsid w:val="00B256AF"/>
    <w:rsid w:val="00B26200"/>
    <w:rsid w:val="00B2634C"/>
    <w:rsid w:val="00B26561"/>
    <w:rsid w:val="00B26AB1"/>
    <w:rsid w:val="00B2718F"/>
    <w:rsid w:val="00B30179"/>
    <w:rsid w:val="00B30467"/>
    <w:rsid w:val="00B30B93"/>
    <w:rsid w:val="00B30EC9"/>
    <w:rsid w:val="00B3132E"/>
    <w:rsid w:val="00B31882"/>
    <w:rsid w:val="00B31935"/>
    <w:rsid w:val="00B31A93"/>
    <w:rsid w:val="00B32945"/>
    <w:rsid w:val="00B32B22"/>
    <w:rsid w:val="00B32C20"/>
    <w:rsid w:val="00B32C71"/>
    <w:rsid w:val="00B3317B"/>
    <w:rsid w:val="00B3335D"/>
    <w:rsid w:val="00B334DC"/>
    <w:rsid w:val="00B337C0"/>
    <w:rsid w:val="00B33A1F"/>
    <w:rsid w:val="00B34B13"/>
    <w:rsid w:val="00B34BA8"/>
    <w:rsid w:val="00B34CAE"/>
    <w:rsid w:val="00B3537B"/>
    <w:rsid w:val="00B35B0A"/>
    <w:rsid w:val="00B35BBC"/>
    <w:rsid w:val="00B3631A"/>
    <w:rsid w:val="00B36CF4"/>
    <w:rsid w:val="00B36FED"/>
    <w:rsid w:val="00B37483"/>
    <w:rsid w:val="00B37591"/>
    <w:rsid w:val="00B37CB7"/>
    <w:rsid w:val="00B40004"/>
    <w:rsid w:val="00B400DF"/>
    <w:rsid w:val="00B40EBE"/>
    <w:rsid w:val="00B42422"/>
    <w:rsid w:val="00B42673"/>
    <w:rsid w:val="00B428BF"/>
    <w:rsid w:val="00B43B1F"/>
    <w:rsid w:val="00B43D89"/>
    <w:rsid w:val="00B43FAD"/>
    <w:rsid w:val="00B4460B"/>
    <w:rsid w:val="00B44759"/>
    <w:rsid w:val="00B44C66"/>
    <w:rsid w:val="00B44D5D"/>
    <w:rsid w:val="00B45513"/>
    <w:rsid w:val="00B455CA"/>
    <w:rsid w:val="00B45F23"/>
    <w:rsid w:val="00B45F4D"/>
    <w:rsid w:val="00B47014"/>
    <w:rsid w:val="00B50340"/>
    <w:rsid w:val="00B5055B"/>
    <w:rsid w:val="00B506E2"/>
    <w:rsid w:val="00B510BA"/>
    <w:rsid w:val="00B51FE0"/>
    <w:rsid w:val="00B529E1"/>
    <w:rsid w:val="00B52AD9"/>
    <w:rsid w:val="00B52B78"/>
    <w:rsid w:val="00B52CCF"/>
    <w:rsid w:val="00B52FB2"/>
    <w:rsid w:val="00B53013"/>
    <w:rsid w:val="00B536FC"/>
    <w:rsid w:val="00B53879"/>
    <w:rsid w:val="00B53F5F"/>
    <w:rsid w:val="00B549A2"/>
    <w:rsid w:val="00B54ACE"/>
    <w:rsid w:val="00B55735"/>
    <w:rsid w:val="00B55F94"/>
    <w:rsid w:val="00B56F45"/>
    <w:rsid w:val="00B572E6"/>
    <w:rsid w:val="00B57828"/>
    <w:rsid w:val="00B57A3D"/>
    <w:rsid w:val="00B60113"/>
    <w:rsid w:val="00B603EB"/>
    <w:rsid w:val="00B60896"/>
    <w:rsid w:val="00B612E1"/>
    <w:rsid w:val="00B6130E"/>
    <w:rsid w:val="00B61B1D"/>
    <w:rsid w:val="00B61F10"/>
    <w:rsid w:val="00B62307"/>
    <w:rsid w:val="00B62326"/>
    <w:rsid w:val="00B63550"/>
    <w:rsid w:val="00B644E2"/>
    <w:rsid w:val="00B66093"/>
    <w:rsid w:val="00B6752E"/>
    <w:rsid w:val="00B67C5E"/>
    <w:rsid w:val="00B67F27"/>
    <w:rsid w:val="00B67F5E"/>
    <w:rsid w:val="00B70440"/>
    <w:rsid w:val="00B70CD9"/>
    <w:rsid w:val="00B721CB"/>
    <w:rsid w:val="00B72294"/>
    <w:rsid w:val="00B728F5"/>
    <w:rsid w:val="00B72AF8"/>
    <w:rsid w:val="00B72C11"/>
    <w:rsid w:val="00B72D27"/>
    <w:rsid w:val="00B72F8D"/>
    <w:rsid w:val="00B7324B"/>
    <w:rsid w:val="00B7346B"/>
    <w:rsid w:val="00B73E65"/>
    <w:rsid w:val="00B7421B"/>
    <w:rsid w:val="00B74422"/>
    <w:rsid w:val="00B75296"/>
    <w:rsid w:val="00B75F0C"/>
    <w:rsid w:val="00B76941"/>
    <w:rsid w:val="00B76D27"/>
    <w:rsid w:val="00B77147"/>
    <w:rsid w:val="00B804DE"/>
    <w:rsid w:val="00B8066B"/>
    <w:rsid w:val="00B806AB"/>
    <w:rsid w:val="00B806EC"/>
    <w:rsid w:val="00B80B22"/>
    <w:rsid w:val="00B81CC8"/>
    <w:rsid w:val="00B81E12"/>
    <w:rsid w:val="00B83113"/>
    <w:rsid w:val="00B83370"/>
    <w:rsid w:val="00B8367F"/>
    <w:rsid w:val="00B839E1"/>
    <w:rsid w:val="00B83FFF"/>
    <w:rsid w:val="00B84013"/>
    <w:rsid w:val="00B84093"/>
    <w:rsid w:val="00B84D13"/>
    <w:rsid w:val="00B851C4"/>
    <w:rsid w:val="00B8545C"/>
    <w:rsid w:val="00B8556A"/>
    <w:rsid w:val="00B85C93"/>
    <w:rsid w:val="00B863FB"/>
    <w:rsid w:val="00B8644C"/>
    <w:rsid w:val="00B8665F"/>
    <w:rsid w:val="00B87110"/>
    <w:rsid w:val="00B87358"/>
    <w:rsid w:val="00B91B39"/>
    <w:rsid w:val="00B91B8E"/>
    <w:rsid w:val="00B91E88"/>
    <w:rsid w:val="00B92968"/>
    <w:rsid w:val="00B9360D"/>
    <w:rsid w:val="00B93711"/>
    <w:rsid w:val="00B95040"/>
    <w:rsid w:val="00B951FF"/>
    <w:rsid w:val="00B956FC"/>
    <w:rsid w:val="00B96C34"/>
    <w:rsid w:val="00B96D77"/>
    <w:rsid w:val="00B97945"/>
    <w:rsid w:val="00B97A13"/>
    <w:rsid w:val="00B97FA8"/>
    <w:rsid w:val="00BA1093"/>
    <w:rsid w:val="00BA1434"/>
    <w:rsid w:val="00BA14B0"/>
    <w:rsid w:val="00BA1808"/>
    <w:rsid w:val="00BA19CB"/>
    <w:rsid w:val="00BA19F0"/>
    <w:rsid w:val="00BA1B36"/>
    <w:rsid w:val="00BA1F98"/>
    <w:rsid w:val="00BA231D"/>
    <w:rsid w:val="00BA291C"/>
    <w:rsid w:val="00BA356B"/>
    <w:rsid w:val="00BA48E2"/>
    <w:rsid w:val="00BA4AE2"/>
    <w:rsid w:val="00BA4EC1"/>
    <w:rsid w:val="00BA4FF2"/>
    <w:rsid w:val="00BA5131"/>
    <w:rsid w:val="00BA5F20"/>
    <w:rsid w:val="00BA667F"/>
    <w:rsid w:val="00BA6B80"/>
    <w:rsid w:val="00BA76A0"/>
    <w:rsid w:val="00BB0FC5"/>
    <w:rsid w:val="00BB1160"/>
    <w:rsid w:val="00BB120F"/>
    <w:rsid w:val="00BB1FA1"/>
    <w:rsid w:val="00BB2AB3"/>
    <w:rsid w:val="00BB2E1F"/>
    <w:rsid w:val="00BB2FA3"/>
    <w:rsid w:val="00BB3002"/>
    <w:rsid w:val="00BB309F"/>
    <w:rsid w:val="00BB406B"/>
    <w:rsid w:val="00BB4A8A"/>
    <w:rsid w:val="00BB5258"/>
    <w:rsid w:val="00BB527B"/>
    <w:rsid w:val="00BB5669"/>
    <w:rsid w:val="00BB577E"/>
    <w:rsid w:val="00BB5EB0"/>
    <w:rsid w:val="00BB63B2"/>
    <w:rsid w:val="00BB63E8"/>
    <w:rsid w:val="00BB726E"/>
    <w:rsid w:val="00BB7321"/>
    <w:rsid w:val="00BC1385"/>
    <w:rsid w:val="00BC2354"/>
    <w:rsid w:val="00BC2793"/>
    <w:rsid w:val="00BC2905"/>
    <w:rsid w:val="00BC4087"/>
    <w:rsid w:val="00BC49D2"/>
    <w:rsid w:val="00BC4BF3"/>
    <w:rsid w:val="00BC4C4C"/>
    <w:rsid w:val="00BC5E6A"/>
    <w:rsid w:val="00BC60FB"/>
    <w:rsid w:val="00BC68F2"/>
    <w:rsid w:val="00BC6FB1"/>
    <w:rsid w:val="00BC72A9"/>
    <w:rsid w:val="00BC74E9"/>
    <w:rsid w:val="00BC797A"/>
    <w:rsid w:val="00BC7BE0"/>
    <w:rsid w:val="00BD09F3"/>
    <w:rsid w:val="00BD12F3"/>
    <w:rsid w:val="00BD17A6"/>
    <w:rsid w:val="00BD1B03"/>
    <w:rsid w:val="00BD1CB0"/>
    <w:rsid w:val="00BD2394"/>
    <w:rsid w:val="00BD3AAA"/>
    <w:rsid w:val="00BD3AAE"/>
    <w:rsid w:val="00BD3F47"/>
    <w:rsid w:val="00BD3F82"/>
    <w:rsid w:val="00BD40CE"/>
    <w:rsid w:val="00BD5D32"/>
    <w:rsid w:val="00BD7007"/>
    <w:rsid w:val="00BD708B"/>
    <w:rsid w:val="00BE0316"/>
    <w:rsid w:val="00BE0F08"/>
    <w:rsid w:val="00BE11BF"/>
    <w:rsid w:val="00BE1907"/>
    <w:rsid w:val="00BE1B88"/>
    <w:rsid w:val="00BE2276"/>
    <w:rsid w:val="00BE25C5"/>
    <w:rsid w:val="00BE25D1"/>
    <w:rsid w:val="00BE516F"/>
    <w:rsid w:val="00BE5993"/>
    <w:rsid w:val="00BE5F7C"/>
    <w:rsid w:val="00BE6015"/>
    <w:rsid w:val="00BE618E"/>
    <w:rsid w:val="00BE655C"/>
    <w:rsid w:val="00BE6D2F"/>
    <w:rsid w:val="00BE6E49"/>
    <w:rsid w:val="00BE79A9"/>
    <w:rsid w:val="00BE7B74"/>
    <w:rsid w:val="00BE7C97"/>
    <w:rsid w:val="00BF0171"/>
    <w:rsid w:val="00BF09C6"/>
    <w:rsid w:val="00BF0DCA"/>
    <w:rsid w:val="00BF1381"/>
    <w:rsid w:val="00BF1A5F"/>
    <w:rsid w:val="00BF23DB"/>
    <w:rsid w:val="00BF2670"/>
    <w:rsid w:val="00BF300A"/>
    <w:rsid w:val="00BF3E71"/>
    <w:rsid w:val="00BF4BC8"/>
    <w:rsid w:val="00BF4C5C"/>
    <w:rsid w:val="00BF5116"/>
    <w:rsid w:val="00BF5AE9"/>
    <w:rsid w:val="00BF6734"/>
    <w:rsid w:val="00BF729B"/>
    <w:rsid w:val="00BF7F59"/>
    <w:rsid w:val="00C00044"/>
    <w:rsid w:val="00C00CFE"/>
    <w:rsid w:val="00C01081"/>
    <w:rsid w:val="00C0109E"/>
    <w:rsid w:val="00C01D17"/>
    <w:rsid w:val="00C01F15"/>
    <w:rsid w:val="00C0276F"/>
    <w:rsid w:val="00C0291E"/>
    <w:rsid w:val="00C030AD"/>
    <w:rsid w:val="00C0339B"/>
    <w:rsid w:val="00C03777"/>
    <w:rsid w:val="00C03831"/>
    <w:rsid w:val="00C03C23"/>
    <w:rsid w:val="00C04E50"/>
    <w:rsid w:val="00C05AAB"/>
    <w:rsid w:val="00C05E5B"/>
    <w:rsid w:val="00C06016"/>
    <w:rsid w:val="00C068F0"/>
    <w:rsid w:val="00C06F82"/>
    <w:rsid w:val="00C06FF0"/>
    <w:rsid w:val="00C0735C"/>
    <w:rsid w:val="00C07617"/>
    <w:rsid w:val="00C10633"/>
    <w:rsid w:val="00C10734"/>
    <w:rsid w:val="00C115C4"/>
    <w:rsid w:val="00C116ED"/>
    <w:rsid w:val="00C117FF"/>
    <w:rsid w:val="00C11C3A"/>
    <w:rsid w:val="00C11E80"/>
    <w:rsid w:val="00C122F3"/>
    <w:rsid w:val="00C12F76"/>
    <w:rsid w:val="00C13E48"/>
    <w:rsid w:val="00C15248"/>
    <w:rsid w:val="00C15329"/>
    <w:rsid w:val="00C15704"/>
    <w:rsid w:val="00C15783"/>
    <w:rsid w:val="00C159B3"/>
    <w:rsid w:val="00C15A30"/>
    <w:rsid w:val="00C16085"/>
    <w:rsid w:val="00C16380"/>
    <w:rsid w:val="00C16399"/>
    <w:rsid w:val="00C17552"/>
    <w:rsid w:val="00C1796C"/>
    <w:rsid w:val="00C179E4"/>
    <w:rsid w:val="00C20006"/>
    <w:rsid w:val="00C20568"/>
    <w:rsid w:val="00C206D8"/>
    <w:rsid w:val="00C20D3D"/>
    <w:rsid w:val="00C20DA5"/>
    <w:rsid w:val="00C20F17"/>
    <w:rsid w:val="00C217E7"/>
    <w:rsid w:val="00C2194A"/>
    <w:rsid w:val="00C2195F"/>
    <w:rsid w:val="00C21AB1"/>
    <w:rsid w:val="00C21E5C"/>
    <w:rsid w:val="00C2219D"/>
    <w:rsid w:val="00C239C8"/>
    <w:rsid w:val="00C24693"/>
    <w:rsid w:val="00C24860"/>
    <w:rsid w:val="00C24A11"/>
    <w:rsid w:val="00C274F1"/>
    <w:rsid w:val="00C3048D"/>
    <w:rsid w:val="00C31133"/>
    <w:rsid w:val="00C31E81"/>
    <w:rsid w:val="00C31F69"/>
    <w:rsid w:val="00C3267E"/>
    <w:rsid w:val="00C32D30"/>
    <w:rsid w:val="00C3315B"/>
    <w:rsid w:val="00C335F3"/>
    <w:rsid w:val="00C34088"/>
    <w:rsid w:val="00C34151"/>
    <w:rsid w:val="00C3474F"/>
    <w:rsid w:val="00C347C8"/>
    <w:rsid w:val="00C3551A"/>
    <w:rsid w:val="00C35E22"/>
    <w:rsid w:val="00C35F0B"/>
    <w:rsid w:val="00C3644D"/>
    <w:rsid w:val="00C364C5"/>
    <w:rsid w:val="00C366DC"/>
    <w:rsid w:val="00C36808"/>
    <w:rsid w:val="00C37427"/>
    <w:rsid w:val="00C37457"/>
    <w:rsid w:val="00C40AC1"/>
    <w:rsid w:val="00C40E54"/>
    <w:rsid w:val="00C41335"/>
    <w:rsid w:val="00C42119"/>
    <w:rsid w:val="00C424AB"/>
    <w:rsid w:val="00C426B8"/>
    <w:rsid w:val="00C42984"/>
    <w:rsid w:val="00C42C5C"/>
    <w:rsid w:val="00C42DB5"/>
    <w:rsid w:val="00C43608"/>
    <w:rsid w:val="00C43CD5"/>
    <w:rsid w:val="00C44253"/>
    <w:rsid w:val="00C4479F"/>
    <w:rsid w:val="00C45683"/>
    <w:rsid w:val="00C45DA2"/>
    <w:rsid w:val="00C45F61"/>
    <w:rsid w:val="00C463DD"/>
    <w:rsid w:val="00C47377"/>
    <w:rsid w:val="00C50374"/>
    <w:rsid w:val="00C516EE"/>
    <w:rsid w:val="00C51844"/>
    <w:rsid w:val="00C519DE"/>
    <w:rsid w:val="00C51BD0"/>
    <w:rsid w:val="00C51E04"/>
    <w:rsid w:val="00C52FC4"/>
    <w:rsid w:val="00C53C51"/>
    <w:rsid w:val="00C54162"/>
    <w:rsid w:val="00C54988"/>
    <w:rsid w:val="00C54D73"/>
    <w:rsid w:val="00C55027"/>
    <w:rsid w:val="00C557EA"/>
    <w:rsid w:val="00C559CC"/>
    <w:rsid w:val="00C55FFF"/>
    <w:rsid w:val="00C5699F"/>
    <w:rsid w:val="00C56F22"/>
    <w:rsid w:val="00C57664"/>
    <w:rsid w:val="00C57CF7"/>
    <w:rsid w:val="00C600B9"/>
    <w:rsid w:val="00C6050C"/>
    <w:rsid w:val="00C61017"/>
    <w:rsid w:val="00C6186E"/>
    <w:rsid w:val="00C61B76"/>
    <w:rsid w:val="00C61F7E"/>
    <w:rsid w:val="00C61FD7"/>
    <w:rsid w:val="00C62026"/>
    <w:rsid w:val="00C620CA"/>
    <w:rsid w:val="00C6331B"/>
    <w:rsid w:val="00C63609"/>
    <w:rsid w:val="00C638F5"/>
    <w:rsid w:val="00C639F2"/>
    <w:rsid w:val="00C63E21"/>
    <w:rsid w:val="00C64405"/>
    <w:rsid w:val="00C64458"/>
    <w:rsid w:val="00C65313"/>
    <w:rsid w:val="00C66937"/>
    <w:rsid w:val="00C66F85"/>
    <w:rsid w:val="00C66FCB"/>
    <w:rsid w:val="00C67613"/>
    <w:rsid w:val="00C67775"/>
    <w:rsid w:val="00C67A35"/>
    <w:rsid w:val="00C67EE5"/>
    <w:rsid w:val="00C70A02"/>
    <w:rsid w:val="00C71254"/>
    <w:rsid w:val="00C7148E"/>
    <w:rsid w:val="00C7327A"/>
    <w:rsid w:val="00C743C1"/>
    <w:rsid w:val="00C7449E"/>
    <w:rsid w:val="00C745C3"/>
    <w:rsid w:val="00C747F5"/>
    <w:rsid w:val="00C752FE"/>
    <w:rsid w:val="00C7548B"/>
    <w:rsid w:val="00C75865"/>
    <w:rsid w:val="00C7673E"/>
    <w:rsid w:val="00C76996"/>
    <w:rsid w:val="00C76AB0"/>
    <w:rsid w:val="00C776EC"/>
    <w:rsid w:val="00C77EAE"/>
    <w:rsid w:val="00C80AAC"/>
    <w:rsid w:val="00C81693"/>
    <w:rsid w:val="00C81DDF"/>
    <w:rsid w:val="00C829AB"/>
    <w:rsid w:val="00C8362C"/>
    <w:rsid w:val="00C841D7"/>
    <w:rsid w:val="00C84281"/>
    <w:rsid w:val="00C84614"/>
    <w:rsid w:val="00C8571C"/>
    <w:rsid w:val="00C86492"/>
    <w:rsid w:val="00C86D3B"/>
    <w:rsid w:val="00C86D69"/>
    <w:rsid w:val="00C86F03"/>
    <w:rsid w:val="00C87AF3"/>
    <w:rsid w:val="00C90AEB"/>
    <w:rsid w:val="00C90EC4"/>
    <w:rsid w:val="00C92278"/>
    <w:rsid w:val="00C923C0"/>
    <w:rsid w:val="00C92549"/>
    <w:rsid w:val="00C92F68"/>
    <w:rsid w:val="00C93134"/>
    <w:rsid w:val="00C93D5C"/>
    <w:rsid w:val="00C940FE"/>
    <w:rsid w:val="00C9492C"/>
    <w:rsid w:val="00C94CC7"/>
    <w:rsid w:val="00C94EB2"/>
    <w:rsid w:val="00C955CF"/>
    <w:rsid w:val="00C95BAA"/>
    <w:rsid w:val="00C95BEB"/>
    <w:rsid w:val="00C9611C"/>
    <w:rsid w:val="00C97966"/>
    <w:rsid w:val="00CA0112"/>
    <w:rsid w:val="00CA0301"/>
    <w:rsid w:val="00CA0E1C"/>
    <w:rsid w:val="00CA1140"/>
    <w:rsid w:val="00CA1238"/>
    <w:rsid w:val="00CA141B"/>
    <w:rsid w:val="00CA15F1"/>
    <w:rsid w:val="00CA19F8"/>
    <w:rsid w:val="00CA1BE0"/>
    <w:rsid w:val="00CA1C1F"/>
    <w:rsid w:val="00CA1FA4"/>
    <w:rsid w:val="00CA2A58"/>
    <w:rsid w:val="00CA40F0"/>
    <w:rsid w:val="00CA4B39"/>
    <w:rsid w:val="00CA4F75"/>
    <w:rsid w:val="00CA53F6"/>
    <w:rsid w:val="00CA5EC1"/>
    <w:rsid w:val="00CA6EEC"/>
    <w:rsid w:val="00CA74D5"/>
    <w:rsid w:val="00CA7BB3"/>
    <w:rsid w:val="00CB08AC"/>
    <w:rsid w:val="00CB106D"/>
    <w:rsid w:val="00CB1C39"/>
    <w:rsid w:val="00CB2548"/>
    <w:rsid w:val="00CB31D5"/>
    <w:rsid w:val="00CB3204"/>
    <w:rsid w:val="00CB39D7"/>
    <w:rsid w:val="00CB410B"/>
    <w:rsid w:val="00CB4B5E"/>
    <w:rsid w:val="00CB4E8F"/>
    <w:rsid w:val="00CB526A"/>
    <w:rsid w:val="00CB5BAB"/>
    <w:rsid w:val="00CB5D0C"/>
    <w:rsid w:val="00CB60EE"/>
    <w:rsid w:val="00CB6893"/>
    <w:rsid w:val="00CB6A13"/>
    <w:rsid w:val="00CB6CE6"/>
    <w:rsid w:val="00CB726F"/>
    <w:rsid w:val="00CC0724"/>
    <w:rsid w:val="00CC0943"/>
    <w:rsid w:val="00CC0B55"/>
    <w:rsid w:val="00CC1397"/>
    <w:rsid w:val="00CC16B7"/>
    <w:rsid w:val="00CC196B"/>
    <w:rsid w:val="00CC1A98"/>
    <w:rsid w:val="00CC2511"/>
    <w:rsid w:val="00CC2C54"/>
    <w:rsid w:val="00CC3C6F"/>
    <w:rsid w:val="00CC46E7"/>
    <w:rsid w:val="00CC5897"/>
    <w:rsid w:val="00CC6056"/>
    <w:rsid w:val="00CC60BA"/>
    <w:rsid w:val="00CC64C8"/>
    <w:rsid w:val="00CC677E"/>
    <w:rsid w:val="00CC704B"/>
    <w:rsid w:val="00CC70C2"/>
    <w:rsid w:val="00CC78DF"/>
    <w:rsid w:val="00CC7DD4"/>
    <w:rsid w:val="00CD0BA5"/>
    <w:rsid w:val="00CD17CF"/>
    <w:rsid w:val="00CD2952"/>
    <w:rsid w:val="00CD3A6E"/>
    <w:rsid w:val="00CD3DF9"/>
    <w:rsid w:val="00CD4D77"/>
    <w:rsid w:val="00CD500E"/>
    <w:rsid w:val="00CD5D23"/>
    <w:rsid w:val="00CD6265"/>
    <w:rsid w:val="00CD6619"/>
    <w:rsid w:val="00CD66F6"/>
    <w:rsid w:val="00CD6995"/>
    <w:rsid w:val="00CD7102"/>
    <w:rsid w:val="00CD73F6"/>
    <w:rsid w:val="00CD77D8"/>
    <w:rsid w:val="00CE03B1"/>
    <w:rsid w:val="00CE0948"/>
    <w:rsid w:val="00CE0DC0"/>
    <w:rsid w:val="00CE0E73"/>
    <w:rsid w:val="00CE0F94"/>
    <w:rsid w:val="00CE0FF8"/>
    <w:rsid w:val="00CE1F2A"/>
    <w:rsid w:val="00CE2256"/>
    <w:rsid w:val="00CE2FB9"/>
    <w:rsid w:val="00CE391E"/>
    <w:rsid w:val="00CE3D85"/>
    <w:rsid w:val="00CE3F17"/>
    <w:rsid w:val="00CE4441"/>
    <w:rsid w:val="00CE49D7"/>
    <w:rsid w:val="00CE4A8F"/>
    <w:rsid w:val="00CE51DD"/>
    <w:rsid w:val="00CE59B2"/>
    <w:rsid w:val="00CE5B32"/>
    <w:rsid w:val="00CE634F"/>
    <w:rsid w:val="00CE6893"/>
    <w:rsid w:val="00CE6A6B"/>
    <w:rsid w:val="00CE6F88"/>
    <w:rsid w:val="00CE707D"/>
    <w:rsid w:val="00CE728D"/>
    <w:rsid w:val="00CE7AB4"/>
    <w:rsid w:val="00CE7D5B"/>
    <w:rsid w:val="00CF0214"/>
    <w:rsid w:val="00CF0387"/>
    <w:rsid w:val="00CF13DB"/>
    <w:rsid w:val="00CF1695"/>
    <w:rsid w:val="00CF197A"/>
    <w:rsid w:val="00CF2A5D"/>
    <w:rsid w:val="00CF2F72"/>
    <w:rsid w:val="00CF2F7E"/>
    <w:rsid w:val="00CF36F8"/>
    <w:rsid w:val="00CF3700"/>
    <w:rsid w:val="00CF38FA"/>
    <w:rsid w:val="00CF4104"/>
    <w:rsid w:val="00CF4306"/>
    <w:rsid w:val="00CF49FF"/>
    <w:rsid w:val="00CF4E8E"/>
    <w:rsid w:val="00CF4E90"/>
    <w:rsid w:val="00CF586F"/>
    <w:rsid w:val="00CF6298"/>
    <w:rsid w:val="00CF62F4"/>
    <w:rsid w:val="00CF67DD"/>
    <w:rsid w:val="00CF6B15"/>
    <w:rsid w:val="00CF6BB8"/>
    <w:rsid w:val="00CF7D43"/>
    <w:rsid w:val="00D00222"/>
    <w:rsid w:val="00D00548"/>
    <w:rsid w:val="00D0074D"/>
    <w:rsid w:val="00D008DD"/>
    <w:rsid w:val="00D00BFA"/>
    <w:rsid w:val="00D01B5A"/>
    <w:rsid w:val="00D01BCE"/>
    <w:rsid w:val="00D0300F"/>
    <w:rsid w:val="00D03606"/>
    <w:rsid w:val="00D03B1C"/>
    <w:rsid w:val="00D042C1"/>
    <w:rsid w:val="00D0454F"/>
    <w:rsid w:val="00D0540C"/>
    <w:rsid w:val="00D05917"/>
    <w:rsid w:val="00D061C0"/>
    <w:rsid w:val="00D064B6"/>
    <w:rsid w:val="00D06777"/>
    <w:rsid w:val="00D06E34"/>
    <w:rsid w:val="00D07166"/>
    <w:rsid w:val="00D072C9"/>
    <w:rsid w:val="00D072F5"/>
    <w:rsid w:val="00D1095B"/>
    <w:rsid w:val="00D10B24"/>
    <w:rsid w:val="00D11129"/>
    <w:rsid w:val="00D112C8"/>
    <w:rsid w:val="00D11762"/>
    <w:rsid w:val="00D11C70"/>
    <w:rsid w:val="00D11F87"/>
    <w:rsid w:val="00D12C87"/>
    <w:rsid w:val="00D133E8"/>
    <w:rsid w:val="00D13689"/>
    <w:rsid w:val="00D14040"/>
    <w:rsid w:val="00D1483D"/>
    <w:rsid w:val="00D14C46"/>
    <w:rsid w:val="00D15146"/>
    <w:rsid w:val="00D158DD"/>
    <w:rsid w:val="00D1671B"/>
    <w:rsid w:val="00D16B41"/>
    <w:rsid w:val="00D16BC6"/>
    <w:rsid w:val="00D16C13"/>
    <w:rsid w:val="00D16CA2"/>
    <w:rsid w:val="00D16D90"/>
    <w:rsid w:val="00D16F1D"/>
    <w:rsid w:val="00D17459"/>
    <w:rsid w:val="00D17792"/>
    <w:rsid w:val="00D178F3"/>
    <w:rsid w:val="00D2031B"/>
    <w:rsid w:val="00D204B4"/>
    <w:rsid w:val="00D20DF3"/>
    <w:rsid w:val="00D21394"/>
    <w:rsid w:val="00D21497"/>
    <w:rsid w:val="00D214F0"/>
    <w:rsid w:val="00D21510"/>
    <w:rsid w:val="00D21A73"/>
    <w:rsid w:val="00D22332"/>
    <w:rsid w:val="00D22991"/>
    <w:rsid w:val="00D22C61"/>
    <w:rsid w:val="00D22E2B"/>
    <w:rsid w:val="00D230E8"/>
    <w:rsid w:val="00D234B2"/>
    <w:rsid w:val="00D23603"/>
    <w:rsid w:val="00D2517F"/>
    <w:rsid w:val="00D25FE2"/>
    <w:rsid w:val="00D26625"/>
    <w:rsid w:val="00D26A72"/>
    <w:rsid w:val="00D2773D"/>
    <w:rsid w:val="00D27CD7"/>
    <w:rsid w:val="00D31F95"/>
    <w:rsid w:val="00D32245"/>
    <w:rsid w:val="00D32391"/>
    <w:rsid w:val="00D32699"/>
    <w:rsid w:val="00D327A9"/>
    <w:rsid w:val="00D33388"/>
    <w:rsid w:val="00D33666"/>
    <w:rsid w:val="00D33D5B"/>
    <w:rsid w:val="00D3570D"/>
    <w:rsid w:val="00D3581B"/>
    <w:rsid w:val="00D361E9"/>
    <w:rsid w:val="00D375BB"/>
    <w:rsid w:val="00D375DE"/>
    <w:rsid w:val="00D378DC"/>
    <w:rsid w:val="00D402A4"/>
    <w:rsid w:val="00D409F3"/>
    <w:rsid w:val="00D40FC6"/>
    <w:rsid w:val="00D40FD9"/>
    <w:rsid w:val="00D41F56"/>
    <w:rsid w:val="00D43221"/>
    <w:rsid w:val="00D43252"/>
    <w:rsid w:val="00D43561"/>
    <w:rsid w:val="00D441E4"/>
    <w:rsid w:val="00D44566"/>
    <w:rsid w:val="00D44615"/>
    <w:rsid w:val="00D4465E"/>
    <w:rsid w:val="00D44A08"/>
    <w:rsid w:val="00D44E63"/>
    <w:rsid w:val="00D45340"/>
    <w:rsid w:val="00D457C0"/>
    <w:rsid w:val="00D45EFC"/>
    <w:rsid w:val="00D460B3"/>
    <w:rsid w:val="00D466E6"/>
    <w:rsid w:val="00D470FA"/>
    <w:rsid w:val="00D47299"/>
    <w:rsid w:val="00D474B2"/>
    <w:rsid w:val="00D477EA"/>
    <w:rsid w:val="00D50373"/>
    <w:rsid w:val="00D50783"/>
    <w:rsid w:val="00D510D4"/>
    <w:rsid w:val="00D51812"/>
    <w:rsid w:val="00D51F9E"/>
    <w:rsid w:val="00D52B9B"/>
    <w:rsid w:val="00D539B1"/>
    <w:rsid w:val="00D550F9"/>
    <w:rsid w:val="00D5560F"/>
    <w:rsid w:val="00D5704F"/>
    <w:rsid w:val="00D57133"/>
    <w:rsid w:val="00D572B0"/>
    <w:rsid w:val="00D605DF"/>
    <w:rsid w:val="00D6075C"/>
    <w:rsid w:val="00D60819"/>
    <w:rsid w:val="00D60D96"/>
    <w:rsid w:val="00D61157"/>
    <w:rsid w:val="00D6122A"/>
    <w:rsid w:val="00D62DF8"/>
    <w:rsid w:val="00D62E90"/>
    <w:rsid w:val="00D62FE1"/>
    <w:rsid w:val="00D62FF0"/>
    <w:rsid w:val="00D63870"/>
    <w:rsid w:val="00D63ADB"/>
    <w:rsid w:val="00D64A12"/>
    <w:rsid w:val="00D64AC4"/>
    <w:rsid w:val="00D654ED"/>
    <w:rsid w:val="00D6570C"/>
    <w:rsid w:val="00D65E83"/>
    <w:rsid w:val="00D66369"/>
    <w:rsid w:val="00D664FA"/>
    <w:rsid w:val="00D66C0E"/>
    <w:rsid w:val="00D66CE1"/>
    <w:rsid w:val="00D677EC"/>
    <w:rsid w:val="00D70D0F"/>
    <w:rsid w:val="00D719AD"/>
    <w:rsid w:val="00D71B5C"/>
    <w:rsid w:val="00D72104"/>
    <w:rsid w:val="00D724AA"/>
    <w:rsid w:val="00D724EC"/>
    <w:rsid w:val="00D72D1C"/>
    <w:rsid w:val="00D72DE0"/>
    <w:rsid w:val="00D73475"/>
    <w:rsid w:val="00D73DB9"/>
    <w:rsid w:val="00D740E2"/>
    <w:rsid w:val="00D74D15"/>
    <w:rsid w:val="00D7660F"/>
    <w:rsid w:val="00D768A5"/>
    <w:rsid w:val="00D769DB"/>
    <w:rsid w:val="00D76BE5"/>
    <w:rsid w:val="00D76D96"/>
    <w:rsid w:val="00D77168"/>
    <w:rsid w:val="00D77D6F"/>
    <w:rsid w:val="00D80129"/>
    <w:rsid w:val="00D80324"/>
    <w:rsid w:val="00D80950"/>
    <w:rsid w:val="00D80BCE"/>
    <w:rsid w:val="00D80D19"/>
    <w:rsid w:val="00D81B4B"/>
    <w:rsid w:val="00D821F6"/>
    <w:rsid w:val="00D8226A"/>
    <w:rsid w:val="00D8247A"/>
    <w:rsid w:val="00D832A8"/>
    <w:rsid w:val="00D83ABD"/>
    <w:rsid w:val="00D83E83"/>
    <w:rsid w:val="00D847D4"/>
    <w:rsid w:val="00D84859"/>
    <w:rsid w:val="00D84C66"/>
    <w:rsid w:val="00D853F8"/>
    <w:rsid w:val="00D858E9"/>
    <w:rsid w:val="00D85F50"/>
    <w:rsid w:val="00D85F93"/>
    <w:rsid w:val="00D86581"/>
    <w:rsid w:val="00D86B27"/>
    <w:rsid w:val="00D86B3D"/>
    <w:rsid w:val="00D86FB0"/>
    <w:rsid w:val="00D8779F"/>
    <w:rsid w:val="00D90897"/>
    <w:rsid w:val="00D91068"/>
    <w:rsid w:val="00D925F3"/>
    <w:rsid w:val="00D936C7"/>
    <w:rsid w:val="00D93A95"/>
    <w:rsid w:val="00D93FB4"/>
    <w:rsid w:val="00D941D8"/>
    <w:rsid w:val="00D94A2F"/>
    <w:rsid w:val="00D94BCE"/>
    <w:rsid w:val="00D95E4E"/>
    <w:rsid w:val="00D96CED"/>
    <w:rsid w:val="00D97494"/>
    <w:rsid w:val="00D978C6"/>
    <w:rsid w:val="00D97BB3"/>
    <w:rsid w:val="00D97D71"/>
    <w:rsid w:val="00D97D88"/>
    <w:rsid w:val="00D97F2D"/>
    <w:rsid w:val="00DA0FEE"/>
    <w:rsid w:val="00DA1374"/>
    <w:rsid w:val="00DA15F9"/>
    <w:rsid w:val="00DA163A"/>
    <w:rsid w:val="00DA1F52"/>
    <w:rsid w:val="00DA1F9C"/>
    <w:rsid w:val="00DA3347"/>
    <w:rsid w:val="00DA479D"/>
    <w:rsid w:val="00DA4D4E"/>
    <w:rsid w:val="00DA5AA2"/>
    <w:rsid w:val="00DA6344"/>
    <w:rsid w:val="00DA66C4"/>
    <w:rsid w:val="00DA67AD"/>
    <w:rsid w:val="00DA70BC"/>
    <w:rsid w:val="00DA70C7"/>
    <w:rsid w:val="00DA72B4"/>
    <w:rsid w:val="00DA7566"/>
    <w:rsid w:val="00DA7697"/>
    <w:rsid w:val="00DA76FF"/>
    <w:rsid w:val="00DA774E"/>
    <w:rsid w:val="00DB02EF"/>
    <w:rsid w:val="00DB06CF"/>
    <w:rsid w:val="00DB07DC"/>
    <w:rsid w:val="00DB18CE"/>
    <w:rsid w:val="00DB1E6F"/>
    <w:rsid w:val="00DB1FD1"/>
    <w:rsid w:val="00DB3247"/>
    <w:rsid w:val="00DB46F0"/>
    <w:rsid w:val="00DB4A90"/>
    <w:rsid w:val="00DB52C6"/>
    <w:rsid w:val="00DB5566"/>
    <w:rsid w:val="00DB56BC"/>
    <w:rsid w:val="00DB5808"/>
    <w:rsid w:val="00DB5A1D"/>
    <w:rsid w:val="00DB639D"/>
    <w:rsid w:val="00DB75EE"/>
    <w:rsid w:val="00DB77FF"/>
    <w:rsid w:val="00DB79F5"/>
    <w:rsid w:val="00DB7A62"/>
    <w:rsid w:val="00DB7AE5"/>
    <w:rsid w:val="00DC0866"/>
    <w:rsid w:val="00DC099F"/>
    <w:rsid w:val="00DC10A3"/>
    <w:rsid w:val="00DC1675"/>
    <w:rsid w:val="00DC276E"/>
    <w:rsid w:val="00DC2889"/>
    <w:rsid w:val="00DC2F7B"/>
    <w:rsid w:val="00DC361D"/>
    <w:rsid w:val="00DC36CB"/>
    <w:rsid w:val="00DC3965"/>
    <w:rsid w:val="00DC3EED"/>
    <w:rsid w:val="00DC542C"/>
    <w:rsid w:val="00DC595F"/>
    <w:rsid w:val="00DC72AB"/>
    <w:rsid w:val="00DC7504"/>
    <w:rsid w:val="00DC7F7F"/>
    <w:rsid w:val="00DD0585"/>
    <w:rsid w:val="00DD1D72"/>
    <w:rsid w:val="00DD20A9"/>
    <w:rsid w:val="00DD4E40"/>
    <w:rsid w:val="00DD50CC"/>
    <w:rsid w:val="00DD5389"/>
    <w:rsid w:val="00DD55BB"/>
    <w:rsid w:val="00DD5B27"/>
    <w:rsid w:val="00DD5E97"/>
    <w:rsid w:val="00DD6019"/>
    <w:rsid w:val="00DD617D"/>
    <w:rsid w:val="00DD6A70"/>
    <w:rsid w:val="00DE08BA"/>
    <w:rsid w:val="00DE092F"/>
    <w:rsid w:val="00DE0B77"/>
    <w:rsid w:val="00DE0F1B"/>
    <w:rsid w:val="00DE1208"/>
    <w:rsid w:val="00DE18DB"/>
    <w:rsid w:val="00DE1922"/>
    <w:rsid w:val="00DE1DB0"/>
    <w:rsid w:val="00DE3C0A"/>
    <w:rsid w:val="00DE3C89"/>
    <w:rsid w:val="00DE3EC0"/>
    <w:rsid w:val="00DE4252"/>
    <w:rsid w:val="00DE477A"/>
    <w:rsid w:val="00DE4DC8"/>
    <w:rsid w:val="00DE7043"/>
    <w:rsid w:val="00DE7C63"/>
    <w:rsid w:val="00DF04B6"/>
    <w:rsid w:val="00DF04D7"/>
    <w:rsid w:val="00DF0B36"/>
    <w:rsid w:val="00DF0BEF"/>
    <w:rsid w:val="00DF187D"/>
    <w:rsid w:val="00DF1CD9"/>
    <w:rsid w:val="00DF34A1"/>
    <w:rsid w:val="00DF354A"/>
    <w:rsid w:val="00DF36F1"/>
    <w:rsid w:val="00DF37FB"/>
    <w:rsid w:val="00DF3B0D"/>
    <w:rsid w:val="00DF493E"/>
    <w:rsid w:val="00DF4E43"/>
    <w:rsid w:val="00DF54B3"/>
    <w:rsid w:val="00DF6118"/>
    <w:rsid w:val="00DF64CC"/>
    <w:rsid w:val="00DF64E0"/>
    <w:rsid w:val="00DF669F"/>
    <w:rsid w:val="00DF6915"/>
    <w:rsid w:val="00DF69B4"/>
    <w:rsid w:val="00DF6B5E"/>
    <w:rsid w:val="00DF79C7"/>
    <w:rsid w:val="00DF7C93"/>
    <w:rsid w:val="00DF7EE3"/>
    <w:rsid w:val="00E00166"/>
    <w:rsid w:val="00E00D2B"/>
    <w:rsid w:val="00E00ED3"/>
    <w:rsid w:val="00E00F66"/>
    <w:rsid w:val="00E01583"/>
    <w:rsid w:val="00E01B1E"/>
    <w:rsid w:val="00E01B55"/>
    <w:rsid w:val="00E02128"/>
    <w:rsid w:val="00E02929"/>
    <w:rsid w:val="00E02C0D"/>
    <w:rsid w:val="00E03B18"/>
    <w:rsid w:val="00E03BB1"/>
    <w:rsid w:val="00E03BB5"/>
    <w:rsid w:val="00E0441A"/>
    <w:rsid w:val="00E0487F"/>
    <w:rsid w:val="00E04B44"/>
    <w:rsid w:val="00E054DA"/>
    <w:rsid w:val="00E0584A"/>
    <w:rsid w:val="00E05851"/>
    <w:rsid w:val="00E0592A"/>
    <w:rsid w:val="00E068EF"/>
    <w:rsid w:val="00E07D4C"/>
    <w:rsid w:val="00E1043F"/>
    <w:rsid w:val="00E10CDC"/>
    <w:rsid w:val="00E10E1F"/>
    <w:rsid w:val="00E11155"/>
    <w:rsid w:val="00E111E3"/>
    <w:rsid w:val="00E11593"/>
    <w:rsid w:val="00E1186E"/>
    <w:rsid w:val="00E11899"/>
    <w:rsid w:val="00E124BB"/>
    <w:rsid w:val="00E124C9"/>
    <w:rsid w:val="00E12B6B"/>
    <w:rsid w:val="00E12BA1"/>
    <w:rsid w:val="00E12C13"/>
    <w:rsid w:val="00E12FB0"/>
    <w:rsid w:val="00E130AB"/>
    <w:rsid w:val="00E1322E"/>
    <w:rsid w:val="00E1342E"/>
    <w:rsid w:val="00E135C8"/>
    <w:rsid w:val="00E13D76"/>
    <w:rsid w:val="00E145BA"/>
    <w:rsid w:val="00E14814"/>
    <w:rsid w:val="00E14E60"/>
    <w:rsid w:val="00E156F2"/>
    <w:rsid w:val="00E15BC8"/>
    <w:rsid w:val="00E16263"/>
    <w:rsid w:val="00E17BB3"/>
    <w:rsid w:val="00E17EC6"/>
    <w:rsid w:val="00E204B4"/>
    <w:rsid w:val="00E20926"/>
    <w:rsid w:val="00E214C2"/>
    <w:rsid w:val="00E21E61"/>
    <w:rsid w:val="00E220D7"/>
    <w:rsid w:val="00E222C8"/>
    <w:rsid w:val="00E227D8"/>
    <w:rsid w:val="00E228F7"/>
    <w:rsid w:val="00E23109"/>
    <w:rsid w:val="00E24042"/>
    <w:rsid w:val="00E24CB1"/>
    <w:rsid w:val="00E2582B"/>
    <w:rsid w:val="00E267C8"/>
    <w:rsid w:val="00E270A7"/>
    <w:rsid w:val="00E273AE"/>
    <w:rsid w:val="00E30295"/>
    <w:rsid w:val="00E30F4C"/>
    <w:rsid w:val="00E310DE"/>
    <w:rsid w:val="00E323EA"/>
    <w:rsid w:val="00E3245F"/>
    <w:rsid w:val="00E33060"/>
    <w:rsid w:val="00E330A5"/>
    <w:rsid w:val="00E33BE3"/>
    <w:rsid w:val="00E341F8"/>
    <w:rsid w:val="00E34212"/>
    <w:rsid w:val="00E347A8"/>
    <w:rsid w:val="00E347DF"/>
    <w:rsid w:val="00E349D8"/>
    <w:rsid w:val="00E358FC"/>
    <w:rsid w:val="00E35FE5"/>
    <w:rsid w:val="00E36197"/>
    <w:rsid w:val="00E36DB4"/>
    <w:rsid w:val="00E36E73"/>
    <w:rsid w:val="00E373E8"/>
    <w:rsid w:val="00E374B0"/>
    <w:rsid w:val="00E37B5E"/>
    <w:rsid w:val="00E37F3D"/>
    <w:rsid w:val="00E40C87"/>
    <w:rsid w:val="00E40CC2"/>
    <w:rsid w:val="00E412C4"/>
    <w:rsid w:val="00E417B9"/>
    <w:rsid w:val="00E4293E"/>
    <w:rsid w:val="00E43242"/>
    <w:rsid w:val="00E438D9"/>
    <w:rsid w:val="00E43A22"/>
    <w:rsid w:val="00E43CD4"/>
    <w:rsid w:val="00E4419C"/>
    <w:rsid w:val="00E446FA"/>
    <w:rsid w:val="00E44D51"/>
    <w:rsid w:val="00E44DA6"/>
    <w:rsid w:val="00E45A65"/>
    <w:rsid w:val="00E45D9E"/>
    <w:rsid w:val="00E45DB1"/>
    <w:rsid w:val="00E45F50"/>
    <w:rsid w:val="00E45FE1"/>
    <w:rsid w:val="00E46749"/>
    <w:rsid w:val="00E46F32"/>
    <w:rsid w:val="00E476A8"/>
    <w:rsid w:val="00E47762"/>
    <w:rsid w:val="00E504B2"/>
    <w:rsid w:val="00E50A19"/>
    <w:rsid w:val="00E518E3"/>
    <w:rsid w:val="00E52343"/>
    <w:rsid w:val="00E53C41"/>
    <w:rsid w:val="00E53C85"/>
    <w:rsid w:val="00E53EF8"/>
    <w:rsid w:val="00E541E8"/>
    <w:rsid w:val="00E54609"/>
    <w:rsid w:val="00E548D3"/>
    <w:rsid w:val="00E54FFA"/>
    <w:rsid w:val="00E55176"/>
    <w:rsid w:val="00E55759"/>
    <w:rsid w:val="00E559AB"/>
    <w:rsid w:val="00E55B0C"/>
    <w:rsid w:val="00E5607B"/>
    <w:rsid w:val="00E56260"/>
    <w:rsid w:val="00E5644E"/>
    <w:rsid w:val="00E5678A"/>
    <w:rsid w:val="00E56B38"/>
    <w:rsid w:val="00E56FAA"/>
    <w:rsid w:val="00E56FBB"/>
    <w:rsid w:val="00E609E0"/>
    <w:rsid w:val="00E60F9E"/>
    <w:rsid w:val="00E62D18"/>
    <w:rsid w:val="00E6358D"/>
    <w:rsid w:val="00E63D4C"/>
    <w:rsid w:val="00E642C2"/>
    <w:rsid w:val="00E64D63"/>
    <w:rsid w:val="00E651BD"/>
    <w:rsid w:val="00E65247"/>
    <w:rsid w:val="00E65E7A"/>
    <w:rsid w:val="00E678E3"/>
    <w:rsid w:val="00E70118"/>
    <w:rsid w:val="00E70AE9"/>
    <w:rsid w:val="00E70F46"/>
    <w:rsid w:val="00E71337"/>
    <w:rsid w:val="00E715A4"/>
    <w:rsid w:val="00E71EEC"/>
    <w:rsid w:val="00E72275"/>
    <w:rsid w:val="00E7260F"/>
    <w:rsid w:val="00E72F38"/>
    <w:rsid w:val="00E73976"/>
    <w:rsid w:val="00E743CB"/>
    <w:rsid w:val="00E7473D"/>
    <w:rsid w:val="00E75072"/>
    <w:rsid w:val="00E75208"/>
    <w:rsid w:val="00E75974"/>
    <w:rsid w:val="00E7620A"/>
    <w:rsid w:val="00E76A8A"/>
    <w:rsid w:val="00E76E17"/>
    <w:rsid w:val="00E77963"/>
    <w:rsid w:val="00E77E78"/>
    <w:rsid w:val="00E77FE8"/>
    <w:rsid w:val="00E8054A"/>
    <w:rsid w:val="00E806EE"/>
    <w:rsid w:val="00E80D66"/>
    <w:rsid w:val="00E81B05"/>
    <w:rsid w:val="00E81B2D"/>
    <w:rsid w:val="00E82108"/>
    <w:rsid w:val="00E82CB2"/>
    <w:rsid w:val="00E83786"/>
    <w:rsid w:val="00E84986"/>
    <w:rsid w:val="00E85450"/>
    <w:rsid w:val="00E85DC4"/>
    <w:rsid w:val="00E86BFF"/>
    <w:rsid w:val="00E90AF0"/>
    <w:rsid w:val="00E912D1"/>
    <w:rsid w:val="00E92716"/>
    <w:rsid w:val="00E935F4"/>
    <w:rsid w:val="00E93D1A"/>
    <w:rsid w:val="00E9466B"/>
    <w:rsid w:val="00E9491A"/>
    <w:rsid w:val="00E94CE4"/>
    <w:rsid w:val="00E95A5A"/>
    <w:rsid w:val="00E95C78"/>
    <w:rsid w:val="00E96129"/>
    <w:rsid w:val="00E96630"/>
    <w:rsid w:val="00E969F6"/>
    <w:rsid w:val="00E97BED"/>
    <w:rsid w:val="00EA0504"/>
    <w:rsid w:val="00EA0AB9"/>
    <w:rsid w:val="00EA1092"/>
    <w:rsid w:val="00EA253F"/>
    <w:rsid w:val="00EA2B2A"/>
    <w:rsid w:val="00EA32D4"/>
    <w:rsid w:val="00EA3565"/>
    <w:rsid w:val="00EA3599"/>
    <w:rsid w:val="00EA39D1"/>
    <w:rsid w:val="00EA3D19"/>
    <w:rsid w:val="00EA4366"/>
    <w:rsid w:val="00EA568D"/>
    <w:rsid w:val="00EA6118"/>
    <w:rsid w:val="00EA61E1"/>
    <w:rsid w:val="00EA67AA"/>
    <w:rsid w:val="00EA7506"/>
    <w:rsid w:val="00EA767D"/>
    <w:rsid w:val="00EA79F9"/>
    <w:rsid w:val="00EB0312"/>
    <w:rsid w:val="00EB0823"/>
    <w:rsid w:val="00EB0FB9"/>
    <w:rsid w:val="00EB12FB"/>
    <w:rsid w:val="00EB1A24"/>
    <w:rsid w:val="00EB1BFD"/>
    <w:rsid w:val="00EB21CB"/>
    <w:rsid w:val="00EB243F"/>
    <w:rsid w:val="00EB2CF0"/>
    <w:rsid w:val="00EB2E5D"/>
    <w:rsid w:val="00EB3539"/>
    <w:rsid w:val="00EB4A2D"/>
    <w:rsid w:val="00EB51CC"/>
    <w:rsid w:val="00EB5962"/>
    <w:rsid w:val="00EB5A7B"/>
    <w:rsid w:val="00EB5C15"/>
    <w:rsid w:val="00EB6D44"/>
    <w:rsid w:val="00EB6DE0"/>
    <w:rsid w:val="00EB7AE1"/>
    <w:rsid w:val="00EC088D"/>
    <w:rsid w:val="00EC0F47"/>
    <w:rsid w:val="00EC0F6D"/>
    <w:rsid w:val="00EC2F88"/>
    <w:rsid w:val="00EC3AB7"/>
    <w:rsid w:val="00EC3F58"/>
    <w:rsid w:val="00EC41A9"/>
    <w:rsid w:val="00EC4695"/>
    <w:rsid w:val="00EC4C20"/>
    <w:rsid w:val="00EC4CAD"/>
    <w:rsid w:val="00EC4EDC"/>
    <w:rsid w:val="00EC4F64"/>
    <w:rsid w:val="00EC51A8"/>
    <w:rsid w:val="00EC5D0C"/>
    <w:rsid w:val="00EC6FBA"/>
    <w:rsid w:val="00ED09DA"/>
    <w:rsid w:val="00ED0CA9"/>
    <w:rsid w:val="00ED12CD"/>
    <w:rsid w:val="00ED27A6"/>
    <w:rsid w:val="00ED295B"/>
    <w:rsid w:val="00ED32CE"/>
    <w:rsid w:val="00ED3F7B"/>
    <w:rsid w:val="00ED3F9F"/>
    <w:rsid w:val="00ED4223"/>
    <w:rsid w:val="00ED4C58"/>
    <w:rsid w:val="00ED559F"/>
    <w:rsid w:val="00ED5A09"/>
    <w:rsid w:val="00ED5BAB"/>
    <w:rsid w:val="00ED6124"/>
    <w:rsid w:val="00ED6461"/>
    <w:rsid w:val="00ED665A"/>
    <w:rsid w:val="00ED67F7"/>
    <w:rsid w:val="00ED6B39"/>
    <w:rsid w:val="00ED71CE"/>
    <w:rsid w:val="00ED733D"/>
    <w:rsid w:val="00ED735D"/>
    <w:rsid w:val="00ED7620"/>
    <w:rsid w:val="00ED7A2A"/>
    <w:rsid w:val="00EE07F6"/>
    <w:rsid w:val="00EE0B86"/>
    <w:rsid w:val="00EE19F6"/>
    <w:rsid w:val="00EE2A54"/>
    <w:rsid w:val="00EE2E6A"/>
    <w:rsid w:val="00EE329E"/>
    <w:rsid w:val="00EE3C6C"/>
    <w:rsid w:val="00EE421F"/>
    <w:rsid w:val="00EE42A3"/>
    <w:rsid w:val="00EE5201"/>
    <w:rsid w:val="00EE5918"/>
    <w:rsid w:val="00EE5DB3"/>
    <w:rsid w:val="00EE5F12"/>
    <w:rsid w:val="00EE675E"/>
    <w:rsid w:val="00EE6D42"/>
    <w:rsid w:val="00EE727F"/>
    <w:rsid w:val="00EE7881"/>
    <w:rsid w:val="00EE7A9E"/>
    <w:rsid w:val="00EF0383"/>
    <w:rsid w:val="00EF03A6"/>
    <w:rsid w:val="00EF05B3"/>
    <w:rsid w:val="00EF0737"/>
    <w:rsid w:val="00EF0CC4"/>
    <w:rsid w:val="00EF0E43"/>
    <w:rsid w:val="00EF11DB"/>
    <w:rsid w:val="00EF1D7F"/>
    <w:rsid w:val="00EF1EBD"/>
    <w:rsid w:val="00EF2168"/>
    <w:rsid w:val="00EF26AB"/>
    <w:rsid w:val="00EF2B9F"/>
    <w:rsid w:val="00EF42BF"/>
    <w:rsid w:val="00EF45A4"/>
    <w:rsid w:val="00EF516D"/>
    <w:rsid w:val="00EF5BDB"/>
    <w:rsid w:val="00EF5F78"/>
    <w:rsid w:val="00EF60AE"/>
    <w:rsid w:val="00EF612F"/>
    <w:rsid w:val="00EF622C"/>
    <w:rsid w:val="00EF6437"/>
    <w:rsid w:val="00EF6958"/>
    <w:rsid w:val="00EF6A54"/>
    <w:rsid w:val="00EF7027"/>
    <w:rsid w:val="00EF75A0"/>
    <w:rsid w:val="00EF76B3"/>
    <w:rsid w:val="00EF799F"/>
    <w:rsid w:val="00EF7A11"/>
    <w:rsid w:val="00EF7C98"/>
    <w:rsid w:val="00F00BF3"/>
    <w:rsid w:val="00F00C77"/>
    <w:rsid w:val="00F012AE"/>
    <w:rsid w:val="00F016F4"/>
    <w:rsid w:val="00F01B2E"/>
    <w:rsid w:val="00F01D3B"/>
    <w:rsid w:val="00F01E42"/>
    <w:rsid w:val="00F02A6B"/>
    <w:rsid w:val="00F03578"/>
    <w:rsid w:val="00F03726"/>
    <w:rsid w:val="00F041C2"/>
    <w:rsid w:val="00F057C6"/>
    <w:rsid w:val="00F05C93"/>
    <w:rsid w:val="00F05ED4"/>
    <w:rsid w:val="00F06420"/>
    <w:rsid w:val="00F06635"/>
    <w:rsid w:val="00F07A6D"/>
    <w:rsid w:val="00F07E76"/>
    <w:rsid w:val="00F07F20"/>
    <w:rsid w:val="00F07FD9"/>
    <w:rsid w:val="00F10BDA"/>
    <w:rsid w:val="00F11093"/>
    <w:rsid w:val="00F1149B"/>
    <w:rsid w:val="00F11D3E"/>
    <w:rsid w:val="00F12B3D"/>
    <w:rsid w:val="00F13BF1"/>
    <w:rsid w:val="00F146E0"/>
    <w:rsid w:val="00F148D6"/>
    <w:rsid w:val="00F14A8B"/>
    <w:rsid w:val="00F14CC7"/>
    <w:rsid w:val="00F14F9A"/>
    <w:rsid w:val="00F156D2"/>
    <w:rsid w:val="00F15E32"/>
    <w:rsid w:val="00F16EE4"/>
    <w:rsid w:val="00F16F2F"/>
    <w:rsid w:val="00F17632"/>
    <w:rsid w:val="00F1781C"/>
    <w:rsid w:val="00F17C3F"/>
    <w:rsid w:val="00F2095A"/>
    <w:rsid w:val="00F2194E"/>
    <w:rsid w:val="00F219D3"/>
    <w:rsid w:val="00F21E10"/>
    <w:rsid w:val="00F22864"/>
    <w:rsid w:val="00F22F7A"/>
    <w:rsid w:val="00F23098"/>
    <w:rsid w:val="00F23260"/>
    <w:rsid w:val="00F23909"/>
    <w:rsid w:val="00F23933"/>
    <w:rsid w:val="00F2398A"/>
    <w:rsid w:val="00F24119"/>
    <w:rsid w:val="00F24A3C"/>
    <w:rsid w:val="00F25C18"/>
    <w:rsid w:val="00F2668E"/>
    <w:rsid w:val="00F26B51"/>
    <w:rsid w:val="00F26E23"/>
    <w:rsid w:val="00F27491"/>
    <w:rsid w:val="00F27AC3"/>
    <w:rsid w:val="00F30064"/>
    <w:rsid w:val="00F30961"/>
    <w:rsid w:val="00F309B6"/>
    <w:rsid w:val="00F3105E"/>
    <w:rsid w:val="00F313D9"/>
    <w:rsid w:val="00F328EF"/>
    <w:rsid w:val="00F32E40"/>
    <w:rsid w:val="00F336B7"/>
    <w:rsid w:val="00F33820"/>
    <w:rsid w:val="00F3385A"/>
    <w:rsid w:val="00F33933"/>
    <w:rsid w:val="00F33ADC"/>
    <w:rsid w:val="00F33B21"/>
    <w:rsid w:val="00F33C0A"/>
    <w:rsid w:val="00F3410A"/>
    <w:rsid w:val="00F349C9"/>
    <w:rsid w:val="00F3611E"/>
    <w:rsid w:val="00F3674B"/>
    <w:rsid w:val="00F3695E"/>
    <w:rsid w:val="00F37CD3"/>
    <w:rsid w:val="00F402B7"/>
    <w:rsid w:val="00F40E75"/>
    <w:rsid w:val="00F41501"/>
    <w:rsid w:val="00F4171B"/>
    <w:rsid w:val="00F418DE"/>
    <w:rsid w:val="00F42196"/>
    <w:rsid w:val="00F42902"/>
    <w:rsid w:val="00F42BEB"/>
    <w:rsid w:val="00F42CD9"/>
    <w:rsid w:val="00F43467"/>
    <w:rsid w:val="00F44343"/>
    <w:rsid w:val="00F4493E"/>
    <w:rsid w:val="00F45E73"/>
    <w:rsid w:val="00F4671E"/>
    <w:rsid w:val="00F4739F"/>
    <w:rsid w:val="00F47A57"/>
    <w:rsid w:val="00F50643"/>
    <w:rsid w:val="00F5076A"/>
    <w:rsid w:val="00F50BDE"/>
    <w:rsid w:val="00F50D32"/>
    <w:rsid w:val="00F51A50"/>
    <w:rsid w:val="00F51B0A"/>
    <w:rsid w:val="00F51E31"/>
    <w:rsid w:val="00F524E7"/>
    <w:rsid w:val="00F52864"/>
    <w:rsid w:val="00F52936"/>
    <w:rsid w:val="00F52B27"/>
    <w:rsid w:val="00F52FA4"/>
    <w:rsid w:val="00F538FB"/>
    <w:rsid w:val="00F54054"/>
    <w:rsid w:val="00F54083"/>
    <w:rsid w:val="00F54A9F"/>
    <w:rsid w:val="00F54B7D"/>
    <w:rsid w:val="00F5732B"/>
    <w:rsid w:val="00F60072"/>
    <w:rsid w:val="00F6033A"/>
    <w:rsid w:val="00F60E63"/>
    <w:rsid w:val="00F612E1"/>
    <w:rsid w:val="00F61700"/>
    <w:rsid w:val="00F6424F"/>
    <w:rsid w:val="00F642A8"/>
    <w:rsid w:val="00F6556D"/>
    <w:rsid w:val="00F655E4"/>
    <w:rsid w:val="00F6566B"/>
    <w:rsid w:val="00F65712"/>
    <w:rsid w:val="00F65715"/>
    <w:rsid w:val="00F659D7"/>
    <w:rsid w:val="00F65A7D"/>
    <w:rsid w:val="00F65E8F"/>
    <w:rsid w:val="00F65FA7"/>
    <w:rsid w:val="00F66C88"/>
    <w:rsid w:val="00F6757D"/>
    <w:rsid w:val="00F675ED"/>
    <w:rsid w:val="00F677CB"/>
    <w:rsid w:val="00F67B04"/>
    <w:rsid w:val="00F70716"/>
    <w:rsid w:val="00F711CE"/>
    <w:rsid w:val="00F71247"/>
    <w:rsid w:val="00F71264"/>
    <w:rsid w:val="00F712A5"/>
    <w:rsid w:val="00F7213C"/>
    <w:rsid w:val="00F7221F"/>
    <w:rsid w:val="00F722D0"/>
    <w:rsid w:val="00F72AD5"/>
    <w:rsid w:val="00F72CCC"/>
    <w:rsid w:val="00F72F3B"/>
    <w:rsid w:val="00F73AD3"/>
    <w:rsid w:val="00F73DF5"/>
    <w:rsid w:val="00F7437D"/>
    <w:rsid w:val="00F74B7A"/>
    <w:rsid w:val="00F74DFB"/>
    <w:rsid w:val="00F76564"/>
    <w:rsid w:val="00F76D33"/>
    <w:rsid w:val="00F76F1E"/>
    <w:rsid w:val="00F770BF"/>
    <w:rsid w:val="00F77115"/>
    <w:rsid w:val="00F775F8"/>
    <w:rsid w:val="00F77ADE"/>
    <w:rsid w:val="00F77C57"/>
    <w:rsid w:val="00F77CCB"/>
    <w:rsid w:val="00F77FB1"/>
    <w:rsid w:val="00F80695"/>
    <w:rsid w:val="00F826B6"/>
    <w:rsid w:val="00F82C37"/>
    <w:rsid w:val="00F8308A"/>
    <w:rsid w:val="00F8337C"/>
    <w:rsid w:val="00F83F9C"/>
    <w:rsid w:val="00F84D08"/>
    <w:rsid w:val="00F85013"/>
    <w:rsid w:val="00F85142"/>
    <w:rsid w:val="00F8514C"/>
    <w:rsid w:val="00F851E2"/>
    <w:rsid w:val="00F85250"/>
    <w:rsid w:val="00F85849"/>
    <w:rsid w:val="00F86689"/>
    <w:rsid w:val="00F86715"/>
    <w:rsid w:val="00F87793"/>
    <w:rsid w:val="00F879FF"/>
    <w:rsid w:val="00F9116E"/>
    <w:rsid w:val="00F92030"/>
    <w:rsid w:val="00F926C5"/>
    <w:rsid w:val="00F929E6"/>
    <w:rsid w:val="00F930A2"/>
    <w:rsid w:val="00F93567"/>
    <w:rsid w:val="00F93892"/>
    <w:rsid w:val="00F95CE3"/>
    <w:rsid w:val="00F96679"/>
    <w:rsid w:val="00F978F8"/>
    <w:rsid w:val="00FA0106"/>
    <w:rsid w:val="00FA0543"/>
    <w:rsid w:val="00FA093A"/>
    <w:rsid w:val="00FA0B98"/>
    <w:rsid w:val="00FA11F5"/>
    <w:rsid w:val="00FA1D4E"/>
    <w:rsid w:val="00FA295D"/>
    <w:rsid w:val="00FA2AC2"/>
    <w:rsid w:val="00FA2F4A"/>
    <w:rsid w:val="00FA371C"/>
    <w:rsid w:val="00FA4A1F"/>
    <w:rsid w:val="00FA4DED"/>
    <w:rsid w:val="00FA4F04"/>
    <w:rsid w:val="00FA4FF6"/>
    <w:rsid w:val="00FA5901"/>
    <w:rsid w:val="00FA5FAA"/>
    <w:rsid w:val="00FA6870"/>
    <w:rsid w:val="00FA6BC3"/>
    <w:rsid w:val="00FA7DF3"/>
    <w:rsid w:val="00FA7FA0"/>
    <w:rsid w:val="00FB0152"/>
    <w:rsid w:val="00FB0A41"/>
    <w:rsid w:val="00FB0E4B"/>
    <w:rsid w:val="00FB1301"/>
    <w:rsid w:val="00FB14BF"/>
    <w:rsid w:val="00FB237B"/>
    <w:rsid w:val="00FB2713"/>
    <w:rsid w:val="00FB2FB2"/>
    <w:rsid w:val="00FB3302"/>
    <w:rsid w:val="00FB346D"/>
    <w:rsid w:val="00FB4D7E"/>
    <w:rsid w:val="00FB6326"/>
    <w:rsid w:val="00FB670F"/>
    <w:rsid w:val="00FB7307"/>
    <w:rsid w:val="00FB798E"/>
    <w:rsid w:val="00FB7D19"/>
    <w:rsid w:val="00FC07C3"/>
    <w:rsid w:val="00FC0A49"/>
    <w:rsid w:val="00FC12C4"/>
    <w:rsid w:val="00FC268D"/>
    <w:rsid w:val="00FC3880"/>
    <w:rsid w:val="00FC3A54"/>
    <w:rsid w:val="00FC462E"/>
    <w:rsid w:val="00FC473A"/>
    <w:rsid w:val="00FC4C2C"/>
    <w:rsid w:val="00FC526D"/>
    <w:rsid w:val="00FC5707"/>
    <w:rsid w:val="00FC5927"/>
    <w:rsid w:val="00FC5EBF"/>
    <w:rsid w:val="00FC6165"/>
    <w:rsid w:val="00FC6638"/>
    <w:rsid w:val="00FC68B7"/>
    <w:rsid w:val="00FC6E1C"/>
    <w:rsid w:val="00FC723F"/>
    <w:rsid w:val="00FC749E"/>
    <w:rsid w:val="00FC74E3"/>
    <w:rsid w:val="00FC7500"/>
    <w:rsid w:val="00FC772A"/>
    <w:rsid w:val="00FC7AEE"/>
    <w:rsid w:val="00FC7F66"/>
    <w:rsid w:val="00FD0184"/>
    <w:rsid w:val="00FD051D"/>
    <w:rsid w:val="00FD05EA"/>
    <w:rsid w:val="00FD151E"/>
    <w:rsid w:val="00FD17F5"/>
    <w:rsid w:val="00FD1B09"/>
    <w:rsid w:val="00FD25D0"/>
    <w:rsid w:val="00FD26C0"/>
    <w:rsid w:val="00FD2C41"/>
    <w:rsid w:val="00FD2F56"/>
    <w:rsid w:val="00FD6156"/>
    <w:rsid w:val="00FD62E0"/>
    <w:rsid w:val="00FD6A5C"/>
    <w:rsid w:val="00FD6AF8"/>
    <w:rsid w:val="00FD6D27"/>
    <w:rsid w:val="00FD7302"/>
    <w:rsid w:val="00FD77C8"/>
    <w:rsid w:val="00FD77F6"/>
    <w:rsid w:val="00FD7C12"/>
    <w:rsid w:val="00FD7EA5"/>
    <w:rsid w:val="00FE09DB"/>
    <w:rsid w:val="00FE0D33"/>
    <w:rsid w:val="00FE1E93"/>
    <w:rsid w:val="00FE3078"/>
    <w:rsid w:val="00FE4109"/>
    <w:rsid w:val="00FE465D"/>
    <w:rsid w:val="00FE4B3E"/>
    <w:rsid w:val="00FE519E"/>
    <w:rsid w:val="00FE5A4B"/>
    <w:rsid w:val="00FE5F7D"/>
    <w:rsid w:val="00FE6170"/>
    <w:rsid w:val="00FE6641"/>
    <w:rsid w:val="00FE6668"/>
    <w:rsid w:val="00FE6993"/>
    <w:rsid w:val="00FE6B52"/>
    <w:rsid w:val="00FF0697"/>
    <w:rsid w:val="00FF077A"/>
    <w:rsid w:val="00FF0791"/>
    <w:rsid w:val="00FF0E65"/>
    <w:rsid w:val="00FF1421"/>
    <w:rsid w:val="00FF1426"/>
    <w:rsid w:val="00FF19FE"/>
    <w:rsid w:val="00FF1EF9"/>
    <w:rsid w:val="00FF242D"/>
    <w:rsid w:val="00FF2520"/>
    <w:rsid w:val="00FF34EA"/>
    <w:rsid w:val="00FF4056"/>
    <w:rsid w:val="00FF4ECF"/>
    <w:rsid w:val="00FF537D"/>
    <w:rsid w:val="00FF5648"/>
    <w:rsid w:val="00FF5DA1"/>
    <w:rsid w:val="00FF663E"/>
    <w:rsid w:val="00FF715C"/>
    <w:rsid w:val="00FF7D6F"/>
    <w:rsid w:val="00FF7DF9"/>
    <w:rsid w:val="00FF7F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E8"/>
    <w:rPr>
      <w:rFonts w:eastAsiaTheme="minorHAnsi"/>
      <w:lang w:val="en-GB" w:eastAsia="en-US"/>
    </w:rPr>
  </w:style>
  <w:style w:type="paragraph" w:styleId="Heading1">
    <w:name w:val="heading 1"/>
    <w:aliases w:val="Table_G"/>
    <w:basedOn w:val="SingleTxtG"/>
    <w:next w:val="SingleTxtG"/>
    <w:link w:val="Heading1Char"/>
    <w:qFormat/>
    <w:rsid w:val="006050A9"/>
    <w:pPr>
      <w:keepNext/>
      <w:keepLines/>
      <w:spacing w:after="0"/>
      <w:ind w:right="0"/>
      <w:jc w:val="left"/>
      <w:outlineLvl w:val="0"/>
    </w:pPr>
  </w:style>
  <w:style w:type="paragraph" w:styleId="Heading2">
    <w:name w:val="heading 2"/>
    <w:basedOn w:val="Normal"/>
    <w:next w:val="Normal"/>
    <w:link w:val="Heading2Char"/>
    <w:qFormat/>
    <w:rsid w:val="006050A9"/>
    <w:pPr>
      <w:outlineLvl w:val="1"/>
    </w:pPr>
  </w:style>
  <w:style w:type="paragraph" w:styleId="Heading3">
    <w:name w:val="heading 3"/>
    <w:basedOn w:val="Normal"/>
    <w:next w:val="Normal"/>
    <w:link w:val="Heading3Char"/>
    <w:qFormat/>
    <w:rsid w:val="006050A9"/>
    <w:pPr>
      <w:outlineLvl w:val="2"/>
    </w:pPr>
  </w:style>
  <w:style w:type="paragraph" w:styleId="Heading4">
    <w:name w:val="heading 4"/>
    <w:basedOn w:val="Normal"/>
    <w:next w:val="Normal"/>
    <w:link w:val="Heading4Char"/>
    <w:qFormat/>
    <w:rsid w:val="006050A9"/>
    <w:pPr>
      <w:outlineLvl w:val="3"/>
    </w:pPr>
  </w:style>
  <w:style w:type="paragraph" w:styleId="Heading5">
    <w:name w:val="heading 5"/>
    <w:basedOn w:val="Normal"/>
    <w:next w:val="Normal"/>
    <w:link w:val="Heading5Char"/>
    <w:qFormat/>
    <w:rsid w:val="006050A9"/>
    <w:pPr>
      <w:outlineLvl w:val="4"/>
    </w:pPr>
  </w:style>
  <w:style w:type="paragraph" w:styleId="Heading6">
    <w:name w:val="heading 6"/>
    <w:basedOn w:val="Normal"/>
    <w:next w:val="Normal"/>
    <w:link w:val="Heading6Char"/>
    <w:semiHidden/>
    <w:qFormat/>
    <w:rsid w:val="006050A9"/>
    <w:pPr>
      <w:outlineLvl w:val="5"/>
    </w:pPr>
  </w:style>
  <w:style w:type="paragraph" w:styleId="Heading7">
    <w:name w:val="heading 7"/>
    <w:basedOn w:val="Normal"/>
    <w:next w:val="Normal"/>
    <w:link w:val="Heading7Char"/>
    <w:semiHidden/>
    <w:qFormat/>
    <w:rsid w:val="006050A9"/>
    <w:pPr>
      <w:outlineLvl w:val="6"/>
    </w:pPr>
  </w:style>
  <w:style w:type="paragraph" w:styleId="Heading8">
    <w:name w:val="heading 8"/>
    <w:basedOn w:val="Normal"/>
    <w:next w:val="Normal"/>
    <w:link w:val="Heading8Char"/>
    <w:semiHidden/>
    <w:qFormat/>
    <w:rsid w:val="006050A9"/>
    <w:pPr>
      <w:outlineLvl w:val="7"/>
    </w:pPr>
  </w:style>
  <w:style w:type="paragraph" w:styleId="Heading9">
    <w:name w:val="heading 9"/>
    <w:basedOn w:val="Normal"/>
    <w:next w:val="Normal"/>
    <w:link w:val="Heading9Char"/>
    <w:semiHidden/>
    <w:qFormat/>
    <w:rsid w:val="006050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6050A9"/>
    <w:pPr>
      <w:spacing w:after="120"/>
      <w:ind w:left="1134" w:right="1134"/>
      <w:jc w:val="both"/>
    </w:pPr>
  </w:style>
  <w:style w:type="character" w:customStyle="1" w:styleId="SingleTxtGChar">
    <w:name w:val="_ Single Txt_G Char"/>
    <w:basedOn w:val="DefaultParagraphFont"/>
    <w:link w:val="SingleTxtG"/>
    <w:rsid w:val="009D54E8"/>
    <w:rPr>
      <w:rFonts w:eastAsiaTheme="minorHAnsi"/>
      <w:lang w:val="fr-CH" w:eastAsia="en-US"/>
    </w:rPr>
  </w:style>
  <w:style w:type="character" w:customStyle="1" w:styleId="Heading1Char">
    <w:name w:val="Heading 1 Char"/>
    <w:aliases w:val="Table_G Char"/>
    <w:basedOn w:val="DefaultParagraphFont"/>
    <w:link w:val="Heading1"/>
    <w:rsid w:val="006050A9"/>
    <w:rPr>
      <w:rFonts w:eastAsiaTheme="minorHAnsi"/>
      <w:lang w:val="fr-CH" w:eastAsia="en-US"/>
    </w:rPr>
  </w:style>
  <w:style w:type="character" w:customStyle="1" w:styleId="Heading2Char">
    <w:name w:val="Heading 2 Char"/>
    <w:basedOn w:val="DefaultParagraphFont"/>
    <w:link w:val="Heading2"/>
    <w:rsid w:val="006050A9"/>
    <w:rPr>
      <w:rFonts w:eastAsiaTheme="minorHAnsi"/>
      <w:lang w:val="fr-CH" w:eastAsia="en-US"/>
    </w:rPr>
  </w:style>
  <w:style w:type="character" w:customStyle="1" w:styleId="Heading3Char">
    <w:name w:val="Heading 3 Char"/>
    <w:basedOn w:val="DefaultParagraphFont"/>
    <w:link w:val="Heading3"/>
    <w:rsid w:val="006050A9"/>
    <w:rPr>
      <w:rFonts w:eastAsiaTheme="minorHAnsi"/>
      <w:lang w:val="fr-CH" w:eastAsia="en-US"/>
    </w:rPr>
  </w:style>
  <w:style w:type="character" w:customStyle="1" w:styleId="Heading4Char">
    <w:name w:val="Heading 4 Char"/>
    <w:basedOn w:val="DefaultParagraphFont"/>
    <w:link w:val="Heading4"/>
    <w:rsid w:val="006050A9"/>
    <w:rPr>
      <w:rFonts w:eastAsiaTheme="minorHAnsi"/>
      <w:lang w:val="fr-CH" w:eastAsia="en-US"/>
    </w:rPr>
  </w:style>
  <w:style w:type="character" w:customStyle="1" w:styleId="Heading5Char">
    <w:name w:val="Heading 5 Char"/>
    <w:basedOn w:val="DefaultParagraphFont"/>
    <w:link w:val="Heading5"/>
    <w:rsid w:val="006050A9"/>
    <w:rPr>
      <w:rFonts w:eastAsiaTheme="minorHAnsi"/>
      <w:lang w:val="fr-CH" w:eastAsia="en-US"/>
    </w:rPr>
  </w:style>
  <w:style w:type="character" w:customStyle="1" w:styleId="Heading6Char">
    <w:name w:val="Heading 6 Char"/>
    <w:basedOn w:val="DefaultParagraphFont"/>
    <w:link w:val="Heading6"/>
    <w:semiHidden/>
    <w:rsid w:val="006050A9"/>
    <w:rPr>
      <w:rFonts w:eastAsiaTheme="minorHAnsi"/>
      <w:lang w:val="fr-CH" w:eastAsia="en-US"/>
    </w:rPr>
  </w:style>
  <w:style w:type="character" w:customStyle="1" w:styleId="Heading7Char">
    <w:name w:val="Heading 7 Char"/>
    <w:basedOn w:val="DefaultParagraphFont"/>
    <w:link w:val="Heading7"/>
    <w:semiHidden/>
    <w:rsid w:val="006050A9"/>
    <w:rPr>
      <w:rFonts w:eastAsiaTheme="minorHAnsi"/>
      <w:lang w:val="fr-CH" w:eastAsia="en-US"/>
    </w:rPr>
  </w:style>
  <w:style w:type="character" w:customStyle="1" w:styleId="Heading8Char">
    <w:name w:val="Heading 8 Char"/>
    <w:basedOn w:val="DefaultParagraphFont"/>
    <w:link w:val="Heading8"/>
    <w:semiHidden/>
    <w:rsid w:val="006050A9"/>
    <w:rPr>
      <w:rFonts w:eastAsiaTheme="minorHAnsi"/>
      <w:lang w:val="fr-CH" w:eastAsia="en-US"/>
    </w:rPr>
  </w:style>
  <w:style w:type="character" w:customStyle="1" w:styleId="Heading9Char">
    <w:name w:val="Heading 9 Char"/>
    <w:basedOn w:val="DefaultParagraphFont"/>
    <w:link w:val="Heading9"/>
    <w:semiHidden/>
    <w:rsid w:val="006050A9"/>
    <w:rPr>
      <w:rFonts w:eastAsiaTheme="minorHAnsi"/>
      <w:lang w:val="fr-CH" w:eastAsia="en-US"/>
    </w:rPr>
  </w:style>
  <w:style w:type="paragraph" w:customStyle="1" w:styleId="HMG">
    <w:name w:val="_ H __M_G"/>
    <w:basedOn w:val="Normal"/>
    <w:next w:val="Normal"/>
    <w:qFormat/>
    <w:rsid w:val="006050A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050A9"/>
    <w:pPr>
      <w:keepNext/>
      <w:keepLines/>
      <w:numPr>
        <w:numId w:val="4"/>
      </w:numPr>
      <w:tabs>
        <w:tab w:val="right" w:pos="851"/>
      </w:tabs>
      <w:spacing w:before="360" w:after="240" w:line="300" w:lineRule="exact"/>
      <w:ind w:right="1134"/>
    </w:pPr>
    <w:rPr>
      <w:b/>
      <w:sz w:val="28"/>
    </w:rPr>
  </w:style>
  <w:style w:type="character" w:styleId="FootnoteReference">
    <w:name w:val="footnote reference"/>
    <w:aliases w:val="4_G,ftref,Footnote Reference1,BVI fnr Char Char Char Char Char Char1 Char Char Char Char,BVI fnr Car Car Char Char Char Char Char Char Char Char Char Char,BVI fnr Car Char Char Char Char Char Char Char Char Char Char Char,16 Point,[0]"/>
    <w:basedOn w:val="DefaultParagraphFont"/>
    <w:link w:val="BVIfnrCharCharCharCharCharChar1CharCharChar"/>
    <w:uiPriority w:val="99"/>
    <w:qFormat/>
    <w:rsid w:val="006921B7"/>
    <w:rPr>
      <w:rFonts w:ascii="Times New Roman" w:hAnsi="Times New Roman"/>
      <w:sz w:val="18"/>
      <w:vertAlign w:val="superscript"/>
      <w:lang w:val="fr-CH"/>
    </w:rPr>
  </w:style>
  <w:style w:type="paragraph" w:customStyle="1" w:styleId="BVIfnrCharCharCharCharCharChar1CharCharChar">
    <w:name w:val="BVI fnr Char Char Char Char Char Char1 Char Char Char"/>
    <w:aliases w:val="BVI fnr Car Car Char Char Char Char Char Char Char Char Char,BVI fnr Car Char Char Char Char Char Char Char Char Char"/>
    <w:basedOn w:val="Normal"/>
    <w:link w:val="FootnoteReference"/>
    <w:uiPriority w:val="99"/>
    <w:rsid w:val="00BA4EC1"/>
    <w:pPr>
      <w:spacing w:after="160" w:line="240" w:lineRule="exact"/>
      <w:jc w:val="both"/>
    </w:pPr>
    <w:rPr>
      <w:rFonts w:eastAsia="Times New Roman"/>
      <w:sz w:val="18"/>
      <w:vertAlign w:val="superscript"/>
      <w:lang w:val="fr-CH" w:eastAsia="fr-FR"/>
    </w:rPr>
  </w:style>
  <w:style w:type="character" w:styleId="EndnoteReference">
    <w:name w:val="endnote reference"/>
    <w:aliases w:val="1_G"/>
    <w:basedOn w:val="DefaultParagraphFont"/>
    <w:qFormat/>
    <w:rsid w:val="006921B7"/>
    <w:rPr>
      <w:rFonts w:ascii="Times New Roman" w:hAnsi="Times New Roman"/>
      <w:sz w:val="18"/>
      <w:vertAlign w:val="superscript"/>
      <w:lang w:val="fr-CH"/>
    </w:rPr>
  </w:style>
  <w:style w:type="paragraph" w:styleId="Header">
    <w:name w:val="header"/>
    <w:aliases w:val="6_G"/>
    <w:basedOn w:val="Normal"/>
    <w:link w:val="HeaderChar"/>
    <w:uiPriority w:val="99"/>
    <w:rsid w:val="006050A9"/>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uiPriority w:val="99"/>
    <w:rsid w:val="006050A9"/>
    <w:rPr>
      <w:b/>
      <w:sz w:val="18"/>
      <w:lang w:val="fr-CH" w:eastAsia="en-US"/>
    </w:rPr>
  </w:style>
  <w:style w:type="table" w:styleId="TableGrid">
    <w:name w:val="Table Grid"/>
    <w:basedOn w:val="TableNormal"/>
    <w:uiPriority w:val="39"/>
    <w:rsid w:val="006050A9"/>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050A9"/>
    <w:rPr>
      <w:color w:val="0000FF"/>
      <w:u w:val="none"/>
    </w:rPr>
  </w:style>
  <w:style w:type="character" w:styleId="FollowedHyperlink">
    <w:name w:val="FollowedHyperlink"/>
    <w:basedOn w:val="DefaultParagraphFont"/>
    <w:semiHidden/>
    <w:rsid w:val="006050A9"/>
    <w:rPr>
      <w:color w:val="0000FF"/>
      <w:u w:val="none"/>
    </w:rPr>
  </w:style>
  <w:style w:type="paragraph" w:customStyle="1" w:styleId="SMG">
    <w:name w:val="__S_M_G"/>
    <w:basedOn w:val="Normal"/>
    <w:next w:val="Normal"/>
    <w:rsid w:val="006050A9"/>
    <w:pPr>
      <w:keepNext/>
      <w:keepLines/>
      <w:spacing w:before="240" w:after="240" w:line="420" w:lineRule="exact"/>
      <w:ind w:left="1134" w:right="1134"/>
    </w:pPr>
    <w:rPr>
      <w:b/>
      <w:sz w:val="40"/>
    </w:rPr>
  </w:style>
  <w:style w:type="paragraph" w:customStyle="1" w:styleId="SLG">
    <w:name w:val="__S_L_G"/>
    <w:basedOn w:val="Normal"/>
    <w:next w:val="Normal"/>
    <w:rsid w:val="006050A9"/>
    <w:pPr>
      <w:keepNext/>
      <w:keepLines/>
      <w:spacing w:before="240" w:after="240" w:line="580" w:lineRule="exact"/>
      <w:ind w:left="1134" w:right="1134"/>
    </w:pPr>
    <w:rPr>
      <w:b/>
      <w:sz w:val="56"/>
    </w:rPr>
  </w:style>
  <w:style w:type="paragraph" w:customStyle="1" w:styleId="SSG">
    <w:name w:val="__S_S_G"/>
    <w:basedOn w:val="Normal"/>
    <w:next w:val="Normal"/>
    <w:rsid w:val="006050A9"/>
    <w:pPr>
      <w:keepNext/>
      <w:keepLines/>
      <w:spacing w:before="240" w:after="240" w:line="300" w:lineRule="exact"/>
      <w:ind w:left="1134" w:right="1134"/>
    </w:pPr>
    <w:rPr>
      <w:b/>
      <w:sz w:val="28"/>
    </w:rPr>
  </w:style>
  <w:style w:type="paragraph" w:styleId="FootnoteText">
    <w:name w:val="footnote text"/>
    <w:aliases w:val="5_G,single space,ft,ft Char,FOOTNOTES,fn,Footnote Text Char2,Footnote Text Char1 Char,Footnote Text Char Char Char1,Footnote Text Char1 Char Char Char1,Footnote Text Char1 Char1 Char,Footnote Text Char Char Char Char,Footnote reference,FA"/>
    <w:basedOn w:val="Normal"/>
    <w:link w:val="FootnoteTextChar"/>
    <w:autoRedefine/>
    <w:uiPriority w:val="99"/>
    <w:qFormat/>
    <w:rsid w:val="004C6C03"/>
    <w:pPr>
      <w:tabs>
        <w:tab w:val="right" w:pos="1021"/>
      </w:tabs>
      <w:suppressAutoHyphens/>
      <w:kinsoku w:val="0"/>
      <w:overflowPunct w:val="0"/>
      <w:autoSpaceDE w:val="0"/>
      <w:autoSpaceDN w:val="0"/>
      <w:adjustRightInd w:val="0"/>
      <w:snapToGrid w:val="0"/>
      <w:ind w:right="1138"/>
      <w:jc w:val="both"/>
    </w:pPr>
    <w:rPr>
      <w:sz w:val="18"/>
    </w:rPr>
  </w:style>
  <w:style w:type="character" w:customStyle="1" w:styleId="FootnoteTextChar">
    <w:name w:val="Footnote Text Char"/>
    <w:aliases w:val="5_G Char,single space Char,ft Char1,ft Char Char,FOOTNOTES Char,fn Char,Footnote Text Char2 Char,Footnote Text Char1 Char Char,Footnote Text Char Char Char1 Char,Footnote Text Char1 Char Char Char1 Char,Footnote reference Char,FA Char"/>
    <w:basedOn w:val="DefaultParagraphFont"/>
    <w:link w:val="FootnoteText"/>
    <w:uiPriority w:val="99"/>
    <w:rsid w:val="004C6C03"/>
    <w:rPr>
      <w:rFonts w:eastAsiaTheme="minorHAnsi"/>
      <w:sz w:val="18"/>
      <w:lang w:val="en-GB" w:eastAsia="en-US"/>
    </w:rPr>
  </w:style>
  <w:style w:type="paragraph" w:styleId="EndnoteText">
    <w:name w:val="endnote text"/>
    <w:aliases w:val="2_G"/>
    <w:basedOn w:val="FootnoteText"/>
    <w:link w:val="EndnoteTextChar"/>
    <w:qFormat/>
    <w:rsid w:val="006050A9"/>
  </w:style>
  <w:style w:type="character" w:customStyle="1" w:styleId="EndnoteTextChar">
    <w:name w:val="Endnote Text Char"/>
    <w:aliases w:val="2_G Char"/>
    <w:basedOn w:val="DefaultParagraphFont"/>
    <w:link w:val="EndnoteText"/>
    <w:rsid w:val="006050A9"/>
    <w:rPr>
      <w:rFonts w:eastAsiaTheme="minorHAnsi"/>
      <w:sz w:val="18"/>
      <w:lang w:val="fr-CH" w:eastAsia="en-US"/>
    </w:rPr>
  </w:style>
  <w:style w:type="character" w:styleId="PageNumber">
    <w:name w:val="page number"/>
    <w:aliases w:val="7_G"/>
    <w:basedOn w:val="DefaultParagraphFont"/>
    <w:qFormat/>
    <w:rsid w:val="006050A9"/>
    <w:rPr>
      <w:rFonts w:ascii="Times New Roman" w:hAnsi="Times New Roman"/>
      <w:b/>
      <w:sz w:val="18"/>
      <w:lang w:val="fr-CH"/>
    </w:rPr>
  </w:style>
  <w:style w:type="paragraph" w:customStyle="1" w:styleId="XLargeG">
    <w:name w:val="__XLarge_G"/>
    <w:basedOn w:val="Normal"/>
    <w:next w:val="Normal"/>
    <w:rsid w:val="006050A9"/>
    <w:pPr>
      <w:keepNext/>
      <w:keepLines/>
      <w:spacing w:before="240" w:after="240" w:line="420" w:lineRule="exact"/>
      <w:ind w:left="1134" w:right="1134"/>
    </w:pPr>
    <w:rPr>
      <w:b/>
      <w:sz w:val="40"/>
    </w:rPr>
  </w:style>
  <w:style w:type="paragraph" w:customStyle="1" w:styleId="Bullet1G">
    <w:name w:val="_Bullet 1_G"/>
    <w:basedOn w:val="Normal"/>
    <w:qFormat/>
    <w:rsid w:val="0016735B"/>
    <w:pPr>
      <w:numPr>
        <w:numId w:val="1"/>
      </w:numPr>
      <w:spacing w:after="120"/>
      <w:ind w:left="1311" w:right="1138" w:hanging="173"/>
      <w:jc w:val="both"/>
    </w:pPr>
  </w:style>
  <w:style w:type="paragraph" w:styleId="Footer">
    <w:name w:val="footer"/>
    <w:aliases w:val="3_G"/>
    <w:basedOn w:val="Normal"/>
    <w:next w:val="Normal"/>
    <w:link w:val="FooterChar"/>
    <w:uiPriority w:val="99"/>
    <w:qFormat/>
    <w:rsid w:val="006050A9"/>
    <w:rPr>
      <w:sz w:val="16"/>
    </w:rPr>
  </w:style>
  <w:style w:type="character" w:customStyle="1" w:styleId="FooterChar">
    <w:name w:val="Footer Char"/>
    <w:aliases w:val="3_G Char"/>
    <w:basedOn w:val="DefaultParagraphFont"/>
    <w:link w:val="Footer"/>
    <w:uiPriority w:val="99"/>
    <w:rsid w:val="006050A9"/>
    <w:rPr>
      <w:rFonts w:eastAsiaTheme="minorHAnsi"/>
      <w:sz w:val="16"/>
      <w:lang w:val="fr-CH" w:eastAsia="en-US"/>
    </w:rPr>
  </w:style>
  <w:style w:type="paragraph" w:customStyle="1" w:styleId="Bullet2G">
    <w:name w:val="_Bullet 2_G"/>
    <w:basedOn w:val="Normal"/>
    <w:qFormat/>
    <w:rsid w:val="00265D35"/>
    <w:pPr>
      <w:numPr>
        <w:numId w:val="2"/>
      </w:numPr>
      <w:spacing w:after="120"/>
      <w:ind w:left="1901" w:right="1138" w:hanging="173"/>
      <w:jc w:val="both"/>
    </w:pPr>
  </w:style>
  <w:style w:type="paragraph" w:customStyle="1" w:styleId="H1G">
    <w:name w:val="_ H_1_G"/>
    <w:basedOn w:val="Heading2"/>
    <w:next w:val="Normal"/>
    <w:link w:val="H1GChar"/>
    <w:autoRedefine/>
    <w:qFormat/>
    <w:rsid w:val="009E6E96"/>
    <w:pPr>
      <w:keepNext/>
      <w:keepLines/>
      <w:tabs>
        <w:tab w:val="right" w:pos="851"/>
      </w:tabs>
      <w:spacing w:before="360" w:after="240" w:line="270" w:lineRule="exact"/>
      <w:ind w:left="720" w:right="1134"/>
    </w:pPr>
    <w:rPr>
      <w:b/>
      <w:sz w:val="22"/>
      <w:szCs w:val="22"/>
    </w:rPr>
  </w:style>
  <w:style w:type="character" w:customStyle="1" w:styleId="H1GChar">
    <w:name w:val="_ H_1_G Char"/>
    <w:link w:val="H1G"/>
    <w:rsid w:val="009E6E96"/>
    <w:rPr>
      <w:rFonts w:eastAsiaTheme="minorHAnsi"/>
      <w:b/>
      <w:sz w:val="22"/>
      <w:szCs w:val="22"/>
      <w:lang w:val="en-GB" w:eastAsia="en-US"/>
    </w:rPr>
  </w:style>
  <w:style w:type="paragraph" w:customStyle="1" w:styleId="H23G">
    <w:name w:val="_ H_2/3_G"/>
    <w:basedOn w:val="Normal"/>
    <w:next w:val="Normal"/>
    <w:qFormat/>
    <w:rsid w:val="006050A9"/>
    <w:pPr>
      <w:keepNext/>
      <w:keepLines/>
      <w:numPr>
        <w:numId w:val="5"/>
      </w:numPr>
      <w:tabs>
        <w:tab w:val="right" w:pos="851"/>
      </w:tabs>
      <w:spacing w:before="240" w:after="120" w:line="240" w:lineRule="exact"/>
      <w:ind w:right="1134"/>
    </w:pPr>
    <w:rPr>
      <w:b/>
    </w:rPr>
  </w:style>
  <w:style w:type="paragraph" w:customStyle="1" w:styleId="H4G">
    <w:name w:val="_ H_4_G"/>
    <w:basedOn w:val="Normal"/>
    <w:next w:val="Normal"/>
    <w:qFormat/>
    <w:rsid w:val="006050A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050A9"/>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6050A9"/>
    <w:pPr>
      <w:numPr>
        <w:numId w:val="3"/>
      </w:numPr>
      <w:tabs>
        <w:tab w:val="clear" w:pos="1701"/>
      </w:tabs>
    </w:pPr>
    <w:rPr>
      <w:rFonts w:eastAsia="Times New Roman"/>
    </w:rPr>
  </w:style>
  <w:style w:type="paragraph" w:customStyle="1" w:styleId="Default">
    <w:name w:val="Default"/>
    <w:rsid w:val="00E068EF"/>
    <w:pPr>
      <w:autoSpaceDE w:val="0"/>
      <w:autoSpaceDN w:val="0"/>
      <w:adjustRightInd w:val="0"/>
    </w:pPr>
    <w:rPr>
      <w:color w:val="000000"/>
      <w:sz w:val="24"/>
      <w:szCs w:val="24"/>
      <w:lang w:val="en-GB" w:eastAsia="en-GB"/>
    </w:rPr>
  </w:style>
  <w:style w:type="paragraph" w:customStyle="1" w:styleId="Paragraph">
    <w:name w:val="Paragraph"/>
    <w:basedOn w:val="SingleTxtG"/>
    <w:link w:val="ParagraphChar"/>
    <w:qFormat/>
    <w:rsid w:val="00FF077A"/>
    <w:pPr>
      <w:numPr>
        <w:numId w:val="9"/>
      </w:numPr>
      <w:ind w:right="1138"/>
    </w:pPr>
    <w:rPr>
      <w:lang w:val="en-US"/>
    </w:rPr>
  </w:style>
  <w:style w:type="character" w:customStyle="1" w:styleId="ParagraphChar">
    <w:name w:val="Paragraph Char"/>
    <w:basedOn w:val="SingleTxtGChar"/>
    <w:link w:val="Paragraph"/>
    <w:rsid w:val="00FF077A"/>
    <w:rPr>
      <w:rFonts w:eastAsiaTheme="minorHAnsi"/>
      <w:lang w:val="en-US" w:eastAsia="en-US"/>
    </w:rPr>
  </w:style>
  <w:style w:type="paragraph" w:styleId="TOCHeading">
    <w:name w:val="TOC Heading"/>
    <w:basedOn w:val="Heading1"/>
    <w:next w:val="Normal"/>
    <w:uiPriority w:val="39"/>
    <w:unhideWhenUsed/>
    <w:qFormat/>
    <w:rsid w:val="005229D5"/>
    <w:pPr>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AE14A4"/>
    <w:pPr>
      <w:tabs>
        <w:tab w:val="left" w:pos="660"/>
        <w:tab w:val="right" w:leader="dot" w:pos="9629"/>
      </w:tabs>
      <w:spacing w:after="100"/>
    </w:pPr>
    <w:rPr>
      <w:noProof/>
    </w:rPr>
  </w:style>
  <w:style w:type="paragraph" w:styleId="TOC2">
    <w:name w:val="toc 2"/>
    <w:basedOn w:val="Normal"/>
    <w:next w:val="Normal"/>
    <w:autoRedefine/>
    <w:uiPriority w:val="39"/>
    <w:unhideWhenUsed/>
    <w:rsid w:val="00AE14A4"/>
    <w:pPr>
      <w:tabs>
        <w:tab w:val="right" w:leader="dot" w:pos="9629"/>
      </w:tabs>
      <w:spacing w:after="100"/>
      <w:ind w:left="200"/>
    </w:pPr>
    <w:rPr>
      <w:i/>
      <w:iCs/>
      <w:noProof/>
    </w:rPr>
  </w:style>
  <w:style w:type="paragraph" w:styleId="TOC3">
    <w:name w:val="toc 3"/>
    <w:basedOn w:val="Normal"/>
    <w:next w:val="Normal"/>
    <w:autoRedefine/>
    <w:uiPriority w:val="39"/>
    <w:unhideWhenUsed/>
    <w:rsid w:val="00A377E9"/>
    <w:pPr>
      <w:spacing w:after="100"/>
      <w:ind w:left="400"/>
    </w:pPr>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EC4EDC"/>
    <w:pPr>
      <w:spacing w:after="160" w:line="259" w:lineRule="auto"/>
      <w:ind w:left="720"/>
      <w:contextualSpacing/>
    </w:pPr>
    <w:rPr>
      <w:rFonts w:asciiTheme="minorHAnsi" w:hAnsiTheme="minorHAnsi" w:cstheme="minorBidi"/>
      <w:sz w:val="22"/>
      <w:szCs w:val="22"/>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qFormat/>
    <w:locked/>
    <w:rsid w:val="00236609"/>
    <w:rPr>
      <w:rFonts w:asciiTheme="minorHAnsi" w:eastAsiaTheme="minorHAnsi" w:hAnsiTheme="minorHAnsi" w:cstheme="minorBidi"/>
      <w:sz w:val="22"/>
      <w:szCs w:val="22"/>
      <w:lang w:val="en-GB" w:eastAsia="en-US"/>
    </w:rPr>
  </w:style>
  <w:style w:type="paragraph" w:customStyle="1" w:styleId="NormalBullet">
    <w:name w:val="Normal Bullet"/>
    <w:basedOn w:val="Normal"/>
    <w:next w:val="Normal"/>
    <w:qFormat/>
    <w:rsid w:val="002E56B5"/>
    <w:pPr>
      <w:keepLines/>
      <w:numPr>
        <w:numId w:val="6"/>
      </w:numPr>
      <w:tabs>
        <w:tab w:val="left" w:pos="2218"/>
      </w:tabs>
      <w:suppressAutoHyphens/>
      <w:spacing w:before="40" w:after="80" w:line="240" w:lineRule="exact"/>
      <w:ind w:right="302"/>
    </w:pPr>
    <w:rPr>
      <w:spacing w:val="4"/>
      <w:w w:val="103"/>
      <w:kern w:val="14"/>
    </w:rPr>
  </w:style>
  <w:style w:type="paragraph" w:styleId="NormalWeb">
    <w:name w:val="Normal (Web)"/>
    <w:basedOn w:val="Normal"/>
    <w:uiPriority w:val="99"/>
    <w:unhideWhenUsed/>
    <w:rsid w:val="00E609E0"/>
    <w:pPr>
      <w:spacing w:before="100" w:beforeAutospacing="1" w:after="100" w:afterAutospacing="1"/>
    </w:pPr>
    <w:rPr>
      <w:rFonts w:eastAsia="Times New Roman"/>
      <w:sz w:val="24"/>
      <w:szCs w:val="24"/>
      <w:lang w:val="en-US"/>
    </w:rPr>
  </w:style>
  <w:style w:type="paragraph" w:styleId="BodyText">
    <w:name w:val="Body Text"/>
    <w:basedOn w:val="Normal"/>
    <w:link w:val="BodyTextChar"/>
    <w:uiPriority w:val="99"/>
    <w:unhideWhenUsed/>
    <w:qFormat/>
    <w:rsid w:val="00297730"/>
    <w:pPr>
      <w:numPr>
        <w:numId w:val="7"/>
      </w:numPr>
      <w:spacing w:after="120"/>
      <w:ind w:left="0" w:firstLine="0"/>
      <w:jc w:val="both"/>
    </w:pPr>
    <w:rPr>
      <w:rFonts w:asciiTheme="majorBidi" w:hAnsiTheme="majorBidi" w:cstheme="majorBidi"/>
      <w:szCs w:val="22"/>
    </w:rPr>
  </w:style>
  <w:style w:type="character" w:customStyle="1" w:styleId="BodyTextChar">
    <w:name w:val="Body Text Char"/>
    <w:basedOn w:val="DefaultParagraphFont"/>
    <w:link w:val="BodyText"/>
    <w:uiPriority w:val="99"/>
    <w:rsid w:val="00297730"/>
    <w:rPr>
      <w:rFonts w:asciiTheme="majorBidi" w:eastAsiaTheme="minorHAnsi" w:hAnsiTheme="majorBidi" w:cstheme="majorBidi"/>
      <w:szCs w:val="22"/>
      <w:lang w:val="en-GB" w:eastAsia="en-US"/>
    </w:rPr>
  </w:style>
  <w:style w:type="character" w:styleId="CommentReference">
    <w:name w:val="annotation reference"/>
    <w:basedOn w:val="DefaultParagraphFont"/>
    <w:uiPriority w:val="99"/>
    <w:unhideWhenUsed/>
    <w:rsid w:val="00297730"/>
    <w:rPr>
      <w:sz w:val="16"/>
      <w:szCs w:val="16"/>
    </w:rPr>
  </w:style>
  <w:style w:type="paragraph" w:styleId="CommentText">
    <w:name w:val="annotation text"/>
    <w:basedOn w:val="Normal"/>
    <w:link w:val="CommentTextChar"/>
    <w:autoRedefine/>
    <w:uiPriority w:val="99"/>
    <w:unhideWhenUsed/>
    <w:rsid w:val="00BF017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rsid w:val="00BF0171"/>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297730"/>
    <w:rPr>
      <w:b/>
      <w:bCs/>
    </w:rPr>
  </w:style>
  <w:style w:type="character" w:customStyle="1" w:styleId="CommentSubjectChar">
    <w:name w:val="Comment Subject Char"/>
    <w:basedOn w:val="CommentTextChar"/>
    <w:link w:val="CommentSubject"/>
    <w:uiPriority w:val="99"/>
    <w:semiHidden/>
    <w:rsid w:val="00297730"/>
    <w:rPr>
      <w:rFonts w:asciiTheme="minorHAnsi" w:eastAsiaTheme="minorHAnsi" w:hAnsiTheme="minorHAnsi" w:cstheme="minorBidi"/>
      <w:b/>
      <w:bCs/>
      <w:lang w:val="fr-CH" w:eastAsia="en-US"/>
    </w:rPr>
  </w:style>
  <w:style w:type="paragraph" w:styleId="Revision">
    <w:name w:val="Revision"/>
    <w:hidden/>
    <w:uiPriority w:val="99"/>
    <w:semiHidden/>
    <w:rsid w:val="00614E55"/>
    <w:rPr>
      <w:rFonts w:eastAsiaTheme="minorHAnsi"/>
      <w:lang w:val="en-GB" w:eastAsia="en-US"/>
    </w:rPr>
  </w:style>
  <w:style w:type="paragraph" w:styleId="TOC4">
    <w:name w:val="toc 4"/>
    <w:basedOn w:val="Normal"/>
    <w:next w:val="Normal"/>
    <w:autoRedefine/>
    <w:uiPriority w:val="39"/>
    <w:unhideWhenUsed/>
    <w:rsid w:val="006E35D1"/>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6E35D1"/>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6E35D1"/>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6E35D1"/>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6E35D1"/>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6E35D1"/>
    <w:pPr>
      <w:spacing w:after="100" w:line="259" w:lineRule="auto"/>
      <w:ind w:left="1760"/>
    </w:pPr>
    <w:rPr>
      <w:rFonts w:asciiTheme="minorHAnsi" w:eastAsiaTheme="minorEastAsia" w:hAnsiTheme="minorHAnsi" w:cstheme="minorBidi"/>
      <w:sz w:val="22"/>
      <w:szCs w:val="22"/>
      <w:lang w:val="en-US"/>
    </w:rPr>
  </w:style>
  <w:style w:type="paragraph" w:styleId="Caption">
    <w:name w:val="caption"/>
    <w:basedOn w:val="Normal"/>
    <w:next w:val="Normal"/>
    <w:unhideWhenUsed/>
    <w:qFormat/>
    <w:rsid w:val="0078632F"/>
    <w:pPr>
      <w:spacing w:after="200"/>
    </w:pPr>
    <w:rPr>
      <w:i/>
      <w:iCs/>
      <w:color w:val="1F497D" w:themeColor="text2"/>
      <w:sz w:val="18"/>
      <w:szCs w:val="1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236609"/>
    <w:pPr>
      <w:spacing w:after="160" w:line="240" w:lineRule="exact"/>
    </w:pPr>
    <w:rPr>
      <w:rFonts w:cstheme="minorBidi"/>
      <w:sz w:val="18"/>
      <w:szCs w:val="22"/>
      <w:vertAlign w:val="superscript"/>
      <w:lang w:val="en-US"/>
    </w:rPr>
  </w:style>
  <w:style w:type="character" w:customStyle="1" w:styleId="UnresolvedMention1">
    <w:name w:val="Unresolved Mention1"/>
    <w:basedOn w:val="DefaultParagraphFont"/>
    <w:uiPriority w:val="99"/>
    <w:rsid w:val="0098374D"/>
    <w:rPr>
      <w:color w:val="605E5C"/>
      <w:shd w:val="clear" w:color="auto" w:fill="E1DFDD"/>
    </w:rPr>
  </w:style>
  <w:style w:type="character" w:customStyle="1" w:styleId="UnresolvedMention2">
    <w:name w:val="Unresolved Mention2"/>
    <w:basedOn w:val="DefaultParagraphFont"/>
    <w:uiPriority w:val="99"/>
    <w:rsid w:val="0098374D"/>
    <w:rPr>
      <w:color w:val="605E5C"/>
      <w:shd w:val="clear" w:color="auto" w:fill="E1DFDD"/>
    </w:rPr>
  </w:style>
  <w:style w:type="paragraph" w:customStyle="1" w:styleId="4GCharCharChar">
    <w:name w:val="4_G Char Char Char"/>
    <w:aliases w:val="ftref Char Char Char,16 Point Char Char Char,Superscript 6 Point Char Char Char Char Char Char"/>
    <w:basedOn w:val="Normal"/>
    <w:rsid w:val="009B2958"/>
    <w:pPr>
      <w:jc w:val="both"/>
    </w:pPr>
    <w:rPr>
      <w:rFonts w:eastAsia="Times New Roman"/>
      <w:sz w:val="18"/>
      <w:vertAlign w:val="superscript"/>
      <w:lang w:eastAsia="en-GB"/>
    </w:rPr>
  </w:style>
  <w:style w:type="character" w:customStyle="1" w:styleId="UnresolvedMention3">
    <w:name w:val="Unresolved Mention3"/>
    <w:basedOn w:val="DefaultParagraphFont"/>
    <w:uiPriority w:val="99"/>
    <w:semiHidden/>
    <w:unhideWhenUsed/>
    <w:rsid w:val="00914DBB"/>
    <w:rPr>
      <w:color w:val="605E5C"/>
      <w:shd w:val="clear" w:color="auto" w:fill="E1DFDD"/>
    </w:rPr>
  </w:style>
  <w:style w:type="paragraph" w:customStyle="1" w:styleId="ParaNoG">
    <w:name w:val="_ParaNo._G"/>
    <w:basedOn w:val="SingleTxtG"/>
    <w:qFormat/>
    <w:rsid w:val="005773B7"/>
    <w:pPr>
      <w:numPr>
        <w:numId w:val="8"/>
      </w:numPr>
      <w:tabs>
        <w:tab w:val="left" w:pos="1701"/>
        <w:tab w:val="left" w:pos="2268"/>
      </w:tabs>
      <w:suppressAutoHyphens/>
      <w:kinsoku w:val="0"/>
      <w:overflowPunct w:val="0"/>
      <w:autoSpaceDE w:val="0"/>
      <w:autoSpaceDN w:val="0"/>
      <w:adjustRightInd w:val="0"/>
      <w:snapToGrid w:val="0"/>
      <w:spacing w:line="240" w:lineRule="atLeast"/>
    </w:pPr>
  </w:style>
  <w:style w:type="character" w:customStyle="1" w:styleId="markedcontent">
    <w:name w:val="markedcontent"/>
    <w:basedOn w:val="DefaultParagraphFont"/>
    <w:rsid w:val="009E51FF"/>
  </w:style>
  <w:style w:type="character" w:customStyle="1" w:styleId="highlight">
    <w:name w:val="highlight"/>
    <w:basedOn w:val="DefaultParagraphFont"/>
    <w:rsid w:val="009E51FF"/>
  </w:style>
  <w:style w:type="character" w:styleId="LineNumber">
    <w:name w:val="line number"/>
    <w:basedOn w:val="DefaultParagraphFont"/>
    <w:semiHidden/>
    <w:unhideWhenUsed/>
    <w:rsid w:val="00BF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237">
      <w:bodyDiv w:val="1"/>
      <w:marLeft w:val="0"/>
      <w:marRight w:val="0"/>
      <w:marTop w:val="0"/>
      <w:marBottom w:val="0"/>
      <w:divBdr>
        <w:top w:val="none" w:sz="0" w:space="0" w:color="auto"/>
        <w:left w:val="none" w:sz="0" w:space="0" w:color="auto"/>
        <w:bottom w:val="none" w:sz="0" w:space="0" w:color="auto"/>
        <w:right w:val="none" w:sz="0" w:space="0" w:color="auto"/>
      </w:divBdr>
    </w:div>
    <w:div w:id="11541255">
      <w:bodyDiv w:val="1"/>
      <w:marLeft w:val="0"/>
      <w:marRight w:val="0"/>
      <w:marTop w:val="0"/>
      <w:marBottom w:val="0"/>
      <w:divBdr>
        <w:top w:val="none" w:sz="0" w:space="0" w:color="auto"/>
        <w:left w:val="none" w:sz="0" w:space="0" w:color="auto"/>
        <w:bottom w:val="none" w:sz="0" w:space="0" w:color="auto"/>
        <w:right w:val="none" w:sz="0" w:space="0" w:color="auto"/>
      </w:divBdr>
    </w:div>
    <w:div w:id="22174522">
      <w:bodyDiv w:val="1"/>
      <w:marLeft w:val="0"/>
      <w:marRight w:val="0"/>
      <w:marTop w:val="0"/>
      <w:marBottom w:val="0"/>
      <w:divBdr>
        <w:top w:val="none" w:sz="0" w:space="0" w:color="auto"/>
        <w:left w:val="none" w:sz="0" w:space="0" w:color="auto"/>
        <w:bottom w:val="none" w:sz="0" w:space="0" w:color="auto"/>
        <w:right w:val="none" w:sz="0" w:space="0" w:color="auto"/>
      </w:divBdr>
    </w:div>
    <w:div w:id="22286867">
      <w:bodyDiv w:val="1"/>
      <w:marLeft w:val="0"/>
      <w:marRight w:val="0"/>
      <w:marTop w:val="0"/>
      <w:marBottom w:val="0"/>
      <w:divBdr>
        <w:top w:val="none" w:sz="0" w:space="0" w:color="auto"/>
        <w:left w:val="none" w:sz="0" w:space="0" w:color="auto"/>
        <w:bottom w:val="none" w:sz="0" w:space="0" w:color="auto"/>
        <w:right w:val="none" w:sz="0" w:space="0" w:color="auto"/>
      </w:divBdr>
    </w:div>
    <w:div w:id="31812844">
      <w:bodyDiv w:val="1"/>
      <w:marLeft w:val="0"/>
      <w:marRight w:val="0"/>
      <w:marTop w:val="0"/>
      <w:marBottom w:val="0"/>
      <w:divBdr>
        <w:top w:val="none" w:sz="0" w:space="0" w:color="auto"/>
        <w:left w:val="none" w:sz="0" w:space="0" w:color="auto"/>
        <w:bottom w:val="none" w:sz="0" w:space="0" w:color="auto"/>
        <w:right w:val="none" w:sz="0" w:space="0" w:color="auto"/>
      </w:divBdr>
    </w:div>
    <w:div w:id="39942519">
      <w:bodyDiv w:val="1"/>
      <w:marLeft w:val="0"/>
      <w:marRight w:val="0"/>
      <w:marTop w:val="0"/>
      <w:marBottom w:val="0"/>
      <w:divBdr>
        <w:top w:val="none" w:sz="0" w:space="0" w:color="auto"/>
        <w:left w:val="none" w:sz="0" w:space="0" w:color="auto"/>
        <w:bottom w:val="none" w:sz="0" w:space="0" w:color="auto"/>
        <w:right w:val="none" w:sz="0" w:space="0" w:color="auto"/>
      </w:divBdr>
    </w:div>
    <w:div w:id="40138111">
      <w:bodyDiv w:val="1"/>
      <w:marLeft w:val="0"/>
      <w:marRight w:val="0"/>
      <w:marTop w:val="0"/>
      <w:marBottom w:val="0"/>
      <w:divBdr>
        <w:top w:val="none" w:sz="0" w:space="0" w:color="auto"/>
        <w:left w:val="none" w:sz="0" w:space="0" w:color="auto"/>
        <w:bottom w:val="none" w:sz="0" w:space="0" w:color="auto"/>
        <w:right w:val="none" w:sz="0" w:space="0" w:color="auto"/>
      </w:divBdr>
    </w:div>
    <w:div w:id="45952231">
      <w:bodyDiv w:val="1"/>
      <w:marLeft w:val="0"/>
      <w:marRight w:val="0"/>
      <w:marTop w:val="0"/>
      <w:marBottom w:val="0"/>
      <w:divBdr>
        <w:top w:val="none" w:sz="0" w:space="0" w:color="auto"/>
        <w:left w:val="none" w:sz="0" w:space="0" w:color="auto"/>
        <w:bottom w:val="none" w:sz="0" w:space="0" w:color="auto"/>
        <w:right w:val="none" w:sz="0" w:space="0" w:color="auto"/>
      </w:divBdr>
    </w:div>
    <w:div w:id="54208967">
      <w:bodyDiv w:val="1"/>
      <w:marLeft w:val="0"/>
      <w:marRight w:val="0"/>
      <w:marTop w:val="0"/>
      <w:marBottom w:val="0"/>
      <w:divBdr>
        <w:top w:val="none" w:sz="0" w:space="0" w:color="auto"/>
        <w:left w:val="none" w:sz="0" w:space="0" w:color="auto"/>
        <w:bottom w:val="none" w:sz="0" w:space="0" w:color="auto"/>
        <w:right w:val="none" w:sz="0" w:space="0" w:color="auto"/>
      </w:divBdr>
    </w:div>
    <w:div w:id="65996757">
      <w:bodyDiv w:val="1"/>
      <w:marLeft w:val="0"/>
      <w:marRight w:val="0"/>
      <w:marTop w:val="0"/>
      <w:marBottom w:val="0"/>
      <w:divBdr>
        <w:top w:val="none" w:sz="0" w:space="0" w:color="auto"/>
        <w:left w:val="none" w:sz="0" w:space="0" w:color="auto"/>
        <w:bottom w:val="none" w:sz="0" w:space="0" w:color="auto"/>
        <w:right w:val="none" w:sz="0" w:space="0" w:color="auto"/>
      </w:divBdr>
    </w:div>
    <w:div w:id="66539347">
      <w:bodyDiv w:val="1"/>
      <w:marLeft w:val="0"/>
      <w:marRight w:val="0"/>
      <w:marTop w:val="0"/>
      <w:marBottom w:val="0"/>
      <w:divBdr>
        <w:top w:val="none" w:sz="0" w:space="0" w:color="auto"/>
        <w:left w:val="none" w:sz="0" w:space="0" w:color="auto"/>
        <w:bottom w:val="none" w:sz="0" w:space="0" w:color="auto"/>
        <w:right w:val="none" w:sz="0" w:space="0" w:color="auto"/>
      </w:divBdr>
    </w:div>
    <w:div w:id="69887717">
      <w:bodyDiv w:val="1"/>
      <w:marLeft w:val="0"/>
      <w:marRight w:val="0"/>
      <w:marTop w:val="0"/>
      <w:marBottom w:val="0"/>
      <w:divBdr>
        <w:top w:val="none" w:sz="0" w:space="0" w:color="auto"/>
        <w:left w:val="none" w:sz="0" w:space="0" w:color="auto"/>
        <w:bottom w:val="none" w:sz="0" w:space="0" w:color="auto"/>
        <w:right w:val="none" w:sz="0" w:space="0" w:color="auto"/>
      </w:divBdr>
    </w:div>
    <w:div w:id="70582783">
      <w:bodyDiv w:val="1"/>
      <w:marLeft w:val="0"/>
      <w:marRight w:val="0"/>
      <w:marTop w:val="0"/>
      <w:marBottom w:val="0"/>
      <w:divBdr>
        <w:top w:val="none" w:sz="0" w:space="0" w:color="auto"/>
        <w:left w:val="none" w:sz="0" w:space="0" w:color="auto"/>
        <w:bottom w:val="none" w:sz="0" w:space="0" w:color="auto"/>
        <w:right w:val="none" w:sz="0" w:space="0" w:color="auto"/>
      </w:divBdr>
    </w:div>
    <w:div w:id="83116653">
      <w:bodyDiv w:val="1"/>
      <w:marLeft w:val="0"/>
      <w:marRight w:val="0"/>
      <w:marTop w:val="0"/>
      <w:marBottom w:val="0"/>
      <w:divBdr>
        <w:top w:val="none" w:sz="0" w:space="0" w:color="auto"/>
        <w:left w:val="none" w:sz="0" w:space="0" w:color="auto"/>
        <w:bottom w:val="none" w:sz="0" w:space="0" w:color="auto"/>
        <w:right w:val="none" w:sz="0" w:space="0" w:color="auto"/>
      </w:divBdr>
    </w:div>
    <w:div w:id="91584941">
      <w:bodyDiv w:val="1"/>
      <w:marLeft w:val="0"/>
      <w:marRight w:val="0"/>
      <w:marTop w:val="0"/>
      <w:marBottom w:val="0"/>
      <w:divBdr>
        <w:top w:val="none" w:sz="0" w:space="0" w:color="auto"/>
        <w:left w:val="none" w:sz="0" w:space="0" w:color="auto"/>
        <w:bottom w:val="none" w:sz="0" w:space="0" w:color="auto"/>
        <w:right w:val="none" w:sz="0" w:space="0" w:color="auto"/>
      </w:divBdr>
    </w:div>
    <w:div w:id="116726012">
      <w:bodyDiv w:val="1"/>
      <w:marLeft w:val="0"/>
      <w:marRight w:val="0"/>
      <w:marTop w:val="0"/>
      <w:marBottom w:val="0"/>
      <w:divBdr>
        <w:top w:val="none" w:sz="0" w:space="0" w:color="auto"/>
        <w:left w:val="none" w:sz="0" w:space="0" w:color="auto"/>
        <w:bottom w:val="none" w:sz="0" w:space="0" w:color="auto"/>
        <w:right w:val="none" w:sz="0" w:space="0" w:color="auto"/>
      </w:divBdr>
    </w:div>
    <w:div w:id="120537926">
      <w:bodyDiv w:val="1"/>
      <w:marLeft w:val="0"/>
      <w:marRight w:val="0"/>
      <w:marTop w:val="0"/>
      <w:marBottom w:val="0"/>
      <w:divBdr>
        <w:top w:val="none" w:sz="0" w:space="0" w:color="auto"/>
        <w:left w:val="none" w:sz="0" w:space="0" w:color="auto"/>
        <w:bottom w:val="none" w:sz="0" w:space="0" w:color="auto"/>
        <w:right w:val="none" w:sz="0" w:space="0" w:color="auto"/>
      </w:divBdr>
    </w:div>
    <w:div w:id="133720032">
      <w:bodyDiv w:val="1"/>
      <w:marLeft w:val="0"/>
      <w:marRight w:val="0"/>
      <w:marTop w:val="0"/>
      <w:marBottom w:val="0"/>
      <w:divBdr>
        <w:top w:val="none" w:sz="0" w:space="0" w:color="auto"/>
        <w:left w:val="none" w:sz="0" w:space="0" w:color="auto"/>
        <w:bottom w:val="none" w:sz="0" w:space="0" w:color="auto"/>
        <w:right w:val="none" w:sz="0" w:space="0" w:color="auto"/>
      </w:divBdr>
    </w:div>
    <w:div w:id="159733628">
      <w:bodyDiv w:val="1"/>
      <w:marLeft w:val="0"/>
      <w:marRight w:val="0"/>
      <w:marTop w:val="0"/>
      <w:marBottom w:val="0"/>
      <w:divBdr>
        <w:top w:val="none" w:sz="0" w:space="0" w:color="auto"/>
        <w:left w:val="none" w:sz="0" w:space="0" w:color="auto"/>
        <w:bottom w:val="none" w:sz="0" w:space="0" w:color="auto"/>
        <w:right w:val="none" w:sz="0" w:space="0" w:color="auto"/>
      </w:divBdr>
    </w:div>
    <w:div w:id="165748063">
      <w:bodyDiv w:val="1"/>
      <w:marLeft w:val="0"/>
      <w:marRight w:val="0"/>
      <w:marTop w:val="0"/>
      <w:marBottom w:val="0"/>
      <w:divBdr>
        <w:top w:val="none" w:sz="0" w:space="0" w:color="auto"/>
        <w:left w:val="none" w:sz="0" w:space="0" w:color="auto"/>
        <w:bottom w:val="none" w:sz="0" w:space="0" w:color="auto"/>
        <w:right w:val="none" w:sz="0" w:space="0" w:color="auto"/>
      </w:divBdr>
    </w:div>
    <w:div w:id="165941213">
      <w:bodyDiv w:val="1"/>
      <w:marLeft w:val="0"/>
      <w:marRight w:val="0"/>
      <w:marTop w:val="0"/>
      <w:marBottom w:val="0"/>
      <w:divBdr>
        <w:top w:val="none" w:sz="0" w:space="0" w:color="auto"/>
        <w:left w:val="none" w:sz="0" w:space="0" w:color="auto"/>
        <w:bottom w:val="none" w:sz="0" w:space="0" w:color="auto"/>
        <w:right w:val="none" w:sz="0" w:space="0" w:color="auto"/>
      </w:divBdr>
      <w:divsChild>
        <w:div w:id="1080759707">
          <w:marLeft w:val="0"/>
          <w:marRight w:val="0"/>
          <w:marTop w:val="0"/>
          <w:marBottom w:val="0"/>
          <w:divBdr>
            <w:top w:val="none" w:sz="0" w:space="0" w:color="auto"/>
            <w:left w:val="none" w:sz="0" w:space="0" w:color="auto"/>
            <w:bottom w:val="none" w:sz="0" w:space="0" w:color="auto"/>
            <w:right w:val="none" w:sz="0" w:space="0" w:color="auto"/>
          </w:divBdr>
        </w:div>
      </w:divsChild>
    </w:div>
    <w:div w:id="171336938">
      <w:bodyDiv w:val="1"/>
      <w:marLeft w:val="0"/>
      <w:marRight w:val="0"/>
      <w:marTop w:val="0"/>
      <w:marBottom w:val="0"/>
      <w:divBdr>
        <w:top w:val="none" w:sz="0" w:space="0" w:color="auto"/>
        <w:left w:val="none" w:sz="0" w:space="0" w:color="auto"/>
        <w:bottom w:val="none" w:sz="0" w:space="0" w:color="auto"/>
        <w:right w:val="none" w:sz="0" w:space="0" w:color="auto"/>
      </w:divBdr>
    </w:div>
    <w:div w:id="172769667">
      <w:bodyDiv w:val="1"/>
      <w:marLeft w:val="0"/>
      <w:marRight w:val="0"/>
      <w:marTop w:val="0"/>
      <w:marBottom w:val="0"/>
      <w:divBdr>
        <w:top w:val="none" w:sz="0" w:space="0" w:color="auto"/>
        <w:left w:val="none" w:sz="0" w:space="0" w:color="auto"/>
        <w:bottom w:val="none" w:sz="0" w:space="0" w:color="auto"/>
        <w:right w:val="none" w:sz="0" w:space="0" w:color="auto"/>
      </w:divBdr>
    </w:div>
    <w:div w:id="189803789">
      <w:bodyDiv w:val="1"/>
      <w:marLeft w:val="0"/>
      <w:marRight w:val="0"/>
      <w:marTop w:val="0"/>
      <w:marBottom w:val="0"/>
      <w:divBdr>
        <w:top w:val="none" w:sz="0" w:space="0" w:color="auto"/>
        <w:left w:val="none" w:sz="0" w:space="0" w:color="auto"/>
        <w:bottom w:val="none" w:sz="0" w:space="0" w:color="auto"/>
        <w:right w:val="none" w:sz="0" w:space="0" w:color="auto"/>
      </w:divBdr>
    </w:div>
    <w:div w:id="195235572">
      <w:bodyDiv w:val="1"/>
      <w:marLeft w:val="0"/>
      <w:marRight w:val="0"/>
      <w:marTop w:val="0"/>
      <w:marBottom w:val="0"/>
      <w:divBdr>
        <w:top w:val="none" w:sz="0" w:space="0" w:color="auto"/>
        <w:left w:val="none" w:sz="0" w:space="0" w:color="auto"/>
        <w:bottom w:val="none" w:sz="0" w:space="0" w:color="auto"/>
        <w:right w:val="none" w:sz="0" w:space="0" w:color="auto"/>
      </w:divBdr>
    </w:div>
    <w:div w:id="209533229">
      <w:bodyDiv w:val="1"/>
      <w:marLeft w:val="0"/>
      <w:marRight w:val="0"/>
      <w:marTop w:val="0"/>
      <w:marBottom w:val="0"/>
      <w:divBdr>
        <w:top w:val="none" w:sz="0" w:space="0" w:color="auto"/>
        <w:left w:val="none" w:sz="0" w:space="0" w:color="auto"/>
        <w:bottom w:val="none" w:sz="0" w:space="0" w:color="auto"/>
        <w:right w:val="none" w:sz="0" w:space="0" w:color="auto"/>
      </w:divBdr>
    </w:div>
    <w:div w:id="218325974">
      <w:bodyDiv w:val="1"/>
      <w:marLeft w:val="0"/>
      <w:marRight w:val="0"/>
      <w:marTop w:val="0"/>
      <w:marBottom w:val="0"/>
      <w:divBdr>
        <w:top w:val="none" w:sz="0" w:space="0" w:color="auto"/>
        <w:left w:val="none" w:sz="0" w:space="0" w:color="auto"/>
        <w:bottom w:val="none" w:sz="0" w:space="0" w:color="auto"/>
        <w:right w:val="none" w:sz="0" w:space="0" w:color="auto"/>
      </w:divBdr>
    </w:div>
    <w:div w:id="229771387">
      <w:bodyDiv w:val="1"/>
      <w:marLeft w:val="0"/>
      <w:marRight w:val="0"/>
      <w:marTop w:val="0"/>
      <w:marBottom w:val="0"/>
      <w:divBdr>
        <w:top w:val="none" w:sz="0" w:space="0" w:color="auto"/>
        <w:left w:val="none" w:sz="0" w:space="0" w:color="auto"/>
        <w:bottom w:val="none" w:sz="0" w:space="0" w:color="auto"/>
        <w:right w:val="none" w:sz="0" w:space="0" w:color="auto"/>
      </w:divBdr>
    </w:div>
    <w:div w:id="230430813">
      <w:bodyDiv w:val="1"/>
      <w:marLeft w:val="0"/>
      <w:marRight w:val="0"/>
      <w:marTop w:val="0"/>
      <w:marBottom w:val="0"/>
      <w:divBdr>
        <w:top w:val="none" w:sz="0" w:space="0" w:color="auto"/>
        <w:left w:val="none" w:sz="0" w:space="0" w:color="auto"/>
        <w:bottom w:val="none" w:sz="0" w:space="0" w:color="auto"/>
        <w:right w:val="none" w:sz="0" w:space="0" w:color="auto"/>
      </w:divBdr>
    </w:div>
    <w:div w:id="241376346">
      <w:bodyDiv w:val="1"/>
      <w:marLeft w:val="0"/>
      <w:marRight w:val="0"/>
      <w:marTop w:val="0"/>
      <w:marBottom w:val="0"/>
      <w:divBdr>
        <w:top w:val="none" w:sz="0" w:space="0" w:color="auto"/>
        <w:left w:val="none" w:sz="0" w:space="0" w:color="auto"/>
        <w:bottom w:val="none" w:sz="0" w:space="0" w:color="auto"/>
        <w:right w:val="none" w:sz="0" w:space="0" w:color="auto"/>
      </w:divBdr>
    </w:div>
    <w:div w:id="245456075">
      <w:bodyDiv w:val="1"/>
      <w:marLeft w:val="0"/>
      <w:marRight w:val="0"/>
      <w:marTop w:val="0"/>
      <w:marBottom w:val="0"/>
      <w:divBdr>
        <w:top w:val="none" w:sz="0" w:space="0" w:color="auto"/>
        <w:left w:val="none" w:sz="0" w:space="0" w:color="auto"/>
        <w:bottom w:val="none" w:sz="0" w:space="0" w:color="auto"/>
        <w:right w:val="none" w:sz="0" w:space="0" w:color="auto"/>
      </w:divBdr>
    </w:div>
    <w:div w:id="296617670">
      <w:bodyDiv w:val="1"/>
      <w:marLeft w:val="0"/>
      <w:marRight w:val="0"/>
      <w:marTop w:val="0"/>
      <w:marBottom w:val="0"/>
      <w:divBdr>
        <w:top w:val="none" w:sz="0" w:space="0" w:color="auto"/>
        <w:left w:val="none" w:sz="0" w:space="0" w:color="auto"/>
        <w:bottom w:val="none" w:sz="0" w:space="0" w:color="auto"/>
        <w:right w:val="none" w:sz="0" w:space="0" w:color="auto"/>
      </w:divBdr>
    </w:div>
    <w:div w:id="298534001">
      <w:bodyDiv w:val="1"/>
      <w:marLeft w:val="0"/>
      <w:marRight w:val="0"/>
      <w:marTop w:val="0"/>
      <w:marBottom w:val="0"/>
      <w:divBdr>
        <w:top w:val="none" w:sz="0" w:space="0" w:color="auto"/>
        <w:left w:val="none" w:sz="0" w:space="0" w:color="auto"/>
        <w:bottom w:val="none" w:sz="0" w:space="0" w:color="auto"/>
        <w:right w:val="none" w:sz="0" w:space="0" w:color="auto"/>
      </w:divBdr>
    </w:div>
    <w:div w:id="316886396">
      <w:bodyDiv w:val="1"/>
      <w:marLeft w:val="0"/>
      <w:marRight w:val="0"/>
      <w:marTop w:val="0"/>
      <w:marBottom w:val="0"/>
      <w:divBdr>
        <w:top w:val="none" w:sz="0" w:space="0" w:color="auto"/>
        <w:left w:val="none" w:sz="0" w:space="0" w:color="auto"/>
        <w:bottom w:val="none" w:sz="0" w:space="0" w:color="auto"/>
        <w:right w:val="none" w:sz="0" w:space="0" w:color="auto"/>
      </w:divBdr>
    </w:div>
    <w:div w:id="317853058">
      <w:bodyDiv w:val="1"/>
      <w:marLeft w:val="0"/>
      <w:marRight w:val="0"/>
      <w:marTop w:val="0"/>
      <w:marBottom w:val="0"/>
      <w:divBdr>
        <w:top w:val="none" w:sz="0" w:space="0" w:color="auto"/>
        <w:left w:val="none" w:sz="0" w:space="0" w:color="auto"/>
        <w:bottom w:val="none" w:sz="0" w:space="0" w:color="auto"/>
        <w:right w:val="none" w:sz="0" w:space="0" w:color="auto"/>
      </w:divBdr>
    </w:div>
    <w:div w:id="320810969">
      <w:bodyDiv w:val="1"/>
      <w:marLeft w:val="0"/>
      <w:marRight w:val="0"/>
      <w:marTop w:val="0"/>
      <w:marBottom w:val="0"/>
      <w:divBdr>
        <w:top w:val="none" w:sz="0" w:space="0" w:color="auto"/>
        <w:left w:val="none" w:sz="0" w:space="0" w:color="auto"/>
        <w:bottom w:val="none" w:sz="0" w:space="0" w:color="auto"/>
        <w:right w:val="none" w:sz="0" w:space="0" w:color="auto"/>
      </w:divBdr>
    </w:div>
    <w:div w:id="323509029">
      <w:bodyDiv w:val="1"/>
      <w:marLeft w:val="0"/>
      <w:marRight w:val="0"/>
      <w:marTop w:val="0"/>
      <w:marBottom w:val="0"/>
      <w:divBdr>
        <w:top w:val="none" w:sz="0" w:space="0" w:color="auto"/>
        <w:left w:val="none" w:sz="0" w:space="0" w:color="auto"/>
        <w:bottom w:val="none" w:sz="0" w:space="0" w:color="auto"/>
        <w:right w:val="none" w:sz="0" w:space="0" w:color="auto"/>
      </w:divBdr>
    </w:div>
    <w:div w:id="325088785">
      <w:bodyDiv w:val="1"/>
      <w:marLeft w:val="0"/>
      <w:marRight w:val="0"/>
      <w:marTop w:val="0"/>
      <w:marBottom w:val="0"/>
      <w:divBdr>
        <w:top w:val="none" w:sz="0" w:space="0" w:color="auto"/>
        <w:left w:val="none" w:sz="0" w:space="0" w:color="auto"/>
        <w:bottom w:val="none" w:sz="0" w:space="0" w:color="auto"/>
        <w:right w:val="none" w:sz="0" w:space="0" w:color="auto"/>
      </w:divBdr>
    </w:div>
    <w:div w:id="325671102">
      <w:bodyDiv w:val="1"/>
      <w:marLeft w:val="0"/>
      <w:marRight w:val="0"/>
      <w:marTop w:val="0"/>
      <w:marBottom w:val="0"/>
      <w:divBdr>
        <w:top w:val="none" w:sz="0" w:space="0" w:color="auto"/>
        <w:left w:val="none" w:sz="0" w:space="0" w:color="auto"/>
        <w:bottom w:val="none" w:sz="0" w:space="0" w:color="auto"/>
        <w:right w:val="none" w:sz="0" w:space="0" w:color="auto"/>
      </w:divBdr>
    </w:div>
    <w:div w:id="327562180">
      <w:bodyDiv w:val="1"/>
      <w:marLeft w:val="0"/>
      <w:marRight w:val="0"/>
      <w:marTop w:val="0"/>
      <w:marBottom w:val="0"/>
      <w:divBdr>
        <w:top w:val="none" w:sz="0" w:space="0" w:color="auto"/>
        <w:left w:val="none" w:sz="0" w:space="0" w:color="auto"/>
        <w:bottom w:val="none" w:sz="0" w:space="0" w:color="auto"/>
        <w:right w:val="none" w:sz="0" w:space="0" w:color="auto"/>
      </w:divBdr>
    </w:div>
    <w:div w:id="334384650">
      <w:bodyDiv w:val="1"/>
      <w:marLeft w:val="0"/>
      <w:marRight w:val="0"/>
      <w:marTop w:val="0"/>
      <w:marBottom w:val="0"/>
      <w:divBdr>
        <w:top w:val="none" w:sz="0" w:space="0" w:color="auto"/>
        <w:left w:val="none" w:sz="0" w:space="0" w:color="auto"/>
        <w:bottom w:val="none" w:sz="0" w:space="0" w:color="auto"/>
        <w:right w:val="none" w:sz="0" w:space="0" w:color="auto"/>
      </w:divBdr>
    </w:div>
    <w:div w:id="346716708">
      <w:bodyDiv w:val="1"/>
      <w:marLeft w:val="0"/>
      <w:marRight w:val="0"/>
      <w:marTop w:val="0"/>
      <w:marBottom w:val="0"/>
      <w:divBdr>
        <w:top w:val="none" w:sz="0" w:space="0" w:color="auto"/>
        <w:left w:val="none" w:sz="0" w:space="0" w:color="auto"/>
        <w:bottom w:val="none" w:sz="0" w:space="0" w:color="auto"/>
        <w:right w:val="none" w:sz="0" w:space="0" w:color="auto"/>
      </w:divBdr>
    </w:div>
    <w:div w:id="354112447">
      <w:bodyDiv w:val="1"/>
      <w:marLeft w:val="0"/>
      <w:marRight w:val="0"/>
      <w:marTop w:val="0"/>
      <w:marBottom w:val="0"/>
      <w:divBdr>
        <w:top w:val="none" w:sz="0" w:space="0" w:color="auto"/>
        <w:left w:val="none" w:sz="0" w:space="0" w:color="auto"/>
        <w:bottom w:val="none" w:sz="0" w:space="0" w:color="auto"/>
        <w:right w:val="none" w:sz="0" w:space="0" w:color="auto"/>
      </w:divBdr>
    </w:div>
    <w:div w:id="372536343">
      <w:bodyDiv w:val="1"/>
      <w:marLeft w:val="0"/>
      <w:marRight w:val="0"/>
      <w:marTop w:val="0"/>
      <w:marBottom w:val="0"/>
      <w:divBdr>
        <w:top w:val="none" w:sz="0" w:space="0" w:color="auto"/>
        <w:left w:val="none" w:sz="0" w:space="0" w:color="auto"/>
        <w:bottom w:val="none" w:sz="0" w:space="0" w:color="auto"/>
        <w:right w:val="none" w:sz="0" w:space="0" w:color="auto"/>
      </w:divBdr>
    </w:div>
    <w:div w:id="376516926">
      <w:bodyDiv w:val="1"/>
      <w:marLeft w:val="0"/>
      <w:marRight w:val="0"/>
      <w:marTop w:val="0"/>
      <w:marBottom w:val="0"/>
      <w:divBdr>
        <w:top w:val="none" w:sz="0" w:space="0" w:color="auto"/>
        <w:left w:val="none" w:sz="0" w:space="0" w:color="auto"/>
        <w:bottom w:val="none" w:sz="0" w:space="0" w:color="auto"/>
        <w:right w:val="none" w:sz="0" w:space="0" w:color="auto"/>
      </w:divBdr>
    </w:div>
    <w:div w:id="386532451">
      <w:bodyDiv w:val="1"/>
      <w:marLeft w:val="0"/>
      <w:marRight w:val="0"/>
      <w:marTop w:val="0"/>
      <w:marBottom w:val="0"/>
      <w:divBdr>
        <w:top w:val="none" w:sz="0" w:space="0" w:color="auto"/>
        <w:left w:val="none" w:sz="0" w:space="0" w:color="auto"/>
        <w:bottom w:val="none" w:sz="0" w:space="0" w:color="auto"/>
        <w:right w:val="none" w:sz="0" w:space="0" w:color="auto"/>
      </w:divBdr>
    </w:div>
    <w:div w:id="391735221">
      <w:bodyDiv w:val="1"/>
      <w:marLeft w:val="0"/>
      <w:marRight w:val="0"/>
      <w:marTop w:val="0"/>
      <w:marBottom w:val="0"/>
      <w:divBdr>
        <w:top w:val="none" w:sz="0" w:space="0" w:color="auto"/>
        <w:left w:val="none" w:sz="0" w:space="0" w:color="auto"/>
        <w:bottom w:val="none" w:sz="0" w:space="0" w:color="auto"/>
        <w:right w:val="none" w:sz="0" w:space="0" w:color="auto"/>
      </w:divBdr>
    </w:div>
    <w:div w:id="402022844">
      <w:bodyDiv w:val="1"/>
      <w:marLeft w:val="0"/>
      <w:marRight w:val="0"/>
      <w:marTop w:val="0"/>
      <w:marBottom w:val="0"/>
      <w:divBdr>
        <w:top w:val="none" w:sz="0" w:space="0" w:color="auto"/>
        <w:left w:val="none" w:sz="0" w:space="0" w:color="auto"/>
        <w:bottom w:val="none" w:sz="0" w:space="0" w:color="auto"/>
        <w:right w:val="none" w:sz="0" w:space="0" w:color="auto"/>
      </w:divBdr>
    </w:div>
    <w:div w:id="403335439">
      <w:bodyDiv w:val="1"/>
      <w:marLeft w:val="0"/>
      <w:marRight w:val="0"/>
      <w:marTop w:val="0"/>
      <w:marBottom w:val="0"/>
      <w:divBdr>
        <w:top w:val="none" w:sz="0" w:space="0" w:color="auto"/>
        <w:left w:val="none" w:sz="0" w:space="0" w:color="auto"/>
        <w:bottom w:val="none" w:sz="0" w:space="0" w:color="auto"/>
        <w:right w:val="none" w:sz="0" w:space="0" w:color="auto"/>
      </w:divBdr>
    </w:div>
    <w:div w:id="403725930">
      <w:bodyDiv w:val="1"/>
      <w:marLeft w:val="0"/>
      <w:marRight w:val="0"/>
      <w:marTop w:val="0"/>
      <w:marBottom w:val="0"/>
      <w:divBdr>
        <w:top w:val="none" w:sz="0" w:space="0" w:color="auto"/>
        <w:left w:val="none" w:sz="0" w:space="0" w:color="auto"/>
        <w:bottom w:val="none" w:sz="0" w:space="0" w:color="auto"/>
        <w:right w:val="none" w:sz="0" w:space="0" w:color="auto"/>
      </w:divBdr>
    </w:div>
    <w:div w:id="405617065">
      <w:bodyDiv w:val="1"/>
      <w:marLeft w:val="0"/>
      <w:marRight w:val="0"/>
      <w:marTop w:val="0"/>
      <w:marBottom w:val="0"/>
      <w:divBdr>
        <w:top w:val="none" w:sz="0" w:space="0" w:color="auto"/>
        <w:left w:val="none" w:sz="0" w:space="0" w:color="auto"/>
        <w:bottom w:val="none" w:sz="0" w:space="0" w:color="auto"/>
        <w:right w:val="none" w:sz="0" w:space="0" w:color="auto"/>
      </w:divBdr>
    </w:div>
    <w:div w:id="410977228">
      <w:bodyDiv w:val="1"/>
      <w:marLeft w:val="0"/>
      <w:marRight w:val="0"/>
      <w:marTop w:val="0"/>
      <w:marBottom w:val="0"/>
      <w:divBdr>
        <w:top w:val="none" w:sz="0" w:space="0" w:color="auto"/>
        <w:left w:val="none" w:sz="0" w:space="0" w:color="auto"/>
        <w:bottom w:val="none" w:sz="0" w:space="0" w:color="auto"/>
        <w:right w:val="none" w:sz="0" w:space="0" w:color="auto"/>
      </w:divBdr>
    </w:div>
    <w:div w:id="424618380">
      <w:bodyDiv w:val="1"/>
      <w:marLeft w:val="0"/>
      <w:marRight w:val="0"/>
      <w:marTop w:val="0"/>
      <w:marBottom w:val="0"/>
      <w:divBdr>
        <w:top w:val="none" w:sz="0" w:space="0" w:color="auto"/>
        <w:left w:val="none" w:sz="0" w:space="0" w:color="auto"/>
        <w:bottom w:val="none" w:sz="0" w:space="0" w:color="auto"/>
        <w:right w:val="none" w:sz="0" w:space="0" w:color="auto"/>
      </w:divBdr>
    </w:div>
    <w:div w:id="424810683">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44037133">
      <w:bodyDiv w:val="1"/>
      <w:marLeft w:val="0"/>
      <w:marRight w:val="0"/>
      <w:marTop w:val="0"/>
      <w:marBottom w:val="0"/>
      <w:divBdr>
        <w:top w:val="none" w:sz="0" w:space="0" w:color="auto"/>
        <w:left w:val="none" w:sz="0" w:space="0" w:color="auto"/>
        <w:bottom w:val="none" w:sz="0" w:space="0" w:color="auto"/>
        <w:right w:val="none" w:sz="0" w:space="0" w:color="auto"/>
      </w:divBdr>
    </w:div>
    <w:div w:id="445392168">
      <w:bodyDiv w:val="1"/>
      <w:marLeft w:val="0"/>
      <w:marRight w:val="0"/>
      <w:marTop w:val="0"/>
      <w:marBottom w:val="0"/>
      <w:divBdr>
        <w:top w:val="none" w:sz="0" w:space="0" w:color="auto"/>
        <w:left w:val="none" w:sz="0" w:space="0" w:color="auto"/>
        <w:bottom w:val="none" w:sz="0" w:space="0" w:color="auto"/>
        <w:right w:val="none" w:sz="0" w:space="0" w:color="auto"/>
      </w:divBdr>
    </w:div>
    <w:div w:id="461580448">
      <w:bodyDiv w:val="1"/>
      <w:marLeft w:val="0"/>
      <w:marRight w:val="0"/>
      <w:marTop w:val="0"/>
      <w:marBottom w:val="0"/>
      <w:divBdr>
        <w:top w:val="none" w:sz="0" w:space="0" w:color="auto"/>
        <w:left w:val="none" w:sz="0" w:space="0" w:color="auto"/>
        <w:bottom w:val="none" w:sz="0" w:space="0" w:color="auto"/>
        <w:right w:val="none" w:sz="0" w:space="0" w:color="auto"/>
      </w:divBdr>
    </w:div>
    <w:div w:id="480276415">
      <w:bodyDiv w:val="1"/>
      <w:marLeft w:val="0"/>
      <w:marRight w:val="0"/>
      <w:marTop w:val="0"/>
      <w:marBottom w:val="0"/>
      <w:divBdr>
        <w:top w:val="none" w:sz="0" w:space="0" w:color="auto"/>
        <w:left w:val="none" w:sz="0" w:space="0" w:color="auto"/>
        <w:bottom w:val="none" w:sz="0" w:space="0" w:color="auto"/>
        <w:right w:val="none" w:sz="0" w:space="0" w:color="auto"/>
      </w:divBdr>
    </w:div>
    <w:div w:id="483858248">
      <w:bodyDiv w:val="1"/>
      <w:marLeft w:val="0"/>
      <w:marRight w:val="0"/>
      <w:marTop w:val="0"/>
      <w:marBottom w:val="0"/>
      <w:divBdr>
        <w:top w:val="none" w:sz="0" w:space="0" w:color="auto"/>
        <w:left w:val="none" w:sz="0" w:space="0" w:color="auto"/>
        <w:bottom w:val="none" w:sz="0" w:space="0" w:color="auto"/>
        <w:right w:val="none" w:sz="0" w:space="0" w:color="auto"/>
      </w:divBdr>
    </w:div>
    <w:div w:id="500121086">
      <w:bodyDiv w:val="1"/>
      <w:marLeft w:val="0"/>
      <w:marRight w:val="0"/>
      <w:marTop w:val="0"/>
      <w:marBottom w:val="0"/>
      <w:divBdr>
        <w:top w:val="none" w:sz="0" w:space="0" w:color="auto"/>
        <w:left w:val="none" w:sz="0" w:space="0" w:color="auto"/>
        <w:bottom w:val="none" w:sz="0" w:space="0" w:color="auto"/>
        <w:right w:val="none" w:sz="0" w:space="0" w:color="auto"/>
      </w:divBdr>
    </w:div>
    <w:div w:id="519242158">
      <w:bodyDiv w:val="1"/>
      <w:marLeft w:val="0"/>
      <w:marRight w:val="0"/>
      <w:marTop w:val="0"/>
      <w:marBottom w:val="0"/>
      <w:divBdr>
        <w:top w:val="none" w:sz="0" w:space="0" w:color="auto"/>
        <w:left w:val="none" w:sz="0" w:space="0" w:color="auto"/>
        <w:bottom w:val="none" w:sz="0" w:space="0" w:color="auto"/>
        <w:right w:val="none" w:sz="0" w:space="0" w:color="auto"/>
      </w:divBdr>
    </w:div>
    <w:div w:id="532353847">
      <w:bodyDiv w:val="1"/>
      <w:marLeft w:val="0"/>
      <w:marRight w:val="0"/>
      <w:marTop w:val="0"/>
      <w:marBottom w:val="0"/>
      <w:divBdr>
        <w:top w:val="none" w:sz="0" w:space="0" w:color="auto"/>
        <w:left w:val="none" w:sz="0" w:space="0" w:color="auto"/>
        <w:bottom w:val="none" w:sz="0" w:space="0" w:color="auto"/>
        <w:right w:val="none" w:sz="0" w:space="0" w:color="auto"/>
      </w:divBdr>
    </w:div>
    <w:div w:id="537477676">
      <w:bodyDiv w:val="1"/>
      <w:marLeft w:val="0"/>
      <w:marRight w:val="0"/>
      <w:marTop w:val="0"/>
      <w:marBottom w:val="0"/>
      <w:divBdr>
        <w:top w:val="none" w:sz="0" w:space="0" w:color="auto"/>
        <w:left w:val="none" w:sz="0" w:space="0" w:color="auto"/>
        <w:bottom w:val="none" w:sz="0" w:space="0" w:color="auto"/>
        <w:right w:val="none" w:sz="0" w:space="0" w:color="auto"/>
      </w:divBdr>
    </w:div>
    <w:div w:id="540896497">
      <w:bodyDiv w:val="1"/>
      <w:marLeft w:val="0"/>
      <w:marRight w:val="0"/>
      <w:marTop w:val="0"/>
      <w:marBottom w:val="0"/>
      <w:divBdr>
        <w:top w:val="none" w:sz="0" w:space="0" w:color="auto"/>
        <w:left w:val="none" w:sz="0" w:space="0" w:color="auto"/>
        <w:bottom w:val="none" w:sz="0" w:space="0" w:color="auto"/>
        <w:right w:val="none" w:sz="0" w:space="0" w:color="auto"/>
      </w:divBdr>
    </w:div>
    <w:div w:id="550769446">
      <w:bodyDiv w:val="1"/>
      <w:marLeft w:val="0"/>
      <w:marRight w:val="0"/>
      <w:marTop w:val="0"/>
      <w:marBottom w:val="0"/>
      <w:divBdr>
        <w:top w:val="none" w:sz="0" w:space="0" w:color="auto"/>
        <w:left w:val="none" w:sz="0" w:space="0" w:color="auto"/>
        <w:bottom w:val="none" w:sz="0" w:space="0" w:color="auto"/>
        <w:right w:val="none" w:sz="0" w:space="0" w:color="auto"/>
      </w:divBdr>
    </w:div>
    <w:div w:id="559480933">
      <w:bodyDiv w:val="1"/>
      <w:marLeft w:val="0"/>
      <w:marRight w:val="0"/>
      <w:marTop w:val="0"/>
      <w:marBottom w:val="0"/>
      <w:divBdr>
        <w:top w:val="none" w:sz="0" w:space="0" w:color="auto"/>
        <w:left w:val="none" w:sz="0" w:space="0" w:color="auto"/>
        <w:bottom w:val="none" w:sz="0" w:space="0" w:color="auto"/>
        <w:right w:val="none" w:sz="0" w:space="0" w:color="auto"/>
      </w:divBdr>
      <w:divsChild>
        <w:div w:id="35937530">
          <w:marLeft w:val="0"/>
          <w:marRight w:val="0"/>
          <w:marTop w:val="0"/>
          <w:marBottom w:val="0"/>
          <w:divBdr>
            <w:top w:val="none" w:sz="0" w:space="0" w:color="auto"/>
            <w:left w:val="none" w:sz="0" w:space="0" w:color="auto"/>
            <w:bottom w:val="none" w:sz="0" w:space="0" w:color="auto"/>
            <w:right w:val="none" w:sz="0" w:space="0" w:color="auto"/>
          </w:divBdr>
        </w:div>
      </w:divsChild>
    </w:div>
    <w:div w:id="561644808">
      <w:bodyDiv w:val="1"/>
      <w:marLeft w:val="0"/>
      <w:marRight w:val="0"/>
      <w:marTop w:val="0"/>
      <w:marBottom w:val="0"/>
      <w:divBdr>
        <w:top w:val="none" w:sz="0" w:space="0" w:color="auto"/>
        <w:left w:val="none" w:sz="0" w:space="0" w:color="auto"/>
        <w:bottom w:val="none" w:sz="0" w:space="0" w:color="auto"/>
        <w:right w:val="none" w:sz="0" w:space="0" w:color="auto"/>
      </w:divBdr>
    </w:div>
    <w:div w:id="562176170">
      <w:bodyDiv w:val="1"/>
      <w:marLeft w:val="0"/>
      <w:marRight w:val="0"/>
      <w:marTop w:val="0"/>
      <w:marBottom w:val="0"/>
      <w:divBdr>
        <w:top w:val="none" w:sz="0" w:space="0" w:color="auto"/>
        <w:left w:val="none" w:sz="0" w:space="0" w:color="auto"/>
        <w:bottom w:val="none" w:sz="0" w:space="0" w:color="auto"/>
        <w:right w:val="none" w:sz="0" w:space="0" w:color="auto"/>
      </w:divBdr>
      <w:divsChild>
        <w:div w:id="790588748">
          <w:marLeft w:val="0"/>
          <w:marRight w:val="0"/>
          <w:marTop w:val="0"/>
          <w:marBottom w:val="0"/>
          <w:divBdr>
            <w:top w:val="none" w:sz="0" w:space="0" w:color="auto"/>
            <w:left w:val="none" w:sz="0" w:space="0" w:color="auto"/>
            <w:bottom w:val="none" w:sz="0" w:space="0" w:color="auto"/>
            <w:right w:val="none" w:sz="0" w:space="0" w:color="auto"/>
          </w:divBdr>
          <w:divsChild>
            <w:div w:id="1275558798">
              <w:marLeft w:val="0"/>
              <w:marRight w:val="0"/>
              <w:marTop w:val="0"/>
              <w:marBottom w:val="0"/>
              <w:divBdr>
                <w:top w:val="none" w:sz="0" w:space="0" w:color="auto"/>
                <w:left w:val="none" w:sz="0" w:space="0" w:color="auto"/>
                <w:bottom w:val="none" w:sz="0" w:space="0" w:color="auto"/>
                <w:right w:val="none" w:sz="0" w:space="0" w:color="auto"/>
              </w:divBdr>
              <w:divsChild>
                <w:div w:id="280036357">
                  <w:marLeft w:val="0"/>
                  <w:marRight w:val="0"/>
                  <w:marTop w:val="0"/>
                  <w:marBottom w:val="0"/>
                  <w:divBdr>
                    <w:top w:val="none" w:sz="0" w:space="0" w:color="auto"/>
                    <w:left w:val="none" w:sz="0" w:space="0" w:color="auto"/>
                    <w:bottom w:val="none" w:sz="0" w:space="0" w:color="auto"/>
                    <w:right w:val="none" w:sz="0" w:space="0" w:color="auto"/>
                  </w:divBdr>
                  <w:divsChild>
                    <w:div w:id="269706447">
                      <w:marLeft w:val="0"/>
                      <w:marRight w:val="0"/>
                      <w:marTop w:val="0"/>
                      <w:marBottom w:val="0"/>
                      <w:divBdr>
                        <w:top w:val="none" w:sz="0" w:space="0" w:color="auto"/>
                        <w:left w:val="none" w:sz="0" w:space="0" w:color="auto"/>
                        <w:bottom w:val="none" w:sz="0" w:space="0" w:color="auto"/>
                        <w:right w:val="none" w:sz="0" w:space="0" w:color="auto"/>
                      </w:divBdr>
                      <w:divsChild>
                        <w:div w:id="1584559289">
                          <w:marLeft w:val="0"/>
                          <w:marRight w:val="0"/>
                          <w:marTop w:val="0"/>
                          <w:marBottom w:val="0"/>
                          <w:divBdr>
                            <w:top w:val="none" w:sz="0" w:space="0" w:color="auto"/>
                            <w:left w:val="none" w:sz="0" w:space="0" w:color="auto"/>
                            <w:bottom w:val="none" w:sz="0" w:space="0" w:color="auto"/>
                            <w:right w:val="none" w:sz="0" w:space="0" w:color="auto"/>
                          </w:divBdr>
                          <w:divsChild>
                            <w:div w:id="1428694334">
                              <w:marLeft w:val="0"/>
                              <w:marRight w:val="0"/>
                              <w:marTop w:val="100"/>
                              <w:marBottom w:val="100"/>
                              <w:divBdr>
                                <w:top w:val="none" w:sz="0" w:space="0" w:color="auto"/>
                                <w:left w:val="none" w:sz="0" w:space="0" w:color="auto"/>
                                <w:bottom w:val="none" w:sz="0" w:space="0" w:color="auto"/>
                                <w:right w:val="none" w:sz="0" w:space="0" w:color="auto"/>
                              </w:divBdr>
                              <w:divsChild>
                                <w:div w:id="460609714">
                                  <w:marLeft w:val="0"/>
                                  <w:marRight w:val="0"/>
                                  <w:marTop w:val="0"/>
                                  <w:marBottom w:val="0"/>
                                  <w:divBdr>
                                    <w:top w:val="none" w:sz="0" w:space="0" w:color="auto"/>
                                    <w:left w:val="none" w:sz="0" w:space="0" w:color="auto"/>
                                    <w:bottom w:val="none" w:sz="0" w:space="0" w:color="auto"/>
                                    <w:right w:val="none" w:sz="0" w:space="0" w:color="auto"/>
                                  </w:divBdr>
                                  <w:divsChild>
                                    <w:div w:id="1273979228">
                                      <w:marLeft w:val="0"/>
                                      <w:marRight w:val="0"/>
                                      <w:marTop w:val="0"/>
                                      <w:marBottom w:val="0"/>
                                      <w:divBdr>
                                        <w:top w:val="none" w:sz="0" w:space="0" w:color="auto"/>
                                        <w:left w:val="none" w:sz="0" w:space="0" w:color="auto"/>
                                        <w:bottom w:val="none" w:sz="0" w:space="0" w:color="auto"/>
                                        <w:right w:val="none" w:sz="0" w:space="0" w:color="auto"/>
                                      </w:divBdr>
                                      <w:divsChild>
                                        <w:div w:id="241960525">
                                          <w:marLeft w:val="0"/>
                                          <w:marRight w:val="0"/>
                                          <w:marTop w:val="75"/>
                                          <w:marBottom w:val="0"/>
                                          <w:divBdr>
                                            <w:top w:val="none" w:sz="0" w:space="0" w:color="auto"/>
                                            <w:left w:val="none" w:sz="0" w:space="0" w:color="auto"/>
                                            <w:bottom w:val="none" w:sz="0" w:space="0" w:color="auto"/>
                                            <w:right w:val="none" w:sz="0" w:space="0" w:color="auto"/>
                                          </w:divBdr>
                                          <w:divsChild>
                                            <w:div w:id="1604343587">
                                              <w:marLeft w:val="0"/>
                                              <w:marRight w:val="0"/>
                                              <w:marTop w:val="0"/>
                                              <w:marBottom w:val="0"/>
                                              <w:divBdr>
                                                <w:top w:val="none" w:sz="0" w:space="0" w:color="auto"/>
                                                <w:left w:val="none" w:sz="0" w:space="0" w:color="auto"/>
                                                <w:bottom w:val="none" w:sz="0" w:space="0" w:color="auto"/>
                                                <w:right w:val="none" w:sz="0" w:space="0" w:color="auto"/>
                                              </w:divBdr>
                                              <w:divsChild>
                                                <w:div w:id="1961648271">
                                                  <w:marLeft w:val="0"/>
                                                  <w:marRight w:val="0"/>
                                                  <w:marTop w:val="0"/>
                                                  <w:marBottom w:val="0"/>
                                                  <w:divBdr>
                                                    <w:top w:val="none" w:sz="0" w:space="0" w:color="auto"/>
                                                    <w:left w:val="none" w:sz="0" w:space="0" w:color="auto"/>
                                                    <w:bottom w:val="none" w:sz="0" w:space="0" w:color="auto"/>
                                                    <w:right w:val="none" w:sz="0" w:space="0" w:color="auto"/>
                                                  </w:divBdr>
                                                  <w:divsChild>
                                                    <w:div w:id="1848985561">
                                                      <w:marLeft w:val="0"/>
                                                      <w:marRight w:val="0"/>
                                                      <w:marTop w:val="0"/>
                                                      <w:marBottom w:val="0"/>
                                                      <w:divBdr>
                                                        <w:top w:val="none" w:sz="0" w:space="0" w:color="auto"/>
                                                        <w:left w:val="none" w:sz="0" w:space="0" w:color="auto"/>
                                                        <w:bottom w:val="none" w:sz="0" w:space="0" w:color="auto"/>
                                                        <w:right w:val="none" w:sz="0" w:space="0" w:color="auto"/>
                                                      </w:divBdr>
                                                      <w:divsChild>
                                                        <w:div w:id="161509030">
                                                          <w:marLeft w:val="0"/>
                                                          <w:marRight w:val="0"/>
                                                          <w:marTop w:val="0"/>
                                                          <w:marBottom w:val="0"/>
                                                          <w:divBdr>
                                                            <w:top w:val="none" w:sz="0" w:space="0" w:color="auto"/>
                                                            <w:left w:val="none" w:sz="0" w:space="0" w:color="auto"/>
                                                            <w:bottom w:val="none" w:sz="0" w:space="0" w:color="auto"/>
                                                            <w:right w:val="none" w:sz="0" w:space="0" w:color="auto"/>
                                                          </w:divBdr>
                                                          <w:divsChild>
                                                            <w:div w:id="142701690">
                                                              <w:marLeft w:val="0"/>
                                                              <w:marRight w:val="0"/>
                                                              <w:marTop w:val="0"/>
                                                              <w:marBottom w:val="0"/>
                                                              <w:divBdr>
                                                                <w:top w:val="none" w:sz="0" w:space="0" w:color="auto"/>
                                                                <w:left w:val="none" w:sz="0" w:space="0" w:color="auto"/>
                                                                <w:bottom w:val="none" w:sz="0" w:space="0" w:color="auto"/>
                                                                <w:right w:val="none" w:sz="0" w:space="0" w:color="auto"/>
                                                              </w:divBdr>
                                                              <w:divsChild>
                                                                <w:div w:id="845900604">
                                                                  <w:marLeft w:val="0"/>
                                                                  <w:marRight w:val="0"/>
                                                                  <w:marTop w:val="0"/>
                                                                  <w:marBottom w:val="0"/>
                                                                  <w:divBdr>
                                                                    <w:top w:val="none" w:sz="0" w:space="0" w:color="auto"/>
                                                                    <w:left w:val="none" w:sz="0" w:space="0" w:color="auto"/>
                                                                    <w:bottom w:val="none" w:sz="0" w:space="0" w:color="auto"/>
                                                                    <w:right w:val="none" w:sz="0" w:space="0" w:color="auto"/>
                                                                  </w:divBdr>
                                                                  <w:divsChild>
                                                                    <w:div w:id="929386096">
                                                                      <w:marLeft w:val="0"/>
                                                                      <w:marRight w:val="0"/>
                                                                      <w:marTop w:val="0"/>
                                                                      <w:marBottom w:val="0"/>
                                                                      <w:divBdr>
                                                                        <w:top w:val="none" w:sz="0" w:space="0" w:color="auto"/>
                                                                        <w:left w:val="none" w:sz="0" w:space="0" w:color="auto"/>
                                                                        <w:bottom w:val="none" w:sz="0" w:space="0" w:color="auto"/>
                                                                        <w:right w:val="none" w:sz="0" w:space="0" w:color="auto"/>
                                                                      </w:divBdr>
                                                                      <w:divsChild>
                                                                        <w:div w:id="1586257491">
                                                                          <w:marLeft w:val="0"/>
                                                                          <w:marRight w:val="0"/>
                                                                          <w:marTop w:val="0"/>
                                                                          <w:marBottom w:val="0"/>
                                                                          <w:divBdr>
                                                                            <w:top w:val="none" w:sz="0" w:space="0" w:color="auto"/>
                                                                            <w:left w:val="none" w:sz="0" w:space="0" w:color="auto"/>
                                                                            <w:bottom w:val="none" w:sz="0" w:space="0" w:color="auto"/>
                                                                            <w:right w:val="none" w:sz="0" w:space="0" w:color="auto"/>
                                                                          </w:divBdr>
                                                                          <w:divsChild>
                                                                            <w:div w:id="14448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272942">
      <w:bodyDiv w:val="1"/>
      <w:marLeft w:val="0"/>
      <w:marRight w:val="0"/>
      <w:marTop w:val="0"/>
      <w:marBottom w:val="0"/>
      <w:divBdr>
        <w:top w:val="none" w:sz="0" w:space="0" w:color="auto"/>
        <w:left w:val="none" w:sz="0" w:space="0" w:color="auto"/>
        <w:bottom w:val="none" w:sz="0" w:space="0" w:color="auto"/>
        <w:right w:val="none" w:sz="0" w:space="0" w:color="auto"/>
      </w:divBdr>
    </w:div>
    <w:div w:id="589462412">
      <w:bodyDiv w:val="1"/>
      <w:marLeft w:val="0"/>
      <w:marRight w:val="0"/>
      <w:marTop w:val="0"/>
      <w:marBottom w:val="0"/>
      <w:divBdr>
        <w:top w:val="none" w:sz="0" w:space="0" w:color="auto"/>
        <w:left w:val="none" w:sz="0" w:space="0" w:color="auto"/>
        <w:bottom w:val="none" w:sz="0" w:space="0" w:color="auto"/>
        <w:right w:val="none" w:sz="0" w:space="0" w:color="auto"/>
      </w:divBdr>
    </w:div>
    <w:div w:id="599029813">
      <w:bodyDiv w:val="1"/>
      <w:marLeft w:val="0"/>
      <w:marRight w:val="0"/>
      <w:marTop w:val="0"/>
      <w:marBottom w:val="0"/>
      <w:divBdr>
        <w:top w:val="none" w:sz="0" w:space="0" w:color="auto"/>
        <w:left w:val="none" w:sz="0" w:space="0" w:color="auto"/>
        <w:bottom w:val="none" w:sz="0" w:space="0" w:color="auto"/>
        <w:right w:val="none" w:sz="0" w:space="0" w:color="auto"/>
      </w:divBdr>
    </w:div>
    <w:div w:id="605892874">
      <w:bodyDiv w:val="1"/>
      <w:marLeft w:val="0"/>
      <w:marRight w:val="0"/>
      <w:marTop w:val="0"/>
      <w:marBottom w:val="0"/>
      <w:divBdr>
        <w:top w:val="none" w:sz="0" w:space="0" w:color="auto"/>
        <w:left w:val="none" w:sz="0" w:space="0" w:color="auto"/>
        <w:bottom w:val="none" w:sz="0" w:space="0" w:color="auto"/>
        <w:right w:val="none" w:sz="0" w:space="0" w:color="auto"/>
      </w:divBdr>
    </w:div>
    <w:div w:id="620959615">
      <w:bodyDiv w:val="1"/>
      <w:marLeft w:val="0"/>
      <w:marRight w:val="0"/>
      <w:marTop w:val="0"/>
      <w:marBottom w:val="0"/>
      <w:divBdr>
        <w:top w:val="none" w:sz="0" w:space="0" w:color="auto"/>
        <w:left w:val="none" w:sz="0" w:space="0" w:color="auto"/>
        <w:bottom w:val="none" w:sz="0" w:space="0" w:color="auto"/>
        <w:right w:val="none" w:sz="0" w:space="0" w:color="auto"/>
      </w:divBdr>
    </w:div>
    <w:div w:id="626083853">
      <w:bodyDiv w:val="1"/>
      <w:marLeft w:val="0"/>
      <w:marRight w:val="0"/>
      <w:marTop w:val="0"/>
      <w:marBottom w:val="0"/>
      <w:divBdr>
        <w:top w:val="none" w:sz="0" w:space="0" w:color="auto"/>
        <w:left w:val="none" w:sz="0" w:space="0" w:color="auto"/>
        <w:bottom w:val="none" w:sz="0" w:space="0" w:color="auto"/>
        <w:right w:val="none" w:sz="0" w:space="0" w:color="auto"/>
      </w:divBdr>
      <w:divsChild>
        <w:div w:id="1643851857">
          <w:marLeft w:val="0"/>
          <w:marRight w:val="0"/>
          <w:marTop w:val="0"/>
          <w:marBottom w:val="0"/>
          <w:divBdr>
            <w:top w:val="none" w:sz="0" w:space="0" w:color="auto"/>
            <w:left w:val="none" w:sz="0" w:space="0" w:color="auto"/>
            <w:bottom w:val="none" w:sz="0" w:space="0" w:color="auto"/>
            <w:right w:val="none" w:sz="0" w:space="0" w:color="auto"/>
          </w:divBdr>
          <w:divsChild>
            <w:div w:id="77332826">
              <w:marLeft w:val="0"/>
              <w:marRight w:val="0"/>
              <w:marTop w:val="0"/>
              <w:marBottom w:val="0"/>
              <w:divBdr>
                <w:top w:val="none" w:sz="0" w:space="0" w:color="auto"/>
                <w:left w:val="none" w:sz="0" w:space="0" w:color="auto"/>
                <w:bottom w:val="none" w:sz="0" w:space="0" w:color="auto"/>
                <w:right w:val="none" w:sz="0" w:space="0" w:color="auto"/>
              </w:divBdr>
              <w:divsChild>
                <w:div w:id="1148091531">
                  <w:marLeft w:val="0"/>
                  <w:marRight w:val="0"/>
                  <w:marTop w:val="0"/>
                  <w:marBottom w:val="0"/>
                  <w:divBdr>
                    <w:top w:val="none" w:sz="0" w:space="0" w:color="auto"/>
                    <w:left w:val="none" w:sz="0" w:space="0" w:color="auto"/>
                    <w:bottom w:val="none" w:sz="0" w:space="0" w:color="auto"/>
                    <w:right w:val="none" w:sz="0" w:space="0" w:color="auto"/>
                  </w:divBdr>
                  <w:divsChild>
                    <w:div w:id="1199195453">
                      <w:marLeft w:val="0"/>
                      <w:marRight w:val="0"/>
                      <w:marTop w:val="0"/>
                      <w:marBottom w:val="0"/>
                      <w:divBdr>
                        <w:top w:val="none" w:sz="0" w:space="0" w:color="auto"/>
                        <w:left w:val="none" w:sz="0" w:space="0" w:color="auto"/>
                        <w:bottom w:val="none" w:sz="0" w:space="0" w:color="auto"/>
                        <w:right w:val="none" w:sz="0" w:space="0" w:color="auto"/>
                      </w:divBdr>
                      <w:divsChild>
                        <w:div w:id="477192584">
                          <w:marLeft w:val="0"/>
                          <w:marRight w:val="0"/>
                          <w:marTop w:val="0"/>
                          <w:marBottom w:val="0"/>
                          <w:divBdr>
                            <w:top w:val="none" w:sz="0" w:space="0" w:color="auto"/>
                            <w:left w:val="none" w:sz="0" w:space="0" w:color="auto"/>
                            <w:bottom w:val="none" w:sz="0" w:space="0" w:color="auto"/>
                            <w:right w:val="none" w:sz="0" w:space="0" w:color="auto"/>
                          </w:divBdr>
                          <w:divsChild>
                            <w:div w:id="13807825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488856">
      <w:bodyDiv w:val="1"/>
      <w:marLeft w:val="0"/>
      <w:marRight w:val="0"/>
      <w:marTop w:val="0"/>
      <w:marBottom w:val="0"/>
      <w:divBdr>
        <w:top w:val="none" w:sz="0" w:space="0" w:color="auto"/>
        <w:left w:val="none" w:sz="0" w:space="0" w:color="auto"/>
        <w:bottom w:val="none" w:sz="0" w:space="0" w:color="auto"/>
        <w:right w:val="none" w:sz="0" w:space="0" w:color="auto"/>
      </w:divBdr>
    </w:div>
    <w:div w:id="635184056">
      <w:bodyDiv w:val="1"/>
      <w:marLeft w:val="0"/>
      <w:marRight w:val="0"/>
      <w:marTop w:val="0"/>
      <w:marBottom w:val="0"/>
      <w:divBdr>
        <w:top w:val="none" w:sz="0" w:space="0" w:color="auto"/>
        <w:left w:val="none" w:sz="0" w:space="0" w:color="auto"/>
        <w:bottom w:val="none" w:sz="0" w:space="0" w:color="auto"/>
        <w:right w:val="none" w:sz="0" w:space="0" w:color="auto"/>
      </w:divBdr>
    </w:div>
    <w:div w:id="648485962">
      <w:bodyDiv w:val="1"/>
      <w:marLeft w:val="0"/>
      <w:marRight w:val="0"/>
      <w:marTop w:val="0"/>
      <w:marBottom w:val="0"/>
      <w:divBdr>
        <w:top w:val="none" w:sz="0" w:space="0" w:color="auto"/>
        <w:left w:val="none" w:sz="0" w:space="0" w:color="auto"/>
        <w:bottom w:val="none" w:sz="0" w:space="0" w:color="auto"/>
        <w:right w:val="none" w:sz="0" w:space="0" w:color="auto"/>
      </w:divBdr>
    </w:div>
    <w:div w:id="660428033">
      <w:bodyDiv w:val="1"/>
      <w:marLeft w:val="0"/>
      <w:marRight w:val="0"/>
      <w:marTop w:val="0"/>
      <w:marBottom w:val="0"/>
      <w:divBdr>
        <w:top w:val="none" w:sz="0" w:space="0" w:color="auto"/>
        <w:left w:val="none" w:sz="0" w:space="0" w:color="auto"/>
        <w:bottom w:val="none" w:sz="0" w:space="0" w:color="auto"/>
        <w:right w:val="none" w:sz="0" w:space="0" w:color="auto"/>
      </w:divBdr>
    </w:div>
    <w:div w:id="693964578">
      <w:bodyDiv w:val="1"/>
      <w:marLeft w:val="0"/>
      <w:marRight w:val="0"/>
      <w:marTop w:val="0"/>
      <w:marBottom w:val="0"/>
      <w:divBdr>
        <w:top w:val="none" w:sz="0" w:space="0" w:color="auto"/>
        <w:left w:val="none" w:sz="0" w:space="0" w:color="auto"/>
        <w:bottom w:val="none" w:sz="0" w:space="0" w:color="auto"/>
        <w:right w:val="none" w:sz="0" w:space="0" w:color="auto"/>
      </w:divBdr>
    </w:div>
    <w:div w:id="716054214">
      <w:bodyDiv w:val="1"/>
      <w:marLeft w:val="0"/>
      <w:marRight w:val="0"/>
      <w:marTop w:val="0"/>
      <w:marBottom w:val="0"/>
      <w:divBdr>
        <w:top w:val="none" w:sz="0" w:space="0" w:color="auto"/>
        <w:left w:val="none" w:sz="0" w:space="0" w:color="auto"/>
        <w:bottom w:val="none" w:sz="0" w:space="0" w:color="auto"/>
        <w:right w:val="none" w:sz="0" w:space="0" w:color="auto"/>
      </w:divBdr>
    </w:div>
    <w:div w:id="720832568">
      <w:bodyDiv w:val="1"/>
      <w:marLeft w:val="0"/>
      <w:marRight w:val="0"/>
      <w:marTop w:val="0"/>
      <w:marBottom w:val="0"/>
      <w:divBdr>
        <w:top w:val="none" w:sz="0" w:space="0" w:color="auto"/>
        <w:left w:val="none" w:sz="0" w:space="0" w:color="auto"/>
        <w:bottom w:val="none" w:sz="0" w:space="0" w:color="auto"/>
        <w:right w:val="none" w:sz="0" w:space="0" w:color="auto"/>
      </w:divBdr>
    </w:div>
    <w:div w:id="722483546">
      <w:bodyDiv w:val="1"/>
      <w:marLeft w:val="0"/>
      <w:marRight w:val="0"/>
      <w:marTop w:val="0"/>
      <w:marBottom w:val="0"/>
      <w:divBdr>
        <w:top w:val="none" w:sz="0" w:space="0" w:color="auto"/>
        <w:left w:val="none" w:sz="0" w:space="0" w:color="auto"/>
        <w:bottom w:val="none" w:sz="0" w:space="0" w:color="auto"/>
        <w:right w:val="none" w:sz="0" w:space="0" w:color="auto"/>
      </w:divBdr>
    </w:div>
    <w:div w:id="726489079">
      <w:bodyDiv w:val="1"/>
      <w:marLeft w:val="0"/>
      <w:marRight w:val="0"/>
      <w:marTop w:val="0"/>
      <w:marBottom w:val="0"/>
      <w:divBdr>
        <w:top w:val="none" w:sz="0" w:space="0" w:color="auto"/>
        <w:left w:val="none" w:sz="0" w:space="0" w:color="auto"/>
        <w:bottom w:val="none" w:sz="0" w:space="0" w:color="auto"/>
        <w:right w:val="none" w:sz="0" w:space="0" w:color="auto"/>
      </w:divBdr>
    </w:div>
    <w:div w:id="734202786">
      <w:bodyDiv w:val="1"/>
      <w:marLeft w:val="0"/>
      <w:marRight w:val="0"/>
      <w:marTop w:val="0"/>
      <w:marBottom w:val="0"/>
      <w:divBdr>
        <w:top w:val="none" w:sz="0" w:space="0" w:color="auto"/>
        <w:left w:val="none" w:sz="0" w:space="0" w:color="auto"/>
        <w:bottom w:val="none" w:sz="0" w:space="0" w:color="auto"/>
        <w:right w:val="none" w:sz="0" w:space="0" w:color="auto"/>
      </w:divBdr>
    </w:div>
    <w:div w:id="735128072">
      <w:bodyDiv w:val="1"/>
      <w:marLeft w:val="0"/>
      <w:marRight w:val="0"/>
      <w:marTop w:val="0"/>
      <w:marBottom w:val="0"/>
      <w:divBdr>
        <w:top w:val="none" w:sz="0" w:space="0" w:color="auto"/>
        <w:left w:val="none" w:sz="0" w:space="0" w:color="auto"/>
        <w:bottom w:val="none" w:sz="0" w:space="0" w:color="auto"/>
        <w:right w:val="none" w:sz="0" w:space="0" w:color="auto"/>
      </w:divBdr>
    </w:div>
    <w:div w:id="742795659">
      <w:bodyDiv w:val="1"/>
      <w:marLeft w:val="0"/>
      <w:marRight w:val="0"/>
      <w:marTop w:val="0"/>
      <w:marBottom w:val="0"/>
      <w:divBdr>
        <w:top w:val="none" w:sz="0" w:space="0" w:color="auto"/>
        <w:left w:val="none" w:sz="0" w:space="0" w:color="auto"/>
        <w:bottom w:val="none" w:sz="0" w:space="0" w:color="auto"/>
        <w:right w:val="none" w:sz="0" w:space="0" w:color="auto"/>
      </w:divBdr>
    </w:div>
    <w:div w:id="747189926">
      <w:bodyDiv w:val="1"/>
      <w:marLeft w:val="0"/>
      <w:marRight w:val="0"/>
      <w:marTop w:val="0"/>
      <w:marBottom w:val="0"/>
      <w:divBdr>
        <w:top w:val="none" w:sz="0" w:space="0" w:color="auto"/>
        <w:left w:val="none" w:sz="0" w:space="0" w:color="auto"/>
        <w:bottom w:val="none" w:sz="0" w:space="0" w:color="auto"/>
        <w:right w:val="none" w:sz="0" w:space="0" w:color="auto"/>
      </w:divBdr>
      <w:divsChild>
        <w:div w:id="1120487604">
          <w:marLeft w:val="0"/>
          <w:marRight w:val="0"/>
          <w:marTop w:val="0"/>
          <w:marBottom w:val="0"/>
          <w:divBdr>
            <w:top w:val="none" w:sz="0" w:space="0" w:color="auto"/>
            <w:left w:val="none" w:sz="0" w:space="0" w:color="auto"/>
            <w:bottom w:val="none" w:sz="0" w:space="0" w:color="auto"/>
            <w:right w:val="none" w:sz="0" w:space="0" w:color="auto"/>
          </w:divBdr>
          <w:divsChild>
            <w:div w:id="433356697">
              <w:marLeft w:val="0"/>
              <w:marRight w:val="0"/>
              <w:marTop w:val="0"/>
              <w:marBottom w:val="0"/>
              <w:divBdr>
                <w:top w:val="none" w:sz="0" w:space="0" w:color="auto"/>
                <w:left w:val="none" w:sz="0" w:space="0" w:color="auto"/>
                <w:bottom w:val="none" w:sz="0" w:space="0" w:color="auto"/>
                <w:right w:val="none" w:sz="0" w:space="0" w:color="auto"/>
              </w:divBdr>
              <w:divsChild>
                <w:div w:id="1747528998">
                  <w:marLeft w:val="0"/>
                  <w:marRight w:val="0"/>
                  <w:marTop w:val="0"/>
                  <w:marBottom w:val="0"/>
                  <w:divBdr>
                    <w:top w:val="none" w:sz="0" w:space="0" w:color="auto"/>
                    <w:left w:val="none" w:sz="0" w:space="0" w:color="auto"/>
                    <w:bottom w:val="none" w:sz="0" w:space="0" w:color="auto"/>
                    <w:right w:val="none" w:sz="0" w:space="0" w:color="auto"/>
                  </w:divBdr>
                  <w:divsChild>
                    <w:div w:id="2136173475">
                      <w:marLeft w:val="0"/>
                      <w:marRight w:val="0"/>
                      <w:marTop w:val="0"/>
                      <w:marBottom w:val="0"/>
                      <w:divBdr>
                        <w:top w:val="none" w:sz="0" w:space="0" w:color="auto"/>
                        <w:left w:val="none" w:sz="0" w:space="0" w:color="auto"/>
                        <w:bottom w:val="none" w:sz="0" w:space="0" w:color="auto"/>
                        <w:right w:val="none" w:sz="0" w:space="0" w:color="auto"/>
                      </w:divBdr>
                      <w:divsChild>
                        <w:div w:id="1887180318">
                          <w:blockQuote w:val="1"/>
                          <w:marLeft w:val="720"/>
                          <w:marRight w:val="720"/>
                          <w:marTop w:val="480"/>
                          <w:marBottom w:val="480"/>
                          <w:divBdr>
                            <w:top w:val="none" w:sz="0" w:space="0" w:color="auto"/>
                            <w:left w:val="single" w:sz="24" w:space="11" w:color="A0CE4E"/>
                            <w:bottom w:val="none" w:sz="0" w:space="0" w:color="auto"/>
                            <w:right w:val="none" w:sz="0" w:space="0" w:color="auto"/>
                          </w:divBdr>
                        </w:div>
                      </w:divsChild>
                    </w:div>
                  </w:divsChild>
                </w:div>
              </w:divsChild>
            </w:div>
          </w:divsChild>
        </w:div>
      </w:divsChild>
    </w:div>
    <w:div w:id="762842501">
      <w:bodyDiv w:val="1"/>
      <w:marLeft w:val="0"/>
      <w:marRight w:val="0"/>
      <w:marTop w:val="0"/>
      <w:marBottom w:val="0"/>
      <w:divBdr>
        <w:top w:val="none" w:sz="0" w:space="0" w:color="auto"/>
        <w:left w:val="none" w:sz="0" w:space="0" w:color="auto"/>
        <w:bottom w:val="none" w:sz="0" w:space="0" w:color="auto"/>
        <w:right w:val="none" w:sz="0" w:space="0" w:color="auto"/>
      </w:divBdr>
    </w:div>
    <w:div w:id="776558851">
      <w:bodyDiv w:val="1"/>
      <w:marLeft w:val="0"/>
      <w:marRight w:val="0"/>
      <w:marTop w:val="0"/>
      <w:marBottom w:val="0"/>
      <w:divBdr>
        <w:top w:val="none" w:sz="0" w:space="0" w:color="auto"/>
        <w:left w:val="none" w:sz="0" w:space="0" w:color="auto"/>
        <w:bottom w:val="none" w:sz="0" w:space="0" w:color="auto"/>
        <w:right w:val="none" w:sz="0" w:space="0" w:color="auto"/>
      </w:divBdr>
    </w:div>
    <w:div w:id="790979411">
      <w:bodyDiv w:val="1"/>
      <w:marLeft w:val="0"/>
      <w:marRight w:val="0"/>
      <w:marTop w:val="0"/>
      <w:marBottom w:val="0"/>
      <w:divBdr>
        <w:top w:val="none" w:sz="0" w:space="0" w:color="auto"/>
        <w:left w:val="none" w:sz="0" w:space="0" w:color="auto"/>
        <w:bottom w:val="none" w:sz="0" w:space="0" w:color="auto"/>
        <w:right w:val="none" w:sz="0" w:space="0" w:color="auto"/>
      </w:divBdr>
    </w:div>
    <w:div w:id="823932000">
      <w:bodyDiv w:val="1"/>
      <w:marLeft w:val="0"/>
      <w:marRight w:val="0"/>
      <w:marTop w:val="0"/>
      <w:marBottom w:val="0"/>
      <w:divBdr>
        <w:top w:val="none" w:sz="0" w:space="0" w:color="auto"/>
        <w:left w:val="none" w:sz="0" w:space="0" w:color="auto"/>
        <w:bottom w:val="none" w:sz="0" w:space="0" w:color="auto"/>
        <w:right w:val="none" w:sz="0" w:space="0" w:color="auto"/>
      </w:divBdr>
    </w:div>
    <w:div w:id="842011481">
      <w:bodyDiv w:val="1"/>
      <w:marLeft w:val="0"/>
      <w:marRight w:val="0"/>
      <w:marTop w:val="0"/>
      <w:marBottom w:val="0"/>
      <w:divBdr>
        <w:top w:val="none" w:sz="0" w:space="0" w:color="auto"/>
        <w:left w:val="none" w:sz="0" w:space="0" w:color="auto"/>
        <w:bottom w:val="none" w:sz="0" w:space="0" w:color="auto"/>
        <w:right w:val="none" w:sz="0" w:space="0" w:color="auto"/>
      </w:divBdr>
    </w:div>
    <w:div w:id="846752567">
      <w:bodyDiv w:val="1"/>
      <w:marLeft w:val="0"/>
      <w:marRight w:val="0"/>
      <w:marTop w:val="0"/>
      <w:marBottom w:val="0"/>
      <w:divBdr>
        <w:top w:val="none" w:sz="0" w:space="0" w:color="auto"/>
        <w:left w:val="none" w:sz="0" w:space="0" w:color="auto"/>
        <w:bottom w:val="none" w:sz="0" w:space="0" w:color="auto"/>
        <w:right w:val="none" w:sz="0" w:space="0" w:color="auto"/>
      </w:divBdr>
    </w:div>
    <w:div w:id="847719802">
      <w:bodyDiv w:val="1"/>
      <w:marLeft w:val="0"/>
      <w:marRight w:val="0"/>
      <w:marTop w:val="0"/>
      <w:marBottom w:val="0"/>
      <w:divBdr>
        <w:top w:val="none" w:sz="0" w:space="0" w:color="auto"/>
        <w:left w:val="none" w:sz="0" w:space="0" w:color="auto"/>
        <w:bottom w:val="none" w:sz="0" w:space="0" w:color="auto"/>
        <w:right w:val="none" w:sz="0" w:space="0" w:color="auto"/>
      </w:divBdr>
    </w:div>
    <w:div w:id="858618601">
      <w:bodyDiv w:val="1"/>
      <w:marLeft w:val="0"/>
      <w:marRight w:val="0"/>
      <w:marTop w:val="0"/>
      <w:marBottom w:val="0"/>
      <w:divBdr>
        <w:top w:val="none" w:sz="0" w:space="0" w:color="auto"/>
        <w:left w:val="none" w:sz="0" w:space="0" w:color="auto"/>
        <w:bottom w:val="none" w:sz="0" w:space="0" w:color="auto"/>
        <w:right w:val="none" w:sz="0" w:space="0" w:color="auto"/>
      </w:divBdr>
    </w:div>
    <w:div w:id="859658734">
      <w:bodyDiv w:val="1"/>
      <w:marLeft w:val="0"/>
      <w:marRight w:val="0"/>
      <w:marTop w:val="0"/>
      <w:marBottom w:val="0"/>
      <w:divBdr>
        <w:top w:val="none" w:sz="0" w:space="0" w:color="auto"/>
        <w:left w:val="none" w:sz="0" w:space="0" w:color="auto"/>
        <w:bottom w:val="none" w:sz="0" w:space="0" w:color="auto"/>
        <w:right w:val="none" w:sz="0" w:space="0" w:color="auto"/>
      </w:divBdr>
    </w:div>
    <w:div w:id="863320910">
      <w:bodyDiv w:val="1"/>
      <w:marLeft w:val="0"/>
      <w:marRight w:val="0"/>
      <w:marTop w:val="0"/>
      <w:marBottom w:val="0"/>
      <w:divBdr>
        <w:top w:val="none" w:sz="0" w:space="0" w:color="auto"/>
        <w:left w:val="none" w:sz="0" w:space="0" w:color="auto"/>
        <w:bottom w:val="none" w:sz="0" w:space="0" w:color="auto"/>
        <w:right w:val="none" w:sz="0" w:space="0" w:color="auto"/>
      </w:divBdr>
    </w:div>
    <w:div w:id="884372253">
      <w:bodyDiv w:val="1"/>
      <w:marLeft w:val="0"/>
      <w:marRight w:val="0"/>
      <w:marTop w:val="0"/>
      <w:marBottom w:val="0"/>
      <w:divBdr>
        <w:top w:val="none" w:sz="0" w:space="0" w:color="auto"/>
        <w:left w:val="none" w:sz="0" w:space="0" w:color="auto"/>
        <w:bottom w:val="none" w:sz="0" w:space="0" w:color="auto"/>
        <w:right w:val="none" w:sz="0" w:space="0" w:color="auto"/>
      </w:divBdr>
    </w:div>
    <w:div w:id="885143468">
      <w:bodyDiv w:val="1"/>
      <w:marLeft w:val="0"/>
      <w:marRight w:val="0"/>
      <w:marTop w:val="0"/>
      <w:marBottom w:val="0"/>
      <w:divBdr>
        <w:top w:val="none" w:sz="0" w:space="0" w:color="auto"/>
        <w:left w:val="none" w:sz="0" w:space="0" w:color="auto"/>
        <w:bottom w:val="none" w:sz="0" w:space="0" w:color="auto"/>
        <w:right w:val="none" w:sz="0" w:space="0" w:color="auto"/>
      </w:divBdr>
    </w:div>
    <w:div w:id="885410831">
      <w:bodyDiv w:val="1"/>
      <w:marLeft w:val="0"/>
      <w:marRight w:val="0"/>
      <w:marTop w:val="0"/>
      <w:marBottom w:val="0"/>
      <w:divBdr>
        <w:top w:val="none" w:sz="0" w:space="0" w:color="auto"/>
        <w:left w:val="none" w:sz="0" w:space="0" w:color="auto"/>
        <w:bottom w:val="none" w:sz="0" w:space="0" w:color="auto"/>
        <w:right w:val="none" w:sz="0" w:space="0" w:color="auto"/>
      </w:divBdr>
    </w:div>
    <w:div w:id="896555383">
      <w:bodyDiv w:val="1"/>
      <w:marLeft w:val="0"/>
      <w:marRight w:val="0"/>
      <w:marTop w:val="0"/>
      <w:marBottom w:val="0"/>
      <w:divBdr>
        <w:top w:val="none" w:sz="0" w:space="0" w:color="auto"/>
        <w:left w:val="none" w:sz="0" w:space="0" w:color="auto"/>
        <w:bottom w:val="none" w:sz="0" w:space="0" w:color="auto"/>
        <w:right w:val="none" w:sz="0" w:space="0" w:color="auto"/>
      </w:divBdr>
    </w:div>
    <w:div w:id="908147619">
      <w:bodyDiv w:val="1"/>
      <w:marLeft w:val="0"/>
      <w:marRight w:val="0"/>
      <w:marTop w:val="0"/>
      <w:marBottom w:val="0"/>
      <w:divBdr>
        <w:top w:val="none" w:sz="0" w:space="0" w:color="auto"/>
        <w:left w:val="none" w:sz="0" w:space="0" w:color="auto"/>
        <w:bottom w:val="none" w:sz="0" w:space="0" w:color="auto"/>
        <w:right w:val="none" w:sz="0" w:space="0" w:color="auto"/>
      </w:divBdr>
    </w:div>
    <w:div w:id="916284671">
      <w:bodyDiv w:val="1"/>
      <w:marLeft w:val="0"/>
      <w:marRight w:val="0"/>
      <w:marTop w:val="0"/>
      <w:marBottom w:val="0"/>
      <w:divBdr>
        <w:top w:val="none" w:sz="0" w:space="0" w:color="auto"/>
        <w:left w:val="none" w:sz="0" w:space="0" w:color="auto"/>
        <w:bottom w:val="none" w:sz="0" w:space="0" w:color="auto"/>
        <w:right w:val="none" w:sz="0" w:space="0" w:color="auto"/>
      </w:divBdr>
    </w:div>
    <w:div w:id="921137876">
      <w:bodyDiv w:val="1"/>
      <w:marLeft w:val="0"/>
      <w:marRight w:val="0"/>
      <w:marTop w:val="0"/>
      <w:marBottom w:val="0"/>
      <w:divBdr>
        <w:top w:val="none" w:sz="0" w:space="0" w:color="auto"/>
        <w:left w:val="none" w:sz="0" w:space="0" w:color="auto"/>
        <w:bottom w:val="none" w:sz="0" w:space="0" w:color="auto"/>
        <w:right w:val="none" w:sz="0" w:space="0" w:color="auto"/>
      </w:divBdr>
    </w:div>
    <w:div w:id="929700005">
      <w:bodyDiv w:val="1"/>
      <w:marLeft w:val="0"/>
      <w:marRight w:val="0"/>
      <w:marTop w:val="0"/>
      <w:marBottom w:val="0"/>
      <w:divBdr>
        <w:top w:val="none" w:sz="0" w:space="0" w:color="auto"/>
        <w:left w:val="none" w:sz="0" w:space="0" w:color="auto"/>
        <w:bottom w:val="none" w:sz="0" w:space="0" w:color="auto"/>
        <w:right w:val="none" w:sz="0" w:space="0" w:color="auto"/>
      </w:divBdr>
    </w:div>
    <w:div w:id="933324283">
      <w:bodyDiv w:val="1"/>
      <w:marLeft w:val="0"/>
      <w:marRight w:val="0"/>
      <w:marTop w:val="0"/>
      <w:marBottom w:val="0"/>
      <w:divBdr>
        <w:top w:val="none" w:sz="0" w:space="0" w:color="auto"/>
        <w:left w:val="none" w:sz="0" w:space="0" w:color="auto"/>
        <w:bottom w:val="none" w:sz="0" w:space="0" w:color="auto"/>
        <w:right w:val="none" w:sz="0" w:space="0" w:color="auto"/>
      </w:divBdr>
    </w:div>
    <w:div w:id="941883520">
      <w:bodyDiv w:val="1"/>
      <w:marLeft w:val="0"/>
      <w:marRight w:val="0"/>
      <w:marTop w:val="0"/>
      <w:marBottom w:val="0"/>
      <w:divBdr>
        <w:top w:val="none" w:sz="0" w:space="0" w:color="auto"/>
        <w:left w:val="none" w:sz="0" w:space="0" w:color="auto"/>
        <w:bottom w:val="none" w:sz="0" w:space="0" w:color="auto"/>
        <w:right w:val="none" w:sz="0" w:space="0" w:color="auto"/>
      </w:divBdr>
    </w:div>
    <w:div w:id="947737094">
      <w:bodyDiv w:val="1"/>
      <w:marLeft w:val="0"/>
      <w:marRight w:val="0"/>
      <w:marTop w:val="0"/>
      <w:marBottom w:val="0"/>
      <w:divBdr>
        <w:top w:val="none" w:sz="0" w:space="0" w:color="auto"/>
        <w:left w:val="none" w:sz="0" w:space="0" w:color="auto"/>
        <w:bottom w:val="none" w:sz="0" w:space="0" w:color="auto"/>
        <w:right w:val="none" w:sz="0" w:space="0" w:color="auto"/>
      </w:divBdr>
    </w:div>
    <w:div w:id="953711021">
      <w:bodyDiv w:val="1"/>
      <w:marLeft w:val="0"/>
      <w:marRight w:val="0"/>
      <w:marTop w:val="0"/>
      <w:marBottom w:val="0"/>
      <w:divBdr>
        <w:top w:val="none" w:sz="0" w:space="0" w:color="auto"/>
        <w:left w:val="none" w:sz="0" w:space="0" w:color="auto"/>
        <w:bottom w:val="none" w:sz="0" w:space="0" w:color="auto"/>
        <w:right w:val="none" w:sz="0" w:space="0" w:color="auto"/>
      </w:divBdr>
    </w:div>
    <w:div w:id="959535249">
      <w:bodyDiv w:val="1"/>
      <w:marLeft w:val="0"/>
      <w:marRight w:val="0"/>
      <w:marTop w:val="0"/>
      <w:marBottom w:val="0"/>
      <w:divBdr>
        <w:top w:val="none" w:sz="0" w:space="0" w:color="auto"/>
        <w:left w:val="none" w:sz="0" w:space="0" w:color="auto"/>
        <w:bottom w:val="none" w:sz="0" w:space="0" w:color="auto"/>
        <w:right w:val="none" w:sz="0" w:space="0" w:color="auto"/>
      </w:divBdr>
    </w:div>
    <w:div w:id="979311268">
      <w:bodyDiv w:val="1"/>
      <w:marLeft w:val="0"/>
      <w:marRight w:val="0"/>
      <w:marTop w:val="0"/>
      <w:marBottom w:val="0"/>
      <w:divBdr>
        <w:top w:val="none" w:sz="0" w:space="0" w:color="auto"/>
        <w:left w:val="none" w:sz="0" w:space="0" w:color="auto"/>
        <w:bottom w:val="none" w:sz="0" w:space="0" w:color="auto"/>
        <w:right w:val="none" w:sz="0" w:space="0" w:color="auto"/>
      </w:divBdr>
    </w:div>
    <w:div w:id="984744971">
      <w:bodyDiv w:val="1"/>
      <w:marLeft w:val="0"/>
      <w:marRight w:val="0"/>
      <w:marTop w:val="0"/>
      <w:marBottom w:val="0"/>
      <w:divBdr>
        <w:top w:val="none" w:sz="0" w:space="0" w:color="auto"/>
        <w:left w:val="none" w:sz="0" w:space="0" w:color="auto"/>
        <w:bottom w:val="none" w:sz="0" w:space="0" w:color="auto"/>
        <w:right w:val="none" w:sz="0" w:space="0" w:color="auto"/>
      </w:divBdr>
    </w:div>
    <w:div w:id="994065739">
      <w:bodyDiv w:val="1"/>
      <w:marLeft w:val="0"/>
      <w:marRight w:val="0"/>
      <w:marTop w:val="0"/>
      <w:marBottom w:val="0"/>
      <w:divBdr>
        <w:top w:val="none" w:sz="0" w:space="0" w:color="auto"/>
        <w:left w:val="none" w:sz="0" w:space="0" w:color="auto"/>
        <w:bottom w:val="none" w:sz="0" w:space="0" w:color="auto"/>
        <w:right w:val="none" w:sz="0" w:space="0" w:color="auto"/>
      </w:divBdr>
    </w:div>
    <w:div w:id="1018316567">
      <w:bodyDiv w:val="1"/>
      <w:marLeft w:val="0"/>
      <w:marRight w:val="0"/>
      <w:marTop w:val="0"/>
      <w:marBottom w:val="0"/>
      <w:divBdr>
        <w:top w:val="none" w:sz="0" w:space="0" w:color="auto"/>
        <w:left w:val="none" w:sz="0" w:space="0" w:color="auto"/>
        <w:bottom w:val="none" w:sz="0" w:space="0" w:color="auto"/>
        <w:right w:val="none" w:sz="0" w:space="0" w:color="auto"/>
      </w:divBdr>
    </w:div>
    <w:div w:id="1018771438">
      <w:bodyDiv w:val="1"/>
      <w:marLeft w:val="0"/>
      <w:marRight w:val="0"/>
      <w:marTop w:val="0"/>
      <w:marBottom w:val="0"/>
      <w:divBdr>
        <w:top w:val="none" w:sz="0" w:space="0" w:color="auto"/>
        <w:left w:val="none" w:sz="0" w:space="0" w:color="auto"/>
        <w:bottom w:val="none" w:sz="0" w:space="0" w:color="auto"/>
        <w:right w:val="none" w:sz="0" w:space="0" w:color="auto"/>
      </w:divBdr>
      <w:divsChild>
        <w:div w:id="1316644497">
          <w:marLeft w:val="0"/>
          <w:marRight w:val="0"/>
          <w:marTop w:val="0"/>
          <w:marBottom w:val="0"/>
          <w:divBdr>
            <w:top w:val="none" w:sz="0" w:space="0" w:color="auto"/>
            <w:left w:val="none" w:sz="0" w:space="0" w:color="auto"/>
            <w:bottom w:val="none" w:sz="0" w:space="0" w:color="auto"/>
            <w:right w:val="none" w:sz="0" w:space="0" w:color="auto"/>
          </w:divBdr>
          <w:divsChild>
            <w:div w:id="13643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5894">
      <w:bodyDiv w:val="1"/>
      <w:marLeft w:val="0"/>
      <w:marRight w:val="0"/>
      <w:marTop w:val="0"/>
      <w:marBottom w:val="0"/>
      <w:divBdr>
        <w:top w:val="none" w:sz="0" w:space="0" w:color="auto"/>
        <w:left w:val="none" w:sz="0" w:space="0" w:color="auto"/>
        <w:bottom w:val="none" w:sz="0" w:space="0" w:color="auto"/>
        <w:right w:val="none" w:sz="0" w:space="0" w:color="auto"/>
      </w:divBdr>
    </w:div>
    <w:div w:id="1021973105">
      <w:bodyDiv w:val="1"/>
      <w:marLeft w:val="0"/>
      <w:marRight w:val="0"/>
      <w:marTop w:val="0"/>
      <w:marBottom w:val="0"/>
      <w:divBdr>
        <w:top w:val="none" w:sz="0" w:space="0" w:color="auto"/>
        <w:left w:val="none" w:sz="0" w:space="0" w:color="auto"/>
        <w:bottom w:val="none" w:sz="0" w:space="0" w:color="auto"/>
        <w:right w:val="none" w:sz="0" w:space="0" w:color="auto"/>
      </w:divBdr>
    </w:div>
    <w:div w:id="1024598054">
      <w:bodyDiv w:val="1"/>
      <w:marLeft w:val="0"/>
      <w:marRight w:val="0"/>
      <w:marTop w:val="0"/>
      <w:marBottom w:val="0"/>
      <w:divBdr>
        <w:top w:val="none" w:sz="0" w:space="0" w:color="auto"/>
        <w:left w:val="none" w:sz="0" w:space="0" w:color="auto"/>
        <w:bottom w:val="none" w:sz="0" w:space="0" w:color="auto"/>
        <w:right w:val="none" w:sz="0" w:space="0" w:color="auto"/>
      </w:divBdr>
    </w:div>
    <w:div w:id="1040324247">
      <w:bodyDiv w:val="1"/>
      <w:marLeft w:val="0"/>
      <w:marRight w:val="0"/>
      <w:marTop w:val="0"/>
      <w:marBottom w:val="0"/>
      <w:divBdr>
        <w:top w:val="none" w:sz="0" w:space="0" w:color="auto"/>
        <w:left w:val="none" w:sz="0" w:space="0" w:color="auto"/>
        <w:bottom w:val="none" w:sz="0" w:space="0" w:color="auto"/>
        <w:right w:val="none" w:sz="0" w:space="0" w:color="auto"/>
      </w:divBdr>
    </w:div>
    <w:div w:id="1042481942">
      <w:bodyDiv w:val="1"/>
      <w:marLeft w:val="0"/>
      <w:marRight w:val="0"/>
      <w:marTop w:val="0"/>
      <w:marBottom w:val="0"/>
      <w:divBdr>
        <w:top w:val="none" w:sz="0" w:space="0" w:color="auto"/>
        <w:left w:val="none" w:sz="0" w:space="0" w:color="auto"/>
        <w:bottom w:val="none" w:sz="0" w:space="0" w:color="auto"/>
        <w:right w:val="none" w:sz="0" w:space="0" w:color="auto"/>
      </w:divBdr>
    </w:div>
    <w:div w:id="1061757991">
      <w:bodyDiv w:val="1"/>
      <w:marLeft w:val="0"/>
      <w:marRight w:val="0"/>
      <w:marTop w:val="0"/>
      <w:marBottom w:val="0"/>
      <w:divBdr>
        <w:top w:val="none" w:sz="0" w:space="0" w:color="auto"/>
        <w:left w:val="none" w:sz="0" w:space="0" w:color="auto"/>
        <w:bottom w:val="none" w:sz="0" w:space="0" w:color="auto"/>
        <w:right w:val="none" w:sz="0" w:space="0" w:color="auto"/>
      </w:divBdr>
    </w:div>
    <w:div w:id="1064911925">
      <w:bodyDiv w:val="1"/>
      <w:marLeft w:val="0"/>
      <w:marRight w:val="0"/>
      <w:marTop w:val="0"/>
      <w:marBottom w:val="0"/>
      <w:divBdr>
        <w:top w:val="none" w:sz="0" w:space="0" w:color="auto"/>
        <w:left w:val="none" w:sz="0" w:space="0" w:color="auto"/>
        <w:bottom w:val="none" w:sz="0" w:space="0" w:color="auto"/>
        <w:right w:val="none" w:sz="0" w:space="0" w:color="auto"/>
      </w:divBdr>
    </w:div>
    <w:div w:id="1071852191">
      <w:bodyDiv w:val="1"/>
      <w:marLeft w:val="0"/>
      <w:marRight w:val="0"/>
      <w:marTop w:val="0"/>
      <w:marBottom w:val="0"/>
      <w:divBdr>
        <w:top w:val="none" w:sz="0" w:space="0" w:color="auto"/>
        <w:left w:val="none" w:sz="0" w:space="0" w:color="auto"/>
        <w:bottom w:val="none" w:sz="0" w:space="0" w:color="auto"/>
        <w:right w:val="none" w:sz="0" w:space="0" w:color="auto"/>
      </w:divBdr>
    </w:div>
    <w:div w:id="1091777901">
      <w:bodyDiv w:val="1"/>
      <w:marLeft w:val="0"/>
      <w:marRight w:val="0"/>
      <w:marTop w:val="0"/>
      <w:marBottom w:val="0"/>
      <w:divBdr>
        <w:top w:val="none" w:sz="0" w:space="0" w:color="auto"/>
        <w:left w:val="none" w:sz="0" w:space="0" w:color="auto"/>
        <w:bottom w:val="none" w:sz="0" w:space="0" w:color="auto"/>
        <w:right w:val="none" w:sz="0" w:space="0" w:color="auto"/>
      </w:divBdr>
    </w:div>
    <w:div w:id="1093626524">
      <w:bodyDiv w:val="1"/>
      <w:marLeft w:val="0"/>
      <w:marRight w:val="0"/>
      <w:marTop w:val="0"/>
      <w:marBottom w:val="0"/>
      <w:divBdr>
        <w:top w:val="none" w:sz="0" w:space="0" w:color="auto"/>
        <w:left w:val="none" w:sz="0" w:space="0" w:color="auto"/>
        <w:bottom w:val="none" w:sz="0" w:space="0" w:color="auto"/>
        <w:right w:val="none" w:sz="0" w:space="0" w:color="auto"/>
      </w:divBdr>
    </w:div>
    <w:div w:id="1103526229">
      <w:bodyDiv w:val="1"/>
      <w:marLeft w:val="0"/>
      <w:marRight w:val="0"/>
      <w:marTop w:val="0"/>
      <w:marBottom w:val="0"/>
      <w:divBdr>
        <w:top w:val="none" w:sz="0" w:space="0" w:color="auto"/>
        <w:left w:val="none" w:sz="0" w:space="0" w:color="auto"/>
        <w:bottom w:val="none" w:sz="0" w:space="0" w:color="auto"/>
        <w:right w:val="none" w:sz="0" w:space="0" w:color="auto"/>
      </w:divBdr>
    </w:div>
    <w:div w:id="1118183116">
      <w:bodyDiv w:val="1"/>
      <w:marLeft w:val="0"/>
      <w:marRight w:val="0"/>
      <w:marTop w:val="0"/>
      <w:marBottom w:val="0"/>
      <w:divBdr>
        <w:top w:val="none" w:sz="0" w:space="0" w:color="auto"/>
        <w:left w:val="none" w:sz="0" w:space="0" w:color="auto"/>
        <w:bottom w:val="none" w:sz="0" w:space="0" w:color="auto"/>
        <w:right w:val="none" w:sz="0" w:space="0" w:color="auto"/>
      </w:divBdr>
    </w:div>
    <w:div w:id="1144270973">
      <w:bodyDiv w:val="1"/>
      <w:marLeft w:val="0"/>
      <w:marRight w:val="0"/>
      <w:marTop w:val="0"/>
      <w:marBottom w:val="0"/>
      <w:divBdr>
        <w:top w:val="none" w:sz="0" w:space="0" w:color="auto"/>
        <w:left w:val="none" w:sz="0" w:space="0" w:color="auto"/>
        <w:bottom w:val="none" w:sz="0" w:space="0" w:color="auto"/>
        <w:right w:val="none" w:sz="0" w:space="0" w:color="auto"/>
      </w:divBdr>
    </w:div>
    <w:div w:id="1145196991">
      <w:bodyDiv w:val="1"/>
      <w:marLeft w:val="0"/>
      <w:marRight w:val="0"/>
      <w:marTop w:val="0"/>
      <w:marBottom w:val="0"/>
      <w:divBdr>
        <w:top w:val="none" w:sz="0" w:space="0" w:color="auto"/>
        <w:left w:val="none" w:sz="0" w:space="0" w:color="auto"/>
        <w:bottom w:val="none" w:sz="0" w:space="0" w:color="auto"/>
        <w:right w:val="none" w:sz="0" w:space="0" w:color="auto"/>
      </w:divBdr>
    </w:div>
    <w:div w:id="1157186928">
      <w:bodyDiv w:val="1"/>
      <w:marLeft w:val="0"/>
      <w:marRight w:val="0"/>
      <w:marTop w:val="0"/>
      <w:marBottom w:val="0"/>
      <w:divBdr>
        <w:top w:val="none" w:sz="0" w:space="0" w:color="auto"/>
        <w:left w:val="none" w:sz="0" w:space="0" w:color="auto"/>
        <w:bottom w:val="none" w:sz="0" w:space="0" w:color="auto"/>
        <w:right w:val="none" w:sz="0" w:space="0" w:color="auto"/>
      </w:divBdr>
    </w:div>
    <w:div w:id="1160193600">
      <w:bodyDiv w:val="1"/>
      <w:marLeft w:val="0"/>
      <w:marRight w:val="0"/>
      <w:marTop w:val="0"/>
      <w:marBottom w:val="0"/>
      <w:divBdr>
        <w:top w:val="none" w:sz="0" w:space="0" w:color="auto"/>
        <w:left w:val="none" w:sz="0" w:space="0" w:color="auto"/>
        <w:bottom w:val="none" w:sz="0" w:space="0" w:color="auto"/>
        <w:right w:val="none" w:sz="0" w:space="0" w:color="auto"/>
      </w:divBdr>
    </w:div>
    <w:div w:id="1164668448">
      <w:bodyDiv w:val="1"/>
      <w:marLeft w:val="0"/>
      <w:marRight w:val="0"/>
      <w:marTop w:val="0"/>
      <w:marBottom w:val="0"/>
      <w:divBdr>
        <w:top w:val="none" w:sz="0" w:space="0" w:color="auto"/>
        <w:left w:val="none" w:sz="0" w:space="0" w:color="auto"/>
        <w:bottom w:val="none" w:sz="0" w:space="0" w:color="auto"/>
        <w:right w:val="none" w:sz="0" w:space="0" w:color="auto"/>
      </w:divBdr>
    </w:div>
    <w:div w:id="1191987580">
      <w:bodyDiv w:val="1"/>
      <w:marLeft w:val="0"/>
      <w:marRight w:val="0"/>
      <w:marTop w:val="0"/>
      <w:marBottom w:val="0"/>
      <w:divBdr>
        <w:top w:val="none" w:sz="0" w:space="0" w:color="auto"/>
        <w:left w:val="none" w:sz="0" w:space="0" w:color="auto"/>
        <w:bottom w:val="none" w:sz="0" w:space="0" w:color="auto"/>
        <w:right w:val="none" w:sz="0" w:space="0" w:color="auto"/>
      </w:divBdr>
    </w:div>
    <w:div w:id="1195117447">
      <w:bodyDiv w:val="1"/>
      <w:marLeft w:val="0"/>
      <w:marRight w:val="0"/>
      <w:marTop w:val="0"/>
      <w:marBottom w:val="0"/>
      <w:divBdr>
        <w:top w:val="none" w:sz="0" w:space="0" w:color="auto"/>
        <w:left w:val="none" w:sz="0" w:space="0" w:color="auto"/>
        <w:bottom w:val="none" w:sz="0" w:space="0" w:color="auto"/>
        <w:right w:val="none" w:sz="0" w:space="0" w:color="auto"/>
      </w:divBdr>
    </w:div>
    <w:div w:id="1195387806">
      <w:bodyDiv w:val="1"/>
      <w:marLeft w:val="0"/>
      <w:marRight w:val="0"/>
      <w:marTop w:val="0"/>
      <w:marBottom w:val="0"/>
      <w:divBdr>
        <w:top w:val="none" w:sz="0" w:space="0" w:color="auto"/>
        <w:left w:val="none" w:sz="0" w:space="0" w:color="auto"/>
        <w:bottom w:val="none" w:sz="0" w:space="0" w:color="auto"/>
        <w:right w:val="none" w:sz="0" w:space="0" w:color="auto"/>
      </w:divBdr>
    </w:div>
    <w:div w:id="1210605884">
      <w:bodyDiv w:val="1"/>
      <w:marLeft w:val="0"/>
      <w:marRight w:val="0"/>
      <w:marTop w:val="0"/>
      <w:marBottom w:val="0"/>
      <w:divBdr>
        <w:top w:val="none" w:sz="0" w:space="0" w:color="auto"/>
        <w:left w:val="none" w:sz="0" w:space="0" w:color="auto"/>
        <w:bottom w:val="none" w:sz="0" w:space="0" w:color="auto"/>
        <w:right w:val="none" w:sz="0" w:space="0" w:color="auto"/>
      </w:divBdr>
    </w:div>
    <w:div w:id="1216970050">
      <w:bodyDiv w:val="1"/>
      <w:marLeft w:val="0"/>
      <w:marRight w:val="0"/>
      <w:marTop w:val="0"/>
      <w:marBottom w:val="0"/>
      <w:divBdr>
        <w:top w:val="none" w:sz="0" w:space="0" w:color="auto"/>
        <w:left w:val="none" w:sz="0" w:space="0" w:color="auto"/>
        <w:bottom w:val="none" w:sz="0" w:space="0" w:color="auto"/>
        <w:right w:val="none" w:sz="0" w:space="0" w:color="auto"/>
      </w:divBdr>
    </w:div>
    <w:div w:id="1221136335">
      <w:bodyDiv w:val="1"/>
      <w:marLeft w:val="0"/>
      <w:marRight w:val="0"/>
      <w:marTop w:val="0"/>
      <w:marBottom w:val="0"/>
      <w:divBdr>
        <w:top w:val="none" w:sz="0" w:space="0" w:color="auto"/>
        <w:left w:val="none" w:sz="0" w:space="0" w:color="auto"/>
        <w:bottom w:val="none" w:sz="0" w:space="0" w:color="auto"/>
        <w:right w:val="none" w:sz="0" w:space="0" w:color="auto"/>
      </w:divBdr>
    </w:div>
    <w:div w:id="1227913799">
      <w:bodyDiv w:val="1"/>
      <w:marLeft w:val="0"/>
      <w:marRight w:val="0"/>
      <w:marTop w:val="0"/>
      <w:marBottom w:val="0"/>
      <w:divBdr>
        <w:top w:val="none" w:sz="0" w:space="0" w:color="auto"/>
        <w:left w:val="none" w:sz="0" w:space="0" w:color="auto"/>
        <w:bottom w:val="none" w:sz="0" w:space="0" w:color="auto"/>
        <w:right w:val="none" w:sz="0" w:space="0" w:color="auto"/>
      </w:divBdr>
    </w:div>
    <w:div w:id="1240946073">
      <w:bodyDiv w:val="1"/>
      <w:marLeft w:val="0"/>
      <w:marRight w:val="0"/>
      <w:marTop w:val="0"/>
      <w:marBottom w:val="0"/>
      <w:divBdr>
        <w:top w:val="none" w:sz="0" w:space="0" w:color="auto"/>
        <w:left w:val="none" w:sz="0" w:space="0" w:color="auto"/>
        <w:bottom w:val="none" w:sz="0" w:space="0" w:color="auto"/>
        <w:right w:val="none" w:sz="0" w:space="0" w:color="auto"/>
      </w:divBdr>
    </w:div>
    <w:div w:id="1244335243">
      <w:bodyDiv w:val="1"/>
      <w:marLeft w:val="0"/>
      <w:marRight w:val="0"/>
      <w:marTop w:val="0"/>
      <w:marBottom w:val="0"/>
      <w:divBdr>
        <w:top w:val="none" w:sz="0" w:space="0" w:color="auto"/>
        <w:left w:val="none" w:sz="0" w:space="0" w:color="auto"/>
        <w:bottom w:val="none" w:sz="0" w:space="0" w:color="auto"/>
        <w:right w:val="none" w:sz="0" w:space="0" w:color="auto"/>
      </w:divBdr>
    </w:div>
    <w:div w:id="1246845860">
      <w:bodyDiv w:val="1"/>
      <w:marLeft w:val="0"/>
      <w:marRight w:val="0"/>
      <w:marTop w:val="0"/>
      <w:marBottom w:val="0"/>
      <w:divBdr>
        <w:top w:val="none" w:sz="0" w:space="0" w:color="auto"/>
        <w:left w:val="none" w:sz="0" w:space="0" w:color="auto"/>
        <w:bottom w:val="none" w:sz="0" w:space="0" w:color="auto"/>
        <w:right w:val="none" w:sz="0" w:space="0" w:color="auto"/>
      </w:divBdr>
      <w:divsChild>
        <w:div w:id="966469220">
          <w:marLeft w:val="0"/>
          <w:marRight w:val="0"/>
          <w:marTop w:val="0"/>
          <w:marBottom w:val="0"/>
          <w:divBdr>
            <w:top w:val="none" w:sz="0" w:space="0" w:color="auto"/>
            <w:left w:val="none" w:sz="0" w:space="0" w:color="auto"/>
            <w:bottom w:val="none" w:sz="0" w:space="0" w:color="auto"/>
            <w:right w:val="none" w:sz="0" w:space="0" w:color="auto"/>
          </w:divBdr>
        </w:div>
      </w:divsChild>
    </w:div>
    <w:div w:id="1258247488">
      <w:bodyDiv w:val="1"/>
      <w:marLeft w:val="0"/>
      <w:marRight w:val="0"/>
      <w:marTop w:val="0"/>
      <w:marBottom w:val="0"/>
      <w:divBdr>
        <w:top w:val="none" w:sz="0" w:space="0" w:color="auto"/>
        <w:left w:val="none" w:sz="0" w:space="0" w:color="auto"/>
        <w:bottom w:val="none" w:sz="0" w:space="0" w:color="auto"/>
        <w:right w:val="none" w:sz="0" w:space="0" w:color="auto"/>
      </w:divBdr>
    </w:div>
    <w:div w:id="1263537984">
      <w:bodyDiv w:val="1"/>
      <w:marLeft w:val="0"/>
      <w:marRight w:val="0"/>
      <w:marTop w:val="0"/>
      <w:marBottom w:val="0"/>
      <w:divBdr>
        <w:top w:val="none" w:sz="0" w:space="0" w:color="auto"/>
        <w:left w:val="none" w:sz="0" w:space="0" w:color="auto"/>
        <w:bottom w:val="none" w:sz="0" w:space="0" w:color="auto"/>
        <w:right w:val="none" w:sz="0" w:space="0" w:color="auto"/>
      </w:divBdr>
    </w:div>
    <w:div w:id="1270309255">
      <w:bodyDiv w:val="1"/>
      <w:marLeft w:val="0"/>
      <w:marRight w:val="0"/>
      <w:marTop w:val="0"/>
      <w:marBottom w:val="0"/>
      <w:divBdr>
        <w:top w:val="none" w:sz="0" w:space="0" w:color="auto"/>
        <w:left w:val="none" w:sz="0" w:space="0" w:color="auto"/>
        <w:bottom w:val="none" w:sz="0" w:space="0" w:color="auto"/>
        <w:right w:val="none" w:sz="0" w:space="0" w:color="auto"/>
      </w:divBdr>
    </w:div>
    <w:div w:id="1270966202">
      <w:bodyDiv w:val="1"/>
      <w:marLeft w:val="0"/>
      <w:marRight w:val="0"/>
      <w:marTop w:val="0"/>
      <w:marBottom w:val="0"/>
      <w:divBdr>
        <w:top w:val="none" w:sz="0" w:space="0" w:color="auto"/>
        <w:left w:val="none" w:sz="0" w:space="0" w:color="auto"/>
        <w:bottom w:val="none" w:sz="0" w:space="0" w:color="auto"/>
        <w:right w:val="none" w:sz="0" w:space="0" w:color="auto"/>
      </w:divBdr>
    </w:div>
    <w:div w:id="1288395347">
      <w:bodyDiv w:val="1"/>
      <w:marLeft w:val="0"/>
      <w:marRight w:val="0"/>
      <w:marTop w:val="0"/>
      <w:marBottom w:val="0"/>
      <w:divBdr>
        <w:top w:val="none" w:sz="0" w:space="0" w:color="auto"/>
        <w:left w:val="none" w:sz="0" w:space="0" w:color="auto"/>
        <w:bottom w:val="none" w:sz="0" w:space="0" w:color="auto"/>
        <w:right w:val="none" w:sz="0" w:space="0" w:color="auto"/>
      </w:divBdr>
    </w:div>
    <w:div w:id="1289043743">
      <w:bodyDiv w:val="1"/>
      <w:marLeft w:val="0"/>
      <w:marRight w:val="0"/>
      <w:marTop w:val="0"/>
      <w:marBottom w:val="0"/>
      <w:divBdr>
        <w:top w:val="none" w:sz="0" w:space="0" w:color="auto"/>
        <w:left w:val="none" w:sz="0" w:space="0" w:color="auto"/>
        <w:bottom w:val="none" w:sz="0" w:space="0" w:color="auto"/>
        <w:right w:val="none" w:sz="0" w:space="0" w:color="auto"/>
      </w:divBdr>
    </w:div>
    <w:div w:id="1292517584">
      <w:bodyDiv w:val="1"/>
      <w:marLeft w:val="0"/>
      <w:marRight w:val="0"/>
      <w:marTop w:val="0"/>
      <w:marBottom w:val="0"/>
      <w:divBdr>
        <w:top w:val="none" w:sz="0" w:space="0" w:color="auto"/>
        <w:left w:val="none" w:sz="0" w:space="0" w:color="auto"/>
        <w:bottom w:val="none" w:sz="0" w:space="0" w:color="auto"/>
        <w:right w:val="none" w:sz="0" w:space="0" w:color="auto"/>
      </w:divBdr>
    </w:div>
    <w:div w:id="1295602482">
      <w:bodyDiv w:val="1"/>
      <w:marLeft w:val="0"/>
      <w:marRight w:val="0"/>
      <w:marTop w:val="0"/>
      <w:marBottom w:val="0"/>
      <w:divBdr>
        <w:top w:val="none" w:sz="0" w:space="0" w:color="auto"/>
        <w:left w:val="none" w:sz="0" w:space="0" w:color="auto"/>
        <w:bottom w:val="none" w:sz="0" w:space="0" w:color="auto"/>
        <w:right w:val="none" w:sz="0" w:space="0" w:color="auto"/>
      </w:divBdr>
    </w:div>
    <w:div w:id="1301957967">
      <w:bodyDiv w:val="1"/>
      <w:marLeft w:val="0"/>
      <w:marRight w:val="0"/>
      <w:marTop w:val="0"/>
      <w:marBottom w:val="0"/>
      <w:divBdr>
        <w:top w:val="none" w:sz="0" w:space="0" w:color="auto"/>
        <w:left w:val="none" w:sz="0" w:space="0" w:color="auto"/>
        <w:bottom w:val="none" w:sz="0" w:space="0" w:color="auto"/>
        <w:right w:val="none" w:sz="0" w:space="0" w:color="auto"/>
      </w:divBdr>
    </w:div>
    <w:div w:id="1304194382">
      <w:bodyDiv w:val="1"/>
      <w:marLeft w:val="0"/>
      <w:marRight w:val="0"/>
      <w:marTop w:val="0"/>
      <w:marBottom w:val="0"/>
      <w:divBdr>
        <w:top w:val="none" w:sz="0" w:space="0" w:color="auto"/>
        <w:left w:val="none" w:sz="0" w:space="0" w:color="auto"/>
        <w:bottom w:val="none" w:sz="0" w:space="0" w:color="auto"/>
        <w:right w:val="none" w:sz="0" w:space="0" w:color="auto"/>
      </w:divBdr>
    </w:div>
    <w:div w:id="1312515423">
      <w:bodyDiv w:val="1"/>
      <w:marLeft w:val="0"/>
      <w:marRight w:val="0"/>
      <w:marTop w:val="0"/>
      <w:marBottom w:val="0"/>
      <w:divBdr>
        <w:top w:val="none" w:sz="0" w:space="0" w:color="auto"/>
        <w:left w:val="none" w:sz="0" w:space="0" w:color="auto"/>
        <w:bottom w:val="none" w:sz="0" w:space="0" w:color="auto"/>
        <w:right w:val="none" w:sz="0" w:space="0" w:color="auto"/>
      </w:divBdr>
    </w:div>
    <w:div w:id="1316453043">
      <w:bodyDiv w:val="1"/>
      <w:marLeft w:val="0"/>
      <w:marRight w:val="0"/>
      <w:marTop w:val="0"/>
      <w:marBottom w:val="0"/>
      <w:divBdr>
        <w:top w:val="none" w:sz="0" w:space="0" w:color="auto"/>
        <w:left w:val="none" w:sz="0" w:space="0" w:color="auto"/>
        <w:bottom w:val="none" w:sz="0" w:space="0" w:color="auto"/>
        <w:right w:val="none" w:sz="0" w:space="0" w:color="auto"/>
      </w:divBdr>
    </w:div>
    <w:div w:id="1319186403">
      <w:bodyDiv w:val="1"/>
      <w:marLeft w:val="0"/>
      <w:marRight w:val="0"/>
      <w:marTop w:val="0"/>
      <w:marBottom w:val="0"/>
      <w:divBdr>
        <w:top w:val="none" w:sz="0" w:space="0" w:color="auto"/>
        <w:left w:val="none" w:sz="0" w:space="0" w:color="auto"/>
        <w:bottom w:val="none" w:sz="0" w:space="0" w:color="auto"/>
        <w:right w:val="none" w:sz="0" w:space="0" w:color="auto"/>
      </w:divBdr>
    </w:div>
    <w:div w:id="1320841219">
      <w:bodyDiv w:val="1"/>
      <w:marLeft w:val="0"/>
      <w:marRight w:val="0"/>
      <w:marTop w:val="0"/>
      <w:marBottom w:val="0"/>
      <w:divBdr>
        <w:top w:val="none" w:sz="0" w:space="0" w:color="auto"/>
        <w:left w:val="none" w:sz="0" w:space="0" w:color="auto"/>
        <w:bottom w:val="none" w:sz="0" w:space="0" w:color="auto"/>
        <w:right w:val="none" w:sz="0" w:space="0" w:color="auto"/>
      </w:divBdr>
    </w:div>
    <w:div w:id="1333332212">
      <w:bodyDiv w:val="1"/>
      <w:marLeft w:val="0"/>
      <w:marRight w:val="0"/>
      <w:marTop w:val="0"/>
      <w:marBottom w:val="0"/>
      <w:divBdr>
        <w:top w:val="none" w:sz="0" w:space="0" w:color="auto"/>
        <w:left w:val="none" w:sz="0" w:space="0" w:color="auto"/>
        <w:bottom w:val="none" w:sz="0" w:space="0" w:color="auto"/>
        <w:right w:val="none" w:sz="0" w:space="0" w:color="auto"/>
      </w:divBdr>
    </w:div>
    <w:div w:id="1342974183">
      <w:bodyDiv w:val="1"/>
      <w:marLeft w:val="0"/>
      <w:marRight w:val="0"/>
      <w:marTop w:val="0"/>
      <w:marBottom w:val="0"/>
      <w:divBdr>
        <w:top w:val="none" w:sz="0" w:space="0" w:color="auto"/>
        <w:left w:val="none" w:sz="0" w:space="0" w:color="auto"/>
        <w:bottom w:val="none" w:sz="0" w:space="0" w:color="auto"/>
        <w:right w:val="none" w:sz="0" w:space="0" w:color="auto"/>
      </w:divBdr>
    </w:div>
    <w:div w:id="1350789336">
      <w:bodyDiv w:val="1"/>
      <w:marLeft w:val="0"/>
      <w:marRight w:val="0"/>
      <w:marTop w:val="0"/>
      <w:marBottom w:val="0"/>
      <w:divBdr>
        <w:top w:val="none" w:sz="0" w:space="0" w:color="auto"/>
        <w:left w:val="none" w:sz="0" w:space="0" w:color="auto"/>
        <w:bottom w:val="none" w:sz="0" w:space="0" w:color="auto"/>
        <w:right w:val="none" w:sz="0" w:space="0" w:color="auto"/>
      </w:divBdr>
    </w:div>
    <w:div w:id="1352144286">
      <w:bodyDiv w:val="1"/>
      <w:marLeft w:val="0"/>
      <w:marRight w:val="0"/>
      <w:marTop w:val="0"/>
      <w:marBottom w:val="0"/>
      <w:divBdr>
        <w:top w:val="none" w:sz="0" w:space="0" w:color="auto"/>
        <w:left w:val="none" w:sz="0" w:space="0" w:color="auto"/>
        <w:bottom w:val="none" w:sz="0" w:space="0" w:color="auto"/>
        <w:right w:val="none" w:sz="0" w:space="0" w:color="auto"/>
      </w:divBdr>
    </w:div>
    <w:div w:id="1353803847">
      <w:bodyDiv w:val="1"/>
      <w:marLeft w:val="0"/>
      <w:marRight w:val="0"/>
      <w:marTop w:val="0"/>
      <w:marBottom w:val="0"/>
      <w:divBdr>
        <w:top w:val="none" w:sz="0" w:space="0" w:color="auto"/>
        <w:left w:val="none" w:sz="0" w:space="0" w:color="auto"/>
        <w:bottom w:val="none" w:sz="0" w:space="0" w:color="auto"/>
        <w:right w:val="none" w:sz="0" w:space="0" w:color="auto"/>
      </w:divBdr>
    </w:div>
    <w:div w:id="1356081179">
      <w:bodyDiv w:val="1"/>
      <w:marLeft w:val="0"/>
      <w:marRight w:val="0"/>
      <w:marTop w:val="0"/>
      <w:marBottom w:val="0"/>
      <w:divBdr>
        <w:top w:val="none" w:sz="0" w:space="0" w:color="auto"/>
        <w:left w:val="none" w:sz="0" w:space="0" w:color="auto"/>
        <w:bottom w:val="none" w:sz="0" w:space="0" w:color="auto"/>
        <w:right w:val="none" w:sz="0" w:space="0" w:color="auto"/>
      </w:divBdr>
    </w:div>
    <w:div w:id="1366830014">
      <w:bodyDiv w:val="1"/>
      <w:marLeft w:val="0"/>
      <w:marRight w:val="0"/>
      <w:marTop w:val="0"/>
      <w:marBottom w:val="0"/>
      <w:divBdr>
        <w:top w:val="none" w:sz="0" w:space="0" w:color="auto"/>
        <w:left w:val="none" w:sz="0" w:space="0" w:color="auto"/>
        <w:bottom w:val="none" w:sz="0" w:space="0" w:color="auto"/>
        <w:right w:val="none" w:sz="0" w:space="0" w:color="auto"/>
      </w:divBdr>
    </w:div>
    <w:div w:id="1368407006">
      <w:bodyDiv w:val="1"/>
      <w:marLeft w:val="0"/>
      <w:marRight w:val="0"/>
      <w:marTop w:val="0"/>
      <w:marBottom w:val="0"/>
      <w:divBdr>
        <w:top w:val="none" w:sz="0" w:space="0" w:color="auto"/>
        <w:left w:val="none" w:sz="0" w:space="0" w:color="auto"/>
        <w:bottom w:val="none" w:sz="0" w:space="0" w:color="auto"/>
        <w:right w:val="none" w:sz="0" w:space="0" w:color="auto"/>
      </w:divBdr>
    </w:div>
    <w:div w:id="1377700879">
      <w:bodyDiv w:val="1"/>
      <w:marLeft w:val="0"/>
      <w:marRight w:val="0"/>
      <w:marTop w:val="0"/>
      <w:marBottom w:val="0"/>
      <w:divBdr>
        <w:top w:val="none" w:sz="0" w:space="0" w:color="auto"/>
        <w:left w:val="none" w:sz="0" w:space="0" w:color="auto"/>
        <w:bottom w:val="none" w:sz="0" w:space="0" w:color="auto"/>
        <w:right w:val="none" w:sz="0" w:space="0" w:color="auto"/>
      </w:divBdr>
    </w:div>
    <w:div w:id="1388412784">
      <w:bodyDiv w:val="1"/>
      <w:marLeft w:val="0"/>
      <w:marRight w:val="0"/>
      <w:marTop w:val="0"/>
      <w:marBottom w:val="0"/>
      <w:divBdr>
        <w:top w:val="none" w:sz="0" w:space="0" w:color="auto"/>
        <w:left w:val="none" w:sz="0" w:space="0" w:color="auto"/>
        <w:bottom w:val="none" w:sz="0" w:space="0" w:color="auto"/>
        <w:right w:val="none" w:sz="0" w:space="0" w:color="auto"/>
      </w:divBdr>
    </w:div>
    <w:div w:id="1388720360">
      <w:bodyDiv w:val="1"/>
      <w:marLeft w:val="0"/>
      <w:marRight w:val="0"/>
      <w:marTop w:val="0"/>
      <w:marBottom w:val="0"/>
      <w:divBdr>
        <w:top w:val="none" w:sz="0" w:space="0" w:color="auto"/>
        <w:left w:val="none" w:sz="0" w:space="0" w:color="auto"/>
        <w:bottom w:val="none" w:sz="0" w:space="0" w:color="auto"/>
        <w:right w:val="none" w:sz="0" w:space="0" w:color="auto"/>
      </w:divBdr>
    </w:div>
    <w:div w:id="1389374420">
      <w:bodyDiv w:val="1"/>
      <w:marLeft w:val="0"/>
      <w:marRight w:val="0"/>
      <w:marTop w:val="0"/>
      <w:marBottom w:val="0"/>
      <w:divBdr>
        <w:top w:val="none" w:sz="0" w:space="0" w:color="auto"/>
        <w:left w:val="none" w:sz="0" w:space="0" w:color="auto"/>
        <w:bottom w:val="none" w:sz="0" w:space="0" w:color="auto"/>
        <w:right w:val="none" w:sz="0" w:space="0" w:color="auto"/>
      </w:divBdr>
    </w:div>
    <w:div w:id="1396509166">
      <w:bodyDiv w:val="1"/>
      <w:marLeft w:val="0"/>
      <w:marRight w:val="0"/>
      <w:marTop w:val="0"/>
      <w:marBottom w:val="0"/>
      <w:divBdr>
        <w:top w:val="none" w:sz="0" w:space="0" w:color="auto"/>
        <w:left w:val="none" w:sz="0" w:space="0" w:color="auto"/>
        <w:bottom w:val="none" w:sz="0" w:space="0" w:color="auto"/>
        <w:right w:val="none" w:sz="0" w:space="0" w:color="auto"/>
      </w:divBdr>
    </w:div>
    <w:div w:id="1404372372">
      <w:bodyDiv w:val="1"/>
      <w:marLeft w:val="0"/>
      <w:marRight w:val="0"/>
      <w:marTop w:val="0"/>
      <w:marBottom w:val="0"/>
      <w:divBdr>
        <w:top w:val="none" w:sz="0" w:space="0" w:color="auto"/>
        <w:left w:val="none" w:sz="0" w:space="0" w:color="auto"/>
        <w:bottom w:val="none" w:sz="0" w:space="0" w:color="auto"/>
        <w:right w:val="none" w:sz="0" w:space="0" w:color="auto"/>
      </w:divBdr>
    </w:div>
    <w:div w:id="1405682170">
      <w:bodyDiv w:val="1"/>
      <w:marLeft w:val="0"/>
      <w:marRight w:val="0"/>
      <w:marTop w:val="0"/>
      <w:marBottom w:val="0"/>
      <w:divBdr>
        <w:top w:val="none" w:sz="0" w:space="0" w:color="auto"/>
        <w:left w:val="none" w:sz="0" w:space="0" w:color="auto"/>
        <w:bottom w:val="none" w:sz="0" w:space="0" w:color="auto"/>
        <w:right w:val="none" w:sz="0" w:space="0" w:color="auto"/>
      </w:divBdr>
    </w:div>
    <w:div w:id="1414007115">
      <w:bodyDiv w:val="1"/>
      <w:marLeft w:val="0"/>
      <w:marRight w:val="0"/>
      <w:marTop w:val="0"/>
      <w:marBottom w:val="0"/>
      <w:divBdr>
        <w:top w:val="none" w:sz="0" w:space="0" w:color="auto"/>
        <w:left w:val="none" w:sz="0" w:space="0" w:color="auto"/>
        <w:bottom w:val="none" w:sz="0" w:space="0" w:color="auto"/>
        <w:right w:val="none" w:sz="0" w:space="0" w:color="auto"/>
      </w:divBdr>
    </w:div>
    <w:div w:id="1425229264">
      <w:bodyDiv w:val="1"/>
      <w:marLeft w:val="0"/>
      <w:marRight w:val="0"/>
      <w:marTop w:val="0"/>
      <w:marBottom w:val="0"/>
      <w:divBdr>
        <w:top w:val="none" w:sz="0" w:space="0" w:color="auto"/>
        <w:left w:val="none" w:sz="0" w:space="0" w:color="auto"/>
        <w:bottom w:val="none" w:sz="0" w:space="0" w:color="auto"/>
        <w:right w:val="none" w:sz="0" w:space="0" w:color="auto"/>
      </w:divBdr>
    </w:div>
    <w:div w:id="1437795403">
      <w:bodyDiv w:val="1"/>
      <w:marLeft w:val="0"/>
      <w:marRight w:val="0"/>
      <w:marTop w:val="0"/>
      <w:marBottom w:val="0"/>
      <w:divBdr>
        <w:top w:val="none" w:sz="0" w:space="0" w:color="auto"/>
        <w:left w:val="none" w:sz="0" w:space="0" w:color="auto"/>
        <w:bottom w:val="none" w:sz="0" w:space="0" w:color="auto"/>
        <w:right w:val="none" w:sz="0" w:space="0" w:color="auto"/>
      </w:divBdr>
    </w:div>
    <w:div w:id="1453865137">
      <w:bodyDiv w:val="1"/>
      <w:marLeft w:val="0"/>
      <w:marRight w:val="0"/>
      <w:marTop w:val="0"/>
      <w:marBottom w:val="0"/>
      <w:divBdr>
        <w:top w:val="none" w:sz="0" w:space="0" w:color="auto"/>
        <w:left w:val="none" w:sz="0" w:space="0" w:color="auto"/>
        <w:bottom w:val="none" w:sz="0" w:space="0" w:color="auto"/>
        <w:right w:val="none" w:sz="0" w:space="0" w:color="auto"/>
      </w:divBdr>
      <w:divsChild>
        <w:div w:id="1342053025">
          <w:marLeft w:val="0"/>
          <w:marRight w:val="0"/>
          <w:marTop w:val="0"/>
          <w:marBottom w:val="0"/>
          <w:divBdr>
            <w:top w:val="none" w:sz="0" w:space="0" w:color="auto"/>
            <w:left w:val="none" w:sz="0" w:space="0" w:color="auto"/>
            <w:bottom w:val="none" w:sz="0" w:space="0" w:color="auto"/>
            <w:right w:val="none" w:sz="0" w:space="0" w:color="auto"/>
          </w:divBdr>
        </w:div>
      </w:divsChild>
    </w:div>
    <w:div w:id="1457337320">
      <w:bodyDiv w:val="1"/>
      <w:marLeft w:val="0"/>
      <w:marRight w:val="0"/>
      <w:marTop w:val="0"/>
      <w:marBottom w:val="0"/>
      <w:divBdr>
        <w:top w:val="none" w:sz="0" w:space="0" w:color="auto"/>
        <w:left w:val="none" w:sz="0" w:space="0" w:color="auto"/>
        <w:bottom w:val="none" w:sz="0" w:space="0" w:color="auto"/>
        <w:right w:val="none" w:sz="0" w:space="0" w:color="auto"/>
      </w:divBdr>
    </w:div>
    <w:div w:id="1460799444">
      <w:bodyDiv w:val="1"/>
      <w:marLeft w:val="0"/>
      <w:marRight w:val="0"/>
      <w:marTop w:val="0"/>
      <w:marBottom w:val="0"/>
      <w:divBdr>
        <w:top w:val="none" w:sz="0" w:space="0" w:color="auto"/>
        <w:left w:val="none" w:sz="0" w:space="0" w:color="auto"/>
        <w:bottom w:val="none" w:sz="0" w:space="0" w:color="auto"/>
        <w:right w:val="none" w:sz="0" w:space="0" w:color="auto"/>
      </w:divBdr>
    </w:div>
    <w:div w:id="1468745237">
      <w:bodyDiv w:val="1"/>
      <w:marLeft w:val="0"/>
      <w:marRight w:val="0"/>
      <w:marTop w:val="0"/>
      <w:marBottom w:val="0"/>
      <w:divBdr>
        <w:top w:val="none" w:sz="0" w:space="0" w:color="auto"/>
        <w:left w:val="none" w:sz="0" w:space="0" w:color="auto"/>
        <w:bottom w:val="none" w:sz="0" w:space="0" w:color="auto"/>
        <w:right w:val="none" w:sz="0" w:space="0" w:color="auto"/>
      </w:divBdr>
    </w:div>
    <w:div w:id="1476684450">
      <w:bodyDiv w:val="1"/>
      <w:marLeft w:val="0"/>
      <w:marRight w:val="0"/>
      <w:marTop w:val="0"/>
      <w:marBottom w:val="0"/>
      <w:divBdr>
        <w:top w:val="none" w:sz="0" w:space="0" w:color="auto"/>
        <w:left w:val="none" w:sz="0" w:space="0" w:color="auto"/>
        <w:bottom w:val="none" w:sz="0" w:space="0" w:color="auto"/>
        <w:right w:val="none" w:sz="0" w:space="0" w:color="auto"/>
      </w:divBdr>
    </w:div>
    <w:div w:id="1485006529">
      <w:bodyDiv w:val="1"/>
      <w:marLeft w:val="0"/>
      <w:marRight w:val="0"/>
      <w:marTop w:val="0"/>
      <w:marBottom w:val="0"/>
      <w:divBdr>
        <w:top w:val="none" w:sz="0" w:space="0" w:color="auto"/>
        <w:left w:val="none" w:sz="0" w:space="0" w:color="auto"/>
        <w:bottom w:val="none" w:sz="0" w:space="0" w:color="auto"/>
        <w:right w:val="none" w:sz="0" w:space="0" w:color="auto"/>
      </w:divBdr>
    </w:div>
    <w:div w:id="1495685698">
      <w:bodyDiv w:val="1"/>
      <w:marLeft w:val="0"/>
      <w:marRight w:val="0"/>
      <w:marTop w:val="0"/>
      <w:marBottom w:val="0"/>
      <w:divBdr>
        <w:top w:val="none" w:sz="0" w:space="0" w:color="auto"/>
        <w:left w:val="none" w:sz="0" w:space="0" w:color="auto"/>
        <w:bottom w:val="none" w:sz="0" w:space="0" w:color="auto"/>
        <w:right w:val="none" w:sz="0" w:space="0" w:color="auto"/>
      </w:divBdr>
    </w:div>
    <w:div w:id="1496455082">
      <w:bodyDiv w:val="1"/>
      <w:marLeft w:val="0"/>
      <w:marRight w:val="0"/>
      <w:marTop w:val="0"/>
      <w:marBottom w:val="0"/>
      <w:divBdr>
        <w:top w:val="none" w:sz="0" w:space="0" w:color="auto"/>
        <w:left w:val="none" w:sz="0" w:space="0" w:color="auto"/>
        <w:bottom w:val="none" w:sz="0" w:space="0" w:color="auto"/>
        <w:right w:val="none" w:sz="0" w:space="0" w:color="auto"/>
      </w:divBdr>
    </w:div>
    <w:div w:id="1498811199">
      <w:bodyDiv w:val="1"/>
      <w:marLeft w:val="0"/>
      <w:marRight w:val="0"/>
      <w:marTop w:val="0"/>
      <w:marBottom w:val="0"/>
      <w:divBdr>
        <w:top w:val="none" w:sz="0" w:space="0" w:color="auto"/>
        <w:left w:val="none" w:sz="0" w:space="0" w:color="auto"/>
        <w:bottom w:val="none" w:sz="0" w:space="0" w:color="auto"/>
        <w:right w:val="none" w:sz="0" w:space="0" w:color="auto"/>
      </w:divBdr>
    </w:div>
    <w:div w:id="1500003492">
      <w:bodyDiv w:val="1"/>
      <w:marLeft w:val="0"/>
      <w:marRight w:val="0"/>
      <w:marTop w:val="0"/>
      <w:marBottom w:val="0"/>
      <w:divBdr>
        <w:top w:val="none" w:sz="0" w:space="0" w:color="auto"/>
        <w:left w:val="none" w:sz="0" w:space="0" w:color="auto"/>
        <w:bottom w:val="none" w:sz="0" w:space="0" w:color="auto"/>
        <w:right w:val="none" w:sz="0" w:space="0" w:color="auto"/>
      </w:divBdr>
    </w:div>
    <w:div w:id="1502236733">
      <w:bodyDiv w:val="1"/>
      <w:marLeft w:val="0"/>
      <w:marRight w:val="0"/>
      <w:marTop w:val="0"/>
      <w:marBottom w:val="0"/>
      <w:divBdr>
        <w:top w:val="none" w:sz="0" w:space="0" w:color="auto"/>
        <w:left w:val="none" w:sz="0" w:space="0" w:color="auto"/>
        <w:bottom w:val="none" w:sz="0" w:space="0" w:color="auto"/>
        <w:right w:val="none" w:sz="0" w:space="0" w:color="auto"/>
      </w:divBdr>
    </w:div>
    <w:div w:id="1504583983">
      <w:bodyDiv w:val="1"/>
      <w:marLeft w:val="0"/>
      <w:marRight w:val="0"/>
      <w:marTop w:val="0"/>
      <w:marBottom w:val="0"/>
      <w:divBdr>
        <w:top w:val="none" w:sz="0" w:space="0" w:color="auto"/>
        <w:left w:val="none" w:sz="0" w:space="0" w:color="auto"/>
        <w:bottom w:val="none" w:sz="0" w:space="0" w:color="auto"/>
        <w:right w:val="none" w:sz="0" w:space="0" w:color="auto"/>
      </w:divBdr>
    </w:div>
    <w:div w:id="1507094397">
      <w:bodyDiv w:val="1"/>
      <w:marLeft w:val="0"/>
      <w:marRight w:val="0"/>
      <w:marTop w:val="0"/>
      <w:marBottom w:val="0"/>
      <w:divBdr>
        <w:top w:val="none" w:sz="0" w:space="0" w:color="auto"/>
        <w:left w:val="none" w:sz="0" w:space="0" w:color="auto"/>
        <w:bottom w:val="none" w:sz="0" w:space="0" w:color="auto"/>
        <w:right w:val="none" w:sz="0" w:space="0" w:color="auto"/>
      </w:divBdr>
    </w:div>
    <w:div w:id="1517960204">
      <w:bodyDiv w:val="1"/>
      <w:marLeft w:val="0"/>
      <w:marRight w:val="0"/>
      <w:marTop w:val="0"/>
      <w:marBottom w:val="0"/>
      <w:divBdr>
        <w:top w:val="none" w:sz="0" w:space="0" w:color="auto"/>
        <w:left w:val="none" w:sz="0" w:space="0" w:color="auto"/>
        <w:bottom w:val="none" w:sz="0" w:space="0" w:color="auto"/>
        <w:right w:val="none" w:sz="0" w:space="0" w:color="auto"/>
      </w:divBdr>
    </w:div>
    <w:div w:id="1525316051">
      <w:bodyDiv w:val="1"/>
      <w:marLeft w:val="0"/>
      <w:marRight w:val="0"/>
      <w:marTop w:val="0"/>
      <w:marBottom w:val="0"/>
      <w:divBdr>
        <w:top w:val="none" w:sz="0" w:space="0" w:color="auto"/>
        <w:left w:val="none" w:sz="0" w:space="0" w:color="auto"/>
        <w:bottom w:val="none" w:sz="0" w:space="0" w:color="auto"/>
        <w:right w:val="none" w:sz="0" w:space="0" w:color="auto"/>
      </w:divBdr>
    </w:div>
    <w:div w:id="1527135492">
      <w:bodyDiv w:val="1"/>
      <w:marLeft w:val="0"/>
      <w:marRight w:val="0"/>
      <w:marTop w:val="0"/>
      <w:marBottom w:val="0"/>
      <w:divBdr>
        <w:top w:val="none" w:sz="0" w:space="0" w:color="auto"/>
        <w:left w:val="none" w:sz="0" w:space="0" w:color="auto"/>
        <w:bottom w:val="none" w:sz="0" w:space="0" w:color="auto"/>
        <w:right w:val="none" w:sz="0" w:space="0" w:color="auto"/>
      </w:divBdr>
    </w:div>
    <w:div w:id="1539850139">
      <w:bodyDiv w:val="1"/>
      <w:marLeft w:val="0"/>
      <w:marRight w:val="0"/>
      <w:marTop w:val="0"/>
      <w:marBottom w:val="0"/>
      <w:divBdr>
        <w:top w:val="none" w:sz="0" w:space="0" w:color="auto"/>
        <w:left w:val="none" w:sz="0" w:space="0" w:color="auto"/>
        <w:bottom w:val="none" w:sz="0" w:space="0" w:color="auto"/>
        <w:right w:val="none" w:sz="0" w:space="0" w:color="auto"/>
      </w:divBdr>
    </w:div>
    <w:div w:id="1540050565">
      <w:bodyDiv w:val="1"/>
      <w:marLeft w:val="0"/>
      <w:marRight w:val="0"/>
      <w:marTop w:val="0"/>
      <w:marBottom w:val="0"/>
      <w:divBdr>
        <w:top w:val="none" w:sz="0" w:space="0" w:color="auto"/>
        <w:left w:val="none" w:sz="0" w:space="0" w:color="auto"/>
        <w:bottom w:val="none" w:sz="0" w:space="0" w:color="auto"/>
        <w:right w:val="none" w:sz="0" w:space="0" w:color="auto"/>
      </w:divBdr>
    </w:div>
    <w:div w:id="1543320899">
      <w:bodyDiv w:val="1"/>
      <w:marLeft w:val="0"/>
      <w:marRight w:val="0"/>
      <w:marTop w:val="0"/>
      <w:marBottom w:val="0"/>
      <w:divBdr>
        <w:top w:val="none" w:sz="0" w:space="0" w:color="auto"/>
        <w:left w:val="none" w:sz="0" w:space="0" w:color="auto"/>
        <w:bottom w:val="none" w:sz="0" w:space="0" w:color="auto"/>
        <w:right w:val="none" w:sz="0" w:space="0" w:color="auto"/>
      </w:divBdr>
    </w:div>
    <w:div w:id="1550916602">
      <w:bodyDiv w:val="1"/>
      <w:marLeft w:val="0"/>
      <w:marRight w:val="0"/>
      <w:marTop w:val="0"/>
      <w:marBottom w:val="0"/>
      <w:divBdr>
        <w:top w:val="none" w:sz="0" w:space="0" w:color="auto"/>
        <w:left w:val="none" w:sz="0" w:space="0" w:color="auto"/>
        <w:bottom w:val="none" w:sz="0" w:space="0" w:color="auto"/>
        <w:right w:val="none" w:sz="0" w:space="0" w:color="auto"/>
      </w:divBdr>
    </w:div>
    <w:div w:id="1553077911">
      <w:bodyDiv w:val="1"/>
      <w:marLeft w:val="0"/>
      <w:marRight w:val="0"/>
      <w:marTop w:val="0"/>
      <w:marBottom w:val="0"/>
      <w:divBdr>
        <w:top w:val="none" w:sz="0" w:space="0" w:color="auto"/>
        <w:left w:val="none" w:sz="0" w:space="0" w:color="auto"/>
        <w:bottom w:val="none" w:sz="0" w:space="0" w:color="auto"/>
        <w:right w:val="none" w:sz="0" w:space="0" w:color="auto"/>
      </w:divBdr>
      <w:divsChild>
        <w:div w:id="1124692589">
          <w:marLeft w:val="0"/>
          <w:marRight w:val="0"/>
          <w:marTop w:val="300"/>
          <w:marBottom w:val="300"/>
          <w:divBdr>
            <w:top w:val="none" w:sz="0" w:space="0" w:color="auto"/>
            <w:left w:val="none" w:sz="0" w:space="0" w:color="auto"/>
            <w:bottom w:val="none" w:sz="0" w:space="0" w:color="auto"/>
            <w:right w:val="none" w:sz="0" w:space="0" w:color="auto"/>
          </w:divBdr>
        </w:div>
      </w:divsChild>
    </w:div>
    <w:div w:id="1558320535">
      <w:bodyDiv w:val="1"/>
      <w:marLeft w:val="0"/>
      <w:marRight w:val="0"/>
      <w:marTop w:val="0"/>
      <w:marBottom w:val="0"/>
      <w:divBdr>
        <w:top w:val="none" w:sz="0" w:space="0" w:color="auto"/>
        <w:left w:val="none" w:sz="0" w:space="0" w:color="auto"/>
        <w:bottom w:val="none" w:sz="0" w:space="0" w:color="auto"/>
        <w:right w:val="none" w:sz="0" w:space="0" w:color="auto"/>
      </w:divBdr>
    </w:div>
    <w:div w:id="1570532644">
      <w:bodyDiv w:val="1"/>
      <w:marLeft w:val="0"/>
      <w:marRight w:val="0"/>
      <w:marTop w:val="0"/>
      <w:marBottom w:val="0"/>
      <w:divBdr>
        <w:top w:val="none" w:sz="0" w:space="0" w:color="auto"/>
        <w:left w:val="none" w:sz="0" w:space="0" w:color="auto"/>
        <w:bottom w:val="none" w:sz="0" w:space="0" w:color="auto"/>
        <w:right w:val="none" w:sz="0" w:space="0" w:color="auto"/>
      </w:divBdr>
    </w:div>
    <w:div w:id="1573348055">
      <w:bodyDiv w:val="1"/>
      <w:marLeft w:val="0"/>
      <w:marRight w:val="0"/>
      <w:marTop w:val="0"/>
      <w:marBottom w:val="0"/>
      <w:divBdr>
        <w:top w:val="none" w:sz="0" w:space="0" w:color="auto"/>
        <w:left w:val="none" w:sz="0" w:space="0" w:color="auto"/>
        <w:bottom w:val="none" w:sz="0" w:space="0" w:color="auto"/>
        <w:right w:val="none" w:sz="0" w:space="0" w:color="auto"/>
      </w:divBdr>
    </w:div>
    <w:div w:id="1574663045">
      <w:bodyDiv w:val="1"/>
      <w:marLeft w:val="0"/>
      <w:marRight w:val="0"/>
      <w:marTop w:val="0"/>
      <w:marBottom w:val="0"/>
      <w:divBdr>
        <w:top w:val="none" w:sz="0" w:space="0" w:color="auto"/>
        <w:left w:val="none" w:sz="0" w:space="0" w:color="auto"/>
        <w:bottom w:val="none" w:sz="0" w:space="0" w:color="auto"/>
        <w:right w:val="none" w:sz="0" w:space="0" w:color="auto"/>
      </w:divBdr>
    </w:div>
    <w:div w:id="1591234853">
      <w:bodyDiv w:val="1"/>
      <w:marLeft w:val="0"/>
      <w:marRight w:val="0"/>
      <w:marTop w:val="0"/>
      <w:marBottom w:val="0"/>
      <w:divBdr>
        <w:top w:val="none" w:sz="0" w:space="0" w:color="auto"/>
        <w:left w:val="none" w:sz="0" w:space="0" w:color="auto"/>
        <w:bottom w:val="none" w:sz="0" w:space="0" w:color="auto"/>
        <w:right w:val="none" w:sz="0" w:space="0" w:color="auto"/>
      </w:divBdr>
    </w:div>
    <w:div w:id="1597516952">
      <w:bodyDiv w:val="1"/>
      <w:marLeft w:val="0"/>
      <w:marRight w:val="0"/>
      <w:marTop w:val="0"/>
      <w:marBottom w:val="0"/>
      <w:divBdr>
        <w:top w:val="none" w:sz="0" w:space="0" w:color="auto"/>
        <w:left w:val="none" w:sz="0" w:space="0" w:color="auto"/>
        <w:bottom w:val="none" w:sz="0" w:space="0" w:color="auto"/>
        <w:right w:val="none" w:sz="0" w:space="0" w:color="auto"/>
      </w:divBdr>
    </w:div>
    <w:div w:id="1605767799">
      <w:bodyDiv w:val="1"/>
      <w:marLeft w:val="0"/>
      <w:marRight w:val="0"/>
      <w:marTop w:val="0"/>
      <w:marBottom w:val="0"/>
      <w:divBdr>
        <w:top w:val="none" w:sz="0" w:space="0" w:color="auto"/>
        <w:left w:val="none" w:sz="0" w:space="0" w:color="auto"/>
        <w:bottom w:val="none" w:sz="0" w:space="0" w:color="auto"/>
        <w:right w:val="none" w:sz="0" w:space="0" w:color="auto"/>
      </w:divBdr>
    </w:div>
    <w:div w:id="1607880111">
      <w:bodyDiv w:val="1"/>
      <w:marLeft w:val="0"/>
      <w:marRight w:val="0"/>
      <w:marTop w:val="0"/>
      <w:marBottom w:val="0"/>
      <w:divBdr>
        <w:top w:val="none" w:sz="0" w:space="0" w:color="auto"/>
        <w:left w:val="none" w:sz="0" w:space="0" w:color="auto"/>
        <w:bottom w:val="none" w:sz="0" w:space="0" w:color="auto"/>
        <w:right w:val="none" w:sz="0" w:space="0" w:color="auto"/>
      </w:divBdr>
    </w:div>
    <w:div w:id="1627931123">
      <w:bodyDiv w:val="1"/>
      <w:marLeft w:val="0"/>
      <w:marRight w:val="0"/>
      <w:marTop w:val="0"/>
      <w:marBottom w:val="0"/>
      <w:divBdr>
        <w:top w:val="none" w:sz="0" w:space="0" w:color="auto"/>
        <w:left w:val="none" w:sz="0" w:space="0" w:color="auto"/>
        <w:bottom w:val="none" w:sz="0" w:space="0" w:color="auto"/>
        <w:right w:val="none" w:sz="0" w:space="0" w:color="auto"/>
      </w:divBdr>
    </w:div>
    <w:div w:id="1629702960">
      <w:bodyDiv w:val="1"/>
      <w:marLeft w:val="0"/>
      <w:marRight w:val="0"/>
      <w:marTop w:val="0"/>
      <w:marBottom w:val="0"/>
      <w:divBdr>
        <w:top w:val="none" w:sz="0" w:space="0" w:color="auto"/>
        <w:left w:val="none" w:sz="0" w:space="0" w:color="auto"/>
        <w:bottom w:val="none" w:sz="0" w:space="0" w:color="auto"/>
        <w:right w:val="none" w:sz="0" w:space="0" w:color="auto"/>
      </w:divBdr>
    </w:div>
    <w:div w:id="1631935438">
      <w:bodyDiv w:val="1"/>
      <w:marLeft w:val="0"/>
      <w:marRight w:val="0"/>
      <w:marTop w:val="0"/>
      <w:marBottom w:val="0"/>
      <w:divBdr>
        <w:top w:val="none" w:sz="0" w:space="0" w:color="auto"/>
        <w:left w:val="none" w:sz="0" w:space="0" w:color="auto"/>
        <w:bottom w:val="none" w:sz="0" w:space="0" w:color="auto"/>
        <w:right w:val="none" w:sz="0" w:space="0" w:color="auto"/>
      </w:divBdr>
    </w:div>
    <w:div w:id="1654025787">
      <w:bodyDiv w:val="1"/>
      <w:marLeft w:val="0"/>
      <w:marRight w:val="0"/>
      <w:marTop w:val="0"/>
      <w:marBottom w:val="0"/>
      <w:divBdr>
        <w:top w:val="none" w:sz="0" w:space="0" w:color="auto"/>
        <w:left w:val="none" w:sz="0" w:space="0" w:color="auto"/>
        <w:bottom w:val="none" w:sz="0" w:space="0" w:color="auto"/>
        <w:right w:val="none" w:sz="0" w:space="0" w:color="auto"/>
      </w:divBdr>
    </w:div>
    <w:div w:id="1658998259">
      <w:bodyDiv w:val="1"/>
      <w:marLeft w:val="0"/>
      <w:marRight w:val="0"/>
      <w:marTop w:val="0"/>
      <w:marBottom w:val="0"/>
      <w:divBdr>
        <w:top w:val="none" w:sz="0" w:space="0" w:color="auto"/>
        <w:left w:val="none" w:sz="0" w:space="0" w:color="auto"/>
        <w:bottom w:val="none" w:sz="0" w:space="0" w:color="auto"/>
        <w:right w:val="none" w:sz="0" w:space="0" w:color="auto"/>
      </w:divBdr>
    </w:div>
    <w:div w:id="1659535242">
      <w:bodyDiv w:val="1"/>
      <w:marLeft w:val="0"/>
      <w:marRight w:val="0"/>
      <w:marTop w:val="0"/>
      <w:marBottom w:val="0"/>
      <w:divBdr>
        <w:top w:val="none" w:sz="0" w:space="0" w:color="auto"/>
        <w:left w:val="none" w:sz="0" w:space="0" w:color="auto"/>
        <w:bottom w:val="none" w:sz="0" w:space="0" w:color="auto"/>
        <w:right w:val="none" w:sz="0" w:space="0" w:color="auto"/>
      </w:divBdr>
    </w:div>
    <w:div w:id="1660116124">
      <w:bodyDiv w:val="1"/>
      <w:marLeft w:val="0"/>
      <w:marRight w:val="0"/>
      <w:marTop w:val="0"/>
      <w:marBottom w:val="0"/>
      <w:divBdr>
        <w:top w:val="none" w:sz="0" w:space="0" w:color="auto"/>
        <w:left w:val="none" w:sz="0" w:space="0" w:color="auto"/>
        <w:bottom w:val="none" w:sz="0" w:space="0" w:color="auto"/>
        <w:right w:val="none" w:sz="0" w:space="0" w:color="auto"/>
      </w:divBdr>
    </w:div>
    <w:div w:id="1674993230">
      <w:bodyDiv w:val="1"/>
      <w:marLeft w:val="0"/>
      <w:marRight w:val="0"/>
      <w:marTop w:val="0"/>
      <w:marBottom w:val="0"/>
      <w:divBdr>
        <w:top w:val="none" w:sz="0" w:space="0" w:color="auto"/>
        <w:left w:val="none" w:sz="0" w:space="0" w:color="auto"/>
        <w:bottom w:val="none" w:sz="0" w:space="0" w:color="auto"/>
        <w:right w:val="none" w:sz="0" w:space="0" w:color="auto"/>
      </w:divBdr>
    </w:div>
    <w:div w:id="1675453134">
      <w:bodyDiv w:val="1"/>
      <w:marLeft w:val="0"/>
      <w:marRight w:val="0"/>
      <w:marTop w:val="0"/>
      <w:marBottom w:val="0"/>
      <w:divBdr>
        <w:top w:val="none" w:sz="0" w:space="0" w:color="auto"/>
        <w:left w:val="none" w:sz="0" w:space="0" w:color="auto"/>
        <w:bottom w:val="none" w:sz="0" w:space="0" w:color="auto"/>
        <w:right w:val="none" w:sz="0" w:space="0" w:color="auto"/>
      </w:divBdr>
    </w:div>
    <w:div w:id="1688293436">
      <w:bodyDiv w:val="1"/>
      <w:marLeft w:val="0"/>
      <w:marRight w:val="0"/>
      <w:marTop w:val="0"/>
      <w:marBottom w:val="0"/>
      <w:divBdr>
        <w:top w:val="none" w:sz="0" w:space="0" w:color="auto"/>
        <w:left w:val="none" w:sz="0" w:space="0" w:color="auto"/>
        <w:bottom w:val="none" w:sz="0" w:space="0" w:color="auto"/>
        <w:right w:val="none" w:sz="0" w:space="0" w:color="auto"/>
      </w:divBdr>
    </w:div>
    <w:div w:id="1692299592">
      <w:bodyDiv w:val="1"/>
      <w:marLeft w:val="0"/>
      <w:marRight w:val="0"/>
      <w:marTop w:val="0"/>
      <w:marBottom w:val="0"/>
      <w:divBdr>
        <w:top w:val="none" w:sz="0" w:space="0" w:color="auto"/>
        <w:left w:val="none" w:sz="0" w:space="0" w:color="auto"/>
        <w:bottom w:val="none" w:sz="0" w:space="0" w:color="auto"/>
        <w:right w:val="none" w:sz="0" w:space="0" w:color="auto"/>
      </w:divBdr>
    </w:div>
    <w:div w:id="1705517115">
      <w:bodyDiv w:val="1"/>
      <w:marLeft w:val="0"/>
      <w:marRight w:val="0"/>
      <w:marTop w:val="0"/>
      <w:marBottom w:val="0"/>
      <w:divBdr>
        <w:top w:val="none" w:sz="0" w:space="0" w:color="auto"/>
        <w:left w:val="none" w:sz="0" w:space="0" w:color="auto"/>
        <w:bottom w:val="none" w:sz="0" w:space="0" w:color="auto"/>
        <w:right w:val="none" w:sz="0" w:space="0" w:color="auto"/>
      </w:divBdr>
    </w:div>
    <w:div w:id="1706248271">
      <w:bodyDiv w:val="1"/>
      <w:marLeft w:val="0"/>
      <w:marRight w:val="0"/>
      <w:marTop w:val="0"/>
      <w:marBottom w:val="0"/>
      <w:divBdr>
        <w:top w:val="none" w:sz="0" w:space="0" w:color="auto"/>
        <w:left w:val="none" w:sz="0" w:space="0" w:color="auto"/>
        <w:bottom w:val="none" w:sz="0" w:space="0" w:color="auto"/>
        <w:right w:val="none" w:sz="0" w:space="0" w:color="auto"/>
      </w:divBdr>
    </w:div>
    <w:div w:id="1733649763">
      <w:bodyDiv w:val="1"/>
      <w:marLeft w:val="0"/>
      <w:marRight w:val="0"/>
      <w:marTop w:val="0"/>
      <w:marBottom w:val="0"/>
      <w:divBdr>
        <w:top w:val="none" w:sz="0" w:space="0" w:color="auto"/>
        <w:left w:val="none" w:sz="0" w:space="0" w:color="auto"/>
        <w:bottom w:val="none" w:sz="0" w:space="0" w:color="auto"/>
        <w:right w:val="none" w:sz="0" w:space="0" w:color="auto"/>
      </w:divBdr>
      <w:divsChild>
        <w:div w:id="494953406">
          <w:marLeft w:val="0"/>
          <w:marRight w:val="0"/>
          <w:marTop w:val="0"/>
          <w:marBottom w:val="0"/>
          <w:divBdr>
            <w:top w:val="none" w:sz="0" w:space="0" w:color="auto"/>
            <w:left w:val="none" w:sz="0" w:space="0" w:color="auto"/>
            <w:bottom w:val="none" w:sz="0" w:space="0" w:color="auto"/>
            <w:right w:val="none" w:sz="0" w:space="0" w:color="auto"/>
          </w:divBdr>
          <w:divsChild>
            <w:div w:id="1715082632">
              <w:marLeft w:val="0"/>
              <w:marRight w:val="0"/>
              <w:marTop w:val="0"/>
              <w:marBottom w:val="0"/>
              <w:divBdr>
                <w:top w:val="none" w:sz="0" w:space="0" w:color="auto"/>
                <w:left w:val="none" w:sz="0" w:space="0" w:color="auto"/>
                <w:bottom w:val="none" w:sz="0" w:space="0" w:color="auto"/>
                <w:right w:val="none" w:sz="0" w:space="0" w:color="auto"/>
              </w:divBdr>
              <w:divsChild>
                <w:div w:id="7706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5148">
      <w:bodyDiv w:val="1"/>
      <w:marLeft w:val="0"/>
      <w:marRight w:val="0"/>
      <w:marTop w:val="0"/>
      <w:marBottom w:val="0"/>
      <w:divBdr>
        <w:top w:val="none" w:sz="0" w:space="0" w:color="auto"/>
        <w:left w:val="none" w:sz="0" w:space="0" w:color="auto"/>
        <w:bottom w:val="none" w:sz="0" w:space="0" w:color="auto"/>
        <w:right w:val="none" w:sz="0" w:space="0" w:color="auto"/>
      </w:divBdr>
    </w:div>
    <w:div w:id="1740706630">
      <w:bodyDiv w:val="1"/>
      <w:marLeft w:val="0"/>
      <w:marRight w:val="0"/>
      <w:marTop w:val="0"/>
      <w:marBottom w:val="0"/>
      <w:divBdr>
        <w:top w:val="none" w:sz="0" w:space="0" w:color="auto"/>
        <w:left w:val="none" w:sz="0" w:space="0" w:color="auto"/>
        <w:bottom w:val="none" w:sz="0" w:space="0" w:color="auto"/>
        <w:right w:val="none" w:sz="0" w:space="0" w:color="auto"/>
      </w:divBdr>
    </w:div>
    <w:div w:id="1755008027">
      <w:bodyDiv w:val="1"/>
      <w:marLeft w:val="0"/>
      <w:marRight w:val="0"/>
      <w:marTop w:val="0"/>
      <w:marBottom w:val="0"/>
      <w:divBdr>
        <w:top w:val="none" w:sz="0" w:space="0" w:color="auto"/>
        <w:left w:val="none" w:sz="0" w:space="0" w:color="auto"/>
        <w:bottom w:val="none" w:sz="0" w:space="0" w:color="auto"/>
        <w:right w:val="none" w:sz="0" w:space="0" w:color="auto"/>
      </w:divBdr>
    </w:div>
    <w:div w:id="1766992485">
      <w:bodyDiv w:val="1"/>
      <w:marLeft w:val="0"/>
      <w:marRight w:val="0"/>
      <w:marTop w:val="0"/>
      <w:marBottom w:val="0"/>
      <w:divBdr>
        <w:top w:val="none" w:sz="0" w:space="0" w:color="auto"/>
        <w:left w:val="none" w:sz="0" w:space="0" w:color="auto"/>
        <w:bottom w:val="none" w:sz="0" w:space="0" w:color="auto"/>
        <w:right w:val="none" w:sz="0" w:space="0" w:color="auto"/>
      </w:divBdr>
    </w:div>
    <w:div w:id="1775126716">
      <w:bodyDiv w:val="1"/>
      <w:marLeft w:val="0"/>
      <w:marRight w:val="0"/>
      <w:marTop w:val="0"/>
      <w:marBottom w:val="0"/>
      <w:divBdr>
        <w:top w:val="none" w:sz="0" w:space="0" w:color="auto"/>
        <w:left w:val="none" w:sz="0" w:space="0" w:color="auto"/>
        <w:bottom w:val="none" w:sz="0" w:space="0" w:color="auto"/>
        <w:right w:val="none" w:sz="0" w:space="0" w:color="auto"/>
      </w:divBdr>
    </w:div>
    <w:div w:id="1787694880">
      <w:bodyDiv w:val="1"/>
      <w:marLeft w:val="0"/>
      <w:marRight w:val="0"/>
      <w:marTop w:val="0"/>
      <w:marBottom w:val="0"/>
      <w:divBdr>
        <w:top w:val="none" w:sz="0" w:space="0" w:color="auto"/>
        <w:left w:val="none" w:sz="0" w:space="0" w:color="auto"/>
        <w:bottom w:val="none" w:sz="0" w:space="0" w:color="auto"/>
        <w:right w:val="none" w:sz="0" w:space="0" w:color="auto"/>
      </w:divBdr>
    </w:div>
    <w:div w:id="1793478923">
      <w:bodyDiv w:val="1"/>
      <w:marLeft w:val="0"/>
      <w:marRight w:val="0"/>
      <w:marTop w:val="0"/>
      <w:marBottom w:val="0"/>
      <w:divBdr>
        <w:top w:val="none" w:sz="0" w:space="0" w:color="auto"/>
        <w:left w:val="none" w:sz="0" w:space="0" w:color="auto"/>
        <w:bottom w:val="none" w:sz="0" w:space="0" w:color="auto"/>
        <w:right w:val="none" w:sz="0" w:space="0" w:color="auto"/>
      </w:divBdr>
    </w:div>
    <w:div w:id="1800150690">
      <w:bodyDiv w:val="1"/>
      <w:marLeft w:val="0"/>
      <w:marRight w:val="0"/>
      <w:marTop w:val="0"/>
      <w:marBottom w:val="0"/>
      <w:divBdr>
        <w:top w:val="none" w:sz="0" w:space="0" w:color="auto"/>
        <w:left w:val="none" w:sz="0" w:space="0" w:color="auto"/>
        <w:bottom w:val="none" w:sz="0" w:space="0" w:color="auto"/>
        <w:right w:val="none" w:sz="0" w:space="0" w:color="auto"/>
      </w:divBdr>
    </w:div>
    <w:div w:id="1807772957">
      <w:bodyDiv w:val="1"/>
      <w:marLeft w:val="0"/>
      <w:marRight w:val="0"/>
      <w:marTop w:val="0"/>
      <w:marBottom w:val="0"/>
      <w:divBdr>
        <w:top w:val="none" w:sz="0" w:space="0" w:color="auto"/>
        <w:left w:val="none" w:sz="0" w:space="0" w:color="auto"/>
        <w:bottom w:val="none" w:sz="0" w:space="0" w:color="auto"/>
        <w:right w:val="none" w:sz="0" w:space="0" w:color="auto"/>
      </w:divBdr>
    </w:div>
    <w:div w:id="1809084270">
      <w:bodyDiv w:val="1"/>
      <w:marLeft w:val="0"/>
      <w:marRight w:val="0"/>
      <w:marTop w:val="0"/>
      <w:marBottom w:val="0"/>
      <w:divBdr>
        <w:top w:val="none" w:sz="0" w:space="0" w:color="auto"/>
        <w:left w:val="none" w:sz="0" w:space="0" w:color="auto"/>
        <w:bottom w:val="none" w:sz="0" w:space="0" w:color="auto"/>
        <w:right w:val="none" w:sz="0" w:space="0" w:color="auto"/>
      </w:divBdr>
    </w:div>
    <w:div w:id="1811943944">
      <w:bodyDiv w:val="1"/>
      <w:marLeft w:val="0"/>
      <w:marRight w:val="0"/>
      <w:marTop w:val="0"/>
      <w:marBottom w:val="0"/>
      <w:divBdr>
        <w:top w:val="none" w:sz="0" w:space="0" w:color="auto"/>
        <w:left w:val="none" w:sz="0" w:space="0" w:color="auto"/>
        <w:bottom w:val="none" w:sz="0" w:space="0" w:color="auto"/>
        <w:right w:val="none" w:sz="0" w:space="0" w:color="auto"/>
      </w:divBdr>
    </w:div>
    <w:div w:id="1813863603">
      <w:bodyDiv w:val="1"/>
      <w:marLeft w:val="0"/>
      <w:marRight w:val="0"/>
      <w:marTop w:val="0"/>
      <w:marBottom w:val="0"/>
      <w:divBdr>
        <w:top w:val="none" w:sz="0" w:space="0" w:color="auto"/>
        <w:left w:val="none" w:sz="0" w:space="0" w:color="auto"/>
        <w:bottom w:val="none" w:sz="0" w:space="0" w:color="auto"/>
        <w:right w:val="none" w:sz="0" w:space="0" w:color="auto"/>
      </w:divBdr>
    </w:div>
    <w:div w:id="1833596877">
      <w:bodyDiv w:val="1"/>
      <w:marLeft w:val="0"/>
      <w:marRight w:val="0"/>
      <w:marTop w:val="0"/>
      <w:marBottom w:val="0"/>
      <w:divBdr>
        <w:top w:val="none" w:sz="0" w:space="0" w:color="auto"/>
        <w:left w:val="none" w:sz="0" w:space="0" w:color="auto"/>
        <w:bottom w:val="none" w:sz="0" w:space="0" w:color="auto"/>
        <w:right w:val="none" w:sz="0" w:space="0" w:color="auto"/>
      </w:divBdr>
    </w:div>
    <w:div w:id="1837459717">
      <w:bodyDiv w:val="1"/>
      <w:marLeft w:val="0"/>
      <w:marRight w:val="0"/>
      <w:marTop w:val="0"/>
      <w:marBottom w:val="0"/>
      <w:divBdr>
        <w:top w:val="none" w:sz="0" w:space="0" w:color="auto"/>
        <w:left w:val="none" w:sz="0" w:space="0" w:color="auto"/>
        <w:bottom w:val="none" w:sz="0" w:space="0" w:color="auto"/>
        <w:right w:val="none" w:sz="0" w:space="0" w:color="auto"/>
      </w:divBdr>
    </w:div>
    <w:div w:id="1840190839">
      <w:bodyDiv w:val="1"/>
      <w:marLeft w:val="0"/>
      <w:marRight w:val="0"/>
      <w:marTop w:val="0"/>
      <w:marBottom w:val="0"/>
      <w:divBdr>
        <w:top w:val="none" w:sz="0" w:space="0" w:color="auto"/>
        <w:left w:val="none" w:sz="0" w:space="0" w:color="auto"/>
        <w:bottom w:val="none" w:sz="0" w:space="0" w:color="auto"/>
        <w:right w:val="none" w:sz="0" w:space="0" w:color="auto"/>
      </w:divBdr>
    </w:div>
    <w:div w:id="1843472034">
      <w:bodyDiv w:val="1"/>
      <w:marLeft w:val="0"/>
      <w:marRight w:val="0"/>
      <w:marTop w:val="0"/>
      <w:marBottom w:val="0"/>
      <w:divBdr>
        <w:top w:val="none" w:sz="0" w:space="0" w:color="auto"/>
        <w:left w:val="none" w:sz="0" w:space="0" w:color="auto"/>
        <w:bottom w:val="none" w:sz="0" w:space="0" w:color="auto"/>
        <w:right w:val="none" w:sz="0" w:space="0" w:color="auto"/>
      </w:divBdr>
    </w:div>
    <w:div w:id="1854569373">
      <w:bodyDiv w:val="1"/>
      <w:marLeft w:val="0"/>
      <w:marRight w:val="0"/>
      <w:marTop w:val="0"/>
      <w:marBottom w:val="0"/>
      <w:divBdr>
        <w:top w:val="none" w:sz="0" w:space="0" w:color="auto"/>
        <w:left w:val="none" w:sz="0" w:space="0" w:color="auto"/>
        <w:bottom w:val="none" w:sz="0" w:space="0" w:color="auto"/>
        <w:right w:val="none" w:sz="0" w:space="0" w:color="auto"/>
      </w:divBdr>
    </w:div>
    <w:div w:id="1869949593">
      <w:bodyDiv w:val="1"/>
      <w:marLeft w:val="0"/>
      <w:marRight w:val="0"/>
      <w:marTop w:val="0"/>
      <w:marBottom w:val="0"/>
      <w:divBdr>
        <w:top w:val="none" w:sz="0" w:space="0" w:color="auto"/>
        <w:left w:val="none" w:sz="0" w:space="0" w:color="auto"/>
        <w:bottom w:val="none" w:sz="0" w:space="0" w:color="auto"/>
        <w:right w:val="none" w:sz="0" w:space="0" w:color="auto"/>
      </w:divBdr>
    </w:div>
    <w:div w:id="1870293213">
      <w:bodyDiv w:val="1"/>
      <w:marLeft w:val="0"/>
      <w:marRight w:val="0"/>
      <w:marTop w:val="0"/>
      <w:marBottom w:val="0"/>
      <w:divBdr>
        <w:top w:val="none" w:sz="0" w:space="0" w:color="auto"/>
        <w:left w:val="none" w:sz="0" w:space="0" w:color="auto"/>
        <w:bottom w:val="none" w:sz="0" w:space="0" w:color="auto"/>
        <w:right w:val="none" w:sz="0" w:space="0" w:color="auto"/>
      </w:divBdr>
    </w:div>
    <w:div w:id="1877237704">
      <w:bodyDiv w:val="1"/>
      <w:marLeft w:val="0"/>
      <w:marRight w:val="0"/>
      <w:marTop w:val="0"/>
      <w:marBottom w:val="0"/>
      <w:divBdr>
        <w:top w:val="none" w:sz="0" w:space="0" w:color="auto"/>
        <w:left w:val="none" w:sz="0" w:space="0" w:color="auto"/>
        <w:bottom w:val="none" w:sz="0" w:space="0" w:color="auto"/>
        <w:right w:val="none" w:sz="0" w:space="0" w:color="auto"/>
      </w:divBdr>
    </w:div>
    <w:div w:id="1877741083">
      <w:bodyDiv w:val="1"/>
      <w:marLeft w:val="0"/>
      <w:marRight w:val="0"/>
      <w:marTop w:val="0"/>
      <w:marBottom w:val="0"/>
      <w:divBdr>
        <w:top w:val="none" w:sz="0" w:space="0" w:color="auto"/>
        <w:left w:val="none" w:sz="0" w:space="0" w:color="auto"/>
        <w:bottom w:val="none" w:sz="0" w:space="0" w:color="auto"/>
        <w:right w:val="none" w:sz="0" w:space="0" w:color="auto"/>
      </w:divBdr>
    </w:div>
    <w:div w:id="1889419035">
      <w:bodyDiv w:val="1"/>
      <w:marLeft w:val="0"/>
      <w:marRight w:val="0"/>
      <w:marTop w:val="0"/>
      <w:marBottom w:val="0"/>
      <w:divBdr>
        <w:top w:val="none" w:sz="0" w:space="0" w:color="auto"/>
        <w:left w:val="none" w:sz="0" w:space="0" w:color="auto"/>
        <w:bottom w:val="none" w:sz="0" w:space="0" w:color="auto"/>
        <w:right w:val="none" w:sz="0" w:space="0" w:color="auto"/>
      </w:divBdr>
    </w:div>
    <w:div w:id="1895460072">
      <w:bodyDiv w:val="1"/>
      <w:marLeft w:val="0"/>
      <w:marRight w:val="0"/>
      <w:marTop w:val="0"/>
      <w:marBottom w:val="0"/>
      <w:divBdr>
        <w:top w:val="none" w:sz="0" w:space="0" w:color="auto"/>
        <w:left w:val="none" w:sz="0" w:space="0" w:color="auto"/>
        <w:bottom w:val="none" w:sz="0" w:space="0" w:color="auto"/>
        <w:right w:val="none" w:sz="0" w:space="0" w:color="auto"/>
      </w:divBdr>
    </w:div>
    <w:div w:id="1897009656">
      <w:bodyDiv w:val="1"/>
      <w:marLeft w:val="0"/>
      <w:marRight w:val="0"/>
      <w:marTop w:val="0"/>
      <w:marBottom w:val="0"/>
      <w:divBdr>
        <w:top w:val="none" w:sz="0" w:space="0" w:color="auto"/>
        <w:left w:val="none" w:sz="0" w:space="0" w:color="auto"/>
        <w:bottom w:val="none" w:sz="0" w:space="0" w:color="auto"/>
        <w:right w:val="none" w:sz="0" w:space="0" w:color="auto"/>
      </w:divBdr>
    </w:div>
    <w:div w:id="1904828271">
      <w:bodyDiv w:val="1"/>
      <w:marLeft w:val="0"/>
      <w:marRight w:val="0"/>
      <w:marTop w:val="0"/>
      <w:marBottom w:val="0"/>
      <w:divBdr>
        <w:top w:val="none" w:sz="0" w:space="0" w:color="auto"/>
        <w:left w:val="none" w:sz="0" w:space="0" w:color="auto"/>
        <w:bottom w:val="none" w:sz="0" w:space="0" w:color="auto"/>
        <w:right w:val="none" w:sz="0" w:space="0" w:color="auto"/>
      </w:divBdr>
    </w:div>
    <w:div w:id="1905750122">
      <w:bodyDiv w:val="1"/>
      <w:marLeft w:val="0"/>
      <w:marRight w:val="0"/>
      <w:marTop w:val="0"/>
      <w:marBottom w:val="0"/>
      <w:divBdr>
        <w:top w:val="none" w:sz="0" w:space="0" w:color="auto"/>
        <w:left w:val="none" w:sz="0" w:space="0" w:color="auto"/>
        <w:bottom w:val="none" w:sz="0" w:space="0" w:color="auto"/>
        <w:right w:val="none" w:sz="0" w:space="0" w:color="auto"/>
      </w:divBdr>
    </w:div>
    <w:div w:id="1905869283">
      <w:bodyDiv w:val="1"/>
      <w:marLeft w:val="0"/>
      <w:marRight w:val="0"/>
      <w:marTop w:val="0"/>
      <w:marBottom w:val="0"/>
      <w:divBdr>
        <w:top w:val="none" w:sz="0" w:space="0" w:color="auto"/>
        <w:left w:val="none" w:sz="0" w:space="0" w:color="auto"/>
        <w:bottom w:val="none" w:sz="0" w:space="0" w:color="auto"/>
        <w:right w:val="none" w:sz="0" w:space="0" w:color="auto"/>
      </w:divBdr>
    </w:div>
    <w:div w:id="1907373708">
      <w:bodyDiv w:val="1"/>
      <w:marLeft w:val="0"/>
      <w:marRight w:val="0"/>
      <w:marTop w:val="0"/>
      <w:marBottom w:val="0"/>
      <w:divBdr>
        <w:top w:val="none" w:sz="0" w:space="0" w:color="auto"/>
        <w:left w:val="none" w:sz="0" w:space="0" w:color="auto"/>
        <w:bottom w:val="none" w:sz="0" w:space="0" w:color="auto"/>
        <w:right w:val="none" w:sz="0" w:space="0" w:color="auto"/>
      </w:divBdr>
    </w:div>
    <w:div w:id="1915385264">
      <w:bodyDiv w:val="1"/>
      <w:marLeft w:val="0"/>
      <w:marRight w:val="0"/>
      <w:marTop w:val="0"/>
      <w:marBottom w:val="0"/>
      <w:divBdr>
        <w:top w:val="none" w:sz="0" w:space="0" w:color="auto"/>
        <w:left w:val="none" w:sz="0" w:space="0" w:color="auto"/>
        <w:bottom w:val="none" w:sz="0" w:space="0" w:color="auto"/>
        <w:right w:val="none" w:sz="0" w:space="0" w:color="auto"/>
      </w:divBdr>
    </w:div>
    <w:div w:id="1926180961">
      <w:bodyDiv w:val="1"/>
      <w:marLeft w:val="0"/>
      <w:marRight w:val="0"/>
      <w:marTop w:val="0"/>
      <w:marBottom w:val="0"/>
      <w:divBdr>
        <w:top w:val="none" w:sz="0" w:space="0" w:color="auto"/>
        <w:left w:val="none" w:sz="0" w:space="0" w:color="auto"/>
        <w:bottom w:val="none" w:sz="0" w:space="0" w:color="auto"/>
        <w:right w:val="none" w:sz="0" w:space="0" w:color="auto"/>
      </w:divBdr>
    </w:div>
    <w:div w:id="1934824342">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4915269">
      <w:bodyDiv w:val="1"/>
      <w:marLeft w:val="0"/>
      <w:marRight w:val="0"/>
      <w:marTop w:val="0"/>
      <w:marBottom w:val="0"/>
      <w:divBdr>
        <w:top w:val="none" w:sz="0" w:space="0" w:color="auto"/>
        <w:left w:val="none" w:sz="0" w:space="0" w:color="auto"/>
        <w:bottom w:val="none" w:sz="0" w:space="0" w:color="auto"/>
        <w:right w:val="none" w:sz="0" w:space="0" w:color="auto"/>
      </w:divBdr>
    </w:div>
    <w:div w:id="1956517928">
      <w:bodyDiv w:val="1"/>
      <w:marLeft w:val="0"/>
      <w:marRight w:val="0"/>
      <w:marTop w:val="0"/>
      <w:marBottom w:val="0"/>
      <w:divBdr>
        <w:top w:val="none" w:sz="0" w:space="0" w:color="auto"/>
        <w:left w:val="none" w:sz="0" w:space="0" w:color="auto"/>
        <w:bottom w:val="none" w:sz="0" w:space="0" w:color="auto"/>
        <w:right w:val="none" w:sz="0" w:space="0" w:color="auto"/>
      </w:divBdr>
    </w:div>
    <w:div w:id="1960136991">
      <w:bodyDiv w:val="1"/>
      <w:marLeft w:val="0"/>
      <w:marRight w:val="0"/>
      <w:marTop w:val="0"/>
      <w:marBottom w:val="0"/>
      <w:divBdr>
        <w:top w:val="none" w:sz="0" w:space="0" w:color="auto"/>
        <w:left w:val="none" w:sz="0" w:space="0" w:color="auto"/>
        <w:bottom w:val="none" w:sz="0" w:space="0" w:color="auto"/>
        <w:right w:val="none" w:sz="0" w:space="0" w:color="auto"/>
      </w:divBdr>
    </w:div>
    <w:div w:id="1960183084">
      <w:bodyDiv w:val="1"/>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sChild>
            <w:div w:id="1197307449">
              <w:marLeft w:val="0"/>
              <w:marRight w:val="0"/>
              <w:marTop w:val="0"/>
              <w:marBottom w:val="0"/>
              <w:divBdr>
                <w:top w:val="none" w:sz="0" w:space="0" w:color="auto"/>
                <w:left w:val="none" w:sz="0" w:space="0" w:color="auto"/>
                <w:bottom w:val="none" w:sz="0" w:space="0" w:color="auto"/>
                <w:right w:val="none" w:sz="0" w:space="0" w:color="auto"/>
              </w:divBdr>
              <w:divsChild>
                <w:div w:id="2036803522">
                  <w:marLeft w:val="0"/>
                  <w:marRight w:val="0"/>
                  <w:marTop w:val="0"/>
                  <w:marBottom w:val="0"/>
                  <w:divBdr>
                    <w:top w:val="none" w:sz="0" w:space="0" w:color="auto"/>
                    <w:left w:val="none" w:sz="0" w:space="0" w:color="auto"/>
                    <w:bottom w:val="none" w:sz="0" w:space="0" w:color="auto"/>
                    <w:right w:val="none" w:sz="0" w:space="0" w:color="auto"/>
                  </w:divBdr>
                  <w:divsChild>
                    <w:div w:id="1979918372">
                      <w:marLeft w:val="0"/>
                      <w:marRight w:val="0"/>
                      <w:marTop w:val="0"/>
                      <w:marBottom w:val="0"/>
                      <w:divBdr>
                        <w:top w:val="none" w:sz="0" w:space="0" w:color="auto"/>
                        <w:left w:val="none" w:sz="0" w:space="0" w:color="auto"/>
                        <w:bottom w:val="none" w:sz="0" w:space="0" w:color="auto"/>
                        <w:right w:val="none" w:sz="0" w:space="0" w:color="auto"/>
                      </w:divBdr>
                      <w:divsChild>
                        <w:div w:id="42339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05415">
      <w:bodyDiv w:val="1"/>
      <w:marLeft w:val="0"/>
      <w:marRight w:val="0"/>
      <w:marTop w:val="0"/>
      <w:marBottom w:val="0"/>
      <w:divBdr>
        <w:top w:val="none" w:sz="0" w:space="0" w:color="auto"/>
        <w:left w:val="none" w:sz="0" w:space="0" w:color="auto"/>
        <w:bottom w:val="none" w:sz="0" w:space="0" w:color="auto"/>
        <w:right w:val="none" w:sz="0" w:space="0" w:color="auto"/>
      </w:divBdr>
    </w:div>
    <w:div w:id="1976451184">
      <w:bodyDiv w:val="1"/>
      <w:marLeft w:val="0"/>
      <w:marRight w:val="0"/>
      <w:marTop w:val="0"/>
      <w:marBottom w:val="0"/>
      <w:divBdr>
        <w:top w:val="none" w:sz="0" w:space="0" w:color="auto"/>
        <w:left w:val="none" w:sz="0" w:space="0" w:color="auto"/>
        <w:bottom w:val="none" w:sz="0" w:space="0" w:color="auto"/>
        <w:right w:val="none" w:sz="0" w:space="0" w:color="auto"/>
      </w:divBdr>
    </w:div>
    <w:div w:id="1998535571">
      <w:bodyDiv w:val="1"/>
      <w:marLeft w:val="0"/>
      <w:marRight w:val="0"/>
      <w:marTop w:val="0"/>
      <w:marBottom w:val="0"/>
      <w:divBdr>
        <w:top w:val="none" w:sz="0" w:space="0" w:color="auto"/>
        <w:left w:val="none" w:sz="0" w:space="0" w:color="auto"/>
        <w:bottom w:val="none" w:sz="0" w:space="0" w:color="auto"/>
        <w:right w:val="none" w:sz="0" w:space="0" w:color="auto"/>
      </w:divBdr>
    </w:div>
    <w:div w:id="2007516912">
      <w:bodyDiv w:val="1"/>
      <w:marLeft w:val="0"/>
      <w:marRight w:val="0"/>
      <w:marTop w:val="0"/>
      <w:marBottom w:val="0"/>
      <w:divBdr>
        <w:top w:val="none" w:sz="0" w:space="0" w:color="auto"/>
        <w:left w:val="none" w:sz="0" w:space="0" w:color="auto"/>
        <w:bottom w:val="none" w:sz="0" w:space="0" w:color="auto"/>
        <w:right w:val="none" w:sz="0" w:space="0" w:color="auto"/>
      </w:divBdr>
    </w:div>
    <w:div w:id="2014989207">
      <w:bodyDiv w:val="1"/>
      <w:marLeft w:val="0"/>
      <w:marRight w:val="0"/>
      <w:marTop w:val="0"/>
      <w:marBottom w:val="0"/>
      <w:divBdr>
        <w:top w:val="none" w:sz="0" w:space="0" w:color="auto"/>
        <w:left w:val="none" w:sz="0" w:space="0" w:color="auto"/>
        <w:bottom w:val="none" w:sz="0" w:space="0" w:color="auto"/>
        <w:right w:val="none" w:sz="0" w:space="0" w:color="auto"/>
      </w:divBdr>
      <w:divsChild>
        <w:div w:id="181626845">
          <w:marLeft w:val="0"/>
          <w:marRight w:val="0"/>
          <w:marTop w:val="0"/>
          <w:marBottom w:val="0"/>
          <w:divBdr>
            <w:top w:val="none" w:sz="0" w:space="0" w:color="auto"/>
            <w:left w:val="none" w:sz="0" w:space="0" w:color="auto"/>
            <w:bottom w:val="none" w:sz="0" w:space="0" w:color="auto"/>
            <w:right w:val="none" w:sz="0" w:space="0" w:color="auto"/>
          </w:divBdr>
        </w:div>
      </w:divsChild>
    </w:div>
    <w:div w:id="2021589915">
      <w:bodyDiv w:val="1"/>
      <w:marLeft w:val="0"/>
      <w:marRight w:val="0"/>
      <w:marTop w:val="0"/>
      <w:marBottom w:val="0"/>
      <w:divBdr>
        <w:top w:val="none" w:sz="0" w:space="0" w:color="auto"/>
        <w:left w:val="none" w:sz="0" w:space="0" w:color="auto"/>
        <w:bottom w:val="none" w:sz="0" w:space="0" w:color="auto"/>
        <w:right w:val="none" w:sz="0" w:space="0" w:color="auto"/>
      </w:divBdr>
    </w:div>
    <w:div w:id="2030641030">
      <w:bodyDiv w:val="1"/>
      <w:marLeft w:val="0"/>
      <w:marRight w:val="0"/>
      <w:marTop w:val="0"/>
      <w:marBottom w:val="0"/>
      <w:divBdr>
        <w:top w:val="none" w:sz="0" w:space="0" w:color="auto"/>
        <w:left w:val="none" w:sz="0" w:space="0" w:color="auto"/>
        <w:bottom w:val="none" w:sz="0" w:space="0" w:color="auto"/>
        <w:right w:val="none" w:sz="0" w:space="0" w:color="auto"/>
      </w:divBdr>
    </w:div>
    <w:div w:id="2033338879">
      <w:bodyDiv w:val="1"/>
      <w:marLeft w:val="0"/>
      <w:marRight w:val="0"/>
      <w:marTop w:val="0"/>
      <w:marBottom w:val="0"/>
      <w:divBdr>
        <w:top w:val="none" w:sz="0" w:space="0" w:color="auto"/>
        <w:left w:val="none" w:sz="0" w:space="0" w:color="auto"/>
        <w:bottom w:val="none" w:sz="0" w:space="0" w:color="auto"/>
        <w:right w:val="none" w:sz="0" w:space="0" w:color="auto"/>
      </w:divBdr>
    </w:div>
    <w:div w:id="2038655913">
      <w:bodyDiv w:val="1"/>
      <w:marLeft w:val="0"/>
      <w:marRight w:val="0"/>
      <w:marTop w:val="0"/>
      <w:marBottom w:val="0"/>
      <w:divBdr>
        <w:top w:val="none" w:sz="0" w:space="0" w:color="auto"/>
        <w:left w:val="none" w:sz="0" w:space="0" w:color="auto"/>
        <w:bottom w:val="none" w:sz="0" w:space="0" w:color="auto"/>
        <w:right w:val="none" w:sz="0" w:space="0" w:color="auto"/>
      </w:divBdr>
    </w:div>
    <w:div w:id="2043164721">
      <w:bodyDiv w:val="1"/>
      <w:marLeft w:val="0"/>
      <w:marRight w:val="0"/>
      <w:marTop w:val="0"/>
      <w:marBottom w:val="0"/>
      <w:divBdr>
        <w:top w:val="none" w:sz="0" w:space="0" w:color="auto"/>
        <w:left w:val="none" w:sz="0" w:space="0" w:color="auto"/>
        <w:bottom w:val="none" w:sz="0" w:space="0" w:color="auto"/>
        <w:right w:val="none" w:sz="0" w:space="0" w:color="auto"/>
      </w:divBdr>
    </w:div>
    <w:div w:id="2044480459">
      <w:bodyDiv w:val="1"/>
      <w:marLeft w:val="0"/>
      <w:marRight w:val="0"/>
      <w:marTop w:val="0"/>
      <w:marBottom w:val="0"/>
      <w:divBdr>
        <w:top w:val="none" w:sz="0" w:space="0" w:color="auto"/>
        <w:left w:val="none" w:sz="0" w:space="0" w:color="auto"/>
        <w:bottom w:val="none" w:sz="0" w:space="0" w:color="auto"/>
        <w:right w:val="none" w:sz="0" w:space="0" w:color="auto"/>
      </w:divBdr>
    </w:div>
    <w:div w:id="2048528690">
      <w:bodyDiv w:val="1"/>
      <w:marLeft w:val="0"/>
      <w:marRight w:val="0"/>
      <w:marTop w:val="0"/>
      <w:marBottom w:val="0"/>
      <w:divBdr>
        <w:top w:val="none" w:sz="0" w:space="0" w:color="auto"/>
        <w:left w:val="none" w:sz="0" w:space="0" w:color="auto"/>
        <w:bottom w:val="none" w:sz="0" w:space="0" w:color="auto"/>
        <w:right w:val="none" w:sz="0" w:space="0" w:color="auto"/>
      </w:divBdr>
    </w:div>
    <w:div w:id="2061203129">
      <w:bodyDiv w:val="1"/>
      <w:marLeft w:val="0"/>
      <w:marRight w:val="0"/>
      <w:marTop w:val="0"/>
      <w:marBottom w:val="0"/>
      <w:divBdr>
        <w:top w:val="none" w:sz="0" w:space="0" w:color="auto"/>
        <w:left w:val="none" w:sz="0" w:space="0" w:color="auto"/>
        <w:bottom w:val="none" w:sz="0" w:space="0" w:color="auto"/>
        <w:right w:val="none" w:sz="0" w:space="0" w:color="auto"/>
      </w:divBdr>
    </w:div>
    <w:div w:id="2072581401">
      <w:bodyDiv w:val="1"/>
      <w:marLeft w:val="0"/>
      <w:marRight w:val="0"/>
      <w:marTop w:val="0"/>
      <w:marBottom w:val="0"/>
      <w:divBdr>
        <w:top w:val="none" w:sz="0" w:space="0" w:color="auto"/>
        <w:left w:val="none" w:sz="0" w:space="0" w:color="auto"/>
        <w:bottom w:val="none" w:sz="0" w:space="0" w:color="auto"/>
        <w:right w:val="none" w:sz="0" w:space="0" w:color="auto"/>
      </w:divBdr>
    </w:div>
    <w:div w:id="2073191860">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096827630">
      <w:bodyDiv w:val="1"/>
      <w:marLeft w:val="0"/>
      <w:marRight w:val="0"/>
      <w:marTop w:val="0"/>
      <w:marBottom w:val="0"/>
      <w:divBdr>
        <w:top w:val="none" w:sz="0" w:space="0" w:color="auto"/>
        <w:left w:val="none" w:sz="0" w:space="0" w:color="auto"/>
        <w:bottom w:val="none" w:sz="0" w:space="0" w:color="auto"/>
        <w:right w:val="none" w:sz="0" w:space="0" w:color="auto"/>
      </w:divBdr>
    </w:div>
    <w:div w:id="2097633513">
      <w:bodyDiv w:val="1"/>
      <w:marLeft w:val="0"/>
      <w:marRight w:val="0"/>
      <w:marTop w:val="0"/>
      <w:marBottom w:val="0"/>
      <w:divBdr>
        <w:top w:val="none" w:sz="0" w:space="0" w:color="auto"/>
        <w:left w:val="none" w:sz="0" w:space="0" w:color="auto"/>
        <w:bottom w:val="none" w:sz="0" w:space="0" w:color="auto"/>
        <w:right w:val="none" w:sz="0" w:space="0" w:color="auto"/>
      </w:divBdr>
    </w:div>
    <w:div w:id="2104033394">
      <w:bodyDiv w:val="1"/>
      <w:marLeft w:val="0"/>
      <w:marRight w:val="0"/>
      <w:marTop w:val="0"/>
      <w:marBottom w:val="0"/>
      <w:divBdr>
        <w:top w:val="none" w:sz="0" w:space="0" w:color="auto"/>
        <w:left w:val="none" w:sz="0" w:space="0" w:color="auto"/>
        <w:bottom w:val="none" w:sz="0" w:space="0" w:color="auto"/>
        <w:right w:val="none" w:sz="0" w:space="0" w:color="auto"/>
      </w:divBdr>
    </w:div>
    <w:div w:id="2107580044">
      <w:bodyDiv w:val="1"/>
      <w:marLeft w:val="0"/>
      <w:marRight w:val="0"/>
      <w:marTop w:val="0"/>
      <w:marBottom w:val="0"/>
      <w:divBdr>
        <w:top w:val="none" w:sz="0" w:space="0" w:color="auto"/>
        <w:left w:val="none" w:sz="0" w:space="0" w:color="auto"/>
        <w:bottom w:val="none" w:sz="0" w:space="0" w:color="auto"/>
        <w:right w:val="none" w:sz="0" w:space="0" w:color="auto"/>
      </w:divBdr>
    </w:div>
    <w:div w:id="2116899062">
      <w:bodyDiv w:val="1"/>
      <w:marLeft w:val="0"/>
      <w:marRight w:val="0"/>
      <w:marTop w:val="0"/>
      <w:marBottom w:val="0"/>
      <w:divBdr>
        <w:top w:val="none" w:sz="0" w:space="0" w:color="auto"/>
        <w:left w:val="none" w:sz="0" w:space="0" w:color="auto"/>
        <w:bottom w:val="none" w:sz="0" w:space="0" w:color="auto"/>
        <w:right w:val="none" w:sz="0" w:space="0" w:color="auto"/>
      </w:divBdr>
    </w:div>
    <w:div w:id="2127043769">
      <w:bodyDiv w:val="1"/>
      <w:marLeft w:val="0"/>
      <w:marRight w:val="0"/>
      <w:marTop w:val="0"/>
      <w:marBottom w:val="0"/>
      <w:divBdr>
        <w:top w:val="none" w:sz="0" w:space="0" w:color="auto"/>
        <w:left w:val="none" w:sz="0" w:space="0" w:color="auto"/>
        <w:bottom w:val="none" w:sz="0" w:space="0" w:color="auto"/>
        <w:right w:val="none" w:sz="0" w:space="0" w:color="auto"/>
      </w:divBdr>
    </w:div>
    <w:div w:id="2127919825">
      <w:bodyDiv w:val="1"/>
      <w:marLeft w:val="0"/>
      <w:marRight w:val="0"/>
      <w:marTop w:val="0"/>
      <w:marBottom w:val="0"/>
      <w:divBdr>
        <w:top w:val="none" w:sz="0" w:space="0" w:color="auto"/>
        <w:left w:val="none" w:sz="0" w:space="0" w:color="auto"/>
        <w:bottom w:val="none" w:sz="0" w:space="0" w:color="auto"/>
        <w:right w:val="none" w:sz="0" w:space="0" w:color="auto"/>
      </w:divBdr>
    </w:div>
    <w:div w:id="213794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HRCouncil/CoHRSouthSudan/A-HRC-48-CRP.3.pdf" TargetMode="External"/><Relationship Id="rId2" Type="http://schemas.openxmlformats.org/officeDocument/2006/relationships/hyperlink" Target="https://www.ohchr.org/Documents/HRBodies/HRCouncil/CoHRSouthSudan/Summary_Resolutions_Conference_13-15_Dec_2021.pdf" TargetMode="External"/><Relationship Id="rId1" Type="http://schemas.openxmlformats.org/officeDocument/2006/relationships/hyperlink" Target="https://www.ohchr.org/EN/HRBodies/HRC/Pages/NewsDetail.aspx?NewsID=27972&amp;Lang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D2B6-8DAD-41B2-9989-3DF7F8D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27677</Words>
  <Characters>157765</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2022-03-21T06:44:00Z</dcterms:created>
  <dcterms:modified xsi:type="dcterms:W3CDTF">2022-03-21T06:45:00Z</dcterms:modified>
</cp:coreProperties>
</file>