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818" w:rsidRDefault="009A7818" w:rsidP="009A7818">
      <w:pPr>
        <w:pStyle w:val="Heading5"/>
        <w:jc w:val="right"/>
        <w:rPr>
          <w:sz w:val="24"/>
          <w:szCs w:val="24"/>
        </w:rPr>
      </w:pPr>
      <w:r>
        <w:rPr>
          <w:sz w:val="24"/>
          <w:szCs w:val="24"/>
        </w:rPr>
        <w:t>Annex V</w:t>
      </w:r>
    </w:p>
    <w:p w:rsidR="009A7818" w:rsidRDefault="009A7818" w:rsidP="009A7818">
      <w:pPr>
        <w:rPr>
          <w:sz w:val="24"/>
          <w:szCs w:val="24"/>
        </w:rPr>
      </w:pPr>
    </w:p>
    <w:p w:rsidR="009A7818" w:rsidRDefault="009A7818" w:rsidP="009A7818">
      <w:pPr>
        <w:pStyle w:val="Heading5"/>
        <w:rPr>
          <w:caps/>
          <w:sz w:val="24"/>
          <w:szCs w:val="24"/>
        </w:rPr>
      </w:pPr>
      <w:r>
        <w:rPr>
          <w:sz w:val="24"/>
          <w:szCs w:val="24"/>
        </w:rPr>
        <w:t xml:space="preserve">CURRICULUM VITAE OF CHIEF JUSTICE </w:t>
      </w:r>
      <w:r>
        <w:rPr>
          <w:caps/>
          <w:sz w:val="24"/>
          <w:szCs w:val="24"/>
        </w:rPr>
        <w:t>Asraf ally caunhye</w:t>
      </w:r>
    </w:p>
    <w:p w:rsidR="009A7818" w:rsidRDefault="009A7818" w:rsidP="009A7818"/>
    <w:p w:rsidR="009A7818" w:rsidRDefault="009A7818" w:rsidP="009A7818">
      <w:pPr>
        <w:jc w:val="left"/>
        <w:rPr>
          <w:b/>
          <w:sz w:val="24"/>
          <w:szCs w:val="24"/>
          <w:u w:val="single"/>
        </w:rPr>
      </w:pPr>
    </w:p>
    <w:p w:rsidR="009A7818" w:rsidRDefault="009A7818" w:rsidP="009A7818">
      <w:pPr>
        <w:jc w:val="left"/>
        <w:rPr>
          <w:sz w:val="24"/>
          <w:szCs w:val="24"/>
        </w:rPr>
      </w:pPr>
      <w:r>
        <w:rPr>
          <w:b/>
          <w:sz w:val="24"/>
          <w:szCs w:val="24"/>
          <w:u w:val="single"/>
        </w:rPr>
        <w:t>NAME</w:t>
      </w:r>
      <w:r>
        <w:rPr>
          <w:b/>
          <w:sz w:val="24"/>
          <w:szCs w:val="24"/>
        </w:rPr>
        <w:tab/>
      </w:r>
      <w:r>
        <w:rPr>
          <w:b/>
          <w:sz w:val="24"/>
          <w:szCs w:val="24"/>
        </w:rPr>
        <w:tab/>
      </w:r>
      <w:r>
        <w:rPr>
          <w:b/>
          <w:sz w:val="24"/>
          <w:szCs w:val="24"/>
        </w:rPr>
        <w:tab/>
      </w:r>
      <w:r>
        <w:rPr>
          <w:b/>
          <w:sz w:val="24"/>
          <w:szCs w:val="24"/>
        </w:rPr>
        <w:tab/>
        <w:t xml:space="preserve">CAUNHYE </w:t>
      </w:r>
      <w:proofErr w:type="spellStart"/>
      <w:r>
        <w:rPr>
          <w:b/>
          <w:sz w:val="24"/>
          <w:szCs w:val="24"/>
        </w:rPr>
        <w:t>Asraf</w:t>
      </w:r>
      <w:proofErr w:type="spellEnd"/>
      <w:r>
        <w:rPr>
          <w:b/>
          <w:sz w:val="24"/>
          <w:szCs w:val="24"/>
        </w:rPr>
        <w:t xml:space="preserve"> Ally</w:t>
      </w:r>
    </w:p>
    <w:p w:rsidR="009A7818" w:rsidRDefault="009A7818" w:rsidP="009A7818">
      <w:pPr>
        <w:jc w:val="left"/>
        <w:rPr>
          <w:sz w:val="24"/>
          <w:szCs w:val="24"/>
        </w:rPr>
      </w:pPr>
    </w:p>
    <w:p w:rsidR="009A7818" w:rsidRDefault="009A7818" w:rsidP="009A7818">
      <w:pPr>
        <w:jc w:val="left"/>
        <w:rPr>
          <w:sz w:val="24"/>
          <w:szCs w:val="24"/>
        </w:rPr>
      </w:pPr>
      <w:r>
        <w:rPr>
          <w:b/>
          <w:sz w:val="24"/>
          <w:szCs w:val="24"/>
          <w:u w:val="single"/>
        </w:rPr>
        <w:t>DATE AND PLACE OF BIRTH</w:t>
      </w:r>
      <w:r>
        <w:rPr>
          <w:b/>
          <w:sz w:val="24"/>
          <w:szCs w:val="24"/>
        </w:rPr>
        <w:tab/>
        <w:t>18 November 1954 – Mauritius</w:t>
      </w:r>
    </w:p>
    <w:p w:rsidR="009A7818" w:rsidRDefault="009A7818" w:rsidP="009A7818">
      <w:pPr>
        <w:jc w:val="left"/>
        <w:rPr>
          <w:b/>
          <w:sz w:val="24"/>
          <w:szCs w:val="24"/>
        </w:rPr>
      </w:pPr>
    </w:p>
    <w:p w:rsidR="009A7818" w:rsidRDefault="009A7818" w:rsidP="009A7818">
      <w:pPr>
        <w:jc w:val="left"/>
        <w:rPr>
          <w:b/>
          <w:sz w:val="24"/>
          <w:szCs w:val="24"/>
        </w:rPr>
      </w:pPr>
      <w:r>
        <w:rPr>
          <w:b/>
          <w:sz w:val="24"/>
          <w:szCs w:val="24"/>
          <w:u w:val="single"/>
        </w:rPr>
        <w:t>NATIONALITY</w:t>
      </w:r>
      <w:r>
        <w:rPr>
          <w:b/>
          <w:sz w:val="24"/>
          <w:szCs w:val="24"/>
        </w:rPr>
        <w:tab/>
      </w:r>
      <w:r>
        <w:rPr>
          <w:b/>
          <w:sz w:val="24"/>
          <w:szCs w:val="24"/>
        </w:rPr>
        <w:tab/>
      </w:r>
      <w:r>
        <w:rPr>
          <w:b/>
          <w:sz w:val="24"/>
          <w:szCs w:val="24"/>
        </w:rPr>
        <w:tab/>
        <w:t>Mauritian</w:t>
      </w:r>
    </w:p>
    <w:p w:rsidR="009A7818" w:rsidRDefault="009A7818" w:rsidP="009A7818">
      <w:pPr>
        <w:jc w:val="left"/>
        <w:rPr>
          <w:b/>
          <w:bCs/>
          <w:sz w:val="24"/>
          <w:szCs w:val="24"/>
          <w:u w:val="single"/>
        </w:rPr>
      </w:pPr>
      <w:bookmarkStart w:id="0" w:name="_GoBack"/>
      <w:bookmarkEnd w:id="0"/>
    </w:p>
    <w:p w:rsidR="009A7818" w:rsidRDefault="009A7818" w:rsidP="009A7818">
      <w:pPr>
        <w:ind w:left="2880" w:hanging="2880"/>
        <w:jc w:val="left"/>
        <w:rPr>
          <w:b/>
          <w:bCs/>
          <w:sz w:val="24"/>
          <w:szCs w:val="24"/>
          <w:lang w:val="en-GB"/>
        </w:rPr>
      </w:pPr>
      <w:r>
        <w:rPr>
          <w:b/>
          <w:sz w:val="24"/>
          <w:szCs w:val="24"/>
          <w:u w:val="single"/>
        </w:rPr>
        <w:t>WORKING LANGUAGES</w:t>
      </w:r>
      <w:r>
        <w:rPr>
          <w:b/>
          <w:sz w:val="24"/>
          <w:szCs w:val="24"/>
          <w:u w:val="single"/>
        </w:rPr>
        <w:tab/>
      </w:r>
      <w:r>
        <w:rPr>
          <w:b/>
          <w:sz w:val="24"/>
          <w:szCs w:val="24"/>
        </w:rPr>
        <w:tab/>
      </w:r>
      <w:r>
        <w:rPr>
          <w:b/>
          <w:bCs/>
          <w:sz w:val="24"/>
          <w:szCs w:val="24"/>
          <w:lang w:val="en-GB"/>
        </w:rPr>
        <w:t>English and French</w:t>
      </w:r>
    </w:p>
    <w:p w:rsidR="009A7818" w:rsidRDefault="009A7818" w:rsidP="009A7818">
      <w:pPr>
        <w:jc w:val="left"/>
        <w:rPr>
          <w:b/>
          <w:bCs/>
          <w:sz w:val="24"/>
          <w:szCs w:val="24"/>
          <w:u w:val="single"/>
          <w:lang w:val="en-GB"/>
        </w:rPr>
      </w:pPr>
    </w:p>
    <w:p w:rsidR="009A7818" w:rsidRDefault="009A7818" w:rsidP="009A7818">
      <w:pPr>
        <w:jc w:val="left"/>
        <w:rPr>
          <w:b/>
          <w:bCs/>
          <w:sz w:val="24"/>
          <w:szCs w:val="24"/>
        </w:rPr>
      </w:pPr>
      <w:r>
        <w:rPr>
          <w:b/>
          <w:bCs/>
          <w:sz w:val="24"/>
          <w:szCs w:val="24"/>
          <w:u w:val="single"/>
          <w:lang w:val="en-GB"/>
        </w:rPr>
        <w:t>EDUCATION</w:t>
      </w:r>
      <w:r>
        <w:rPr>
          <w:b/>
          <w:bCs/>
          <w:sz w:val="24"/>
          <w:szCs w:val="24"/>
        </w:rPr>
        <w:tab/>
      </w:r>
      <w:r>
        <w:rPr>
          <w:b/>
          <w:bCs/>
          <w:sz w:val="24"/>
          <w:szCs w:val="24"/>
        </w:rPr>
        <w:tab/>
      </w:r>
      <w:r>
        <w:rPr>
          <w:b/>
          <w:bCs/>
          <w:sz w:val="24"/>
          <w:szCs w:val="24"/>
        </w:rPr>
        <w:tab/>
        <w:t xml:space="preserve">Barrister at law (1976) educated at the </w:t>
      </w:r>
    </w:p>
    <w:p w:rsidR="009A7818" w:rsidRDefault="009A7818" w:rsidP="009A7818">
      <w:pPr>
        <w:ind w:left="3600"/>
        <w:jc w:val="left"/>
        <w:rPr>
          <w:b/>
          <w:bCs/>
          <w:sz w:val="24"/>
          <w:szCs w:val="24"/>
        </w:rPr>
      </w:pPr>
      <w:r>
        <w:rPr>
          <w:b/>
          <w:bCs/>
          <w:sz w:val="24"/>
          <w:szCs w:val="24"/>
        </w:rPr>
        <w:t>University of London and The Middle Temple, London, UK</w:t>
      </w:r>
    </w:p>
    <w:p w:rsidR="009A7818" w:rsidRDefault="009A7818" w:rsidP="009A7818">
      <w:pPr>
        <w:ind w:left="2880" w:hanging="2880"/>
        <w:jc w:val="left"/>
        <w:rPr>
          <w:b/>
          <w:sz w:val="24"/>
          <w:szCs w:val="24"/>
        </w:rPr>
      </w:pPr>
      <w:r>
        <w:rPr>
          <w:b/>
          <w:sz w:val="24"/>
          <w:szCs w:val="24"/>
        </w:rPr>
        <w:tab/>
      </w:r>
      <w:r>
        <w:rPr>
          <w:b/>
          <w:sz w:val="24"/>
          <w:szCs w:val="24"/>
        </w:rPr>
        <w:tab/>
      </w:r>
    </w:p>
    <w:p w:rsidR="009A7818" w:rsidRDefault="009A7818" w:rsidP="009A7818">
      <w:pPr>
        <w:ind w:left="2880" w:hanging="2880"/>
        <w:jc w:val="both"/>
        <w:rPr>
          <w:bCs/>
          <w:sz w:val="24"/>
          <w:szCs w:val="24"/>
        </w:rPr>
      </w:pPr>
      <w:r>
        <w:rPr>
          <w:b/>
          <w:bCs/>
          <w:sz w:val="24"/>
          <w:szCs w:val="24"/>
          <w:u w:val="single"/>
        </w:rPr>
        <w:t>CURRENT POSITION(S)</w:t>
      </w:r>
      <w:r>
        <w:rPr>
          <w:b/>
          <w:bCs/>
          <w:sz w:val="24"/>
          <w:szCs w:val="24"/>
        </w:rPr>
        <w:tab/>
      </w:r>
      <w:proofErr w:type="spellStart"/>
      <w:r>
        <w:rPr>
          <w:bCs/>
          <w:sz w:val="24"/>
          <w:szCs w:val="24"/>
        </w:rPr>
        <w:t>Asraf</w:t>
      </w:r>
      <w:proofErr w:type="spellEnd"/>
      <w:r>
        <w:rPr>
          <w:bCs/>
          <w:sz w:val="24"/>
          <w:szCs w:val="24"/>
        </w:rPr>
        <w:t xml:space="preserve"> Ally </w:t>
      </w:r>
      <w:proofErr w:type="spellStart"/>
      <w:r>
        <w:rPr>
          <w:bCs/>
          <w:sz w:val="24"/>
          <w:szCs w:val="24"/>
        </w:rPr>
        <w:t>Caunhye</w:t>
      </w:r>
      <w:proofErr w:type="spellEnd"/>
      <w:r>
        <w:rPr>
          <w:bCs/>
          <w:sz w:val="24"/>
          <w:szCs w:val="24"/>
        </w:rPr>
        <w:t xml:space="preserve"> was the Chief Justice of the Supreme Court of Mauritius until 17 November 2021.  He was also the President of the Court of Criminal Appeal and of the Court of the Civil appeal.  He was the Head of the Judiciary and Chairperson of Judicial and Legal Service Commission which appoints Supreme Court Judges.</w:t>
      </w:r>
    </w:p>
    <w:p w:rsidR="009A7818" w:rsidRDefault="009A7818" w:rsidP="009A7818">
      <w:pPr>
        <w:ind w:left="2880" w:hanging="2880"/>
        <w:jc w:val="both"/>
        <w:rPr>
          <w:bCs/>
          <w:sz w:val="24"/>
          <w:szCs w:val="24"/>
        </w:rPr>
      </w:pPr>
    </w:p>
    <w:p w:rsidR="009A7818" w:rsidRDefault="009A7818" w:rsidP="009A7818">
      <w:pPr>
        <w:jc w:val="left"/>
        <w:rPr>
          <w:b/>
          <w:bCs/>
          <w:sz w:val="24"/>
          <w:szCs w:val="24"/>
          <w:u w:val="single"/>
        </w:rPr>
      </w:pPr>
      <w:r>
        <w:rPr>
          <w:b/>
          <w:bCs/>
          <w:sz w:val="24"/>
          <w:szCs w:val="24"/>
          <w:u w:val="single"/>
        </w:rPr>
        <w:t xml:space="preserve">PROFESSIONAL ACTIVITIES </w:t>
      </w:r>
    </w:p>
    <w:p w:rsidR="009A7818" w:rsidRDefault="009A7818" w:rsidP="009A7818">
      <w:pPr>
        <w:ind w:left="2880" w:hanging="2880"/>
        <w:jc w:val="left"/>
        <w:rPr>
          <w:b/>
          <w:bCs/>
          <w:sz w:val="24"/>
          <w:szCs w:val="24"/>
        </w:rPr>
      </w:pPr>
    </w:p>
    <w:p w:rsidR="009A7818" w:rsidRDefault="009A7818" w:rsidP="009A7818">
      <w:pPr>
        <w:jc w:val="both"/>
        <w:rPr>
          <w:bCs/>
          <w:sz w:val="24"/>
          <w:szCs w:val="24"/>
        </w:rPr>
      </w:pPr>
      <w:r>
        <w:rPr>
          <w:bCs/>
          <w:sz w:val="24"/>
          <w:szCs w:val="24"/>
        </w:rPr>
        <w:t>He has been serving as a Judge of the Supreme Court since 2001 and as Chief Justice until 17 November 2021.</w:t>
      </w:r>
    </w:p>
    <w:p w:rsidR="009A7818" w:rsidRDefault="009A7818" w:rsidP="009A7818">
      <w:pPr>
        <w:ind w:left="2880" w:hanging="2880"/>
        <w:jc w:val="both"/>
        <w:rPr>
          <w:bCs/>
          <w:sz w:val="24"/>
          <w:szCs w:val="24"/>
        </w:rPr>
      </w:pPr>
    </w:p>
    <w:p w:rsidR="009A7818" w:rsidRDefault="009A7818" w:rsidP="009A7818">
      <w:pPr>
        <w:jc w:val="both"/>
        <w:rPr>
          <w:bCs/>
          <w:sz w:val="24"/>
          <w:szCs w:val="24"/>
        </w:rPr>
      </w:pPr>
      <w:r>
        <w:rPr>
          <w:bCs/>
          <w:sz w:val="24"/>
          <w:szCs w:val="24"/>
        </w:rPr>
        <w:t>He has been actively involved in the practical implementation and enforcement of human rights for the past 45 years.  First, as a practicing member of the private bar from 1976 to 1982.  He then served as a Magistrate and Senior Magistrate from 1982 and 1986.</w:t>
      </w:r>
    </w:p>
    <w:p w:rsidR="009A7818" w:rsidRDefault="009A7818" w:rsidP="009A7818">
      <w:pPr>
        <w:ind w:left="2880" w:hanging="2880"/>
        <w:jc w:val="both"/>
        <w:rPr>
          <w:bCs/>
          <w:sz w:val="24"/>
          <w:szCs w:val="24"/>
        </w:rPr>
      </w:pPr>
    </w:p>
    <w:p w:rsidR="009A7818" w:rsidRDefault="009A7818" w:rsidP="009A7818">
      <w:pPr>
        <w:jc w:val="both"/>
        <w:rPr>
          <w:bCs/>
          <w:sz w:val="24"/>
          <w:szCs w:val="24"/>
        </w:rPr>
      </w:pPr>
      <w:r>
        <w:rPr>
          <w:bCs/>
          <w:sz w:val="24"/>
          <w:szCs w:val="24"/>
        </w:rPr>
        <w:t>From 1986 to 2001 he was posted at the Ministry of Justice and the Attorney General’s Office and he worked closely with Government Ministries and other organisations, in order to draft the periodic reports of Mauritius for the United Nations International Covenants on Human Rights.  As Parliamentary Counsel and Head of the legislative drafting department from 1998 to 2001, he drafted legislation for the setting up of the National Human Rights Commissions and for incorporating human rights norms in legislation dealing with environmental protection, protection of the child, protection from domestic violence, public health, social security, housing, education and employment.</w:t>
      </w:r>
    </w:p>
    <w:p w:rsidR="009A7818" w:rsidRDefault="009A7818" w:rsidP="009A7818">
      <w:pPr>
        <w:ind w:left="2880"/>
        <w:jc w:val="both"/>
        <w:rPr>
          <w:bCs/>
          <w:sz w:val="24"/>
          <w:szCs w:val="24"/>
        </w:rPr>
      </w:pPr>
    </w:p>
    <w:p w:rsidR="009A7818" w:rsidRDefault="009A7818" w:rsidP="009A7818">
      <w:pPr>
        <w:jc w:val="both"/>
        <w:rPr>
          <w:bCs/>
          <w:sz w:val="24"/>
          <w:szCs w:val="24"/>
        </w:rPr>
      </w:pPr>
      <w:r>
        <w:rPr>
          <w:bCs/>
          <w:sz w:val="24"/>
          <w:szCs w:val="24"/>
        </w:rPr>
        <w:t xml:space="preserve">He has also been engaged in the implementation of human rights both at Regional and International levels.  He has worked and interacted with a broad range of experts from UN bodies, the Commonwealth, </w:t>
      </w:r>
      <w:proofErr w:type="spellStart"/>
      <w:r>
        <w:rPr>
          <w:bCs/>
          <w:sz w:val="24"/>
          <w:szCs w:val="24"/>
        </w:rPr>
        <w:t>l’Organisation</w:t>
      </w:r>
      <w:proofErr w:type="spellEnd"/>
      <w:r>
        <w:rPr>
          <w:bCs/>
          <w:sz w:val="24"/>
          <w:szCs w:val="24"/>
        </w:rPr>
        <w:t xml:space="preserve"> </w:t>
      </w:r>
      <w:proofErr w:type="spellStart"/>
      <w:r>
        <w:rPr>
          <w:bCs/>
          <w:sz w:val="24"/>
          <w:szCs w:val="24"/>
        </w:rPr>
        <w:t>Internationale</w:t>
      </w:r>
      <w:proofErr w:type="spellEnd"/>
      <w:r>
        <w:rPr>
          <w:bCs/>
          <w:sz w:val="24"/>
          <w:szCs w:val="24"/>
        </w:rPr>
        <w:t xml:space="preserve"> de la Francophonie, the African Commission on Human Rights, Southern African development Community (SADC) and the South African Judges Commission.</w:t>
      </w:r>
    </w:p>
    <w:p w:rsidR="009A7818" w:rsidRDefault="009A7818" w:rsidP="009A7818">
      <w:pPr>
        <w:ind w:left="2880" w:hanging="2880"/>
        <w:jc w:val="left"/>
        <w:rPr>
          <w:bCs/>
          <w:sz w:val="24"/>
          <w:szCs w:val="24"/>
        </w:rPr>
      </w:pPr>
    </w:p>
    <w:p w:rsidR="009A7818" w:rsidRDefault="009A7818" w:rsidP="009A7818">
      <w:pPr>
        <w:ind w:left="2880" w:hanging="2880"/>
        <w:jc w:val="left"/>
        <w:rPr>
          <w:bCs/>
          <w:sz w:val="24"/>
          <w:szCs w:val="24"/>
        </w:rPr>
      </w:pPr>
    </w:p>
    <w:p w:rsidR="009A7818" w:rsidRDefault="009A7818" w:rsidP="009A7818">
      <w:pPr>
        <w:jc w:val="both"/>
        <w:rPr>
          <w:bCs/>
          <w:sz w:val="24"/>
          <w:szCs w:val="24"/>
        </w:rPr>
      </w:pPr>
      <w:r>
        <w:rPr>
          <w:bCs/>
          <w:sz w:val="24"/>
          <w:szCs w:val="24"/>
        </w:rPr>
        <w:lastRenderedPageBreak/>
        <w:t>He formed part of the working group for the drafting of the founding Charter of South African Judges Commission, Zanzibar (2003); He presented a paper on the promotion and protection of Human Rights at the 3</w:t>
      </w:r>
      <w:r>
        <w:rPr>
          <w:bCs/>
          <w:sz w:val="24"/>
          <w:szCs w:val="24"/>
          <w:vertAlign w:val="superscript"/>
        </w:rPr>
        <w:t>rd</w:t>
      </w:r>
      <w:r>
        <w:rPr>
          <w:bCs/>
          <w:sz w:val="24"/>
          <w:szCs w:val="24"/>
        </w:rPr>
        <w:t xml:space="preserve"> Conference of the Chefs </w:t>
      </w:r>
      <w:proofErr w:type="spellStart"/>
      <w:r>
        <w:rPr>
          <w:bCs/>
          <w:sz w:val="24"/>
          <w:szCs w:val="24"/>
        </w:rPr>
        <w:t>d’Institution</w:t>
      </w:r>
      <w:proofErr w:type="spellEnd"/>
      <w:r>
        <w:rPr>
          <w:bCs/>
          <w:sz w:val="24"/>
          <w:szCs w:val="24"/>
        </w:rPr>
        <w:t xml:space="preserve"> et de </w:t>
      </w:r>
      <w:proofErr w:type="spellStart"/>
      <w:r>
        <w:rPr>
          <w:bCs/>
          <w:sz w:val="24"/>
          <w:szCs w:val="24"/>
        </w:rPr>
        <w:t>l’Association</w:t>
      </w:r>
      <w:proofErr w:type="spellEnd"/>
      <w:r>
        <w:rPr>
          <w:bCs/>
          <w:sz w:val="24"/>
          <w:szCs w:val="24"/>
        </w:rPr>
        <w:t xml:space="preserve"> des </w:t>
      </w:r>
      <w:proofErr w:type="spellStart"/>
      <w:r>
        <w:rPr>
          <w:bCs/>
          <w:sz w:val="24"/>
          <w:szCs w:val="24"/>
        </w:rPr>
        <w:t>Cours</w:t>
      </w:r>
      <w:proofErr w:type="spellEnd"/>
      <w:r>
        <w:rPr>
          <w:bCs/>
          <w:sz w:val="24"/>
          <w:szCs w:val="24"/>
        </w:rPr>
        <w:t xml:space="preserve"> </w:t>
      </w:r>
      <w:proofErr w:type="spellStart"/>
      <w:r>
        <w:rPr>
          <w:bCs/>
          <w:sz w:val="24"/>
          <w:szCs w:val="24"/>
        </w:rPr>
        <w:t>Constitutionnelles</w:t>
      </w:r>
      <w:proofErr w:type="spellEnd"/>
      <w:r>
        <w:rPr>
          <w:bCs/>
          <w:sz w:val="24"/>
          <w:szCs w:val="24"/>
        </w:rPr>
        <w:t xml:space="preserve"> </w:t>
      </w:r>
      <w:proofErr w:type="spellStart"/>
      <w:r>
        <w:rPr>
          <w:bCs/>
          <w:sz w:val="24"/>
          <w:szCs w:val="24"/>
        </w:rPr>
        <w:t>ayant</w:t>
      </w:r>
      <w:proofErr w:type="spellEnd"/>
      <w:r>
        <w:rPr>
          <w:bCs/>
          <w:sz w:val="24"/>
          <w:szCs w:val="24"/>
        </w:rPr>
        <w:t xml:space="preserve"> </w:t>
      </w:r>
      <w:proofErr w:type="spellStart"/>
      <w:r>
        <w:rPr>
          <w:bCs/>
          <w:sz w:val="24"/>
          <w:szCs w:val="24"/>
        </w:rPr>
        <w:t>en</w:t>
      </w:r>
      <w:proofErr w:type="spellEnd"/>
      <w:r>
        <w:rPr>
          <w:bCs/>
          <w:sz w:val="24"/>
          <w:szCs w:val="24"/>
        </w:rPr>
        <w:t xml:space="preserve"> </w:t>
      </w:r>
      <w:proofErr w:type="spellStart"/>
      <w:r>
        <w:rPr>
          <w:bCs/>
          <w:sz w:val="24"/>
          <w:szCs w:val="24"/>
        </w:rPr>
        <w:t>Partage</w:t>
      </w:r>
      <w:proofErr w:type="spellEnd"/>
      <w:r>
        <w:rPr>
          <w:bCs/>
          <w:sz w:val="24"/>
          <w:szCs w:val="24"/>
        </w:rPr>
        <w:t xml:space="preserve"> </w:t>
      </w:r>
      <w:proofErr w:type="spellStart"/>
      <w:r>
        <w:rPr>
          <w:bCs/>
          <w:sz w:val="24"/>
          <w:szCs w:val="24"/>
        </w:rPr>
        <w:t>l’Usage</w:t>
      </w:r>
      <w:proofErr w:type="spellEnd"/>
      <w:r>
        <w:rPr>
          <w:bCs/>
          <w:sz w:val="24"/>
          <w:szCs w:val="24"/>
        </w:rPr>
        <w:t xml:space="preserve"> du </w:t>
      </w:r>
      <w:proofErr w:type="spellStart"/>
      <w:r>
        <w:rPr>
          <w:bCs/>
          <w:sz w:val="24"/>
          <w:szCs w:val="24"/>
        </w:rPr>
        <w:t>français</w:t>
      </w:r>
      <w:proofErr w:type="spellEnd"/>
      <w:r>
        <w:rPr>
          <w:bCs/>
          <w:sz w:val="24"/>
          <w:szCs w:val="24"/>
        </w:rPr>
        <w:t xml:space="preserve"> et le </w:t>
      </w:r>
      <w:proofErr w:type="spellStart"/>
      <w:r>
        <w:rPr>
          <w:bCs/>
          <w:sz w:val="24"/>
          <w:szCs w:val="24"/>
        </w:rPr>
        <w:t>Conseil</w:t>
      </w:r>
      <w:proofErr w:type="spellEnd"/>
      <w:r>
        <w:rPr>
          <w:bCs/>
          <w:sz w:val="24"/>
          <w:szCs w:val="24"/>
        </w:rPr>
        <w:t xml:space="preserve"> </w:t>
      </w:r>
      <w:proofErr w:type="spellStart"/>
      <w:r>
        <w:rPr>
          <w:bCs/>
          <w:sz w:val="24"/>
          <w:szCs w:val="24"/>
        </w:rPr>
        <w:t>Constitutionnel</w:t>
      </w:r>
      <w:proofErr w:type="spellEnd"/>
      <w:r>
        <w:rPr>
          <w:bCs/>
          <w:sz w:val="24"/>
          <w:szCs w:val="24"/>
        </w:rPr>
        <w:t xml:space="preserve"> in Djibouti (2002); He acted as Chairperson of the Experts’ Meeting of the First </w:t>
      </w:r>
      <w:proofErr w:type="spellStart"/>
      <w:r>
        <w:rPr>
          <w:bCs/>
          <w:sz w:val="24"/>
          <w:szCs w:val="24"/>
        </w:rPr>
        <w:t>Organisation</w:t>
      </w:r>
      <w:proofErr w:type="spellEnd"/>
      <w:r>
        <w:rPr>
          <w:bCs/>
          <w:sz w:val="24"/>
          <w:szCs w:val="24"/>
        </w:rPr>
        <w:t xml:space="preserve"> of African Unity (OAU) Ministerial Conference on Human Rights in Africa (1999).  He participated as an expert in the Human Rights Experts Meeting, Commonwealth Law Ministers Conference, Trinidad &amp; Tobago; He was in charge of the Human Rights Department in the Ministry of Justice and Human Rights (1997 – 2001); Presented a paper on Comparative Islamic and Civil Law, Rabat, Morocco (1997); He participated in the final drafting of SADC Treaty on Free Movement of Goods and Persons and on Extradition and Drug Trafficking, (Lesotho and Harare, Zimbabwe) (1996); and also participated as an expert in the </w:t>
      </w:r>
      <w:proofErr w:type="spellStart"/>
      <w:r>
        <w:rPr>
          <w:bCs/>
          <w:sz w:val="24"/>
          <w:szCs w:val="24"/>
        </w:rPr>
        <w:t>Réunion</w:t>
      </w:r>
      <w:proofErr w:type="spellEnd"/>
      <w:r>
        <w:rPr>
          <w:bCs/>
          <w:sz w:val="24"/>
          <w:szCs w:val="24"/>
        </w:rPr>
        <w:t xml:space="preserve"> </w:t>
      </w:r>
      <w:proofErr w:type="spellStart"/>
      <w:r>
        <w:rPr>
          <w:bCs/>
          <w:sz w:val="24"/>
          <w:szCs w:val="24"/>
        </w:rPr>
        <w:t>d’experts</w:t>
      </w:r>
      <w:proofErr w:type="spellEnd"/>
      <w:r>
        <w:rPr>
          <w:bCs/>
          <w:sz w:val="24"/>
          <w:szCs w:val="24"/>
        </w:rPr>
        <w:t xml:space="preserve"> de la Francophonie sur les Droits  de </w:t>
      </w:r>
      <w:proofErr w:type="spellStart"/>
      <w:r>
        <w:rPr>
          <w:bCs/>
          <w:sz w:val="24"/>
          <w:szCs w:val="24"/>
        </w:rPr>
        <w:t>l’homme</w:t>
      </w:r>
      <w:proofErr w:type="spellEnd"/>
      <w:r>
        <w:rPr>
          <w:bCs/>
          <w:sz w:val="24"/>
          <w:szCs w:val="24"/>
        </w:rPr>
        <w:t xml:space="preserve"> in </w:t>
      </w:r>
      <w:proofErr w:type="spellStart"/>
      <w:r>
        <w:rPr>
          <w:bCs/>
          <w:sz w:val="24"/>
          <w:szCs w:val="24"/>
        </w:rPr>
        <w:t>Bucarest</w:t>
      </w:r>
      <w:proofErr w:type="spellEnd"/>
      <w:r>
        <w:rPr>
          <w:bCs/>
          <w:sz w:val="24"/>
          <w:szCs w:val="24"/>
        </w:rPr>
        <w:t xml:space="preserve"> in </w:t>
      </w:r>
      <w:proofErr w:type="spellStart"/>
      <w:r>
        <w:rPr>
          <w:bCs/>
          <w:sz w:val="24"/>
          <w:szCs w:val="24"/>
        </w:rPr>
        <w:t>Septembre</w:t>
      </w:r>
      <w:proofErr w:type="spellEnd"/>
      <w:r>
        <w:rPr>
          <w:bCs/>
          <w:sz w:val="24"/>
          <w:szCs w:val="24"/>
        </w:rPr>
        <w:t xml:space="preserve">  and Cairo in November (1995); UN – UNITAR Fellow in International Law (1994); He has also been member of the National Law Revision Commission and Member of the Court of the University of Mauritius (1995 – 2000); Chairman of Mauritius Society of Authors (1994 – 1996); </w:t>
      </w:r>
      <w:r>
        <w:rPr>
          <w:bCs/>
          <w:sz w:val="24"/>
          <w:szCs w:val="24"/>
        </w:rPr>
        <w:tab/>
        <w:t>Secretary of the Bar Council (1990- 1992); Chairperson of Mauritius Magistrates’ Association (1984 – 1985) and Chairperson of Central Prisons Board (1983 – 1985)</w:t>
      </w:r>
    </w:p>
    <w:p w:rsidR="009A7818" w:rsidRDefault="009A7818" w:rsidP="009A7818">
      <w:pPr>
        <w:ind w:left="2880" w:hanging="2880"/>
        <w:jc w:val="left"/>
        <w:rPr>
          <w:bCs/>
          <w:sz w:val="24"/>
          <w:szCs w:val="24"/>
        </w:rPr>
      </w:pPr>
    </w:p>
    <w:p w:rsidR="009A7818" w:rsidRDefault="009A7818" w:rsidP="009A7818">
      <w:pPr>
        <w:jc w:val="left"/>
        <w:rPr>
          <w:bCs/>
          <w:sz w:val="24"/>
          <w:szCs w:val="24"/>
        </w:rPr>
      </w:pPr>
      <w:r>
        <w:rPr>
          <w:bCs/>
          <w:sz w:val="24"/>
          <w:szCs w:val="24"/>
        </w:rPr>
        <w:t>He has been a regular lecturer in Constitutional Law and Human Rights at the Council of Legal Education and the Institute of Judicial and Legal Studies</w:t>
      </w:r>
    </w:p>
    <w:p w:rsidR="009A7818" w:rsidRDefault="009A7818" w:rsidP="009A7818">
      <w:pPr>
        <w:suppressAutoHyphens/>
        <w:spacing w:before="240" w:line="240" w:lineRule="atLeast"/>
        <w:ind w:left="1134" w:right="1134"/>
        <w:jc w:val="center"/>
        <w:rPr>
          <w:sz w:val="24"/>
          <w:szCs w:val="24"/>
          <w:u w:val="single"/>
        </w:rPr>
      </w:pPr>
      <w:r>
        <w:rPr>
          <w:sz w:val="24"/>
          <w:szCs w:val="24"/>
          <w:u w:val="single"/>
        </w:rPr>
        <w:tab/>
      </w:r>
      <w:r>
        <w:rPr>
          <w:sz w:val="24"/>
          <w:szCs w:val="24"/>
          <w:u w:val="single"/>
        </w:rPr>
        <w:tab/>
      </w:r>
      <w:r>
        <w:rPr>
          <w:sz w:val="24"/>
          <w:szCs w:val="24"/>
          <w:u w:val="single"/>
        </w:rPr>
        <w:tab/>
      </w:r>
    </w:p>
    <w:p w:rsidR="009A7818" w:rsidRDefault="009A7818" w:rsidP="009A7818">
      <w:pPr>
        <w:ind w:left="2880" w:hanging="2880"/>
        <w:jc w:val="left"/>
        <w:rPr>
          <w:b/>
          <w:bCs/>
          <w:sz w:val="24"/>
          <w:szCs w:val="24"/>
        </w:rPr>
      </w:pPr>
    </w:p>
    <w:p w:rsidR="009A7818" w:rsidRDefault="009A7818" w:rsidP="009A7818">
      <w:pPr>
        <w:ind w:left="2880" w:hanging="2880"/>
        <w:jc w:val="left"/>
        <w:rPr>
          <w:bCs/>
          <w:sz w:val="24"/>
          <w:szCs w:val="24"/>
        </w:rPr>
      </w:pPr>
    </w:p>
    <w:p w:rsidR="009A7818" w:rsidRDefault="009A7818" w:rsidP="009A7818">
      <w:pPr>
        <w:ind w:left="2880" w:hanging="2880"/>
        <w:jc w:val="left"/>
        <w:rPr>
          <w:bCs/>
          <w:sz w:val="24"/>
          <w:szCs w:val="24"/>
        </w:rPr>
      </w:pPr>
      <w:r>
        <w:rPr>
          <w:bCs/>
          <w:sz w:val="24"/>
          <w:szCs w:val="24"/>
        </w:rPr>
        <w:tab/>
      </w:r>
    </w:p>
    <w:p w:rsidR="009A7818" w:rsidRDefault="009A7818" w:rsidP="009A7818">
      <w:pPr>
        <w:ind w:left="2880" w:hanging="2880"/>
        <w:jc w:val="left"/>
        <w:rPr>
          <w:bCs/>
          <w:sz w:val="24"/>
          <w:szCs w:val="24"/>
        </w:rPr>
      </w:pPr>
      <w:r>
        <w:rPr>
          <w:bCs/>
          <w:sz w:val="24"/>
          <w:szCs w:val="24"/>
        </w:rPr>
        <w:tab/>
      </w:r>
    </w:p>
    <w:p w:rsidR="009A7818" w:rsidRDefault="009A7818" w:rsidP="009A7818">
      <w:pPr>
        <w:suppressAutoHyphens/>
        <w:spacing w:before="240" w:line="240" w:lineRule="atLeast"/>
        <w:ind w:left="1134" w:right="1134"/>
        <w:jc w:val="center"/>
        <w:rPr>
          <w:sz w:val="24"/>
          <w:szCs w:val="24"/>
          <w:u w:val="single"/>
        </w:rPr>
      </w:pPr>
    </w:p>
    <w:p w:rsidR="009A7818" w:rsidRDefault="009A7818"/>
    <w:sectPr w:rsidR="009A78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18"/>
    <w:rsid w:val="00945304"/>
    <w:rsid w:val="009A7818"/>
    <w:rsid w:val="00AF4F8C"/>
    <w:rsid w:val="00C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E51ED-9F3F-47F7-98AD-730B28F6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818"/>
    <w:pPr>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ar-SA"/>
    </w:rPr>
  </w:style>
  <w:style w:type="paragraph" w:styleId="Heading5">
    <w:name w:val="heading 5"/>
    <w:basedOn w:val="Normal"/>
    <w:next w:val="Normal"/>
    <w:link w:val="Heading5Char"/>
    <w:semiHidden/>
    <w:unhideWhenUsed/>
    <w:qFormat/>
    <w:rsid w:val="009A7818"/>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9A7818"/>
    <w:rPr>
      <w:rFonts w:ascii="Times New Roman" w:eastAsia="Times New Roman" w:hAnsi="Times New Roman" w:cs="Times New Roman"/>
      <w:b/>
      <w:sz w:val="20"/>
      <w:szCs w:val="20"/>
      <w:u w:val="single"/>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90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AA0219-C991-4A96-AFC6-6B424E1B668D}"/>
</file>

<file path=customXml/itemProps2.xml><?xml version="1.0" encoding="utf-8"?>
<ds:datastoreItem xmlns:ds="http://schemas.openxmlformats.org/officeDocument/2006/customXml" ds:itemID="{0B26D27D-0BA9-4A59-B3EA-7516239B1EC6}"/>
</file>

<file path=customXml/itemProps3.xml><?xml version="1.0" encoding="utf-8"?>
<ds:datastoreItem xmlns:ds="http://schemas.openxmlformats.org/officeDocument/2006/customXml" ds:itemID="{94697B6D-F2D3-4016-B549-F4B5E345D5C1}"/>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REYNAUD Céline</cp:lastModifiedBy>
  <cp:revision>3</cp:revision>
  <dcterms:created xsi:type="dcterms:W3CDTF">2021-12-16T13:22:00Z</dcterms:created>
  <dcterms:modified xsi:type="dcterms:W3CDTF">2021-12-16T13:23:00Z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