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355C" w14:textId="77777777" w:rsidR="005C7C11" w:rsidRDefault="005C7C11" w:rsidP="00AC4B0D">
      <w:pPr>
        <w:spacing w:after="0"/>
        <w:jc w:val="center"/>
        <w:rPr>
          <w:rFonts w:eastAsia="DengXian"/>
          <w:b/>
          <w:bCs/>
          <w:sz w:val="24"/>
          <w:szCs w:val="24"/>
          <w:lang w:val="en-US"/>
        </w:rPr>
      </w:pPr>
    </w:p>
    <w:p w14:paraId="640DAB85" w14:textId="0A1EFA2A" w:rsidR="00E62E53" w:rsidRDefault="00E62E53" w:rsidP="00AC4B0D">
      <w:pPr>
        <w:spacing w:after="0"/>
        <w:jc w:val="center"/>
        <w:rPr>
          <w:rFonts w:eastAsia="DengXian"/>
          <w:b/>
          <w:bCs/>
          <w:sz w:val="24"/>
          <w:szCs w:val="24"/>
          <w:lang w:val="en-US"/>
        </w:rPr>
      </w:pPr>
    </w:p>
    <w:p w14:paraId="08CA5336" w14:textId="6A70016F" w:rsidR="001E608F" w:rsidRPr="001E608F" w:rsidRDefault="001E608F" w:rsidP="001E608F">
      <w:pPr>
        <w:spacing w:after="0" w:line="240" w:lineRule="auto"/>
        <w:jc w:val="center"/>
        <w:rPr>
          <w:rFonts w:ascii="Calibri" w:eastAsia="Arial" w:hAnsi="Calibri" w:cs="Calibri"/>
          <w:b/>
          <w:bCs/>
          <w:color w:val="000000"/>
          <w:sz w:val="28"/>
          <w:szCs w:val="28"/>
          <w:lang w:val="en-GB" w:eastAsia="zh-TW"/>
        </w:rPr>
      </w:pPr>
      <w:bookmarkStart w:id="0" w:name="_heading=h.gjdgxs" w:colFirst="0" w:colLast="0"/>
      <w:bookmarkEnd w:id="0"/>
      <w:r w:rsidRPr="001E608F">
        <w:rPr>
          <w:rFonts w:ascii="Calibri" w:eastAsia="Arial" w:hAnsi="Calibri" w:cs="Calibri"/>
          <w:b/>
          <w:bCs/>
          <w:color w:val="000000"/>
          <w:sz w:val="28"/>
          <w:szCs w:val="28"/>
          <w:lang w:val="en-GB" w:eastAsia="zh-TW"/>
        </w:rPr>
        <w:t>H</w:t>
      </w:r>
      <w:r>
        <w:rPr>
          <w:rFonts w:ascii="Calibri" w:eastAsia="Arial" w:hAnsi="Calibri" w:cs="Calibri"/>
          <w:b/>
          <w:bCs/>
          <w:color w:val="000000"/>
          <w:sz w:val="28"/>
          <w:szCs w:val="28"/>
          <w:lang w:val="en-GB" w:eastAsia="zh-TW"/>
        </w:rPr>
        <w:t>IGH</w:t>
      </w:r>
      <w:r w:rsidRPr="001E608F">
        <w:rPr>
          <w:rFonts w:ascii="Calibri" w:eastAsia="Arial" w:hAnsi="Calibri" w:cs="Calibri"/>
          <w:b/>
          <w:bCs/>
          <w:color w:val="000000"/>
          <w:sz w:val="28"/>
          <w:szCs w:val="28"/>
          <w:lang w:val="en-GB" w:eastAsia="zh-TW"/>
        </w:rPr>
        <w:t xml:space="preserve"> EVIDENTIARY THRESHOLDS IN FAMILY REUNIFICATION PROCEDURES THREATENING THE RIGHTS OF REFUGEE CHILDREN</w:t>
      </w:r>
    </w:p>
    <w:p w14:paraId="54E6ED72" w14:textId="77777777" w:rsidR="001E608F" w:rsidRPr="001E608F" w:rsidRDefault="001E608F" w:rsidP="001E608F">
      <w:pPr>
        <w:spacing w:after="0" w:line="240" w:lineRule="auto"/>
        <w:jc w:val="center"/>
        <w:rPr>
          <w:rFonts w:ascii="Calibri" w:eastAsia="Calibri" w:hAnsi="Calibri" w:cs="Calibri"/>
          <w:b/>
          <w:sz w:val="28"/>
          <w:szCs w:val="28"/>
          <w:highlight w:val="yellow"/>
          <w:lang w:val="en-GB" w:eastAsia="zh-TW"/>
        </w:rPr>
      </w:pPr>
    </w:p>
    <w:p w14:paraId="3A301C69" w14:textId="77777777" w:rsidR="001E608F" w:rsidRPr="001E608F" w:rsidRDefault="001E608F" w:rsidP="001E608F">
      <w:pPr>
        <w:spacing w:after="0" w:line="240" w:lineRule="auto"/>
        <w:jc w:val="center"/>
        <w:rPr>
          <w:rFonts w:ascii="Calibri" w:eastAsia="Calibri" w:hAnsi="Calibri" w:cs="Calibri"/>
          <w:b/>
          <w:sz w:val="24"/>
          <w:szCs w:val="24"/>
          <w:lang w:val="en-GB" w:eastAsia="zh-TW"/>
        </w:rPr>
      </w:pPr>
      <w:r w:rsidRPr="001E608F">
        <w:rPr>
          <w:rFonts w:ascii="Calibri" w:eastAsia="Calibri" w:hAnsi="Calibri" w:cs="Calibri"/>
          <w:b/>
          <w:sz w:val="24"/>
          <w:szCs w:val="24"/>
          <w:lang w:val="en-GB" w:eastAsia="zh-TW"/>
        </w:rPr>
        <w:t xml:space="preserve">Submission to the Office of the United Nations High Commissioner for Human Rights </w:t>
      </w:r>
    </w:p>
    <w:p w14:paraId="62BEB47F" w14:textId="77777777" w:rsidR="001E608F" w:rsidRPr="001E608F" w:rsidRDefault="001E608F" w:rsidP="001E608F">
      <w:pPr>
        <w:spacing w:after="0" w:line="240" w:lineRule="auto"/>
        <w:jc w:val="center"/>
        <w:rPr>
          <w:rFonts w:ascii="Calibri" w:eastAsia="Calibri" w:hAnsi="Calibri" w:cs="Calibri"/>
          <w:sz w:val="24"/>
          <w:szCs w:val="24"/>
          <w:lang w:val="en-GB" w:eastAsia="zh-TW"/>
        </w:rPr>
      </w:pPr>
    </w:p>
    <w:p w14:paraId="491F497F" w14:textId="77777777" w:rsidR="001E608F" w:rsidRPr="001E608F" w:rsidRDefault="001E608F" w:rsidP="001E608F">
      <w:pPr>
        <w:spacing w:after="0" w:line="240" w:lineRule="auto"/>
        <w:jc w:val="center"/>
        <w:rPr>
          <w:rFonts w:ascii="Calibri" w:eastAsia="Calibri" w:hAnsi="Calibri" w:cs="Calibri"/>
          <w:sz w:val="24"/>
          <w:szCs w:val="24"/>
          <w:lang w:val="en-GB" w:eastAsia="zh-TW"/>
        </w:rPr>
      </w:pPr>
      <w:r w:rsidRPr="001E608F">
        <w:rPr>
          <w:rFonts w:ascii="Calibri" w:eastAsia="Calibri" w:hAnsi="Calibri" w:cs="Calibri"/>
          <w:sz w:val="24"/>
          <w:szCs w:val="24"/>
          <w:lang w:val="en-GB" w:eastAsia="zh-TW"/>
        </w:rPr>
        <w:t xml:space="preserve">By Equal Rights Beyond Borders and the International Refugee Assistance Project </w:t>
      </w:r>
    </w:p>
    <w:p w14:paraId="5053736A" w14:textId="77777777" w:rsidR="001E608F" w:rsidRPr="001E608F" w:rsidRDefault="001E608F" w:rsidP="001E608F">
      <w:pPr>
        <w:spacing w:after="0" w:line="240" w:lineRule="auto"/>
        <w:jc w:val="center"/>
        <w:rPr>
          <w:rFonts w:ascii="Calibri" w:eastAsia="Calibri" w:hAnsi="Calibri" w:cs="Calibri"/>
          <w:b/>
          <w:sz w:val="24"/>
          <w:szCs w:val="24"/>
          <w:lang w:val="en-GB" w:eastAsia="zh-TW"/>
        </w:rPr>
      </w:pPr>
    </w:p>
    <w:p w14:paraId="2C7F8107" w14:textId="77777777" w:rsidR="001E608F" w:rsidRPr="001E608F" w:rsidRDefault="001E608F" w:rsidP="001E608F">
      <w:pPr>
        <w:spacing w:after="0" w:line="240" w:lineRule="auto"/>
        <w:jc w:val="center"/>
        <w:rPr>
          <w:rFonts w:ascii="Calibri" w:eastAsia="Calibri" w:hAnsi="Calibri" w:cs="Calibri"/>
          <w:b/>
          <w:sz w:val="24"/>
          <w:szCs w:val="24"/>
          <w:lang w:val="en-GB" w:eastAsia="zh-TW"/>
        </w:rPr>
      </w:pPr>
      <w:r w:rsidRPr="001E608F">
        <w:rPr>
          <w:rFonts w:ascii="Calibri" w:eastAsia="Calibri" w:hAnsi="Calibri" w:cs="Calibri"/>
          <w:b/>
          <w:sz w:val="24"/>
          <w:szCs w:val="24"/>
          <w:lang w:val="en-GB" w:eastAsia="zh-TW"/>
        </w:rPr>
        <w:t>27 October 2021</w:t>
      </w:r>
    </w:p>
    <w:p w14:paraId="3285A304" w14:textId="77777777" w:rsidR="001E608F" w:rsidRPr="001E608F" w:rsidRDefault="001E608F" w:rsidP="001E608F">
      <w:pPr>
        <w:spacing w:after="0" w:line="240" w:lineRule="auto"/>
        <w:jc w:val="both"/>
        <w:rPr>
          <w:rFonts w:ascii="Calibri" w:eastAsia="Calibri" w:hAnsi="Calibri" w:cs="Calibri"/>
          <w:sz w:val="24"/>
          <w:szCs w:val="24"/>
          <w:lang w:val="en-GB" w:eastAsia="zh-TW"/>
        </w:rPr>
      </w:pPr>
    </w:p>
    <w:p w14:paraId="25874E1B" w14:textId="77777777" w:rsidR="00E62E53" w:rsidRPr="00545E2D" w:rsidRDefault="00E62E53" w:rsidP="00206A12">
      <w:pPr>
        <w:spacing w:after="0"/>
        <w:jc w:val="center"/>
        <w:rPr>
          <w:rFonts w:eastAsia="DengXian"/>
          <w:b/>
          <w:bCs/>
          <w:sz w:val="32"/>
          <w:szCs w:val="32"/>
          <w:lang w:val="en-US"/>
        </w:rPr>
      </w:pPr>
    </w:p>
    <w:p w14:paraId="1A586BD9" w14:textId="77777777" w:rsidR="001E608F" w:rsidRPr="001E608F" w:rsidRDefault="001E608F" w:rsidP="001E608F">
      <w:pPr>
        <w:spacing w:after="0" w:line="240" w:lineRule="auto"/>
        <w:jc w:val="both"/>
        <w:rPr>
          <w:rFonts w:ascii="Calibri" w:eastAsia="Calibri" w:hAnsi="Calibri" w:cs="Calibri"/>
          <w:sz w:val="24"/>
          <w:szCs w:val="24"/>
          <w:lang w:val="en-GB" w:eastAsia="zh-TW"/>
        </w:rPr>
      </w:pPr>
      <w:r w:rsidRPr="001E608F">
        <w:rPr>
          <w:rFonts w:ascii="Calibri" w:eastAsia="Calibri" w:hAnsi="Calibri" w:cs="Calibri"/>
          <w:sz w:val="24"/>
          <w:szCs w:val="24"/>
          <w:lang w:val="en-GB" w:eastAsia="zh-TW"/>
        </w:rPr>
        <w:t>This is a joint submission by Equal Rights Beyond Borders (Equal Rights) and the International Refugee Assistance Project (IRAP). The submission is co-authored by Dr Daniel Mekonnen</w:t>
      </w:r>
      <w:r w:rsidRPr="001E608F">
        <w:rPr>
          <w:rFonts w:ascii="Calibri" w:eastAsia="Calibri" w:hAnsi="Calibri" w:cs="Calibri"/>
          <w:sz w:val="24"/>
          <w:szCs w:val="24"/>
          <w:vertAlign w:val="superscript"/>
          <w:lang w:val="en-GB" w:eastAsia="zh-TW"/>
        </w:rPr>
        <w:footnoteReference w:id="1"/>
      </w:r>
      <w:r w:rsidRPr="001E608F">
        <w:rPr>
          <w:rFonts w:ascii="Calibri" w:eastAsia="Calibri" w:hAnsi="Calibri" w:cs="Calibri"/>
          <w:sz w:val="24"/>
          <w:szCs w:val="24"/>
          <w:lang w:val="en-GB" w:eastAsia="zh-TW"/>
        </w:rPr>
        <w:t xml:space="preserve"> and Sara Palacios-Arapiles,</w:t>
      </w:r>
      <w:r w:rsidRPr="001E608F">
        <w:rPr>
          <w:rFonts w:ascii="Calibri" w:eastAsia="Calibri" w:hAnsi="Calibri" w:cs="Calibri"/>
          <w:sz w:val="24"/>
          <w:szCs w:val="24"/>
          <w:vertAlign w:val="superscript"/>
          <w:lang w:val="en-GB" w:eastAsia="zh-TW"/>
        </w:rPr>
        <w:footnoteReference w:id="2"/>
      </w:r>
      <w:r w:rsidRPr="001E608F">
        <w:rPr>
          <w:rFonts w:ascii="Calibri" w:eastAsia="Calibri" w:hAnsi="Calibri" w:cs="Calibri"/>
          <w:sz w:val="24"/>
          <w:szCs w:val="24"/>
          <w:lang w:val="en-GB" w:eastAsia="zh-TW"/>
        </w:rPr>
        <w:t xml:space="preserve"> acting as independent consultants </w:t>
      </w:r>
      <w:proofErr w:type="gramStart"/>
      <w:r w:rsidRPr="001E608F">
        <w:rPr>
          <w:rFonts w:ascii="Calibri" w:eastAsia="Calibri" w:hAnsi="Calibri" w:cs="Calibri"/>
          <w:sz w:val="24"/>
          <w:szCs w:val="24"/>
          <w:lang w:val="en-GB" w:eastAsia="zh-TW"/>
        </w:rPr>
        <w:t>on the basis of</w:t>
      </w:r>
      <w:proofErr w:type="gramEnd"/>
      <w:r w:rsidRPr="001E608F">
        <w:rPr>
          <w:rFonts w:ascii="Calibri" w:eastAsia="Calibri" w:hAnsi="Calibri" w:cs="Calibri"/>
          <w:sz w:val="24"/>
          <w:szCs w:val="24"/>
          <w:lang w:val="en-GB" w:eastAsia="zh-TW"/>
        </w:rPr>
        <w:t xml:space="preserve"> instruction received from the two organisations. The submission builds on some major findings and conclusions of a previous consultancy work (hereinafter ‘the Expert Report’) Mekonnen and Palacios-Arapiles wrote for the two organisations in April 2021.</w:t>
      </w:r>
      <w:r w:rsidRPr="001E608F">
        <w:rPr>
          <w:rFonts w:ascii="Calibri" w:eastAsia="Calibri" w:hAnsi="Calibri" w:cs="Calibri"/>
          <w:sz w:val="24"/>
          <w:szCs w:val="24"/>
          <w:vertAlign w:val="superscript"/>
          <w:lang w:val="en-GB" w:eastAsia="zh-TW"/>
        </w:rPr>
        <w:footnoteReference w:id="3"/>
      </w:r>
      <w:sdt>
        <w:sdtPr>
          <w:rPr>
            <w:rFonts w:ascii="Times New Roman" w:eastAsia="Times New Roman" w:hAnsi="Times New Roman" w:cs="Times New Roman"/>
            <w:sz w:val="24"/>
            <w:szCs w:val="24"/>
            <w:lang w:val="en-GB" w:eastAsia="zh-TW"/>
          </w:rPr>
          <w:tag w:val="goog_rdk_8"/>
          <w:id w:val="-1759895259"/>
          <w:showingPlcHdr/>
        </w:sdtPr>
        <w:sdtContent>
          <w:r w:rsidRPr="001E608F">
            <w:rPr>
              <w:rFonts w:ascii="Times New Roman" w:eastAsia="Times New Roman" w:hAnsi="Times New Roman" w:cs="Times New Roman"/>
              <w:sz w:val="24"/>
              <w:szCs w:val="24"/>
              <w:lang w:val="en-GB" w:eastAsia="zh-TW"/>
            </w:rPr>
            <w:t xml:space="preserve">     </w:t>
          </w:r>
        </w:sdtContent>
      </w:sdt>
    </w:p>
    <w:sdt>
      <w:sdtPr>
        <w:rPr>
          <w:rFonts w:ascii="Times New Roman" w:eastAsia="Times New Roman" w:hAnsi="Times New Roman" w:cs="Times New Roman"/>
          <w:sz w:val="24"/>
          <w:szCs w:val="24"/>
          <w:lang w:val="en-GB" w:eastAsia="zh-TW"/>
        </w:rPr>
        <w:tag w:val="goog_rdk_11"/>
        <w:id w:val="-107665590"/>
      </w:sdtPr>
      <w:sdtContent>
        <w:p w14:paraId="4D2E2000" w14:textId="77777777" w:rsidR="001E608F" w:rsidRPr="001E608F" w:rsidRDefault="001E608F" w:rsidP="001E608F">
          <w:pPr>
            <w:spacing w:after="0" w:line="240" w:lineRule="auto"/>
            <w:jc w:val="both"/>
            <w:rPr>
              <w:rFonts w:ascii="Calibri" w:eastAsia="Calibri" w:hAnsi="Calibri" w:cs="Calibri"/>
              <w:sz w:val="24"/>
              <w:szCs w:val="24"/>
              <w:lang w:val="en-GB" w:eastAsia="zh-TW"/>
            </w:rPr>
          </w:pPr>
          <w:sdt>
            <w:sdtPr>
              <w:rPr>
                <w:rFonts w:ascii="Times New Roman" w:eastAsia="Times New Roman" w:hAnsi="Times New Roman" w:cs="Times New Roman"/>
                <w:sz w:val="24"/>
                <w:szCs w:val="24"/>
                <w:lang w:val="en-GB" w:eastAsia="zh-TW"/>
              </w:rPr>
              <w:tag w:val="goog_rdk_10"/>
              <w:id w:val="755716734"/>
            </w:sdtPr>
            <w:sdtContent/>
          </w:sdt>
        </w:p>
      </w:sdtContent>
    </w:sdt>
    <w:p w14:paraId="7D8E745E" w14:textId="77777777" w:rsidR="001E608F" w:rsidRPr="001E608F" w:rsidRDefault="001E608F" w:rsidP="001E608F">
      <w:pPr>
        <w:spacing w:after="0" w:line="240" w:lineRule="auto"/>
        <w:jc w:val="both"/>
        <w:rPr>
          <w:rFonts w:ascii="Calibri" w:eastAsia="Calibri" w:hAnsi="Calibri" w:cs="Calibri"/>
          <w:sz w:val="24"/>
          <w:szCs w:val="24"/>
          <w:lang w:val="en-GB" w:eastAsia="zh-TW"/>
        </w:rPr>
      </w:pPr>
      <w:r w:rsidRPr="001E608F">
        <w:rPr>
          <w:rFonts w:ascii="Calibri" w:eastAsia="Calibri" w:hAnsi="Calibri" w:cs="Calibri"/>
          <w:sz w:val="24"/>
          <w:szCs w:val="24"/>
          <w:lang w:val="en-GB" w:eastAsia="zh-TW"/>
        </w:rPr>
        <w:t>The Expert Report was initiated against the background of an increasing number of rejections of family reunification applications from East Africa.</w:t>
      </w:r>
      <w:r w:rsidRPr="001E608F">
        <w:rPr>
          <w:rFonts w:ascii="Calibri" w:eastAsia="Calibri" w:hAnsi="Calibri" w:cs="Calibri"/>
          <w:sz w:val="24"/>
          <w:szCs w:val="24"/>
          <w:vertAlign w:val="superscript"/>
          <w:lang w:val="en-GB" w:eastAsia="zh-TW"/>
        </w:rPr>
        <w:footnoteReference w:id="4"/>
      </w:r>
      <w:r w:rsidRPr="001E608F">
        <w:rPr>
          <w:rFonts w:ascii="Calibri" w:eastAsia="Calibri" w:hAnsi="Calibri" w:cs="Calibri"/>
          <w:sz w:val="24"/>
          <w:szCs w:val="24"/>
          <w:lang w:val="en-GB" w:eastAsia="zh-TW"/>
        </w:rPr>
        <w:t xml:space="preserve"> Due to their practical experience in representing a high number of individuals in their family reunification procedures (especially unaccompanied minors aiming to reunify with their parents in the EU), Equal Rights and IRAP had identified the lack of official documentation to be the main reason for rejections. It was therefore found to be necessary to initiate in-depth research on the practical possibilities for refugees to obtain official documentation.</w:t>
      </w:r>
    </w:p>
    <w:p w14:paraId="5D132837" w14:textId="77777777" w:rsidR="001E608F" w:rsidRPr="001E608F" w:rsidRDefault="001E608F" w:rsidP="001E608F">
      <w:pPr>
        <w:spacing w:after="0" w:line="240" w:lineRule="auto"/>
        <w:jc w:val="both"/>
        <w:rPr>
          <w:rFonts w:ascii="Calibri" w:eastAsia="Calibri" w:hAnsi="Calibri" w:cs="Calibri"/>
          <w:sz w:val="24"/>
          <w:szCs w:val="24"/>
          <w:lang w:val="en-GB" w:eastAsia="zh-TW"/>
        </w:rPr>
      </w:pPr>
    </w:p>
    <w:p w14:paraId="42FABFBD" w14:textId="77777777" w:rsidR="001E608F" w:rsidRPr="001E608F" w:rsidRDefault="001E608F" w:rsidP="001E608F">
      <w:pPr>
        <w:spacing w:after="0" w:line="240" w:lineRule="auto"/>
        <w:jc w:val="both"/>
        <w:rPr>
          <w:rFonts w:ascii="Calibri" w:eastAsia="Calibri" w:hAnsi="Calibri" w:cs="Calibri"/>
          <w:sz w:val="24"/>
          <w:szCs w:val="24"/>
          <w:lang w:val="en-GB" w:eastAsia="zh-TW"/>
        </w:rPr>
      </w:pPr>
      <w:r w:rsidRPr="001E608F">
        <w:rPr>
          <w:rFonts w:ascii="Calibri" w:eastAsia="Calibri" w:hAnsi="Calibri" w:cs="Calibri"/>
          <w:sz w:val="24"/>
          <w:szCs w:val="24"/>
          <w:lang w:val="en-GB" w:eastAsia="zh-TW"/>
        </w:rPr>
        <w:t xml:space="preserve">In preparation of the Expert Report the authors conducted semi-structured interviews with a total of 39 interlocutors located in the following countries: Canada, Egypt, Ethiopia, Germany, </w:t>
      </w:r>
      <w:r w:rsidRPr="001E608F">
        <w:rPr>
          <w:rFonts w:ascii="Calibri" w:eastAsia="Calibri" w:hAnsi="Calibri" w:cs="Calibri"/>
          <w:sz w:val="24"/>
          <w:szCs w:val="24"/>
          <w:lang w:val="en-GB" w:eastAsia="zh-TW"/>
        </w:rPr>
        <w:lastRenderedPageBreak/>
        <w:t>Kenya, the Netherlands, Norway, Sudan, Sweden, Switzerland, the UK, the USA, and Uganda. The interviewees included: asylum seekers and refugees in cross-border situations, as well as legal professionals (former judges and public prosecutors), diplomats, asylum lawyers, academics, and staff members and representatives of independent organisations working for the protection of refugee rights.</w:t>
      </w:r>
    </w:p>
    <w:p w14:paraId="289A95DF" w14:textId="77777777" w:rsidR="001E608F" w:rsidRPr="001E608F" w:rsidRDefault="001E608F" w:rsidP="001E608F">
      <w:pPr>
        <w:spacing w:after="0" w:line="240" w:lineRule="auto"/>
        <w:jc w:val="both"/>
        <w:rPr>
          <w:rFonts w:ascii="Calibri" w:eastAsia="Calibri" w:hAnsi="Calibri" w:cs="Calibri"/>
          <w:sz w:val="24"/>
          <w:szCs w:val="24"/>
          <w:lang w:val="en-GB" w:eastAsia="zh-TW"/>
        </w:rPr>
      </w:pPr>
    </w:p>
    <w:p w14:paraId="4D74482E" w14:textId="77777777" w:rsidR="001E608F" w:rsidRPr="001E608F" w:rsidRDefault="001E608F" w:rsidP="001E608F">
      <w:pPr>
        <w:spacing w:after="0" w:line="240" w:lineRule="auto"/>
        <w:jc w:val="both"/>
        <w:rPr>
          <w:rFonts w:ascii="Calibri" w:eastAsia="Calibri" w:hAnsi="Calibri" w:cs="Calibri"/>
          <w:sz w:val="24"/>
          <w:szCs w:val="24"/>
          <w:lang w:val="en-GB" w:eastAsia="zh-TW"/>
        </w:rPr>
      </w:pPr>
      <w:sdt>
        <w:sdtPr>
          <w:rPr>
            <w:rFonts w:ascii="Times New Roman" w:eastAsia="Times New Roman" w:hAnsi="Times New Roman" w:cs="Times New Roman"/>
            <w:sz w:val="24"/>
            <w:szCs w:val="24"/>
            <w:lang w:val="en-GB" w:eastAsia="zh-TW"/>
          </w:rPr>
          <w:tag w:val="goog_rdk_14"/>
          <w:id w:val="683097827"/>
        </w:sdtPr>
        <w:sdtContent>
          <w:r w:rsidRPr="001E608F">
            <w:rPr>
              <w:rFonts w:ascii="Calibri" w:eastAsia="Calibri" w:hAnsi="Calibri" w:cs="Calibri"/>
              <w:sz w:val="24"/>
              <w:szCs w:val="24"/>
              <w:lang w:val="en-GB" w:eastAsia="zh-TW"/>
            </w:rPr>
            <w:t>T</w:t>
          </w:r>
        </w:sdtContent>
      </w:sdt>
      <w:r w:rsidRPr="001E608F">
        <w:rPr>
          <w:rFonts w:ascii="Calibri" w:eastAsia="Calibri" w:hAnsi="Calibri" w:cs="Calibri"/>
          <w:sz w:val="24"/>
          <w:szCs w:val="24"/>
          <w:lang w:val="en-GB" w:eastAsia="zh-TW"/>
        </w:rPr>
        <w:t xml:space="preserve">he primary focus of the Expert Report was on the </w:t>
      </w:r>
      <w:sdt>
        <w:sdtPr>
          <w:rPr>
            <w:rFonts w:ascii="Times New Roman" w:eastAsia="Times New Roman" w:hAnsi="Times New Roman" w:cs="Times New Roman"/>
            <w:sz w:val="24"/>
            <w:szCs w:val="24"/>
            <w:lang w:val="en-GB" w:eastAsia="zh-TW"/>
          </w:rPr>
          <w:tag w:val="goog_rdk_16"/>
          <w:id w:val="87824592"/>
        </w:sdtPr>
        <w:sdtContent/>
      </w:sdt>
      <w:r w:rsidRPr="001E608F">
        <w:rPr>
          <w:rFonts w:ascii="Calibri" w:eastAsia="Calibri" w:hAnsi="Calibri" w:cs="Calibri"/>
          <w:sz w:val="24"/>
          <w:szCs w:val="24"/>
          <w:lang w:val="en-GB" w:eastAsia="zh-TW"/>
        </w:rPr>
        <w:t xml:space="preserve">challenges and security risks that Eritrean refugees and asylum seekers face when trying to meet the documentation requirements demanded by some EU Member States, including Germany, to prove their identity and family link </w:t>
      </w:r>
      <w:proofErr w:type="gramStart"/>
      <w:r w:rsidRPr="001E608F">
        <w:rPr>
          <w:rFonts w:ascii="Calibri" w:eastAsia="Calibri" w:hAnsi="Calibri" w:cs="Calibri"/>
          <w:sz w:val="24"/>
          <w:szCs w:val="24"/>
          <w:lang w:val="en-GB" w:eastAsia="zh-TW"/>
        </w:rPr>
        <w:t>in the course of</w:t>
      </w:r>
      <w:proofErr w:type="gramEnd"/>
      <w:r w:rsidRPr="001E608F">
        <w:rPr>
          <w:rFonts w:ascii="Calibri" w:eastAsia="Calibri" w:hAnsi="Calibri" w:cs="Calibri"/>
          <w:sz w:val="24"/>
          <w:szCs w:val="24"/>
          <w:lang w:val="en-GB" w:eastAsia="zh-TW"/>
        </w:rPr>
        <w:t xml:space="preserve"> their family reunification procedures. However, some of the challenges identified in the Expert Report may have a bearing over similar procedures by other groups of refugees and asylum seekers from other nationalities or places of origin. </w:t>
      </w:r>
    </w:p>
    <w:p w14:paraId="0101E116" w14:textId="77777777" w:rsidR="001E608F" w:rsidRPr="001E608F" w:rsidRDefault="001E608F" w:rsidP="001E608F">
      <w:pPr>
        <w:spacing w:after="0" w:line="240" w:lineRule="auto"/>
        <w:jc w:val="both"/>
        <w:rPr>
          <w:rFonts w:ascii="Calibri" w:eastAsia="Calibri" w:hAnsi="Calibri" w:cs="Calibri"/>
          <w:sz w:val="24"/>
          <w:szCs w:val="24"/>
          <w:lang w:val="en-GB" w:eastAsia="zh-TW"/>
        </w:rPr>
      </w:pPr>
    </w:p>
    <w:p w14:paraId="4024AA56" w14:textId="77777777" w:rsidR="001E608F" w:rsidRPr="001E608F" w:rsidRDefault="001E608F" w:rsidP="001E608F">
      <w:pPr>
        <w:spacing w:after="0" w:line="240" w:lineRule="auto"/>
        <w:jc w:val="both"/>
        <w:rPr>
          <w:rFonts w:ascii="Calibri" w:eastAsia="Calibri" w:hAnsi="Calibri" w:cs="Calibri"/>
          <w:sz w:val="24"/>
          <w:szCs w:val="24"/>
          <w:lang w:val="en-GB" w:eastAsia="zh-TW"/>
        </w:rPr>
      </w:pPr>
      <w:proofErr w:type="gramStart"/>
      <w:r w:rsidRPr="001E608F">
        <w:rPr>
          <w:rFonts w:ascii="Calibri" w:eastAsia="Calibri" w:hAnsi="Calibri" w:cs="Calibri"/>
          <w:sz w:val="24"/>
          <w:szCs w:val="24"/>
          <w:lang w:val="en-GB" w:eastAsia="zh-TW"/>
        </w:rPr>
        <w:t>In order to</w:t>
      </w:r>
      <w:proofErr w:type="gramEnd"/>
      <w:r w:rsidRPr="001E608F">
        <w:rPr>
          <w:rFonts w:ascii="Calibri" w:eastAsia="Calibri" w:hAnsi="Calibri" w:cs="Calibri"/>
          <w:sz w:val="24"/>
          <w:szCs w:val="24"/>
          <w:lang w:val="en-GB" w:eastAsia="zh-TW"/>
        </w:rPr>
        <w:t xml:space="preserve"> prove their identity or family relationship in family reunification applications, refugees are often requested to submit national </w:t>
      </w:r>
      <w:sdt>
        <w:sdtPr>
          <w:rPr>
            <w:rFonts w:ascii="Times New Roman" w:eastAsia="Times New Roman" w:hAnsi="Times New Roman" w:cs="Times New Roman"/>
            <w:sz w:val="24"/>
            <w:szCs w:val="24"/>
            <w:lang w:val="en-GB" w:eastAsia="zh-TW"/>
          </w:rPr>
          <w:tag w:val="goog_rdk_25"/>
          <w:id w:val="299971663"/>
        </w:sdtPr>
        <w:sdtContent>
          <w:r w:rsidRPr="001E608F">
            <w:rPr>
              <w:rFonts w:ascii="Calibri" w:eastAsia="Calibri" w:hAnsi="Calibri" w:cs="Calibri"/>
              <w:sz w:val="24"/>
              <w:szCs w:val="24"/>
              <w:lang w:val="en-GB" w:eastAsia="zh-TW"/>
            </w:rPr>
            <w:t>ID</w:t>
          </w:r>
        </w:sdtContent>
      </w:sdt>
      <w:r w:rsidRPr="001E608F">
        <w:rPr>
          <w:rFonts w:ascii="Calibri" w:eastAsia="Calibri" w:hAnsi="Calibri" w:cs="Calibri"/>
          <w:sz w:val="24"/>
          <w:szCs w:val="24"/>
          <w:lang w:val="en-GB" w:eastAsia="zh-TW"/>
        </w:rPr>
        <w:t xml:space="preserve"> cards, passports, birth and/or marriage certificates, in addition to their application for family reunification. For Eritreans, including unaccompanied minors, meeting this high evidentia</w:t>
      </w:r>
      <w:sdt>
        <w:sdtPr>
          <w:rPr>
            <w:rFonts w:ascii="Times New Roman" w:eastAsia="Times New Roman" w:hAnsi="Times New Roman" w:cs="Times New Roman"/>
            <w:sz w:val="24"/>
            <w:szCs w:val="24"/>
            <w:lang w:val="en-GB" w:eastAsia="zh-TW"/>
          </w:rPr>
          <w:tag w:val="goog_rdk_27"/>
          <w:id w:val="902561139"/>
        </w:sdtPr>
        <w:sdtContent>
          <w:r w:rsidRPr="001E608F">
            <w:rPr>
              <w:rFonts w:ascii="Calibri" w:eastAsia="Calibri" w:hAnsi="Calibri" w:cs="Calibri"/>
              <w:sz w:val="24"/>
              <w:szCs w:val="24"/>
              <w:lang w:val="en-GB" w:eastAsia="zh-TW"/>
            </w:rPr>
            <w:t>ry</w:t>
          </w:r>
        </w:sdtContent>
      </w:sdt>
      <w:r w:rsidRPr="001E608F">
        <w:rPr>
          <w:rFonts w:ascii="Calibri" w:eastAsia="Calibri" w:hAnsi="Calibri" w:cs="Calibri"/>
          <w:sz w:val="24"/>
          <w:szCs w:val="24"/>
          <w:lang w:val="en-GB" w:eastAsia="zh-TW"/>
        </w:rPr>
        <w:t xml:space="preserve"> threshold often necessitate appearing in person before Eritrean diplomatic missions. This happens in the context of a </w:t>
      </w:r>
      <w:proofErr w:type="spellStart"/>
      <w:proofErr w:type="gramStart"/>
      <w:r w:rsidRPr="001E608F">
        <w:rPr>
          <w:rFonts w:ascii="Calibri" w:eastAsia="Calibri" w:hAnsi="Calibri" w:cs="Calibri"/>
          <w:sz w:val="24"/>
          <w:szCs w:val="24"/>
          <w:lang w:val="en-GB" w:eastAsia="zh-TW"/>
        </w:rPr>
        <w:t>well established</w:t>
      </w:r>
      <w:proofErr w:type="spellEnd"/>
      <w:proofErr w:type="gramEnd"/>
      <w:r w:rsidRPr="001E608F">
        <w:rPr>
          <w:rFonts w:ascii="Calibri" w:eastAsia="Calibri" w:hAnsi="Calibri" w:cs="Calibri"/>
          <w:sz w:val="24"/>
          <w:szCs w:val="24"/>
          <w:lang w:val="en-GB" w:eastAsia="zh-TW"/>
        </w:rPr>
        <w:t xml:space="preserve"> fact, as shown by the Expert Report, that leaving Eritrea with the intention of seeking asylum in a foreign country is rendered a criminal offence which is often punished by arbitrary and extrajudicial forms of punishment, often of a life-threatening nature. In most cases, therefore, citizens leave the country without any documents. This is coupled with the fact that Eritrea does not have a harmonised official documentation system; for instance, in rural areas access to official documentation is restricted or inexistent, and the use of records of vital events is not a common practice in the country.</w:t>
      </w:r>
      <w:sdt>
        <w:sdtPr>
          <w:rPr>
            <w:rFonts w:ascii="Times New Roman" w:eastAsia="Times New Roman" w:hAnsi="Times New Roman" w:cs="Times New Roman"/>
            <w:sz w:val="24"/>
            <w:szCs w:val="24"/>
            <w:lang w:val="en-GB" w:eastAsia="zh-TW"/>
          </w:rPr>
          <w:tag w:val="goog_rdk_32"/>
          <w:id w:val="-1987542228"/>
        </w:sdtPr>
        <w:sdtContent>
          <w:r w:rsidRPr="001E608F">
            <w:rPr>
              <w:rFonts w:ascii="Calibri" w:eastAsia="Calibri" w:hAnsi="Calibri" w:cs="Calibri"/>
              <w:sz w:val="24"/>
              <w:szCs w:val="24"/>
              <w:vertAlign w:val="superscript"/>
              <w:lang w:val="en-GB" w:eastAsia="zh-TW"/>
            </w:rPr>
            <w:footnoteReference w:id="5"/>
          </w:r>
        </w:sdtContent>
      </w:sdt>
      <w:r w:rsidRPr="001E608F">
        <w:rPr>
          <w:rFonts w:ascii="Calibri" w:eastAsia="Calibri" w:hAnsi="Calibri" w:cs="Calibri"/>
          <w:sz w:val="24"/>
          <w:szCs w:val="24"/>
          <w:lang w:val="en-GB" w:eastAsia="zh-TW"/>
        </w:rPr>
        <w:t xml:space="preserve"> Some Eritrean children are therefore at best in possession of a religious baptism certificate or a health card. Such ‘alternative’ evidence, however, is often not (sufficiently) considered by the concerned national authorities in family reunification proceedings.</w:t>
      </w:r>
    </w:p>
    <w:p w14:paraId="59A77890" w14:textId="77777777" w:rsidR="001E608F" w:rsidRPr="001E608F" w:rsidRDefault="001E608F" w:rsidP="001E608F">
      <w:pPr>
        <w:spacing w:after="0" w:line="240" w:lineRule="auto"/>
        <w:jc w:val="both"/>
        <w:rPr>
          <w:rFonts w:ascii="Calibri" w:eastAsia="Calibri" w:hAnsi="Calibri" w:cs="Calibri"/>
          <w:sz w:val="24"/>
          <w:szCs w:val="24"/>
          <w:lang w:val="en-GB" w:eastAsia="zh-TW"/>
        </w:rPr>
      </w:pPr>
    </w:p>
    <w:p w14:paraId="08C91105" w14:textId="77777777" w:rsidR="001E608F" w:rsidRPr="001E608F" w:rsidRDefault="001E608F" w:rsidP="001E608F">
      <w:pPr>
        <w:spacing w:after="0" w:line="240" w:lineRule="auto"/>
        <w:jc w:val="both"/>
        <w:rPr>
          <w:rFonts w:ascii="Calibri" w:eastAsia="Calibri" w:hAnsi="Calibri" w:cs="Calibri"/>
          <w:sz w:val="24"/>
          <w:szCs w:val="24"/>
          <w:lang w:val="en-GB" w:eastAsia="zh-TW"/>
        </w:rPr>
      </w:pPr>
      <w:sdt>
        <w:sdtPr>
          <w:rPr>
            <w:rFonts w:ascii="Times New Roman" w:eastAsia="Times New Roman" w:hAnsi="Times New Roman" w:cs="Times New Roman"/>
            <w:sz w:val="24"/>
            <w:szCs w:val="24"/>
            <w:lang w:val="en-GB" w:eastAsia="zh-TW"/>
          </w:rPr>
          <w:tag w:val="goog_rdk_46"/>
          <w:id w:val="-873152340"/>
        </w:sdtPr>
        <w:sdtContent/>
      </w:sdt>
      <w:r w:rsidRPr="001E608F">
        <w:rPr>
          <w:rFonts w:ascii="Calibri" w:eastAsia="Calibri" w:hAnsi="Calibri" w:cs="Calibri"/>
          <w:sz w:val="24"/>
          <w:szCs w:val="24"/>
          <w:lang w:val="en-GB" w:eastAsia="zh-TW"/>
        </w:rPr>
        <w:t xml:space="preserve">Approaching Eritrean diplomatic missions </w:t>
      </w:r>
      <w:proofErr w:type="gramStart"/>
      <w:r w:rsidRPr="001E608F">
        <w:rPr>
          <w:rFonts w:ascii="Calibri" w:eastAsia="Calibri" w:hAnsi="Calibri" w:cs="Calibri"/>
          <w:sz w:val="24"/>
          <w:szCs w:val="24"/>
          <w:lang w:val="en-GB" w:eastAsia="zh-TW"/>
        </w:rPr>
        <w:t>in order to</w:t>
      </w:r>
      <w:proofErr w:type="gramEnd"/>
      <w:r w:rsidRPr="001E608F">
        <w:rPr>
          <w:rFonts w:ascii="Calibri" w:eastAsia="Calibri" w:hAnsi="Calibri" w:cs="Calibri"/>
          <w:sz w:val="24"/>
          <w:szCs w:val="24"/>
          <w:lang w:val="en-GB" w:eastAsia="zh-TW"/>
        </w:rPr>
        <w:t xml:space="preserve"> obtain official documents poses serious risks to both Eritrean applicants and their relatives (in third countries and in Eritrea). The procedure entails, among other things, the signature of a so-called ‘regret form’ in which Eritreans are compelled to make written self-incriminating statements with far-fetching implications on their fundamental rights, </w:t>
      </w:r>
      <w:proofErr w:type="gramStart"/>
      <w:r w:rsidRPr="001E608F">
        <w:rPr>
          <w:rFonts w:ascii="Calibri" w:eastAsia="Calibri" w:hAnsi="Calibri" w:cs="Calibri"/>
          <w:sz w:val="24"/>
          <w:szCs w:val="24"/>
          <w:lang w:val="en-GB" w:eastAsia="zh-TW"/>
        </w:rPr>
        <w:t>in order to</w:t>
      </w:r>
      <w:proofErr w:type="gramEnd"/>
      <w:r w:rsidRPr="001E608F">
        <w:rPr>
          <w:rFonts w:ascii="Calibri" w:eastAsia="Calibri" w:hAnsi="Calibri" w:cs="Calibri"/>
          <w:sz w:val="24"/>
          <w:szCs w:val="24"/>
          <w:lang w:val="en-GB" w:eastAsia="zh-TW"/>
        </w:rPr>
        <w:t xml:space="preserve"> get any consular service. In the statement, they </w:t>
      </w:r>
      <w:proofErr w:type="gramStart"/>
      <w:r w:rsidRPr="001E608F">
        <w:rPr>
          <w:rFonts w:ascii="Calibri" w:eastAsia="Calibri" w:hAnsi="Calibri" w:cs="Calibri"/>
          <w:sz w:val="24"/>
          <w:szCs w:val="24"/>
          <w:lang w:val="en-GB" w:eastAsia="zh-TW"/>
        </w:rPr>
        <w:t>have to</w:t>
      </w:r>
      <w:proofErr w:type="gramEnd"/>
      <w:r w:rsidRPr="001E608F">
        <w:rPr>
          <w:rFonts w:ascii="Calibri" w:eastAsia="Calibri" w:hAnsi="Calibri" w:cs="Calibri"/>
          <w:sz w:val="24"/>
          <w:szCs w:val="24"/>
          <w:lang w:val="en-GB" w:eastAsia="zh-TW"/>
        </w:rPr>
        <w:t xml:space="preserve"> admit that by leaving Eritrea ‘illegally’ (mainly in order to seek asylum and potentially also by avoiding the country’s national service programme), they have committed a crime for which they will be held accountable whenever they return to Eritrea.</w:t>
      </w:r>
      <w:r w:rsidRPr="001E608F">
        <w:rPr>
          <w:rFonts w:ascii="Calibri" w:eastAsia="Calibri" w:hAnsi="Calibri" w:cs="Calibri"/>
          <w:sz w:val="24"/>
          <w:szCs w:val="24"/>
          <w:vertAlign w:val="superscript"/>
          <w:lang w:val="en-GB" w:eastAsia="zh-TW"/>
        </w:rPr>
        <w:footnoteReference w:id="6"/>
      </w:r>
      <w:r w:rsidRPr="001E608F">
        <w:rPr>
          <w:rFonts w:ascii="Calibri" w:eastAsia="Calibri" w:hAnsi="Calibri" w:cs="Calibri"/>
          <w:sz w:val="24"/>
          <w:szCs w:val="24"/>
          <w:lang w:val="en-GB" w:eastAsia="zh-TW"/>
        </w:rPr>
        <w:t xml:space="preserve"> </w:t>
      </w:r>
    </w:p>
    <w:p w14:paraId="249EA517" w14:textId="77777777" w:rsidR="001E608F" w:rsidRPr="001E608F" w:rsidRDefault="001E608F" w:rsidP="001E608F">
      <w:pPr>
        <w:spacing w:after="0" w:line="240" w:lineRule="auto"/>
        <w:jc w:val="both"/>
        <w:rPr>
          <w:rFonts w:ascii="Calibri" w:eastAsia="Calibri" w:hAnsi="Calibri" w:cs="Calibri"/>
          <w:sz w:val="24"/>
          <w:szCs w:val="24"/>
          <w:lang w:val="en-GB" w:eastAsia="zh-TW"/>
        </w:rPr>
      </w:pPr>
    </w:p>
    <w:p w14:paraId="753026A3" w14:textId="77777777" w:rsidR="001E608F" w:rsidRPr="001E608F" w:rsidRDefault="001E608F" w:rsidP="001E608F">
      <w:pPr>
        <w:spacing w:after="0" w:line="240" w:lineRule="auto"/>
        <w:jc w:val="both"/>
        <w:rPr>
          <w:rFonts w:ascii="Calibri" w:eastAsia="Calibri" w:hAnsi="Calibri" w:cs="Calibri"/>
          <w:sz w:val="24"/>
          <w:szCs w:val="24"/>
          <w:lang w:val="en-GB" w:eastAsia="zh-TW"/>
        </w:rPr>
      </w:pPr>
      <w:r w:rsidRPr="001E608F">
        <w:rPr>
          <w:rFonts w:ascii="Calibri" w:eastAsia="Calibri" w:hAnsi="Calibri" w:cs="Calibri"/>
          <w:sz w:val="24"/>
          <w:szCs w:val="24"/>
          <w:lang w:val="en-GB" w:eastAsia="zh-TW"/>
        </w:rPr>
        <w:t xml:space="preserve">The practice of strict evidential requirements in the contexts described above often hinder the realisation of the right to family reunification, resulting in the violation of the right to family unity and family life, and the principle of the best interest of the child. In the case of unaccompanied refugee children, such practices are not conducive for processing of applications that need to be done ‘in a positive, humane and expeditious manner’, as stipulated by Article 10(1) </w:t>
      </w:r>
      <w:r w:rsidRPr="001E608F">
        <w:rPr>
          <w:rFonts w:ascii="Calibri" w:eastAsia="Calibri" w:hAnsi="Calibri" w:cs="Calibri"/>
          <w:sz w:val="24"/>
          <w:szCs w:val="24"/>
          <w:lang w:val="en-GB" w:eastAsia="zh-TW"/>
        </w:rPr>
        <w:lastRenderedPageBreak/>
        <w:t>of the Convention on the Rights of the Child. The same provision also enjoins States parties to ensure that the submission of requests for family reunification by children ‘shall entail no adverse consequences for the applicants and for the members of their family’. In the context of the European Union, the Court of Justice of the European Union (CJEU) states that the EU Charter of Fundamental Rights and the EU’s Family Reunification Directive require EU Member States to assess applications for family reunification in the interests of the children concerned and with a view to promoting family life (</w:t>
      </w:r>
      <w:r w:rsidRPr="001E608F">
        <w:rPr>
          <w:rFonts w:ascii="Calibri" w:eastAsia="Calibri" w:hAnsi="Calibri" w:cs="Calibri"/>
          <w:i/>
          <w:sz w:val="24"/>
          <w:szCs w:val="24"/>
          <w:lang w:val="en-GB" w:eastAsia="zh-TW"/>
        </w:rPr>
        <w:t xml:space="preserve">O and S v </w:t>
      </w:r>
      <w:proofErr w:type="spellStart"/>
      <w:r w:rsidRPr="001E608F">
        <w:rPr>
          <w:rFonts w:ascii="Calibri" w:eastAsia="Calibri" w:hAnsi="Calibri" w:cs="Calibri"/>
          <w:i/>
          <w:sz w:val="24"/>
          <w:szCs w:val="24"/>
          <w:lang w:val="en-GB" w:eastAsia="zh-TW"/>
        </w:rPr>
        <w:t>Maahanmuuttovirasto</w:t>
      </w:r>
      <w:proofErr w:type="spellEnd"/>
      <w:r w:rsidRPr="001E608F">
        <w:rPr>
          <w:rFonts w:ascii="Calibri" w:eastAsia="Calibri" w:hAnsi="Calibri" w:cs="Calibri"/>
          <w:i/>
          <w:sz w:val="24"/>
          <w:szCs w:val="24"/>
          <w:lang w:val="en-GB" w:eastAsia="zh-TW"/>
        </w:rPr>
        <w:t xml:space="preserve"> and </w:t>
      </w:r>
      <w:proofErr w:type="spellStart"/>
      <w:r w:rsidRPr="001E608F">
        <w:rPr>
          <w:rFonts w:ascii="Calibri" w:eastAsia="Calibri" w:hAnsi="Calibri" w:cs="Calibri"/>
          <w:i/>
          <w:sz w:val="24"/>
          <w:szCs w:val="24"/>
          <w:lang w:val="en-GB" w:eastAsia="zh-TW"/>
        </w:rPr>
        <w:t>Maahanmuuttovirasto</w:t>
      </w:r>
      <w:proofErr w:type="spellEnd"/>
      <w:r w:rsidRPr="001E608F">
        <w:rPr>
          <w:rFonts w:ascii="Calibri" w:eastAsia="Calibri" w:hAnsi="Calibri" w:cs="Calibri"/>
          <w:i/>
          <w:sz w:val="24"/>
          <w:szCs w:val="24"/>
          <w:lang w:val="en-GB" w:eastAsia="zh-TW"/>
        </w:rPr>
        <w:t xml:space="preserve"> v L</w:t>
      </w:r>
      <w:r w:rsidRPr="001E608F">
        <w:rPr>
          <w:rFonts w:ascii="Calibri" w:eastAsia="Calibri" w:hAnsi="Calibri" w:cs="Calibri"/>
          <w:sz w:val="24"/>
          <w:szCs w:val="24"/>
          <w:lang w:val="en-GB" w:eastAsia="zh-TW"/>
        </w:rPr>
        <w:t>).</w:t>
      </w:r>
    </w:p>
    <w:p w14:paraId="53473FC3" w14:textId="77777777" w:rsidR="001E608F" w:rsidRPr="001E608F" w:rsidRDefault="001E608F" w:rsidP="001E608F">
      <w:pPr>
        <w:spacing w:after="0" w:line="240" w:lineRule="auto"/>
        <w:jc w:val="both"/>
        <w:rPr>
          <w:rFonts w:ascii="Calibri" w:eastAsia="Calibri" w:hAnsi="Calibri" w:cs="Calibri"/>
          <w:sz w:val="24"/>
          <w:szCs w:val="24"/>
          <w:lang w:val="en-GB" w:eastAsia="zh-TW"/>
        </w:rPr>
      </w:pPr>
    </w:p>
    <w:p w14:paraId="6F66021D" w14:textId="77777777" w:rsidR="001E608F" w:rsidRPr="001E608F" w:rsidRDefault="001E608F" w:rsidP="001E608F">
      <w:pPr>
        <w:spacing w:after="0" w:line="240" w:lineRule="auto"/>
        <w:jc w:val="both"/>
        <w:rPr>
          <w:rFonts w:ascii="Calibri" w:eastAsia="Calibri" w:hAnsi="Calibri" w:cs="Calibri"/>
          <w:sz w:val="24"/>
          <w:szCs w:val="24"/>
          <w:highlight w:val="white"/>
          <w:lang w:val="en-GB" w:eastAsia="zh-TW"/>
        </w:rPr>
      </w:pPr>
      <w:bookmarkStart w:id="1" w:name="_heading=h.30j0zll" w:colFirst="0" w:colLast="0"/>
      <w:bookmarkEnd w:id="1"/>
      <w:r w:rsidRPr="001E608F">
        <w:rPr>
          <w:rFonts w:ascii="Calibri" w:eastAsia="Calibri" w:hAnsi="Calibri" w:cs="Calibri"/>
          <w:sz w:val="24"/>
          <w:szCs w:val="24"/>
          <w:lang w:val="en-GB" w:eastAsia="zh-TW"/>
        </w:rPr>
        <w:t xml:space="preserve">This practice is not compliant either with </w:t>
      </w:r>
      <w:r w:rsidRPr="001E608F">
        <w:rPr>
          <w:rFonts w:ascii="Calibri" w:eastAsia="Calibri" w:hAnsi="Calibri" w:cs="Calibri"/>
          <w:sz w:val="24"/>
          <w:szCs w:val="24"/>
          <w:highlight w:val="white"/>
          <w:lang w:val="en-GB" w:eastAsia="zh-TW"/>
        </w:rPr>
        <w:t xml:space="preserve">international </w:t>
      </w:r>
      <w:proofErr w:type="gramStart"/>
      <w:r w:rsidRPr="001E608F">
        <w:rPr>
          <w:rFonts w:ascii="Calibri" w:eastAsia="Calibri" w:hAnsi="Calibri" w:cs="Calibri"/>
          <w:sz w:val="24"/>
          <w:szCs w:val="24"/>
          <w:highlight w:val="white"/>
          <w:lang w:val="en-GB" w:eastAsia="zh-TW"/>
        </w:rPr>
        <w:t>and</w:t>
      </w:r>
      <w:proofErr w:type="gramEnd"/>
      <w:r w:rsidRPr="001E608F">
        <w:rPr>
          <w:rFonts w:ascii="Calibri" w:eastAsia="Calibri" w:hAnsi="Calibri" w:cs="Calibri"/>
          <w:sz w:val="24"/>
          <w:szCs w:val="24"/>
          <w:highlight w:val="white"/>
          <w:lang w:val="en-GB" w:eastAsia="zh-TW"/>
        </w:rPr>
        <w:t xml:space="preserve"> national jurisprudence that urges European national authorities to consider ‘other’ evidentiary standards where refugees are unable to provide official documentary evidence. In addition, Article 11(2) of the EU’s Family Reunification Directive provides that ‘[a] decision rejecting an application may not be based solely on the fact that documentary evidence is lacking,’ a provision which according to the CJEU does not leave a margin of appreciation to the Member States</w:t>
      </w:r>
      <w:r w:rsidRPr="001E608F">
        <w:rPr>
          <w:rFonts w:ascii="Raleway" w:eastAsia="Raleway" w:hAnsi="Raleway" w:cs="Raleway"/>
          <w:color w:val="202020"/>
          <w:sz w:val="27"/>
          <w:szCs w:val="27"/>
          <w:highlight w:val="white"/>
          <w:lang w:val="en-GB" w:eastAsia="zh-TW"/>
        </w:rPr>
        <w:t xml:space="preserve"> ´</w:t>
      </w:r>
      <w:r w:rsidRPr="001E608F">
        <w:rPr>
          <w:rFonts w:ascii="Calibri" w:eastAsia="Calibri" w:hAnsi="Calibri" w:cs="Calibri"/>
          <w:sz w:val="24"/>
          <w:szCs w:val="24"/>
          <w:highlight w:val="white"/>
          <w:lang w:val="en-GB" w:eastAsia="zh-TW"/>
        </w:rPr>
        <w:t>in obliging EU Member States to take into account other evidence of the existence of the family relationship’ when there is no documentary evidence (</w:t>
      </w:r>
      <w:r w:rsidRPr="001E608F">
        <w:rPr>
          <w:rFonts w:ascii="Calibri" w:eastAsia="Calibri" w:hAnsi="Calibri" w:cs="Calibri"/>
          <w:i/>
          <w:sz w:val="24"/>
          <w:szCs w:val="24"/>
          <w:highlight w:val="white"/>
          <w:lang w:val="en-GB" w:eastAsia="zh-TW"/>
        </w:rPr>
        <w:t xml:space="preserve">E. v </w:t>
      </w:r>
      <w:proofErr w:type="spellStart"/>
      <w:r w:rsidRPr="001E608F">
        <w:rPr>
          <w:rFonts w:ascii="Calibri" w:eastAsia="Calibri" w:hAnsi="Calibri" w:cs="Calibri"/>
          <w:i/>
          <w:sz w:val="24"/>
          <w:szCs w:val="24"/>
          <w:highlight w:val="white"/>
          <w:lang w:val="en-GB" w:eastAsia="zh-TW"/>
        </w:rPr>
        <w:t>Staatssecretaris</w:t>
      </w:r>
      <w:proofErr w:type="spellEnd"/>
      <w:r w:rsidRPr="001E608F">
        <w:rPr>
          <w:rFonts w:ascii="Calibri" w:eastAsia="Calibri" w:hAnsi="Calibri" w:cs="Calibri"/>
          <w:i/>
          <w:sz w:val="24"/>
          <w:szCs w:val="24"/>
          <w:highlight w:val="white"/>
          <w:lang w:val="en-GB" w:eastAsia="zh-TW"/>
        </w:rPr>
        <w:t xml:space="preserve"> van </w:t>
      </w:r>
      <w:proofErr w:type="spellStart"/>
      <w:r w:rsidRPr="001E608F">
        <w:rPr>
          <w:rFonts w:ascii="Calibri" w:eastAsia="Calibri" w:hAnsi="Calibri" w:cs="Calibri"/>
          <w:i/>
          <w:sz w:val="24"/>
          <w:szCs w:val="24"/>
          <w:highlight w:val="white"/>
          <w:lang w:val="en-GB" w:eastAsia="zh-TW"/>
        </w:rPr>
        <w:t>Veiligheid</w:t>
      </w:r>
      <w:proofErr w:type="spellEnd"/>
      <w:r w:rsidRPr="001E608F">
        <w:rPr>
          <w:rFonts w:ascii="Calibri" w:eastAsia="Calibri" w:hAnsi="Calibri" w:cs="Calibri"/>
          <w:i/>
          <w:sz w:val="24"/>
          <w:szCs w:val="24"/>
          <w:highlight w:val="white"/>
          <w:lang w:val="en-GB" w:eastAsia="zh-TW"/>
        </w:rPr>
        <w:t xml:space="preserve"> </w:t>
      </w:r>
      <w:proofErr w:type="spellStart"/>
      <w:r w:rsidRPr="001E608F">
        <w:rPr>
          <w:rFonts w:ascii="Calibri" w:eastAsia="Calibri" w:hAnsi="Calibri" w:cs="Calibri"/>
          <w:i/>
          <w:sz w:val="24"/>
          <w:szCs w:val="24"/>
          <w:highlight w:val="white"/>
          <w:lang w:val="en-GB" w:eastAsia="zh-TW"/>
        </w:rPr>
        <w:t>en</w:t>
      </w:r>
      <w:proofErr w:type="spellEnd"/>
      <w:r w:rsidRPr="001E608F">
        <w:rPr>
          <w:rFonts w:ascii="Calibri" w:eastAsia="Calibri" w:hAnsi="Calibri" w:cs="Calibri"/>
          <w:i/>
          <w:sz w:val="24"/>
          <w:szCs w:val="24"/>
          <w:highlight w:val="white"/>
          <w:lang w:val="en-GB" w:eastAsia="zh-TW"/>
        </w:rPr>
        <w:t xml:space="preserve"> </w:t>
      </w:r>
      <w:proofErr w:type="spellStart"/>
      <w:r w:rsidRPr="001E608F">
        <w:rPr>
          <w:rFonts w:ascii="Calibri" w:eastAsia="Calibri" w:hAnsi="Calibri" w:cs="Calibri"/>
          <w:i/>
          <w:sz w:val="24"/>
          <w:szCs w:val="24"/>
          <w:highlight w:val="white"/>
          <w:lang w:val="en-GB" w:eastAsia="zh-TW"/>
        </w:rPr>
        <w:t>Justitie</w:t>
      </w:r>
      <w:proofErr w:type="spellEnd"/>
      <w:r w:rsidRPr="001E608F">
        <w:rPr>
          <w:rFonts w:ascii="Calibri" w:eastAsia="Calibri" w:hAnsi="Calibri" w:cs="Calibri"/>
          <w:sz w:val="24"/>
          <w:szCs w:val="24"/>
          <w:highlight w:val="white"/>
          <w:lang w:val="en-GB" w:eastAsia="zh-TW"/>
        </w:rPr>
        <w:t>, para. 69). This consideration, as explicitly noted by the CJEU, is compliant with the European Commission’s Guidelines for the application of the Family Reunification Directive. In addition, according to the CJEU, Article 11(2) of the Family Reunification Directive if read in the light of Article 7 (right to respect for private and family life) and Article 24(2) and (3) (the rights of the child) of the EU Charter of Fundamental Rights, implies that ‘the national</w:t>
      </w:r>
      <w:r w:rsidRPr="001E608F">
        <w:rPr>
          <w:rFonts w:ascii="Times New Roman" w:eastAsia="Times New Roman" w:hAnsi="Times New Roman" w:cs="Times New Roman"/>
          <w:sz w:val="24"/>
          <w:szCs w:val="24"/>
          <w:lang w:val="en-GB" w:eastAsia="zh-TW"/>
        </w:rPr>
        <w:t xml:space="preserve"> </w:t>
      </w:r>
      <w:r w:rsidRPr="001E608F">
        <w:rPr>
          <w:rFonts w:ascii="Calibri" w:eastAsia="Calibri" w:hAnsi="Calibri" w:cs="Calibri"/>
          <w:sz w:val="24"/>
          <w:szCs w:val="24"/>
          <w:highlight w:val="white"/>
          <w:lang w:val="en-GB" w:eastAsia="zh-TW"/>
        </w:rPr>
        <w:t>authorities may, depending on the circumstances of the particular case, be required to carry out the necessary additional checks, such as holding an interview with the sponsor</w:t>
      </w:r>
      <w:sdt>
        <w:sdtPr>
          <w:rPr>
            <w:rFonts w:ascii="Times New Roman" w:eastAsia="Times New Roman" w:hAnsi="Times New Roman" w:cs="Times New Roman"/>
            <w:sz w:val="24"/>
            <w:szCs w:val="24"/>
            <w:lang w:val="en-GB" w:eastAsia="zh-TW"/>
          </w:rPr>
          <w:tag w:val="goog_rdk_66"/>
          <w:id w:val="359795366"/>
        </w:sdtPr>
        <w:sdtContent>
          <w:r w:rsidRPr="001E608F">
            <w:rPr>
              <w:rFonts w:ascii="Calibri" w:eastAsia="Calibri" w:hAnsi="Calibri" w:cs="Calibri"/>
              <w:sz w:val="24"/>
              <w:szCs w:val="24"/>
              <w:highlight w:val="white"/>
              <w:lang w:val="en-GB" w:eastAsia="zh-TW"/>
            </w:rPr>
            <w:t>´</w:t>
          </w:r>
        </w:sdtContent>
      </w:sdt>
      <w:r w:rsidRPr="001E608F">
        <w:rPr>
          <w:rFonts w:ascii="Calibri" w:eastAsia="Calibri" w:hAnsi="Calibri" w:cs="Calibri"/>
          <w:sz w:val="24"/>
          <w:szCs w:val="24"/>
          <w:highlight w:val="white"/>
          <w:lang w:val="en-GB" w:eastAsia="zh-TW"/>
        </w:rPr>
        <w:t xml:space="preserve">, </w:t>
      </w:r>
      <w:sdt>
        <w:sdtPr>
          <w:rPr>
            <w:rFonts w:ascii="Times New Roman" w:eastAsia="Times New Roman" w:hAnsi="Times New Roman" w:cs="Times New Roman"/>
            <w:sz w:val="24"/>
            <w:szCs w:val="24"/>
            <w:lang w:val="en-GB" w:eastAsia="zh-TW"/>
          </w:rPr>
          <w:tag w:val="goog_rdk_67"/>
          <w:id w:val="-738095920"/>
        </w:sdtPr>
        <w:sdtContent/>
      </w:sdt>
      <w:r w:rsidRPr="001E608F">
        <w:rPr>
          <w:rFonts w:ascii="Calibri" w:eastAsia="Calibri" w:hAnsi="Calibri" w:cs="Calibri"/>
          <w:sz w:val="24"/>
          <w:szCs w:val="24"/>
          <w:highlight w:val="white"/>
          <w:lang w:val="en-GB" w:eastAsia="zh-TW"/>
        </w:rPr>
        <w:t xml:space="preserve">in order to rule out </w:t>
      </w:r>
      <w:sdt>
        <w:sdtPr>
          <w:rPr>
            <w:rFonts w:ascii="Times New Roman" w:eastAsia="Times New Roman" w:hAnsi="Times New Roman" w:cs="Times New Roman"/>
            <w:sz w:val="24"/>
            <w:szCs w:val="24"/>
            <w:lang w:val="en-GB" w:eastAsia="zh-TW"/>
          </w:rPr>
          <w:tag w:val="goog_rdk_69"/>
          <w:id w:val="1564594930"/>
        </w:sdtPr>
        <w:sdtContent/>
      </w:sdt>
      <w:r w:rsidRPr="001E608F">
        <w:rPr>
          <w:rFonts w:ascii="Calibri" w:eastAsia="Calibri" w:hAnsi="Calibri" w:cs="Calibri"/>
          <w:sz w:val="24"/>
          <w:szCs w:val="24"/>
          <w:highlight w:val="white"/>
          <w:lang w:val="en-GB" w:eastAsia="zh-TW"/>
        </w:rPr>
        <w:t>cases of child abduction or human trafficking</w:t>
      </w:r>
      <w:r w:rsidRPr="001E608F">
        <w:rPr>
          <w:rFonts w:ascii="Calibri" w:eastAsia="Times New Roman" w:hAnsi="Calibri" w:cs="Calibri"/>
          <w:sz w:val="24"/>
          <w:szCs w:val="24"/>
          <w:lang w:val="en-GB" w:eastAsia="zh-TW"/>
        </w:rPr>
        <w:t>, and thus makes sure that the application of family reunification is genuine</w:t>
      </w:r>
      <w:r w:rsidRPr="001E608F">
        <w:rPr>
          <w:rFonts w:ascii="Calibri" w:eastAsia="Calibri" w:hAnsi="Calibri" w:cs="Calibri"/>
          <w:sz w:val="24"/>
          <w:szCs w:val="24"/>
          <w:highlight w:val="white"/>
          <w:lang w:val="en-GB" w:eastAsia="zh-TW"/>
        </w:rPr>
        <w:t xml:space="preserve"> (</w:t>
      </w:r>
      <w:r w:rsidRPr="001E608F">
        <w:rPr>
          <w:rFonts w:ascii="Calibri" w:eastAsia="Calibri" w:hAnsi="Calibri" w:cs="Calibri"/>
          <w:i/>
          <w:sz w:val="24"/>
          <w:szCs w:val="24"/>
          <w:highlight w:val="white"/>
          <w:lang w:val="en-GB" w:eastAsia="zh-TW"/>
        </w:rPr>
        <w:t>ibid</w:t>
      </w:r>
      <w:r w:rsidRPr="001E608F">
        <w:rPr>
          <w:rFonts w:ascii="Calibri" w:eastAsia="Calibri" w:hAnsi="Calibri" w:cs="Calibri"/>
          <w:sz w:val="24"/>
          <w:szCs w:val="24"/>
          <w:highlight w:val="white"/>
          <w:lang w:val="en-GB" w:eastAsia="zh-TW"/>
        </w:rPr>
        <w:t xml:space="preserve">., para. 79). </w:t>
      </w:r>
    </w:p>
    <w:p w14:paraId="376C106A" w14:textId="77777777" w:rsidR="001E608F" w:rsidRPr="001E608F" w:rsidRDefault="001E608F" w:rsidP="001E608F">
      <w:pPr>
        <w:spacing w:after="0" w:line="240" w:lineRule="auto"/>
        <w:jc w:val="both"/>
        <w:rPr>
          <w:rFonts w:ascii="Calibri" w:eastAsia="Calibri" w:hAnsi="Calibri" w:cs="Calibri"/>
          <w:sz w:val="24"/>
          <w:szCs w:val="24"/>
          <w:highlight w:val="white"/>
          <w:lang w:val="en-GB" w:eastAsia="zh-TW"/>
        </w:rPr>
      </w:pPr>
    </w:p>
    <w:p w14:paraId="47BE9257" w14:textId="77777777" w:rsidR="001E608F" w:rsidRPr="001E608F" w:rsidRDefault="001E608F" w:rsidP="001E608F">
      <w:pPr>
        <w:spacing w:after="0" w:line="240" w:lineRule="auto"/>
        <w:jc w:val="both"/>
        <w:rPr>
          <w:rFonts w:ascii="Calibri" w:eastAsia="Calibri" w:hAnsi="Calibri" w:cs="Calibri"/>
          <w:sz w:val="24"/>
          <w:szCs w:val="24"/>
          <w:highlight w:val="white"/>
          <w:lang w:val="en-GB" w:eastAsia="zh-TW"/>
        </w:rPr>
      </w:pPr>
      <w:bookmarkStart w:id="2" w:name="_heading=h.1fob9te" w:colFirst="0" w:colLast="0"/>
      <w:bookmarkEnd w:id="2"/>
      <w:r w:rsidRPr="001E608F">
        <w:rPr>
          <w:rFonts w:ascii="Calibri" w:eastAsia="Calibri" w:hAnsi="Calibri" w:cs="Calibri"/>
          <w:sz w:val="24"/>
          <w:szCs w:val="24"/>
          <w:highlight w:val="white"/>
          <w:lang w:val="en-GB" w:eastAsia="zh-TW"/>
        </w:rPr>
        <w:t>The foregoing was determined by the CJEU in a preliminary ruling of 2019 that arose from the rejection of an application for family reunification lodged by an Eritrean beneficiary of subsidiary protection in the Netherlands. The applicant</w:t>
      </w:r>
      <w:r w:rsidRPr="001E608F">
        <w:rPr>
          <w:rFonts w:ascii="Calibri" w:eastAsia="Calibri" w:hAnsi="Calibri" w:cs="Calibri"/>
          <w:sz w:val="24"/>
          <w:szCs w:val="24"/>
          <w:lang w:val="en-GB" w:eastAsia="zh-TW"/>
        </w:rPr>
        <w:t xml:space="preserve"> </w:t>
      </w:r>
      <w:r w:rsidRPr="001E608F">
        <w:rPr>
          <w:rFonts w:ascii="Calibri" w:eastAsia="Calibri" w:hAnsi="Calibri" w:cs="Calibri"/>
          <w:sz w:val="24"/>
          <w:szCs w:val="24"/>
          <w:highlight w:val="white"/>
          <w:lang w:val="en-GB" w:eastAsia="zh-TW"/>
        </w:rPr>
        <w:t>affirmed to be the aunt and the guardian</w:t>
      </w:r>
      <w:sdt>
        <w:sdtPr>
          <w:rPr>
            <w:rFonts w:ascii="Times New Roman" w:eastAsia="Times New Roman" w:hAnsi="Times New Roman" w:cs="Times New Roman"/>
            <w:sz w:val="24"/>
            <w:szCs w:val="24"/>
            <w:lang w:val="en-GB" w:eastAsia="zh-TW"/>
          </w:rPr>
          <w:tag w:val="goog_rdk_75"/>
          <w:id w:val="-1526240238"/>
          <w:showingPlcHdr/>
        </w:sdtPr>
        <w:sdtContent>
          <w:r w:rsidRPr="001E608F">
            <w:rPr>
              <w:rFonts w:ascii="Times New Roman" w:eastAsia="Times New Roman" w:hAnsi="Times New Roman" w:cs="Times New Roman"/>
              <w:sz w:val="24"/>
              <w:szCs w:val="24"/>
              <w:lang w:val="en-GB" w:eastAsia="zh-TW"/>
            </w:rPr>
            <w:t xml:space="preserve">     </w:t>
          </w:r>
        </w:sdtContent>
      </w:sdt>
      <w:r w:rsidRPr="001E608F">
        <w:rPr>
          <w:rFonts w:ascii="Calibri" w:eastAsia="Calibri" w:hAnsi="Calibri" w:cs="Calibri"/>
          <w:sz w:val="24"/>
          <w:szCs w:val="24"/>
          <w:highlight w:val="white"/>
          <w:lang w:val="en-GB" w:eastAsia="zh-TW"/>
        </w:rPr>
        <w:t xml:space="preserve"> (since the death of the biological parents) of an Eritrea minor residing in Sudan, at the time of application. The application was rejected by the competent authorities in the Netherlands on the grounds of (</w:t>
      </w:r>
      <w:proofErr w:type="spellStart"/>
      <w:r w:rsidRPr="001E608F">
        <w:rPr>
          <w:rFonts w:ascii="Calibri" w:eastAsia="Calibri" w:hAnsi="Calibri" w:cs="Calibri"/>
          <w:sz w:val="24"/>
          <w:szCs w:val="24"/>
          <w:highlight w:val="white"/>
          <w:lang w:val="en-GB" w:eastAsia="zh-TW"/>
        </w:rPr>
        <w:t>i</w:t>
      </w:r>
      <w:proofErr w:type="spellEnd"/>
      <w:r w:rsidRPr="001E608F">
        <w:rPr>
          <w:rFonts w:ascii="Calibri" w:eastAsia="Calibri" w:hAnsi="Calibri" w:cs="Calibri"/>
          <w:sz w:val="24"/>
          <w:szCs w:val="24"/>
          <w:highlight w:val="white"/>
          <w:lang w:val="en-GB" w:eastAsia="zh-TW"/>
        </w:rPr>
        <w:t>) lack of official documentary evidence of the family relationship and (ii) the sponsor’s inability to explain the absence of such evidence. In addition to the deliberations stated in the above paragraph, the CJEU urged national authorities to pay particular attention to the situation of refugees and this implies that it is ‘often impossible or dangerous for refugees or their family members to produce official documents, or to get in touch with diplomatic or consular authorities of their country of origin’ (</w:t>
      </w:r>
      <w:r w:rsidRPr="001E608F">
        <w:rPr>
          <w:rFonts w:ascii="Calibri" w:eastAsia="Calibri" w:hAnsi="Calibri" w:cs="Calibri"/>
          <w:i/>
          <w:sz w:val="24"/>
          <w:szCs w:val="24"/>
          <w:highlight w:val="white"/>
          <w:lang w:val="en-GB" w:eastAsia="zh-TW"/>
        </w:rPr>
        <w:t>ibid</w:t>
      </w:r>
      <w:r w:rsidRPr="001E608F">
        <w:rPr>
          <w:rFonts w:ascii="Calibri" w:eastAsia="Calibri" w:hAnsi="Calibri" w:cs="Calibri"/>
          <w:sz w:val="24"/>
          <w:szCs w:val="24"/>
          <w:highlight w:val="white"/>
          <w:lang w:val="en-GB" w:eastAsia="zh-TW"/>
        </w:rPr>
        <w:t>., para. 66). It further noted that ‘the national authorities must also take account of the personality of the sponsor or the member of his family concerned by the application for family reunification, the specific situation in which they find themselves and the particular difficulties they are facing, with the result that the requirements which may be set […] for the purpose of establishing that it is not possible to provide official documentary evidence of the family relationship, must be proportionate and depend on the nature and level of the difficulties they are facing’ (</w:t>
      </w:r>
      <w:r w:rsidRPr="001E608F">
        <w:rPr>
          <w:rFonts w:ascii="Calibri" w:eastAsia="Calibri" w:hAnsi="Calibri" w:cs="Calibri"/>
          <w:i/>
          <w:sz w:val="24"/>
          <w:szCs w:val="24"/>
          <w:highlight w:val="white"/>
          <w:lang w:val="en-GB" w:eastAsia="zh-TW"/>
        </w:rPr>
        <w:t>ibid</w:t>
      </w:r>
      <w:r w:rsidRPr="001E608F">
        <w:rPr>
          <w:rFonts w:ascii="Calibri" w:eastAsia="Calibri" w:hAnsi="Calibri" w:cs="Calibri"/>
          <w:sz w:val="24"/>
          <w:szCs w:val="24"/>
          <w:highlight w:val="white"/>
          <w:lang w:val="en-GB" w:eastAsia="zh-TW"/>
        </w:rPr>
        <w:t xml:space="preserve">., para. 65). Lastly the CJEU noted that the ‘national authorities are entitled to reject an application’ in cases where ‘the sponsor flagrantly fails to fulfil his obligation to cooperate or if it is clearly apparent, </w:t>
      </w:r>
      <w:proofErr w:type="gramStart"/>
      <w:r w:rsidRPr="001E608F">
        <w:rPr>
          <w:rFonts w:ascii="Calibri" w:eastAsia="Calibri" w:hAnsi="Calibri" w:cs="Calibri"/>
          <w:sz w:val="24"/>
          <w:szCs w:val="24"/>
          <w:highlight w:val="white"/>
          <w:lang w:val="en-GB" w:eastAsia="zh-TW"/>
        </w:rPr>
        <w:t>on the basis of</w:t>
      </w:r>
      <w:proofErr w:type="gramEnd"/>
      <w:r w:rsidRPr="001E608F">
        <w:rPr>
          <w:rFonts w:ascii="Calibri" w:eastAsia="Calibri" w:hAnsi="Calibri" w:cs="Calibri"/>
          <w:sz w:val="24"/>
          <w:szCs w:val="24"/>
          <w:highlight w:val="white"/>
          <w:lang w:val="en-GB" w:eastAsia="zh-TW"/>
        </w:rPr>
        <w:t xml:space="preserve"> objective information […], that the application for family reunification is </w:t>
      </w:r>
      <w:r w:rsidRPr="001E608F">
        <w:rPr>
          <w:rFonts w:ascii="Calibri" w:eastAsia="Calibri" w:hAnsi="Calibri" w:cs="Calibri"/>
          <w:sz w:val="24"/>
          <w:szCs w:val="24"/>
          <w:highlight w:val="white"/>
          <w:lang w:val="en-GB" w:eastAsia="zh-TW"/>
        </w:rPr>
        <w:lastRenderedPageBreak/>
        <w:t>fraudulent´ (</w:t>
      </w:r>
      <w:r w:rsidRPr="001E608F">
        <w:rPr>
          <w:rFonts w:ascii="Calibri" w:eastAsia="Calibri" w:hAnsi="Calibri" w:cs="Calibri"/>
          <w:i/>
          <w:iCs/>
          <w:sz w:val="24"/>
          <w:szCs w:val="24"/>
          <w:highlight w:val="white"/>
          <w:lang w:val="en-GB" w:eastAsia="zh-TW"/>
        </w:rPr>
        <w:t>ibid</w:t>
      </w:r>
      <w:r w:rsidRPr="001E608F">
        <w:rPr>
          <w:rFonts w:ascii="Calibri" w:eastAsia="Calibri" w:hAnsi="Calibri" w:cs="Calibri"/>
          <w:sz w:val="24"/>
          <w:szCs w:val="24"/>
          <w:highlight w:val="white"/>
          <w:lang w:val="en-GB" w:eastAsia="zh-TW"/>
        </w:rPr>
        <w:t>., para. 67). However, ‘in the absence of such circumstances’, the CJEU emphasised that the concerned national authorities must comply with their obligations laid down in Article 11(2) of the Family Reunification Directive and take ‘other evidence’ into account (</w:t>
      </w:r>
      <w:r w:rsidRPr="001E608F">
        <w:rPr>
          <w:rFonts w:ascii="Calibri" w:eastAsia="Calibri" w:hAnsi="Calibri" w:cs="Calibri"/>
          <w:i/>
          <w:iCs/>
          <w:sz w:val="24"/>
          <w:szCs w:val="24"/>
          <w:highlight w:val="white"/>
          <w:lang w:val="en-GB" w:eastAsia="zh-TW"/>
        </w:rPr>
        <w:t>ibid</w:t>
      </w:r>
      <w:r w:rsidRPr="001E608F">
        <w:rPr>
          <w:rFonts w:ascii="Calibri" w:eastAsia="Calibri" w:hAnsi="Calibri" w:cs="Calibri"/>
          <w:sz w:val="24"/>
          <w:szCs w:val="24"/>
          <w:highlight w:val="white"/>
          <w:lang w:val="en-GB" w:eastAsia="zh-TW"/>
        </w:rPr>
        <w:t>., para. 68).</w:t>
      </w:r>
    </w:p>
    <w:p w14:paraId="7500F9A8" w14:textId="77777777" w:rsidR="001E608F" w:rsidRPr="001E608F" w:rsidRDefault="001E608F" w:rsidP="001E608F">
      <w:pPr>
        <w:spacing w:after="0" w:line="240" w:lineRule="auto"/>
        <w:jc w:val="both"/>
        <w:rPr>
          <w:rFonts w:ascii="Calibri" w:eastAsia="Calibri" w:hAnsi="Calibri" w:cs="Calibri"/>
          <w:sz w:val="24"/>
          <w:szCs w:val="24"/>
          <w:highlight w:val="white"/>
          <w:lang w:val="en-GB" w:eastAsia="zh-TW"/>
        </w:rPr>
      </w:pPr>
    </w:p>
    <w:p w14:paraId="41768B02" w14:textId="77777777" w:rsidR="001E608F" w:rsidRPr="001E608F" w:rsidRDefault="001E608F" w:rsidP="001E608F">
      <w:pPr>
        <w:spacing w:after="0" w:line="240" w:lineRule="auto"/>
        <w:jc w:val="both"/>
        <w:rPr>
          <w:rFonts w:ascii="Calibri" w:eastAsia="Calibri" w:hAnsi="Calibri" w:cs="Calibri"/>
          <w:sz w:val="24"/>
          <w:szCs w:val="24"/>
          <w:highlight w:val="white"/>
          <w:lang w:val="en-GB" w:eastAsia="zh-TW"/>
        </w:rPr>
      </w:pPr>
      <w:proofErr w:type="gramStart"/>
      <w:r w:rsidRPr="001E608F">
        <w:rPr>
          <w:rFonts w:ascii="Calibri" w:eastAsia="Calibri" w:hAnsi="Calibri" w:cs="Calibri"/>
          <w:sz w:val="24"/>
          <w:szCs w:val="24"/>
          <w:highlight w:val="white"/>
          <w:lang w:val="en-GB" w:eastAsia="zh-TW"/>
        </w:rPr>
        <w:t>On the basis of</w:t>
      </w:r>
      <w:proofErr w:type="gramEnd"/>
      <w:r w:rsidRPr="001E608F">
        <w:rPr>
          <w:rFonts w:ascii="Calibri" w:eastAsia="Calibri" w:hAnsi="Calibri" w:cs="Calibri"/>
          <w:sz w:val="24"/>
          <w:szCs w:val="24"/>
          <w:highlight w:val="white"/>
          <w:lang w:val="en-GB" w:eastAsia="zh-TW"/>
        </w:rPr>
        <w:t xml:space="preserve"> these considerations, the CJEU noted that the sponsor did not have the official documents she was asked to provide by the respective national authorities in the Netherlands because she came from a rural area where the possession of specific official certificates was unusual. </w:t>
      </w:r>
      <w:sdt>
        <w:sdtPr>
          <w:rPr>
            <w:rFonts w:ascii="Times New Roman" w:eastAsia="Times New Roman" w:hAnsi="Times New Roman" w:cs="Times New Roman"/>
            <w:sz w:val="24"/>
            <w:szCs w:val="24"/>
            <w:lang w:val="en-GB" w:eastAsia="zh-TW"/>
          </w:rPr>
          <w:tag w:val="goog_rdk_86"/>
          <w:id w:val="-968510511"/>
        </w:sdtPr>
        <w:sdtContent/>
      </w:sdt>
      <w:r w:rsidRPr="001E608F">
        <w:rPr>
          <w:rFonts w:ascii="Calibri" w:eastAsia="Calibri" w:hAnsi="Calibri" w:cs="Calibri"/>
          <w:sz w:val="24"/>
          <w:szCs w:val="24"/>
          <w:highlight w:val="white"/>
          <w:lang w:val="en-GB" w:eastAsia="zh-TW"/>
        </w:rPr>
        <w:t xml:space="preserve">Further, the CJEU </w:t>
      </w:r>
      <w:proofErr w:type="gramStart"/>
      <w:r w:rsidRPr="001E608F">
        <w:rPr>
          <w:rFonts w:ascii="Calibri" w:eastAsia="Calibri" w:hAnsi="Calibri" w:cs="Calibri"/>
          <w:sz w:val="24"/>
          <w:szCs w:val="24"/>
          <w:highlight w:val="white"/>
          <w:lang w:val="en-GB" w:eastAsia="zh-TW"/>
        </w:rPr>
        <w:t>came to the conclusion</w:t>
      </w:r>
      <w:proofErr w:type="gramEnd"/>
      <w:r w:rsidRPr="001E608F">
        <w:rPr>
          <w:rFonts w:ascii="Calibri" w:eastAsia="Calibri" w:hAnsi="Calibri" w:cs="Calibri"/>
          <w:sz w:val="24"/>
          <w:szCs w:val="24"/>
          <w:highlight w:val="white"/>
          <w:lang w:val="en-GB" w:eastAsia="zh-TW"/>
        </w:rPr>
        <w:t xml:space="preserve"> that the applicants did fulfil their obligation to cooperate with the national authorities by informing them that ‘it would be impossible to obtain those certificates today’, since the Eritrean minor (the applicant) left the country illegally, with the result that requesting such certificates by means of local acquaintances ‘would have engendered dangers’ for them and for their family residing in Eritrea (</w:t>
      </w:r>
      <w:r w:rsidRPr="001E608F">
        <w:rPr>
          <w:rFonts w:ascii="Calibri" w:eastAsia="Calibri" w:hAnsi="Calibri" w:cs="Calibri"/>
          <w:i/>
          <w:sz w:val="24"/>
          <w:szCs w:val="24"/>
          <w:highlight w:val="white"/>
          <w:lang w:val="en-GB" w:eastAsia="zh-TW"/>
        </w:rPr>
        <w:t>ibid</w:t>
      </w:r>
      <w:r w:rsidRPr="001E608F">
        <w:rPr>
          <w:rFonts w:ascii="Calibri" w:eastAsia="Calibri" w:hAnsi="Calibri" w:cs="Calibri"/>
          <w:sz w:val="24"/>
          <w:szCs w:val="24"/>
          <w:highlight w:val="white"/>
          <w:lang w:val="en-GB" w:eastAsia="zh-TW"/>
        </w:rPr>
        <w:t>., para. 75).</w:t>
      </w:r>
      <w:r w:rsidRPr="001E608F">
        <w:rPr>
          <w:rFonts w:ascii="Calibri" w:eastAsia="Calibri" w:hAnsi="Calibri" w:cs="Calibri"/>
          <w:sz w:val="24"/>
          <w:szCs w:val="24"/>
          <w:lang w:val="en-GB" w:eastAsia="zh-TW"/>
        </w:rPr>
        <w:t xml:space="preserve"> Lastly, the CJEU noted that the concerned national authorities did not consider the applicant’s age, his situation both as a refugee in Sudan and before, in Eritrea,</w:t>
      </w:r>
      <w:r w:rsidRPr="001E608F">
        <w:rPr>
          <w:rFonts w:ascii="Calibri" w:eastAsia="Calibri" w:hAnsi="Calibri" w:cs="Calibri"/>
          <w:sz w:val="24"/>
          <w:szCs w:val="24"/>
          <w:highlight w:val="white"/>
          <w:lang w:val="en-GB" w:eastAsia="zh-TW"/>
        </w:rPr>
        <w:t xml:space="preserve"> or the child’s best interests (</w:t>
      </w:r>
      <w:r w:rsidRPr="001E608F">
        <w:rPr>
          <w:rFonts w:ascii="Calibri" w:eastAsia="Calibri" w:hAnsi="Calibri" w:cs="Calibri"/>
          <w:i/>
          <w:sz w:val="24"/>
          <w:szCs w:val="24"/>
          <w:highlight w:val="white"/>
          <w:lang w:val="en-GB" w:eastAsia="zh-TW"/>
        </w:rPr>
        <w:t>ibid</w:t>
      </w:r>
      <w:r w:rsidRPr="001E608F">
        <w:rPr>
          <w:rFonts w:ascii="Calibri" w:eastAsia="Calibri" w:hAnsi="Calibri" w:cs="Calibri"/>
          <w:sz w:val="24"/>
          <w:szCs w:val="24"/>
          <w:highlight w:val="white"/>
          <w:lang w:val="en-GB" w:eastAsia="zh-TW"/>
        </w:rPr>
        <w:t>., para. 77). Here, the CJEU explained that ‘while the competent national authorities are permitted to take steps for the purpose of detecting fraudulent applications for family reunification, occurring in a context of child abduction or even human trafficking, […] that fact does not free those authorities from the obligation to have regard to the best interests of a child potentially finding himself in conditions such as those described by [the applicant]’ (</w:t>
      </w:r>
      <w:r w:rsidRPr="001E608F">
        <w:rPr>
          <w:rFonts w:ascii="Calibri" w:eastAsia="Calibri" w:hAnsi="Calibri" w:cs="Calibri"/>
          <w:i/>
          <w:sz w:val="24"/>
          <w:szCs w:val="24"/>
          <w:highlight w:val="white"/>
          <w:lang w:val="en-GB" w:eastAsia="zh-TW"/>
        </w:rPr>
        <w:t>ibid</w:t>
      </w:r>
      <w:r w:rsidRPr="001E608F">
        <w:rPr>
          <w:rFonts w:ascii="Calibri" w:eastAsia="Calibri" w:hAnsi="Calibri" w:cs="Calibri"/>
          <w:sz w:val="24"/>
          <w:szCs w:val="24"/>
          <w:highlight w:val="white"/>
          <w:lang w:val="en-GB" w:eastAsia="zh-TW"/>
        </w:rPr>
        <w:t>., para. 78).</w:t>
      </w:r>
      <w:sdt>
        <w:sdtPr>
          <w:rPr>
            <w:rFonts w:ascii="Times New Roman" w:eastAsia="Times New Roman" w:hAnsi="Times New Roman" w:cs="Times New Roman"/>
            <w:sz w:val="24"/>
            <w:szCs w:val="24"/>
            <w:lang w:val="en-GB" w:eastAsia="zh-TW"/>
          </w:rPr>
          <w:tag w:val="goog_rdk_91"/>
          <w:id w:val="-1298292037"/>
        </w:sdtPr>
        <w:sdtContent/>
      </w:sdt>
    </w:p>
    <w:p w14:paraId="7BBF91A2" w14:textId="77777777" w:rsidR="001E608F" w:rsidRPr="001E608F" w:rsidRDefault="001E608F" w:rsidP="001E608F">
      <w:pPr>
        <w:spacing w:after="0" w:line="240" w:lineRule="auto"/>
        <w:jc w:val="both"/>
        <w:rPr>
          <w:rFonts w:ascii="Calibri" w:eastAsia="Calibri" w:hAnsi="Calibri" w:cs="Calibri"/>
          <w:sz w:val="24"/>
          <w:szCs w:val="24"/>
          <w:highlight w:val="white"/>
          <w:lang w:val="en-GB" w:eastAsia="zh-TW"/>
        </w:rPr>
      </w:pPr>
    </w:p>
    <w:p w14:paraId="7F42DFBF" w14:textId="77777777" w:rsidR="001E608F" w:rsidRPr="001E608F" w:rsidRDefault="001E608F" w:rsidP="001E608F">
      <w:pPr>
        <w:spacing w:after="0" w:line="240" w:lineRule="auto"/>
        <w:jc w:val="both"/>
        <w:rPr>
          <w:rFonts w:ascii="Calibri" w:eastAsia="Calibri" w:hAnsi="Calibri" w:cs="Calibri"/>
          <w:sz w:val="24"/>
          <w:szCs w:val="24"/>
          <w:highlight w:val="white"/>
          <w:lang w:val="en-GB" w:eastAsia="zh-TW"/>
        </w:rPr>
      </w:pPr>
      <w:r w:rsidRPr="001E608F">
        <w:rPr>
          <w:rFonts w:ascii="Calibri" w:eastAsia="Calibri" w:hAnsi="Calibri" w:cs="Calibri"/>
          <w:sz w:val="24"/>
          <w:szCs w:val="24"/>
          <w:highlight w:val="white"/>
          <w:lang w:val="en-GB" w:eastAsia="zh-TW"/>
        </w:rPr>
        <w:t>A judgement of 2018 by the Swedish Migration Court of Appeal (the highest judicial organ in Sweden for matters of asylum and immigration) is also of particular importance. In this judicial decision, the Swedish Migration Court of Appeal emphasised the need to consider ‘alternative’ proof of identity for Eritrean refugees in the context of family reunification applications. The case concerned an Eritrean woman and her child, both registered as refugees in Ethiopia and who applied for family reunification to join the woman’s husband (and father of the child) and her other child, in Sweden (Migration Court of Appeal, UM 2630-17, 5 March 2018). The Migration Court, on appeal, found that it was disproportionate to require the Eritrean applicants to obtain Eritrean passports from an Eritrean embassy abroad given the risks this would pose to them and their relatives in Eritrea.</w:t>
      </w:r>
    </w:p>
    <w:p w14:paraId="438E91CE" w14:textId="77777777" w:rsidR="001E608F" w:rsidRPr="001E608F" w:rsidRDefault="001E608F" w:rsidP="001E608F">
      <w:pPr>
        <w:spacing w:after="0" w:line="240" w:lineRule="auto"/>
        <w:jc w:val="both"/>
        <w:rPr>
          <w:rFonts w:ascii="Calibri" w:eastAsia="Calibri" w:hAnsi="Calibri" w:cs="Calibri"/>
          <w:sz w:val="24"/>
          <w:szCs w:val="24"/>
          <w:highlight w:val="white"/>
          <w:lang w:val="en-GB" w:eastAsia="zh-TW"/>
        </w:rPr>
      </w:pPr>
    </w:p>
    <w:p w14:paraId="4F7C6992" w14:textId="77777777" w:rsidR="001E608F" w:rsidRPr="001E608F" w:rsidRDefault="001E608F" w:rsidP="001E608F">
      <w:pPr>
        <w:spacing w:after="0" w:line="240" w:lineRule="auto"/>
        <w:jc w:val="both"/>
        <w:rPr>
          <w:rFonts w:ascii="Calibri" w:eastAsia="Calibri" w:hAnsi="Calibri" w:cs="Calibri"/>
          <w:sz w:val="24"/>
          <w:szCs w:val="24"/>
          <w:highlight w:val="white"/>
          <w:lang w:val="en-GB" w:eastAsia="zh-TW"/>
        </w:rPr>
      </w:pPr>
      <w:bookmarkStart w:id="3" w:name="_heading=h.3znysh7" w:colFirst="0" w:colLast="0"/>
      <w:bookmarkEnd w:id="3"/>
      <w:r w:rsidRPr="001E608F">
        <w:rPr>
          <w:rFonts w:ascii="Calibri" w:eastAsia="Calibri" w:hAnsi="Calibri" w:cs="Calibri"/>
          <w:sz w:val="24"/>
          <w:szCs w:val="24"/>
          <w:highlight w:val="white"/>
          <w:lang w:val="en-GB" w:eastAsia="zh-TW"/>
        </w:rPr>
        <w:t>For instance, the Swedish Migration Court of Appeal stated that the applicants would be compelled to sign the ‘regret form’ (discussed above) wherein they would accept punishment for not having completed their military and national duties. In addition to this, the Swedish Court noted that by approaching an Eritrean embassy, the family would make the Eritrean government aware of their illegal exit, which would put their relatives still living in Eritrea at serious risk including reprisals in the form of, for instance, deprivation of liberty (</w:t>
      </w:r>
      <w:r w:rsidRPr="001E608F">
        <w:rPr>
          <w:rFonts w:ascii="Calibri" w:eastAsia="Calibri" w:hAnsi="Calibri" w:cs="Calibri"/>
          <w:i/>
          <w:sz w:val="24"/>
          <w:szCs w:val="24"/>
          <w:highlight w:val="white"/>
          <w:lang w:val="en-GB" w:eastAsia="zh-TW"/>
        </w:rPr>
        <w:t>ibid</w:t>
      </w:r>
      <w:r w:rsidRPr="001E608F">
        <w:rPr>
          <w:rFonts w:ascii="Calibri" w:eastAsia="Calibri" w:hAnsi="Calibri" w:cs="Calibri"/>
          <w:sz w:val="24"/>
          <w:szCs w:val="24"/>
          <w:highlight w:val="white"/>
          <w:lang w:val="en-GB" w:eastAsia="zh-TW"/>
        </w:rPr>
        <w:t xml:space="preserve">., para. 4). Consequently, the Swedish Migration Court of Appeal held that the appellant and the children would enjoy an alleviation of evidentiary burden </w:t>
      </w:r>
      <w:proofErr w:type="gramStart"/>
      <w:r w:rsidRPr="001E608F">
        <w:rPr>
          <w:rFonts w:ascii="Calibri" w:eastAsia="Calibri" w:hAnsi="Calibri" w:cs="Calibri"/>
          <w:sz w:val="24"/>
          <w:szCs w:val="24"/>
          <w:highlight w:val="white"/>
          <w:lang w:val="en-GB" w:eastAsia="zh-TW"/>
        </w:rPr>
        <w:t>with regard to</w:t>
      </w:r>
      <w:proofErr w:type="gramEnd"/>
      <w:r w:rsidRPr="001E608F">
        <w:rPr>
          <w:rFonts w:ascii="Calibri" w:eastAsia="Calibri" w:hAnsi="Calibri" w:cs="Calibri"/>
          <w:sz w:val="24"/>
          <w:szCs w:val="24"/>
          <w:highlight w:val="white"/>
          <w:lang w:val="en-GB" w:eastAsia="zh-TW"/>
        </w:rPr>
        <w:t xml:space="preserve"> their identities and that it would fall upon the Swedish Migration Agency to complete a DNA test on the family’s affiliation (</w:t>
      </w:r>
      <w:r w:rsidRPr="001E608F">
        <w:rPr>
          <w:rFonts w:ascii="Calibri" w:eastAsia="Calibri" w:hAnsi="Calibri" w:cs="Calibri"/>
          <w:i/>
          <w:sz w:val="24"/>
          <w:szCs w:val="24"/>
          <w:highlight w:val="white"/>
          <w:lang w:val="en-GB" w:eastAsia="zh-TW"/>
        </w:rPr>
        <w:t>ibid</w:t>
      </w:r>
      <w:r w:rsidRPr="001E608F">
        <w:rPr>
          <w:rFonts w:ascii="Calibri" w:eastAsia="Calibri" w:hAnsi="Calibri" w:cs="Calibri"/>
          <w:sz w:val="24"/>
          <w:szCs w:val="24"/>
          <w:highlight w:val="white"/>
          <w:lang w:val="en-GB" w:eastAsia="zh-TW"/>
        </w:rPr>
        <w:t xml:space="preserve">.). In ruling so, the Swedish Court referred to the case of </w:t>
      </w:r>
      <w:proofErr w:type="spellStart"/>
      <w:r w:rsidRPr="001E608F">
        <w:rPr>
          <w:rFonts w:ascii="Calibri" w:eastAsia="Calibri" w:hAnsi="Calibri" w:cs="Calibri"/>
          <w:i/>
          <w:sz w:val="24"/>
          <w:szCs w:val="24"/>
          <w:highlight w:val="white"/>
          <w:lang w:val="en-GB" w:eastAsia="zh-TW"/>
        </w:rPr>
        <w:t>Mugenzi</w:t>
      </w:r>
      <w:proofErr w:type="spellEnd"/>
      <w:r w:rsidRPr="001E608F">
        <w:rPr>
          <w:rFonts w:ascii="Calibri" w:eastAsia="Calibri" w:hAnsi="Calibri" w:cs="Calibri"/>
          <w:i/>
          <w:sz w:val="24"/>
          <w:szCs w:val="24"/>
          <w:highlight w:val="white"/>
          <w:lang w:val="en-GB" w:eastAsia="zh-TW"/>
        </w:rPr>
        <w:t xml:space="preserve"> v. France</w:t>
      </w:r>
      <w:r w:rsidRPr="001E608F">
        <w:rPr>
          <w:rFonts w:ascii="Calibri" w:eastAsia="Calibri" w:hAnsi="Calibri" w:cs="Calibri"/>
          <w:i/>
          <w:sz w:val="24"/>
          <w:szCs w:val="24"/>
          <w:highlight w:val="white"/>
          <w:vertAlign w:val="superscript"/>
          <w:lang w:val="en-GB" w:eastAsia="zh-TW"/>
        </w:rPr>
        <w:footnoteReference w:id="7"/>
      </w:r>
      <w:r w:rsidRPr="001E608F">
        <w:rPr>
          <w:rFonts w:ascii="Calibri" w:eastAsia="Calibri" w:hAnsi="Calibri" w:cs="Calibri"/>
          <w:sz w:val="24"/>
          <w:szCs w:val="24"/>
          <w:highlight w:val="white"/>
          <w:lang w:val="en-GB" w:eastAsia="zh-TW"/>
        </w:rPr>
        <w:t xml:space="preserve"> and the </w:t>
      </w:r>
      <w:r w:rsidRPr="001E608F">
        <w:rPr>
          <w:rFonts w:ascii="Calibri" w:eastAsia="Calibri" w:hAnsi="Calibri" w:cs="Calibri"/>
          <w:sz w:val="24"/>
          <w:szCs w:val="24"/>
          <w:highlight w:val="white"/>
          <w:lang w:val="en-GB" w:eastAsia="zh-TW"/>
        </w:rPr>
        <w:lastRenderedPageBreak/>
        <w:t xml:space="preserve">Family Reunification Directive, underlining that both the European Court of Human Rights and EU law require domestic authorities to </w:t>
      </w:r>
      <w:proofErr w:type="gramStart"/>
      <w:r w:rsidRPr="001E608F">
        <w:rPr>
          <w:rFonts w:ascii="Calibri" w:eastAsia="Calibri" w:hAnsi="Calibri" w:cs="Calibri"/>
          <w:sz w:val="24"/>
          <w:szCs w:val="24"/>
          <w:highlight w:val="white"/>
          <w:lang w:val="en-GB" w:eastAsia="zh-TW"/>
        </w:rPr>
        <w:t>take into account</w:t>
      </w:r>
      <w:proofErr w:type="gramEnd"/>
      <w:r w:rsidRPr="001E608F">
        <w:rPr>
          <w:rFonts w:ascii="Calibri" w:eastAsia="Calibri" w:hAnsi="Calibri" w:cs="Calibri"/>
          <w:sz w:val="24"/>
          <w:szCs w:val="24"/>
          <w:highlight w:val="white"/>
          <w:lang w:val="en-GB" w:eastAsia="zh-TW"/>
        </w:rPr>
        <w:t xml:space="preserve"> ‘other evidence’ of the existence of family ties, where the refugee is not able to present official documents (</w:t>
      </w:r>
      <w:r w:rsidRPr="001E608F">
        <w:rPr>
          <w:rFonts w:ascii="Calibri" w:eastAsia="Calibri" w:hAnsi="Calibri" w:cs="Calibri"/>
          <w:i/>
          <w:sz w:val="24"/>
          <w:szCs w:val="24"/>
          <w:highlight w:val="white"/>
          <w:lang w:val="en-GB" w:eastAsia="zh-TW"/>
        </w:rPr>
        <w:t>ibid</w:t>
      </w:r>
      <w:r w:rsidRPr="001E608F">
        <w:rPr>
          <w:rFonts w:ascii="Calibri" w:eastAsia="Calibri" w:hAnsi="Calibri" w:cs="Calibri"/>
          <w:sz w:val="24"/>
          <w:szCs w:val="24"/>
          <w:highlight w:val="white"/>
          <w:lang w:val="en-GB" w:eastAsia="zh-TW"/>
        </w:rPr>
        <w:t>., para. 2.2).</w:t>
      </w:r>
    </w:p>
    <w:p w14:paraId="72EAE8CB" w14:textId="77777777" w:rsidR="001E608F" w:rsidRPr="001E608F" w:rsidRDefault="001E608F" w:rsidP="001E608F">
      <w:pPr>
        <w:spacing w:after="0" w:line="240" w:lineRule="auto"/>
        <w:jc w:val="both"/>
        <w:rPr>
          <w:rFonts w:ascii="Calibri" w:eastAsia="Calibri" w:hAnsi="Calibri" w:cs="Calibri"/>
          <w:sz w:val="24"/>
          <w:szCs w:val="24"/>
          <w:highlight w:val="white"/>
          <w:lang w:val="en-GB" w:eastAsia="zh-TW"/>
        </w:rPr>
      </w:pPr>
    </w:p>
    <w:p w14:paraId="38F19D05" w14:textId="77777777" w:rsidR="001E608F" w:rsidRPr="001E608F" w:rsidRDefault="001E608F" w:rsidP="001E608F">
      <w:pPr>
        <w:spacing w:after="0" w:line="240" w:lineRule="auto"/>
        <w:jc w:val="both"/>
        <w:rPr>
          <w:rFonts w:ascii="Calibri" w:eastAsia="Calibri" w:hAnsi="Calibri" w:cs="Calibri"/>
          <w:sz w:val="24"/>
          <w:szCs w:val="24"/>
          <w:highlight w:val="white"/>
          <w:lang w:val="en-GB" w:eastAsia="zh-TW"/>
        </w:rPr>
      </w:pPr>
      <w:r w:rsidRPr="001E608F">
        <w:rPr>
          <w:rFonts w:ascii="Calibri" w:eastAsia="Calibri" w:hAnsi="Calibri" w:cs="Calibri"/>
          <w:sz w:val="24"/>
          <w:szCs w:val="24"/>
          <w:highlight w:val="white"/>
          <w:lang w:val="en-GB" w:eastAsia="zh-TW"/>
        </w:rPr>
        <w:t>Lastly, with regard to family reunification procedures that involve children, the Committee on the Rights of the Child (CRC) has criticised the procedures on family reunification that impose excessively demanding documentary requirements and recommends to take into account ‘all necessary measures to safeguard the principle of family unity for refugees and their children, including by making administrative requirements for family unification more flexible and affordable’ (Concluding Observation to Poland, 2015, as cited in Council of Europe,</w:t>
      </w:r>
      <w:r w:rsidRPr="001E608F">
        <w:rPr>
          <w:rFonts w:ascii="Helvetica Neue" w:eastAsia="Helvetica Neue" w:hAnsi="Helvetica Neue" w:cs="Helvetica Neue"/>
          <w:color w:val="3F3F3F"/>
          <w:sz w:val="19"/>
          <w:szCs w:val="19"/>
          <w:shd w:val="clear" w:color="auto" w:fill="F9F9F9"/>
          <w:lang w:val="en-GB" w:eastAsia="zh-TW"/>
        </w:rPr>
        <w:t xml:space="preserve"> </w:t>
      </w:r>
      <w:r w:rsidRPr="001E608F">
        <w:rPr>
          <w:rFonts w:ascii="Calibri" w:eastAsia="Calibri" w:hAnsi="Calibri" w:cs="Calibri"/>
          <w:sz w:val="24"/>
          <w:szCs w:val="24"/>
          <w:highlight w:val="white"/>
          <w:lang w:val="en-GB" w:eastAsia="zh-TW"/>
        </w:rPr>
        <w:t>Commissioner for Human Rights, ‘Realising the right to family reunification of refugees in Europe’, June 2017 p. 19).</w:t>
      </w:r>
    </w:p>
    <w:p w14:paraId="2821AA99" w14:textId="77777777" w:rsidR="001E608F" w:rsidRPr="001E608F" w:rsidRDefault="001E608F" w:rsidP="001E608F">
      <w:pPr>
        <w:spacing w:after="0" w:line="240" w:lineRule="auto"/>
        <w:jc w:val="both"/>
        <w:rPr>
          <w:rFonts w:ascii="Calibri" w:eastAsia="Calibri" w:hAnsi="Calibri" w:cs="Calibri"/>
          <w:sz w:val="24"/>
          <w:szCs w:val="24"/>
          <w:highlight w:val="white"/>
          <w:lang w:val="en-GB" w:eastAsia="zh-TW"/>
        </w:rPr>
      </w:pPr>
    </w:p>
    <w:p w14:paraId="79D32330" w14:textId="3E19B07A" w:rsidR="001E608F" w:rsidRPr="001E608F" w:rsidRDefault="001E608F" w:rsidP="001E608F">
      <w:pPr>
        <w:spacing w:after="0" w:line="240" w:lineRule="auto"/>
        <w:jc w:val="both"/>
        <w:rPr>
          <w:rFonts w:ascii="Calibri" w:eastAsia="Calibri" w:hAnsi="Calibri" w:cs="Calibri"/>
          <w:sz w:val="24"/>
          <w:szCs w:val="24"/>
          <w:highlight w:val="white"/>
          <w:lang w:val="en-GB" w:eastAsia="zh-TW"/>
        </w:rPr>
      </w:pPr>
      <w:r w:rsidRPr="001E608F">
        <w:rPr>
          <w:rFonts w:ascii="Calibri" w:eastAsia="Calibri" w:hAnsi="Calibri" w:cs="Calibri"/>
          <w:sz w:val="24"/>
          <w:szCs w:val="24"/>
          <w:highlight w:val="white"/>
          <w:lang w:val="en-GB" w:eastAsia="zh-TW"/>
        </w:rPr>
        <w:t>In our view, strict adherence to the rulings, observations and recommendations cited above, namely that of the EU’s Family Reunification Directive, the CJEU preliminary ruling, the Swedish Court’s judgement, as well as the CRC’s Concluding Observation, are crucial in ensuring less cumbersome administrative procedures for the processing of family reunification requests by unaccompanied minor refugees.</w:t>
      </w:r>
    </w:p>
    <w:p w14:paraId="7A941E85" w14:textId="1F63CB3B" w:rsidR="001E608F" w:rsidRPr="001E608F" w:rsidRDefault="001E608F" w:rsidP="001E608F">
      <w:pPr>
        <w:spacing w:after="0" w:line="240" w:lineRule="auto"/>
        <w:jc w:val="both"/>
        <w:rPr>
          <w:rFonts w:ascii="Calibri" w:eastAsia="Calibri" w:hAnsi="Calibri" w:cs="Calibri"/>
          <w:sz w:val="24"/>
          <w:szCs w:val="24"/>
          <w:highlight w:val="white"/>
          <w:lang w:val="en-GB" w:eastAsia="zh-TW"/>
        </w:rPr>
      </w:pPr>
    </w:p>
    <w:p w14:paraId="52785419" w14:textId="39209DDD" w:rsidR="001E608F" w:rsidRPr="001E608F" w:rsidRDefault="001E608F" w:rsidP="001E608F">
      <w:pPr>
        <w:spacing w:after="0" w:line="240" w:lineRule="auto"/>
        <w:jc w:val="both"/>
        <w:rPr>
          <w:rFonts w:ascii="Calibri" w:eastAsia="Calibri" w:hAnsi="Calibri" w:cs="Calibri"/>
          <w:sz w:val="24"/>
          <w:szCs w:val="24"/>
          <w:highlight w:val="white"/>
          <w:lang w:val="en-GB" w:eastAsia="zh-TW"/>
        </w:rPr>
      </w:pPr>
      <w:r w:rsidRPr="001E608F">
        <w:rPr>
          <w:rFonts w:ascii="Calibri" w:eastAsia="Calibri" w:hAnsi="Calibri" w:cs="Calibri"/>
          <w:sz w:val="24"/>
          <w:szCs w:val="24"/>
          <w:highlight w:val="white"/>
          <w:lang w:val="en-GB" w:eastAsia="zh-TW"/>
        </w:rPr>
        <w:t xml:space="preserve">For further questions please refer to Dr Corinna </w:t>
      </w:r>
      <w:proofErr w:type="spellStart"/>
      <w:r w:rsidRPr="001E608F">
        <w:rPr>
          <w:rFonts w:ascii="Calibri" w:eastAsia="Calibri" w:hAnsi="Calibri" w:cs="Calibri"/>
          <w:sz w:val="24"/>
          <w:szCs w:val="24"/>
          <w:highlight w:val="white"/>
          <w:lang w:val="en-GB" w:eastAsia="zh-TW"/>
        </w:rPr>
        <w:t>Ujkašević</w:t>
      </w:r>
      <w:proofErr w:type="spellEnd"/>
      <w:r w:rsidRPr="001E608F">
        <w:rPr>
          <w:rFonts w:ascii="Calibri" w:eastAsia="Calibri" w:hAnsi="Calibri" w:cs="Calibri"/>
          <w:sz w:val="24"/>
          <w:szCs w:val="24"/>
          <w:highlight w:val="white"/>
          <w:lang w:val="en-GB" w:eastAsia="zh-TW"/>
        </w:rPr>
        <w:t xml:space="preserve"> (</w:t>
      </w:r>
      <w:hyperlink r:id="rId8" w:history="1">
        <w:r w:rsidRPr="001E608F">
          <w:rPr>
            <w:rStyle w:val="Hyperlink"/>
            <w:rFonts w:ascii="Calibri" w:eastAsia="Calibri" w:hAnsi="Calibri" w:cs="Calibri"/>
            <w:color w:val="auto"/>
            <w:sz w:val="24"/>
            <w:szCs w:val="24"/>
            <w:highlight w:val="white"/>
            <w:lang w:val="en-GB" w:eastAsia="zh-TW"/>
          </w:rPr>
          <w:t>cujkasevic@refugeerights.org</w:t>
        </w:r>
      </w:hyperlink>
      <w:r w:rsidRPr="001E608F">
        <w:rPr>
          <w:rFonts w:ascii="Calibri" w:eastAsia="Calibri" w:hAnsi="Calibri" w:cs="Calibri"/>
          <w:sz w:val="24"/>
          <w:szCs w:val="24"/>
          <w:highlight w:val="white"/>
          <w:lang w:val="en-GB" w:eastAsia="zh-TW"/>
        </w:rPr>
        <w:t>).</w:t>
      </w:r>
    </w:p>
    <w:p w14:paraId="33F9DE60" w14:textId="77777777" w:rsidR="001E608F" w:rsidRPr="001E608F" w:rsidRDefault="001E608F" w:rsidP="001E608F">
      <w:pPr>
        <w:spacing w:after="0" w:line="240" w:lineRule="auto"/>
        <w:jc w:val="both"/>
        <w:rPr>
          <w:rFonts w:ascii="Calibri" w:eastAsia="Calibri" w:hAnsi="Calibri" w:cs="Calibri"/>
          <w:sz w:val="24"/>
          <w:szCs w:val="24"/>
          <w:lang w:val="en-GB" w:eastAsia="zh-TW"/>
        </w:rPr>
      </w:pPr>
    </w:p>
    <w:p w14:paraId="1D590EF3" w14:textId="7AF1690F" w:rsidR="00186C0A" w:rsidRPr="00E62E53" w:rsidRDefault="00186C0A" w:rsidP="001E608F">
      <w:pPr>
        <w:widowControl w:val="0"/>
        <w:autoSpaceDE w:val="0"/>
        <w:autoSpaceDN w:val="0"/>
        <w:adjustRightInd w:val="0"/>
        <w:spacing w:after="80" w:line="276" w:lineRule="auto"/>
        <w:jc w:val="both"/>
        <w:rPr>
          <w:rFonts w:eastAsia="DengXian" w:cs="Arial"/>
          <w:bCs/>
          <w:szCs w:val="21"/>
          <w:lang w:val="en-GB"/>
        </w:rPr>
      </w:pPr>
    </w:p>
    <w:sectPr w:rsidR="00186C0A" w:rsidRPr="00E62E53" w:rsidSect="00E62E53">
      <w:footerReference w:type="default" r:id="rId9"/>
      <w:headerReference w:type="first" r:id="rId1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65B5" w14:textId="77777777" w:rsidR="00FD6E19" w:rsidRDefault="00FD6E19" w:rsidP="006B41F8">
      <w:pPr>
        <w:spacing w:after="0" w:line="240" w:lineRule="auto"/>
      </w:pPr>
      <w:r>
        <w:separator/>
      </w:r>
    </w:p>
  </w:endnote>
  <w:endnote w:type="continuationSeparator" w:id="0">
    <w:p w14:paraId="407AF257" w14:textId="77777777" w:rsidR="00FD6E19" w:rsidRDefault="00FD6E19" w:rsidP="006B4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Raleway">
    <w:charset w:val="00"/>
    <w:family w:val="auto"/>
    <w:pitch w:val="variable"/>
    <w:sig w:usb0="A00002FF" w:usb1="5000205B" w:usb2="00000000" w:usb3="00000000" w:csb0="00000197" w:csb1="00000000"/>
  </w:font>
  <w:font w:name="Helvetica Neue">
    <w:altName w:val="Corbe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DengXian"/>
        <w:sz w:val="16"/>
        <w:szCs w:val="16"/>
      </w:rPr>
      <w:id w:val="-1269854444"/>
      <w:docPartObj>
        <w:docPartGallery w:val="Page Numbers (Bottom of Page)"/>
        <w:docPartUnique/>
      </w:docPartObj>
    </w:sdtPr>
    <w:sdtEndPr>
      <w:rPr>
        <w:rFonts w:asciiTheme="minorHAnsi" w:hAnsiTheme="minorHAnsi" w:cstheme="minorHAnsi"/>
      </w:rPr>
    </w:sdtEndPr>
    <w:sdtContent>
      <w:p w14:paraId="6968A341" w14:textId="77777777" w:rsidR="00E62E53" w:rsidRPr="001E608F" w:rsidRDefault="00E62E53" w:rsidP="00E62E53">
        <w:pPr>
          <w:pStyle w:val="Footer"/>
          <w:jc w:val="center"/>
          <w:rPr>
            <w:rFonts w:asciiTheme="minorHAnsi" w:eastAsia="DengXian" w:hAnsiTheme="minorHAnsi" w:cstheme="minorHAnsi"/>
            <w:sz w:val="16"/>
            <w:szCs w:val="16"/>
          </w:rPr>
        </w:pPr>
        <w:r w:rsidRPr="001E608F">
          <w:rPr>
            <w:rFonts w:asciiTheme="minorHAnsi" w:eastAsia="DengXian" w:hAnsiTheme="minorHAnsi" w:cstheme="minorHAnsi"/>
            <w:sz w:val="16"/>
            <w:szCs w:val="16"/>
          </w:rPr>
          <w:fldChar w:fldCharType="begin"/>
        </w:r>
        <w:r w:rsidRPr="001E608F">
          <w:rPr>
            <w:rFonts w:asciiTheme="minorHAnsi" w:eastAsia="DengXian" w:hAnsiTheme="minorHAnsi" w:cstheme="minorHAnsi"/>
            <w:sz w:val="16"/>
            <w:szCs w:val="16"/>
          </w:rPr>
          <w:instrText>PAGE   \* MERGEFORMAT</w:instrText>
        </w:r>
        <w:r w:rsidRPr="001E608F">
          <w:rPr>
            <w:rFonts w:asciiTheme="minorHAnsi" w:eastAsia="DengXian" w:hAnsiTheme="minorHAnsi" w:cstheme="minorHAnsi"/>
            <w:sz w:val="16"/>
            <w:szCs w:val="16"/>
          </w:rPr>
          <w:fldChar w:fldCharType="separate"/>
        </w:r>
        <w:r w:rsidRPr="001E608F">
          <w:rPr>
            <w:rFonts w:asciiTheme="minorHAnsi" w:eastAsia="DengXian" w:hAnsiTheme="minorHAnsi" w:cstheme="minorHAnsi"/>
            <w:sz w:val="16"/>
            <w:szCs w:val="16"/>
          </w:rPr>
          <w:t>2</w:t>
        </w:r>
        <w:r w:rsidRPr="001E608F">
          <w:rPr>
            <w:rFonts w:asciiTheme="minorHAnsi" w:eastAsia="DengXian" w:hAnsiTheme="minorHAnsi" w:cstheme="minorHAnsi"/>
            <w:sz w:val="16"/>
            <w:szCs w:val="16"/>
          </w:rPr>
          <w:fldChar w:fldCharType="end"/>
        </w:r>
      </w:p>
    </w:sdtContent>
  </w:sdt>
  <w:p w14:paraId="53F14172" w14:textId="77777777" w:rsidR="00E62E53" w:rsidRDefault="00E62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DengXian"/>
        <w:sz w:val="16"/>
        <w:szCs w:val="16"/>
      </w:rPr>
      <w:id w:val="1453051254"/>
      <w:docPartObj>
        <w:docPartGallery w:val="Page Numbers (Bottom of Page)"/>
        <w:docPartUnique/>
      </w:docPartObj>
    </w:sdtPr>
    <w:sdtEndPr>
      <w:rPr>
        <w:rFonts w:asciiTheme="minorHAnsi" w:hAnsiTheme="minorHAnsi" w:cstheme="minorHAnsi"/>
      </w:rPr>
    </w:sdtEndPr>
    <w:sdtContent>
      <w:p w14:paraId="3EC72F18" w14:textId="77777777" w:rsidR="001E608F" w:rsidRPr="001E608F" w:rsidRDefault="001E608F" w:rsidP="001E608F">
        <w:pPr>
          <w:pStyle w:val="Footer"/>
          <w:jc w:val="center"/>
          <w:rPr>
            <w:rFonts w:asciiTheme="minorHAnsi" w:eastAsia="DengXian" w:hAnsiTheme="minorHAnsi" w:cstheme="minorHAnsi"/>
            <w:sz w:val="16"/>
            <w:szCs w:val="16"/>
          </w:rPr>
        </w:pPr>
        <w:r w:rsidRPr="001E608F">
          <w:rPr>
            <w:rFonts w:asciiTheme="minorHAnsi" w:eastAsia="DengXian" w:hAnsiTheme="minorHAnsi" w:cstheme="minorHAnsi"/>
            <w:sz w:val="16"/>
            <w:szCs w:val="16"/>
          </w:rPr>
          <w:fldChar w:fldCharType="begin"/>
        </w:r>
        <w:r w:rsidRPr="001E608F">
          <w:rPr>
            <w:rFonts w:asciiTheme="minorHAnsi" w:eastAsia="DengXian" w:hAnsiTheme="minorHAnsi" w:cstheme="minorHAnsi"/>
            <w:sz w:val="16"/>
            <w:szCs w:val="16"/>
          </w:rPr>
          <w:instrText>PAGE   \* MERGEFORMAT</w:instrText>
        </w:r>
        <w:r w:rsidRPr="001E608F">
          <w:rPr>
            <w:rFonts w:asciiTheme="minorHAnsi" w:eastAsia="DengXian" w:hAnsiTheme="minorHAnsi" w:cstheme="minorHAnsi"/>
            <w:sz w:val="16"/>
            <w:szCs w:val="16"/>
          </w:rPr>
          <w:fldChar w:fldCharType="separate"/>
        </w:r>
        <w:r>
          <w:rPr>
            <w:rFonts w:asciiTheme="minorHAnsi" w:eastAsia="DengXian" w:hAnsiTheme="minorHAnsi" w:cstheme="minorHAnsi"/>
            <w:sz w:val="16"/>
            <w:szCs w:val="16"/>
          </w:rPr>
          <w:t>2</w:t>
        </w:r>
        <w:r w:rsidRPr="001E608F">
          <w:rPr>
            <w:rFonts w:asciiTheme="minorHAnsi" w:eastAsia="DengXian" w:hAnsiTheme="minorHAnsi" w:cstheme="minorHAnsi"/>
            <w:sz w:val="16"/>
            <w:szCs w:val="16"/>
          </w:rPr>
          <w:fldChar w:fldCharType="end"/>
        </w:r>
      </w:p>
    </w:sdtContent>
  </w:sdt>
  <w:p w14:paraId="3B5FB610" w14:textId="02A868A9" w:rsidR="00E62E53" w:rsidRPr="001E608F" w:rsidRDefault="00E62E53" w:rsidP="00E62E53">
    <w:pPr>
      <w:pStyle w:val="Footer"/>
      <w:tabs>
        <w:tab w:val="left" w:pos="3179"/>
      </w:tabs>
      <w:spacing w:line="276" w:lineRule="auto"/>
      <w:jc w:val="center"/>
      <w:rPr>
        <w:rFonts w:asciiTheme="majorHAnsi" w:eastAsia="DengXian" w:hAnsiTheme="majorHAnsi" w:cstheme="majorHAns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0BDCD" w14:textId="77777777" w:rsidR="00FD6E19" w:rsidRDefault="00FD6E19" w:rsidP="006B41F8">
      <w:pPr>
        <w:spacing w:after="0" w:line="240" w:lineRule="auto"/>
      </w:pPr>
      <w:r>
        <w:separator/>
      </w:r>
    </w:p>
  </w:footnote>
  <w:footnote w:type="continuationSeparator" w:id="0">
    <w:p w14:paraId="73048E6E" w14:textId="77777777" w:rsidR="00FD6E19" w:rsidRDefault="00FD6E19" w:rsidP="006B41F8">
      <w:pPr>
        <w:spacing w:after="0" w:line="240" w:lineRule="auto"/>
      </w:pPr>
      <w:r>
        <w:continuationSeparator/>
      </w:r>
    </w:p>
  </w:footnote>
  <w:footnote w:id="1">
    <w:p w14:paraId="13D4DF1F" w14:textId="77777777" w:rsidR="001E608F" w:rsidRPr="001E608F" w:rsidRDefault="001E608F" w:rsidP="001E608F">
      <w:pPr>
        <w:pBdr>
          <w:top w:val="nil"/>
          <w:left w:val="nil"/>
          <w:bottom w:val="nil"/>
          <w:right w:val="nil"/>
          <w:between w:val="nil"/>
        </w:pBdr>
        <w:spacing w:after="0" w:line="240" w:lineRule="auto"/>
        <w:jc w:val="both"/>
        <w:rPr>
          <w:rFonts w:ascii="Calibri" w:eastAsia="Calibri" w:hAnsi="Calibri" w:cs="Calibri"/>
          <w:sz w:val="20"/>
          <w:szCs w:val="20"/>
          <w:lang w:val="en-US"/>
        </w:rPr>
      </w:pPr>
      <w:r w:rsidRPr="001E608F">
        <w:rPr>
          <w:rStyle w:val="FootnoteReference"/>
          <w:rFonts w:ascii="Calibri" w:hAnsi="Calibri" w:cs="Calibri"/>
          <w:sz w:val="20"/>
          <w:szCs w:val="20"/>
        </w:rPr>
        <w:footnoteRef/>
      </w:r>
      <w:r w:rsidRPr="001E608F">
        <w:rPr>
          <w:rFonts w:ascii="Calibri" w:eastAsia="Calibri" w:hAnsi="Calibri" w:cs="Calibri"/>
          <w:sz w:val="20"/>
          <w:szCs w:val="20"/>
          <w:lang w:val="en-US"/>
        </w:rPr>
        <w:t xml:space="preserve"> Independent Consultant of International Human Rights Law, Geneva, Switzerland; email: </w:t>
      </w:r>
      <w:hyperlink r:id="rId1">
        <w:r w:rsidRPr="001E608F">
          <w:rPr>
            <w:rFonts w:ascii="Calibri" w:eastAsia="Calibri" w:hAnsi="Calibri" w:cs="Calibri"/>
            <w:sz w:val="20"/>
            <w:szCs w:val="20"/>
            <w:u w:val="single"/>
            <w:lang w:val="en-US"/>
          </w:rPr>
          <w:t>daniel@danielmekonnen.com</w:t>
        </w:r>
      </w:hyperlink>
      <w:r w:rsidRPr="001E608F">
        <w:rPr>
          <w:rFonts w:ascii="Calibri" w:eastAsia="Calibri" w:hAnsi="Calibri" w:cs="Calibri"/>
          <w:sz w:val="20"/>
          <w:szCs w:val="20"/>
          <w:lang w:val="en-US"/>
        </w:rPr>
        <w:t xml:space="preserve">.  </w:t>
      </w:r>
    </w:p>
  </w:footnote>
  <w:footnote w:id="2">
    <w:p w14:paraId="68805E5C" w14:textId="77777777" w:rsidR="001E608F" w:rsidRPr="001E608F" w:rsidRDefault="001E608F" w:rsidP="001E608F">
      <w:pPr>
        <w:pBdr>
          <w:top w:val="nil"/>
          <w:left w:val="nil"/>
          <w:bottom w:val="nil"/>
          <w:right w:val="nil"/>
          <w:between w:val="nil"/>
        </w:pBdr>
        <w:spacing w:after="0" w:line="240" w:lineRule="auto"/>
        <w:jc w:val="both"/>
        <w:rPr>
          <w:rFonts w:ascii="Calibri" w:eastAsia="Calibri" w:hAnsi="Calibri" w:cs="Calibri"/>
          <w:sz w:val="20"/>
          <w:szCs w:val="20"/>
          <w:lang w:val="en-US"/>
        </w:rPr>
      </w:pPr>
      <w:r w:rsidRPr="001E608F">
        <w:rPr>
          <w:rStyle w:val="FootnoteReference"/>
          <w:rFonts w:ascii="Calibri" w:hAnsi="Calibri" w:cs="Calibri"/>
          <w:sz w:val="20"/>
          <w:szCs w:val="20"/>
        </w:rPr>
        <w:footnoteRef/>
      </w:r>
      <w:r w:rsidRPr="001E608F">
        <w:rPr>
          <w:rFonts w:ascii="Calibri" w:eastAsia="Calibri" w:hAnsi="Calibri" w:cs="Calibri"/>
          <w:sz w:val="20"/>
          <w:szCs w:val="20"/>
          <w:lang w:val="en-US"/>
        </w:rPr>
        <w:t xml:space="preserve"> ESRC Doctoral Researcher, Forced Migration Unit, School of Law, University of Nottingham; Adjunct Professor of Human Rights, Faculty of Law, University of </w:t>
      </w:r>
      <w:proofErr w:type="spellStart"/>
      <w:r w:rsidRPr="001E608F">
        <w:rPr>
          <w:rFonts w:ascii="Calibri" w:eastAsia="Calibri" w:hAnsi="Calibri" w:cs="Calibri"/>
          <w:sz w:val="20"/>
          <w:szCs w:val="20"/>
          <w:lang w:val="en-US"/>
        </w:rPr>
        <w:t>Comillas</w:t>
      </w:r>
      <w:proofErr w:type="spellEnd"/>
      <w:r w:rsidRPr="001E608F">
        <w:rPr>
          <w:rFonts w:ascii="Calibri" w:eastAsia="Calibri" w:hAnsi="Calibri" w:cs="Calibri"/>
          <w:sz w:val="20"/>
          <w:szCs w:val="20"/>
          <w:lang w:val="en-US"/>
        </w:rPr>
        <w:t xml:space="preserve">; email: </w:t>
      </w:r>
      <w:hyperlink r:id="rId2">
        <w:r w:rsidRPr="001E608F">
          <w:rPr>
            <w:rFonts w:ascii="Calibri" w:eastAsia="Calibri" w:hAnsi="Calibri" w:cs="Calibri"/>
            <w:sz w:val="20"/>
            <w:szCs w:val="20"/>
            <w:u w:val="single"/>
            <w:lang w:val="en-US"/>
          </w:rPr>
          <w:t>sara.arapiles@nottingham.ac.uk</w:t>
        </w:r>
      </w:hyperlink>
      <w:r w:rsidRPr="001E608F">
        <w:rPr>
          <w:rFonts w:ascii="Calibri" w:eastAsia="Calibri" w:hAnsi="Calibri" w:cs="Calibri"/>
          <w:sz w:val="20"/>
          <w:szCs w:val="20"/>
          <w:lang w:val="en-US"/>
        </w:rPr>
        <w:t>.</w:t>
      </w:r>
    </w:p>
  </w:footnote>
  <w:footnote w:id="3">
    <w:p w14:paraId="1FB0CECF" w14:textId="77777777" w:rsidR="001E608F" w:rsidRPr="001E608F" w:rsidRDefault="001E608F" w:rsidP="001E608F">
      <w:pPr>
        <w:pBdr>
          <w:top w:val="nil"/>
          <w:left w:val="nil"/>
          <w:bottom w:val="nil"/>
          <w:right w:val="nil"/>
          <w:between w:val="nil"/>
        </w:pBdr>
        <w:spacing w:after="0" w:line="240" w:lineRule="auto"/>
        <w:jc w:val="both"/>
        <w:rPr>
          <w:rFonts w:ascii="Calibri" w:eastAsia="Calibri" w:hAnsi="Calibri" w:cs="Calibri"/>
          <w:sz w:val="20"/>
          <w:szCs w:val="20"/>
          <w:lang w:val="en-US"/>
        </w:rPr>
      </w:pPr>
      <w:r w:rsidRPr="001E608F">
        <w:rPr>
          <w:rStyle w:val="FootnoteReference"/>
          <w:rFonts w:ascii="Calibri" w:hAnsi="Calibri" w:cs="Calibri"/>
          <w:sz w:val="20"/>
          <w:szCs w:val="20"/>
        </w:rPr>
        <w:footnoteRef/>
      </w:r>
      <w:r w:rsidRPr="001E608F">
        <w:rPr>
          <w:rFonts w:ascii="Calibri" w:eastAsia="Calibri" w:hAnsi="Calibri" w:cs="Calibri"/>
          <w:sz w:val="20"/>
          <w:szCs w:val="20"/>
          <w:lang w:val="en-US"/>
        </w:rPr>
        <w:t xml:space="preserve"> Daniel Mekonnen and Sara Palacios</w:t>
      </w:r>
      <w:sdt>
        <w:sdtPr>
          <w:rPr>
            <w:rFonts w:ascii="Calibri" w:hAnsi="Calibri" w:cs="Calibri"/>
            <w:sz w:val="20"/>
            <w:szCs w:val="20"/>
          </w:rPr>
          <w:tag w:val="goog_rdk_93"/>
          <w:id w:val="-1345553780"/>
        </w:sdtPr>
        <w:sdtContent>
          <w:r w:rsidRPr="001E608F">
            <w:rPr>
              <w:rFonts w:ascii="Calibri" w:eastAsia="Calibri" w:hAnsi="Calibri" w:cs="Calibri"/>
              <w:sz w:val="20"/>
              <w:szCs w:val="20"/>
              <w:lang w:val="en-US"/>
            </w:rPr>
            <w:t>-</w:t>
          </w:r>
        </w:sdtContent>
      </w:sdt>
      <w:r w:rsidRPr="001E608F">
        <w:rPr>
          <w:rFonts w:ascii="Calibri" w:eastAsia="Calibri" w:hAnsi="Calibri" w:cs="Calibri"/>
          <w:sz w:val="20"/>
          <w:szCs w:val="20"/>
          <w:lang w:val="en-US"/>
        </w:rPr>
        <w:t xml:space="preserve">Arapiles, ‘Access to Official Documents by Eritrean Refugees in the Context of Family Reunification Procedures: Legal Framework, Practical Realities and Obstacles’, April 2021, </w:t>
      </w:r>
      <w:hyperlink r:id="rId3">
        <w:r w:rsidRPr="001E608F">
          <w:rPr>
            <w:rFonts w:ascii="Calibri" w:eastAsia="Calibri" w:hAnsi="Calibri" w:cs="Calibri"/>
            <w:sz w:val="20"/>
            <w:szCs w:val="20"/>
            <w:u w:val="single"/>
            <w:lang w:val="en-US"/>
          </w:rPr>
          <w:t>https://equal-rights.org/site/assets/files/1286/report_access_to_official_documents_eritrea_equalrights_irap_may-2021.pdf</w:t>
        </w:r>
      </w:hyperlink>
      <w:r w:rsidRPr="001E608F">
        <w:rPr>
          <w:rFonts w:ascii="Calibri" w:eastAsia="Calibri" w:hAnsi="Calibri" w:cs="Calibri"/>
          <w:sz w:val="20"/>
          <w:szCs w:val="20"/>
          <w:lang w:val="en-US"/>
        </w:rPr>
        <w:t xml:space="preserve">. It is important to note that the main findings of the Expert Report were also presented (by both authors) in various official meetings and/or consultations of experts working </w:t>
      </w:r>
      <w:proofErr w:type="gramStart"/>
      <w:r w:rsidRPr="001E608F">
        <w:rPr>
          <w:rFonts w:ascii="Calibri" w:eastAsia="Calibri" w:hAnsi="Calibri" w:cs="Calibri"/>
          <w:sz w:val="20"/>
          <w:szCs w:val="20"/>
          <w:lang w:val="en-US"/>
        </w:rPr>
        <w:t>in the area of</w:t>
      </w:r>
      <w:proofErr w:type="gramEnd"/>
      <w:r w:rsidRPr="001E608F">
        <w:rPr>
          <w:rFonts w:ascii="Calibri" w:eastAsia="Calibri" w:hAnsi="Calibri" w:cs="Calibri"/>
          <w:sz w:val="20"/>
          <w:szCs w:val="20"/>
          <w:lang w:val="en-US"/>
        </w:rPr>
        <w:t xml:space="preserve"> family renunciation, such as a formal meeting of experts of UNHCR’s Global Refugee Family Reunification Network (FRUN), of 2 June 2021.</w:t>
      </w:r>
    </w:p>
  </w:footnote>
  <w:footnote w:id="4">
    <w:p w14:paraId="5CFA9771" w14:textId="77777777" w:rsidR="001E608F" w:rsidRPr="001E608F" w:rsidRDefault="001E608F" w:rsidP="001E608F">
      <w:pPr>
        <w:pStyle w:val="FootnoteText"/>
        <w:jc w:val="both"/>
        <w:rPr>
          <w:lang w:val="en-US"/>
        </w:rPr>
      </w:pPr>
      <w:r w:rsidRPr="001E608F">
        <w:rPr>
          <w:rStyle w:val="FootnoteReference"/>
          <w:rFonts w:ascii="Calibri" w:hAnsi="Calibri" w:cs="Calibri"/>
        </w:rPr>
        <w:footnoteRef/>
      </w:r>
      <w:r w:rsidRPr="001E608F">
        <w:rPr>
          <w:rFonts w:ascii="Calibri" w:hAnsi="Calibri" w:cs="Calibri"/>
          <w:lang w:val="en-US"/>
        </w:rPr>
        <w:t xml:space="preserve"> </w:t>
      </w:r>
      <w:r w:rsidRPr="001E608F">
        <w:rPr>
          <w:rFonts w:ascii="Calibri" w:eastAsia="Calibri" w:hAnsi="Calibri" w:cs="Calibri"/>
          <w:lang w:val="en-US"/>
        </w:rPr>
        <w:t>While in the first quarter of 2017 still 82,8% of family reunification applications by Eritrean refugees had been accepted by German authorities, this number decreased to 29,9% in 2018, 28,3% in 2019 and 19,02% in 2020 of the cases being accepted. See Bundestag-</w:t>
      </w:r>
      <w:proofErr w:type="spellStart"/>
      <w:r w:rsidRPr="001E608F">
        <w:rPr>
          <w:rFonts w:ascii="Calibri" w:eastAsia="Calibri" w:hAnsi="Calibri" w:cs="Calibri"/>
          <w:lang w:val="en-US"/>
        </w:rPr>
        <w:t>Drucksache</w:t>
      </w:r>
      <w:proofErr w:type="spellEnd"/>
      <w:r w:rsidRPr="001E608F">
        <w:rPr>
          <w:rFonts w:ascii="Calibri" w:eastAsia="Calibri" w:hAnsi="Calibri" w:cs="Calibri"/>
          <w:lang w:val="en-US"/>
        </w:rPr>
        <w:t xml:space="preserve"> 19/2075, 19/11849 and 19/29014, available at: https://www.bundestag.de/drucksachen. The numbers refer to the German embassy in Ethiopia where </w:t>
      </w:r>
      <w:proofErr w:type="gramStart"/>
      <w:r w:rsidRPr="001E608F">
        <w:rPr>
          <w:rFonts w:ascii="Calibri" w:eastAsia="Calibri" w:hAnsi="Calibri" w:cs="Calibri"/>
          <w:lang w:val="en-US"/>
        </w:rPr>
        <w:t>the majority of</w:t>
      </w:r>
      <w:proofErr w:type="gramEnd"/>
      <w:r w:rsidRPr="001E608F">
        <w:rPr>
          <w:rFonts w:ascii="Calibri" w:eastAsia="Calibri" w:hAnsi="Calibri" w:cs="Calibri"/>
          <w:lang w:val="en-US"/>
        </w:rPr>
        <w:t xml:space="preserve"> Eritrean refugees seek international protection.</w:t>
      </w:r>
    </w:p>
  </w:footnote>
  <w:footnote w:id="5">
    <w:p w14:paraId="1490A564" w14:textId="77777777" w:rsidR="001E608F" w:rsidRPr="001E608F" w:rsidRDefault="001E608F" w:rsidP="001E608F">
      <w:pPr>
        <w:pBdr>
          <w:top w:val="nil"/>
          <w:left w:val="nil"/>
          <w:bottom w:val="nil"/>
          <w:right w:val="nil"/>
          <w:between w:val="nil"/>
        </w:pBdr>
        <w:spacing w:after="0" w:line="240" w:lineRule="auto"/>
        <w:rPr>
          <w:rFonts w:ascii="Calibri" w:hAnsi="Calibri" w:cs="Calibri"/>
          <w:lang w:val="en-US"/>
        </w:rPr>
      </w:pPr>
      <w:r w:rsidRPr="001E608F">
        <w:rPr>
          <w:rStyle w:val="FootnoteReference"/>
          <w:rFonts w:ascii="Calibri" w:hAnsi="Calibri" w:cs="Calibri"/>
          <w:sz w:val="20"/>
          <w:szCs w:val="20"/>
        </w:rPr>
        <w:footnoteRef/>
      </w:r>
      <w:r w:rsidRPr="001E608F">
        <w:rPr>
          <w:rFonts w:ascii="Calibri" w:hAnsi="Calibri" w:cs="Calibri"/>
          <w:sz w:val="20"/>
          <w:szCs w:val="20"/>
          <w:lang w:val="en-US"/>
        </w:rPr>
        <w:t xml:space="preserve"> On the law and practice of the official documentation system in Eritrea, see Section 3 of the Expert Report.</w:t>
      </w:r>
    </w:p>
  </w:footnote>
  <w:footnote w:id="6">
    <w:p w14:paraId="0C25B0EB" w14:textId="105481F4" w:rsidR="001E608F" w:rsidRPr="001E608F" w:rsidRDefault="001E608F" w:rsidP="001E608F">
      <w:pPr>
        <w:pBdr>
          <w:top w:val="nil"/>
          <w:left w:val="nil"/>
          <w:bottom w:val="nil"/>
          <w:right w:val="nil"/>
          <w:between w:val="nil"/>
        </w:pBdr>
        <w:spacing w:after="0" w:line="240" w:lineRule="auto"/>
        <w:jc w:val="both"/>
        <w:rPr>
          <w:rFonts w:ascii="Calibri" w:eastAsia="Calibri" w:hAnsi="Calibri" w:cs="Calibri"/>
          <w:lang w:val="en-US"/>
        </w:rPr>
      </w:pPr>
      <w:r w:rsidRPr="001E608F">
        <w:rPr>
          <w:rStyle w:val="FootnoteReference"/>
          <w:rFonts w:ascii="Calibri" w:hAnsi="Calibri" w:cs="Calibri"/>
        </w:rPr>
        <w:footnoteRef/>
      </w:r>
      <w:r w:rsidRPr="001E608F">
        <w:rPr>
          <w:rFonts w:ascii="Calibri" w:eastAsia="Calibri" w:hAnsi="Calibri" w:cs="Calibri"/>
          <w:sz w:val="20"/>
          <w:szCs w:val="20"/>
          <w:lang w:val="en-US"/>
        </w:rPr>
        <w:t xml:space="preserve"> On a discussion of the practical realities and risks of obtaining official documents, see generally Section 4 and Section 5 of the Expert Report. On the procedure for obtaining official documents for unaccompanied minors, and its associated challenges and risks, see Subsection 4.7. of the Expert Report.  </w:t>
      </w:r>
    </w:p>
  </w:footnote>
  <w:footnote w:id="7">
    <w:p w14:paraId="1D00D4B5" w14:textId="2955086F" w:rsidR="001E608F" w:rsidRPr="001E608F" w:rsidRDefault="001E608F" w:rsidP="001E608F">
      <w:pPr>
        <w:pBdr>
          <w:top w:val="nil"/>
          <w:left w:val="nil"/>
          <w:bottom w:val="nil"/>
          <w:right w:val="nil"/>
          <w:between w:val="nil"/>
        </w:pBdr>
        <w:spacing w:after="0" w:line="240" w:lineRule="auto"/>
        <w:jc w:val="both"/>
        <w:rPr>
          <w:rFonts w:ascii="Calibri" w:eastAsia="Calibri" w:hAnsi="Calibri" w:cs="Calibri"/>
          <w:lang w:val="en-US"/>
        </w:rPr>
      </w:pPr>
      <w:r w:rsidRPr="001E608F">
        <w:rPr>
          <w:rStyle w:val="FootnoteReference"/>
        </w:rPr>
        <w:footnoteRef/>
      </w:r>
      <w:r w:rsidRPr="001E608F">
        <w:rPr>
          <w:rFonts w:ascii="Calibri" w:eastAsia="Calibri" w:hAnsi="Calibri" w:cs="Calibri"/>
          <w:sz w:val="20"/>
          <w:szCs w:val="20"/>
          <w:lang w:val="en-US"/>
        </w:rPr>
        <w:t xml:space="preserve"> In </w:t>
      </w:r>
      <w:proofErr w:type="spellStart"/>
      <w:r w:rsidRPr="001E608F">
        <w:rPr>
          <w:rFonts w:ascii="Calibri" w:eastAsia="Calibri" w:hAnsi="Calibri" w:cs="Calibri"/>
          <w:i/>
          <w:sz w:val="20"/>
          <w:szCs w:val="20"/>
          <w:lang w:val="en-US"/>
        </w:rPr>
        <w:t>Mugenzi</w:t>
      </w:r>
      <w:proofErr w:type="spellEnd"/>
      <w:r w:rsidRPr="001E608F">
        <w:rPr>
          <w:rFonts w:ascii="Calibri" w:eastAsia="Calibri" w:hAnsi="Calibri" w:cs="Calibri"/>
          <w:i/>
          <w:sz w:val="20"/>
          <w:szCs w:val="20"/>
          <w:lang w:val="en-US"/>
        </w:rPr>
        <w:t xml:space="preserve"> v. France</w:t>
      </w:r>
      <w:r w:rsidRPr="001E608F">
        <w:rPr>
          <w:rFonts w:ascii="Calibri" w:eastAsia="Calibri" w:hAnsi="Calibri" w:cs="Calibri"/>
          <w:sz w:val="20"/>
          <w:szCs w:val="20"/>
          <w:lang w:val="en-US"/>
        </w:rPr>
        <w:t xml:space="preserve">, the European Court of Human Rights reiterated that family unity was an essential right for refugees and that family reunification was a fundamental element in enabling persons who had fled persecution to resume a normal life. It </w:t>
      </w:r>
      <w:proofErr w:type="spellStart"/>
      <w:r w:rsidRPr="001E608F">
        <w:rPr>
          <w:rFonts w:ascii="Calibri" w:eastAsia="Calibri" w:hAnsi="Calibri" w:cs="Calibri"/>
          <w:sz w:val="20"/>
          <w:szCs w:val="20"/>
          <w:lang w:val="en-US"/>
        </w:rPr>
        <w:t>emphasised</w:t>
      </w:r>
      <w:proofErr w:type="spellEnd"/>
      <w:r w:rsidRPr="001E608F">
        <w:rPr>
          <w:rFonts w:ascii="Calibri" w:eastAsia="Calibri" w:hAnsi="Calibri" w:cs="Calibri"/>
          <w:sz w:val="20"/>
          <w:szCs w:val="20"/>
          <w:lang w:val="en-US"/>
        </w:rPr>
        <w:t xml:space="preserve"> that the applicant’s refugee status meant that their application for family reunification should be dealt with ‘speedily, attentively and with special care, considering that the acquisition of an international protection status in proof that the person concerned is in a vulnerable position’. As cited in in Council of Europe, Commissioner for Human Rights, ‘</w:t>
      </w:r>
      <w:proofErr w:type="spellStart"/>
      <w:r w:rsidRPr="001E608F">
        <w:rPr>
          <w:rFonts w:ascii="Calibri" w:eastAsia="Calibri" w:hAnsi="Calibri" w:cs="Calibri"/>
          <w:sz w:val="20"/>
          <w:szCs w:val="20"/>
          <w:lang w:val="en-US"/>
        </w:rPr>
        <w:t>Realising</w:t>
      </w:r>
      <w:proofErr w:type="spellEnd"/>
      <w:r w:rsidRPr="001E608F">
        <w:rPr>
          <w:rFonts w:ascii="Calibri" w:eastAsia="Calibri" w:hAnsi="Calibri" w:cs="Calibri"/>
          <w:sz w:val="20"/>
          <w:szCs w:val="20"/>
          <w:lang w:val="en-US"/>
        </w:rPr>
        <w:t xml:space="preserve"> the right to family reunification of refugees in Europe’, June 2017, p. 22. See also </w:t>
      </w:r>
      <w:proofErr w:type="spellStart"/>
      <w:r w:rsidRPr="001E608F">
        <w:rPr>
          <w:rFonts w:ascii="Calibri" w:eastAsia="Calibri" w:hAnsi="Calibri" w:cs="Calibri"/>
          <w:i/>
          <w:sz w:val="20"/>
          <w:szCs w:val="20"/>
          <w:lang w:val="en-US"/>
        </w:rPr>
        <w:t>Mugenzi</w:t>
      </w:r>
      <w:proofErr w:type="spellEnd"/>
      <w:r w:rsidRPr="001E608F">
        <w:rPr>
          <w:rFonts w:ascii="Calibri" w:eastAsia="Calibri" w:hAnsi="Calibri" w:cs="Calibri"/>
          <w:i/>
          <w:sz w:val="20"/>
          <w:szCs w:val="20"/>
          <w:lang w:val="en-US"/>
        </w:rPr>
        <w:t xml:space="preserve"> v. France</w:t>
      </w:r>
      <w:r w:rsidRPr="001E608F">
        <w:rPr>
          <w:rFonts w:ascii="Calibri" w:eastAsia="Calibri" w:hAnsi="Calibri" w:cs="Calibri"/>
          <w:sz w:val="20"/>
          <w:szCs w:val="20"/>
          <w:lang w:val="en-US"/>
        </w:rPr>
        <w:t xml:space="preserve">, Application No. 52701/09, ECtHR, 10 July 2014, para. 54 (in French). In the cases of </w:t>
      </w:r>
      <w:proofErr w:type="spellStart"/>
      <w:r w:rsidRPr="001E608F">
        <w:rPr>
          <w:rFonts w:ascii="Calibri" w:eastAsia="Calibri" w:hAnsi="Calibri" w:cs="Calibri"/>
          <w:i/>
          <w:sz w:val="20"/>
          <w:szCs w:val="20"/>
          <w:lang w:val="en-US"/>
        </w:rPr>
        <w:t>Mugenzi</w:t>
      </w:r>
      <w:proofErr w:type="spellEnd"/>
      <w:r w:rsidRPr="001E608F">
        <w:rPr>
          <w:rFonts w:ascii="Calibri" w:eastAsia="Calibri" w:hAnsi="Calibri" w:cs="Calibri"/>
          <w:i/>
          <w:sz w:val="20"/>
          <w:szCs w:val="20"/>
          <w:lang w:val="en-US"/>
        </w:rPr>
        <w:t xml:space="preserve"> v. France</w:t>
      </w:r>
      <w:r w:rsidRPr="001E608F">
        <w:rPr>
          <w:rFonts w:ascii="Calibri" w:eastAsia="Calibri" w:hAnsi="Calibri" w:cs="Calibri"/>
          <w:sz w:val="20"/>
          <w:szCs w:val="20"/>
          <w:lang w:val="en-US"/>
        </w:rPr>
        <w:t xml:space="preserve">, </w:t>
      </w:r>
      <w:r w:rsidRPr="001E608F">
        <w:rPr>
          <w:rFonts w:ascii="Calibri" w:eastAsia="Calibri" w:hAnsi="Calibri" w:cs="Calibri"/>
          <w:i/>
          <w:sz w:val="20"/>
          <w:szCs w:val="20"/>
          <w:lang w:val="en-US"/>
        </w:rPr>
        <w:t>Tanda-</w:t>
      </w:r>
      <w:proofErr w:type="spellStart"/>
      <w:r w:rsidRPr="001E608F">
        <w:rPr>
          <w:rFonts w:ascii="Calibri" w:eastAsia="Calibri" w:hAnsi="Calibri" w:cs="Calibri"/>
          <w:i/>
          <w:sz w:val="20"/>
          <w:szCs w:val="20"/>
          <w:lang w:val="en-US"/>
        </w:rPr>
        <w:t>Muzinga</w:t>
      </w:r>
      <w:proofErr w:type="spellEnd"/>
      <w:r w:rsidRPr="001E608F">
        <w:rPr>
          <w:rFonts w:ascii="Calibri" w:eastAsia="Calibri" w:hAnsi="Calibri" w:cs="Calibri"/>
          <w:i/>
          <w:sz w:val="20"/>
          <w:szCs w:val="20"/>
          <w:lang w:val="en-US"/>
        </w:rPr>
        <w:t xml:space="preserve"> v. France</w:t>
      </w:r>
      <w:r w:rsidRPr="001E608F">
        <w:rPr>
          <w:rFonts w:ascii="Calibri" w:eastAsia="Calibri" w:hAnsi="Calibri" w:cs="Calibri"/>
          <w:sz w:val="20"/>
          <w:szCs w:val="20"/>
          <w:lang w:val="en-US"/>
        </w:rPr>
        <w:t xml:space="preserve"> and </w:t>
      </w:r>
      <w:proofErr w:type="spellStart"/>
      <w:r w:rsidRPr="001E608F">
        <w:rPr>
          <w:rFonts w:ascii="Calibri" w:eastAsia="Calibri" w:hAnsi="Calibri" w:cs="Calibri"/>
          <w:i/>
          <w:sz w:val="20"/>
          <w:szCs w:val="20"/>
          <w:lang w:val="en-US"/>
        </w:rPr>
        <w:t>Senigo</w:t>
      </w:r>
      <w:proofErr w:type="spellEnd"/>
      <w:r w:rsidRPr="001E608F">
        <w:rPr>
          <w:rFonts w:ascii="Calibri" w:eastAsia="Calibri" w:hAnsi="Calibri" w:cs="Calibri"/>
          <w:i/>
          <w:sz w:val="20"/>
          <w:szCs w:val="20"/>
          <w:lang w:val="en-US"/>
        </w:rPr>
        <w:t xml:space="preserve"> Longue and Others v. France</w:t>
      </w:r>
      <w:r w:rsidRPr="001E608F">
        <w:rPr>
          <w:rFonts w:ascii="Calibri" w:eastAsia="Calibri" w:hAnsi="Calibri" w:cs="Calibri"/>
          <w:sz w:val="20"/>
          <w:szCs w:val="20"/>
          <w:lang w:val="en-US"/>
        </w:rPr>
        <w:t xml:space="preserve">, the ECtHR also found that the procedure for examining applications for family reunification had to contain </w:t>
      </w:r>
      <w:proofErr w:type="gramStart"/>
      <w:r w:rsidRPr="001E608F">
        <w:rPr>
          <w:rFonts w:ascii="Calibri" w:eastAsia="Calibri" w:hAnsi="Calibri" w:cs="Calibri"/>
          <w:sz w:val="20"/>
          <w:szCs w:val="20"/>
          <w:lang w:val="en-US"/>
        </w:rPr>
        <w:t>a number of</w:t>
      </w:r>
      <w:proofErr w:type="gramEnd"/>
      <w:r w:rsidRPr="001E608F">
        <w:rPr>
          <w:rFonts w:ascii="Calibri" w:eastAsia="Calibri" w:hAnsi="Calibri" w:cs="Calibri"/>
          <w:sz w:val="20"/>
          <w:szCs w:val="20"/>
          <w:lang w:val="en-US"/>
        </w:rPr>
        <w:t xml:space="preserve"> elements, including regard to the applicants’ refugee status and the best interests of the children, so that their interests as guaranteed by Article 8 of the European Convention on Human Rights were respected. See ECtHR, ‘Family reunification procedure: Need for flexibility, promptness and effectiveness’, Press Releases Issue by the Registrar of the Court, ECHR 211/2014, 10 July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3204" w14:textId="39ACA25F" w:rsidR="00E62E53" w:rsidRDefault="00E62E53" w:rsidP="00E62E53">
    <w:pPr>
      <w:pStyle w:val="Header"/>
    </w:pPr>
    <w:r>
      <w:rPr>
        <w:rFonts w:eastAsia="DengXian"/>
        <w:b/>
        <w:bCs/>
        <w:noProof/>
        <w:sz w:val="24"/>
        <w:szCs w:val="24"/>
        <w:lang w:val="en-US"/>
      </w:rPr>
      <w:drawing>
        <wp:anchor distT="0" distB="0" distL="114300" distR="114300" simplePos="0" relativeHeight="251663360" behindDoc="1" locked="0" layoutInCell="1" allowOverlap="1" wp14:anchorId="3C52C6D7" wp14:editId="16C7D127">
          <wp:simplePos x="0" y="0"/>
          <wp:positionH relativeFrom="column">
            <wp:posOffset>3094545</wp:posOffset>
          </wp:positionH>
          <wp:positionV relativeFrom="paragraph">
            <wp:posOffset>-146050</wp:posOffset>
          </wp:positionV>
          <wp:extent cx="1370737" cy="825941"/>
          <wp:effectExtent l="0" t="0" r="127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737" cy="82594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1FDA3431" wp14:editId="1110F7E5">
              <wp:simplePos x="0" y="0"/>
              <wp:positionH relativeFrom="column">
                <wp:posOffset>0</wp:posOffset>
              </wp:positionH>
              <wp:positionV relativeFrom="paragraph">
                <wp:posOffset>760095</wp:posOffset>
              </wp:positionV>
              <wp:extent cx="7752080"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77520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6047F" id="Gerader Verbinde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9.85pt" to="610.4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" strokecolor="black [3213]" strokeweight="1.5pt">
              <v:stroke joinstyle="miter"/>
            </v:line>
          </w:pict>
        </mc:Fallback>
      </mc:AlternateContent>
    </w:r>
    <w:r>
      <w:rPr>
        <w:noProof/>
      </w:rPr>
      <w:drawing>
        <wp:anchor distT="0" distB="0" distL="114300" distR="114300" simplePos="0" relativeHeight="251661312" behindDoc="0" locked="0" layoutInCell="1" allowOverlap="1" wp14:anchorId="5302D997" wp14:editId="2F62680C">
          <wp:simplePos x="0" y="0"/>
          <wp:positionH relativeFrom="column">
            <wp:posOffset>10160</wp:posOffset>
          </wp:positionH>
          <wp:positionV relativeFrom="paragraph">
            <wp:posOffset>-186690</wp:posOffset>
          </wp:positionV>
          <wp:extent cx="845820" cy="82423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820" cy="8242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D3E674D" wp14:editId="0E0DF81A">
          <wp:simplePos x="0" y="0"/>
          <wp:positionH relativeFrom="margin">
            <wp:posOffset>936625</wp:posOffset>
          </wp:positionH>
          <wp:positionV relativeFrom="paragraph">
            <wp:posOffset>-193040</wp:posOffset>
          </wp:positionV>
          <wp:extent cx="2032635" cy="483870"/>
          <wp:effectExtent l="0" t="0" r="0" b="0"/>
          <wp:wrapNone/>
          <wp:docPr id="16" name="Grafik 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Shape&#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32635" cy="483870"/>
                  </a:xfrm>
                  <a:prstGeom prst="rect">
                    <a:avLst/>
                  </a:prstGeom>
                  <a:noFill/>
                </pic:spPr>
              </pic:pic>
            </a:graphicData>
          </a:graphic>
          <wp14:sizeRelH relativeFrom="page">
            <wp14:pctWidth>0</wp14:pctWidth>
          </wp14:sizeRelH>
          <wp14:sizeRelV relativeFrom="page">
            <wp14:pctHeight>0</wp14:pctHeight>
          </wp14:sizeRelV>
        </wp:anchor>
      </w:drawing>
    </w:r>
    <w:r>
      <w:rPr>
        <w:noProof/>
      </w:rPr>
      <w:softHyphen/>
    </w:r>
    <w:r>
      <w:rPr>
        <w:noProof/>
      </w:rPr>
      <w:softHyphen/>
      <w:t xml:space="preserve"> </w:t>
    </w:r>
  </w:p>
  <w:p w14:paraId="385E7FEC" w14:textId="77777777" w:rsidR="00E62E53" w:rsidRDefault="00E62E53" w:rsidP="00E62E53">
    <w:pPr>
      <w:pStyle w:val="Header"/>
    </w:pPr>
    <w:r>
      <w:rPr>
        <w:noProof/>
      </w:rPr>
      <mc:AlternateContent>
        <mc:Choice Requires="wps">
          <w:drawing>
            <wp:anchor distT="45720" distB="45720" distL="114300" distR="114300" simplePos="0" relativeHeight="251659264" behindDoc="1" locked="0" layoutInCell="1" allowOverlap="1" wp14:anchorId="48F3AC20" wp14:editId="471F27AF">
              <wp:simplePos x="0" y="0"/>
              <wp:positionH relativeFrom="column">
                <wp:posOffset>862330</wp:posOffset>
              </wp:positionH>
              <wp:positionV relativeFrom="paragraph">
                <wp:posOffset>74930</wp:posOffset>
              </wp:positionV>
              <wp:extent cx="4419600" cy="70612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706120"/>
                      </a:xfrm>
                      <a:prstGeom prst="rect">
                        <a:avLst/>
                      </a:prstGeom>
                      <a:noFill/>
                      <a:ln w="9525">
                        <a:noFill/>
                        <a:miter lim="800000"/>
                        <a:headEnd/>
                        <a:tailEnd/>
                      </a:ln>
                    </wps:spPr>
                    <wps:txbx>
                      <w:txbxContent>
                        <w:p w14:paraId="464704B3" w14:textId="77777777" w:rsidR="00E62E53" w:rsidRPr="001E608F" w:rsidRDefault="00E62E53" w:rsidP="00E62E53">
                          <w:pPr>
                            <w:spacing w:line="240" w:lineRule="auto"/>
                            <w:rPr>
                              <w:rFonts w:asciiTheme="minorHAnsi" w:eastAsia="DengXian" w:hAnsiTheme="minorHAnsi" w:cstheme="minorHAnsi"/>
                              <w:color w:val="000000"/>
                              <w:sz w:val="14"/>
                              <w:szCs w:val="14"/>
                            </w:rPr>
                          </w:pPr>
                          <w:r w:rsidRPr="001E608F">
                            <w:rPr>
                              <w:rFonts w:asciiTheme="minorHAnsi" w:eastAsia="DengXian" w:hAnsiTheme="minorHAnsi" w:cstheme="minorHAnsi"/>
                              <w:color w:val="000000"/>
                              <w:sz w:val="14"/>
                              <w:szCs w:val="14"/>
                            </w:rPr>
                            <w:t>Berlin Office</w:t>
                          </w:r>
                          <w:r w:rsidRPr="001E608F">
                            <w:rPr>
                              <w:rFonts w:asciiTheme="minorHAnsi" w:eastAsia="DengXian" w:hAnsiTheme="minorHAnsi" w:cstheme="minorHAnsi"/>
                              <w:color w:val="000000"/>
                              <w:sz w:val="14"/>
                              <w:szCs w:val="14"/>
                            </w:rPr>
                            <w:br/>
                          </w:r>
                          <w:r w:rsidRPr="001E608F">
                            <w:rPr>
                              <w:rFonts w:asciiTheme="minorHAnsi" w:eastAsia="DengXian" w:hAnsiTheme="minorHAnsi" w:cstheme="minorHAnsi"/>
                              <w:sz w:val="14"/>
                              <w:szCs w:val="14"/>
                            </w:rPr>
                            <w:t xml:space="preserve">info@equal-rights.org </w:t>
                          </w:r>
                          <w:r w:rsidRPr="001E608F">
                            <w:rPr>
                              <w:rFonts w:asciiTheme="minorHAnsi" w:eastAsia="DengXian" w:hAnsiTheme="minorHAnsi" w:cstheme="minorHAnsi"/>
                              <w:sz w:val="14"/>
                              <w:szCs w:val="14"/>
                            </w:rPr>
                            <w:br/>
                            <w:t>www.equal-rights.org</w:t>
                          </w:r>
                          <w:r w:rsidRPr="001E608F">
                            <w:rPr>
                              <w:rFonts w:asciiTheme="minorHAnsi" w:eastAsia="DengXian" w:hAnsiTheme="minorHAnsi" w:cstheme="minorHAnsi"/>
                              <w:sz w:val="14"/>
                              <w:szCs w:val="14"/>
                            </w:rPr>
                            <w:br/>
                          </w:r>
                        </w:p>
                        <w:p w14:paraId="2D8C2CA2" w14:textId="77777777" w:rsidR="00E62E53" w:rsidRPr="001E608F" w:rsidRDefault="00E62E53" w:rsidP="00E62E53">
                          <w:pPr>
                            <w:snapToGrid w:val="0"/>
                            <w:spacing w:line="240" w:lineRule="auto"/>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3AC20" id="_x0000_t202" coordsize="21600,21600" o:spt="202" path="m,l,21600r21600,l21600,xe">
              <v:stroke joinstyle="miter"/>
              <v:path gradientshapeok="t" o:connecttype="rect"/>
            </v:shapetype>
            <v:shape id="Textfeld 6" o:spid="_x0000_s1026" type="#_x0000_t202" style="position:absolute;margin-left:67.9pt;margin-top:5.9pt;width:348pt;height:55.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" filled="f" stroked="f">
              <v:textbox>
                <w:txbxContent>
                  <w:p w14:paraId="464704B3" w14:textId="77777777" w:rsidR="00E62E53" w:rsidRPr="001E608F" w:rsidRDefault="00E62E53" w:rsidP="00E62E53">
                    <w:pPr>
                      <w:spacing w:line="240" w:lineRule="auto"/>
                      <w:rPr>
                        <w:rFonts w:asciiTheme="minorHAnsi" w:eastAsia="DengXian" w:hAnsiTheme="minorHAnsi" w:cstheme="minorHAnsi"/>
                        <w:color w:val="000000"/>
                        <w:sz w:val="14"/>
                        <w:szCs w:val="14"/>
                      </w:rPr>
                    </w:pPr>
                    <w:r w:rsidRPr="001E608F">
                      <w:rPr>
                        <w:rFonts w:asciiTheme="minorHAnsi" w:eastAsia="DengXian" w:hAnsiTheme="minorHAnsi" w:cstheme="minorHAnsi"/>
                        <w:color w:val="000000"/>
                        <w:sz w:val="14"/>
                        <w:szCs w:val="14"/>
                      </w:rPr>
                      <w:t>Berlin Office</w:t>
                    </w:r>
                    <w:r w:rsidRPr="001E608F">
                      <w:rPr>
                        <w:rFonts w:asciiTheme="minorHAnsi" w:eastAsia="DengXian" w:hAnsiTheme="minorHAnsi" w:cstheme="minorHAnsi"/>
                        <w:color w:val="000000"/>
                        <w:sz w:val="14"/>
                        <w:szCs w:val="14"/>
                      </w:rPr>
                      <w:br/>
                    </w:r>
                    <w:r w:rsidRPr="001E608F">
                      <w:rPr>
                        <w:rFonts w:asciiTheme="minorHAnsi" w:eastAsia="DengXian" w:hAnsiTheme="minorHAnsi" w:cstheme="minorHAnsi"/>
                        <w:sz w:val="14"/>
                        <w:szCs w:val="14"/>
                      </w:rPr>
                      <w:t xml:space="preserve">info@equal-rights.org </w:t>
                    </w:r>
                    <w:r w:rsidRPr="001E608F">
                      <w:rPr>
                        <w:rFonts w:asciiTheme="minorHAnsi" w:eastAsia="DengXian" w:hAnsiTheme="minorHAnsi" w:cstheme="minorHAnsi"/>
                        <w:sz w:val="14"/>
                        <w:szCs w:val="14"/>
                      </w:rPr>
                      <w:br/>
                      <w:t>www.equal-rights.org</w:t>
                    </w:r>
                    <w:r w:rsidRPr="001E608F">
                      <w:rPr>
                        <w:rFonts w:asciiTheme="minorHAnsi" w:eastAsia="DengXian" w:hAnsiTheme="minorHAnsi" w:cstheme="minorHAnsi"/>
                        <w:sz w:val="14"/>
                        <w:szCs w:val="14"/>
                      </w:rPr>
                      <w:br/>
                    </w:r>
                  </w:p>
                  <w:p w14:paraId="2D8C2CA2" w14:textId="77777777" w:rsidR="00E62E53" w:rsidRPr="001E608F" w:rsidRDefault="00E62E53" w:rsidP="00E62E53">
                    <w:pPr>
                      <w:snapToGrid w:val="0"/>
                      <w:spacing w:line="240" w:lineRule="auto"/>
                      <w:rPr>
                        <w:rFonts w:asciiTheme="minorHAnsi" w:hAnsiTheme="minorHAnsi" w:cstheme="minorHAnsi"/>
                        <w:sz w:val="16"/>
                        <w:szCs w:val="16"/>
                      </w:rPr>
                    </w:pPr>
                  </w:p>
                </w:txbxContent>
              </v:textbox>
            </v:shape>
          </w:pict>
        </mc:Fallback>
      </mc:AlternateContent>
    </w:r>
  </w:p>
  <w:p w14:paraId="1C5E4A9E" w14:textId="77777777" w:rsidR="00E62E53" w:rsidRDefault="00E62E53" w:rsidP="00E62E53">
    <w:pPr>
      <w:pStyle w:val="Header"/>
      <w:tabs>
        <w:tab w:val="clear" w:pos="4536"/>
        <w:tab w:val="clear" w:pos="9072"/>
        <w:tab w:val="left" w:pos="1665"/>
      </w:tabs>
    </w:pPr>
    <w:r>
      <w:tab/>
    </w:r>
  </w:p>
  <w:p w14:paraId="6861469E" w14:textId="77777777" w:rsidR="00E62E53" w:rsidRPr="00206A12" w:rsidRDefault="00E62E53" w:rsidP="00E62E53">
    <w:pPr>
      <w:pStyle w:val="Header"/>
      <w:tabs>
        <w:tab w:val="clear" w:pos="4536"/>
        <w:tab w:val="clear" w:pos="9072"/>
        <w:tab w:val="left" w:pos="1665"/>
      </w:tabs>
    </w:pPr>
  </w:p>
  <w:p w14:paraId="2B7CF0AB" w14:textId="77777777" w:rsidR="00E62E53" w:rsidRDefault="00E62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D75C6B22"/>
    <w:lvl w:ilvl="0" w:tplc="00000065">
      <w:start w:val="1"/>
      <w:numFmt w:val="bullet"/>
      <w:lvlText w:val=""/>
      <w:lvlJc w:val="left"/>
      <w:pPr>
        <w:ind w:left="720" w:hanging="360"/>
      </w:pPr>
    </w:lvl>
    <w:lvl w:ilvl="1" w:tplc="0407000B">
      <w:start w:val="1"/>
      <w:numFmt w:val="bullet"/>
      <w:lvlText w:val=""/>
      <w:lvlJc w:val="left"/>
      <w:pPr>
        <w:ind w:left="36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52358"/>
    <w:multiLevelType w:val="hybridMultilevel"/>
    <w:tmpl w:val="3A94B4AA"/>
    <w:lvl w:ilvl="0" w:tplc="AA6684D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CD4B30"/>
    <w:multiLevelType w:val="hybridMultilevel"/>
    <w:tmpl w:val="4D5048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C22FC0"/>
    <w:multiLevelType w:val="hybridMultilevel"/>
    <w:tmpl w:val="2800E42C"/>
    <w:lvl w:ilvl="0" w:tplc="AA6684D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CB2BF0"/>
    <w:multiLevelType w:val="hybridMultilevel"/>
    <w:tmpl w:val="88CE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F645C"/>
    <w:multiLevelType w:val="hybridMultilevel"/>
    <w:tmpl w:val="CCAC6CF8"/>
    <w:lvl w:ilvl="0" w:tplc="AA6684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16496"/>
    <w:multiLevelType w:val="hybridMultilevel"/>
    <w:tmpl w:val="BF1E9542"/>
    <w:lvl w:ilvl="0" w:tplc="B6B0F6E8">
      <w:numFmt w:val="bullet"/>
      <w:lvlText w:val="-"/>
      <w:lvlJc w:val="left"/>
      <w:pPr>
        <w:ind w:left="720" w:hanging="360"/>
      </w:pPr>
      <w:rPr>
        <w:rFonts w:ascii="DengXian" w:eastAsia="DengXian" w:hAnsi="DengXian" w:cs="Arial"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3D20B7"/>
    <w:multiLevelType w:val="hybridMultilevel"/>
    <w:tmpl w:val="DC565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EC4856"/>
    <w:multiLevelType w:val="hybridMultilevel"/>
    <w:tmpl w:val="BBAEAA16"/>
    <w:lvl w:ilvl="0" w:tplc="73DAD8A2">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9" w15:restartNumberingAfterBreak="0">
    <w:nsid w:val="273E1F2A"/>
    <w:multiLevelType w:val="hybridMultilevel"/>
    <w:tmpl w:val="436AB00E"/>
    <w:lvl w:ilvl="0" w:tplc="73DAD8A2">
      <w:start w:val="1"/>
      <w:numFmt w:val="bullet"/>
      <w:lvlText w:val=""/>
      <w:lvlJc w:val="left"/>
      <w:pPr>
        <w:ind w:left="720" w:hanging="360"/>
      </w:pPr>
      <w:rPr>
        <w:rFonts w:ascii="Symbol" w:hAnsi="Symbol" w:hint="default"/>
      </w:rPr>
    </w:lvl>
    <w:lvl w:ilvl="1" w:tplc="B6021A6A">
      <w:start w:val="1"/>
      <w:numFmt w:val="bullet"/>
      <w:lvlText w:val="→"/>
      <w:lvlJc w:val="left"/>
      <w:pPr>
        <w:ind w:left="1440" w:hanging="360"/>
      </w:pPr>
      <w:rPr>
        <w:rFonts w:ascii="DengXian" w:eastAsia="DengXian" w:hAnsi="DengXian" w:hint="eastAsi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D75E31"/>
    <w:multiLevelType w:val="hybridMultilevel"/>
    <w:tmpl w:val="A61854AE"/>
    <w:lvl w:ilvl="0" w:tplc="73DAD8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7E0FD3"/>
    <w:multiLevelType w:val="hybridMultilevel"/>
    <w:tmpl w:val="62466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B0718D"/>
    <w:multiLevelType w:val="hybridMultilevel"/>
    <w:tmpl w:val="111A8564"/>
    <w:lvl w:ilvl="0" w:tplc="73DAD8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851F7F"/>
    <w:multiLevelType w:val="hybridMultilevel"/>
    <w:tmpl w:val="1CE00310"/>
    <w:lvl w:ilvl="0" w:tplc="B6021A6A">
      <w:start w:val="1"/>
      <w:numFmt w:val="bullet"/>
      <w:lvlText w:val="→"/>
      <w:lvlJc w:val="left"/>
      <w:pPr>
        <w:ind w:left="720" w:hanging="360"/>
      </w:pPr>
      <w:rPr>
        <w:rFonts w:ascii="DengXian" w:eastAsia="DengXian" w:hAnsi="DengXian" w:hint="eastAsia"/>
      </w:rPr>
    </w:lvl>
    <w:lvl w:ilvl="1" w:tplc="B6021A6A">
      <w:start w:val="1"/>
      <w:numFmt w:val="bullet"/>
      <w:lvlText w:val="→"/>
      <w:lvlJc w:val="left"/>
      <w:pPr>
        <w:ind w:left="1440" w:hanging="360"/>
      </w:pPr>
      <w:rPr>
        <w:rFonts w:ascii="DengXian" w:eastAsia="DengXian" w:hAnsi="DengXian" w:hint="eastAsi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EB2466"/>
    <w:multiLevelType w:val="hybridMultilevel"/>
    <w:tmpl w:val="6B70164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5" w15:restartNumberingAfterBreak="0">
    <w:nsid w:val="3FC94241"/>
    <w:multiLevelType w:val="hybridMultilevel"/>
    <w:tmpl w:val="2B361F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FD5D0A"/>
    <w:multiLevelType w:val="hybridMultilevel"/>
    <w:tmpl w:val="201E78F6"/>
    <w:lvl w:ilvl="0" w:tplc="AA6684D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C81483"/>
    <w:multiLevelType w:val="hybridMultilevel"/>
    <w:tmpl w:val="3C50215A"/>
    <w:lvl w:ilvl="0" w:tplc="73DAD8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34E56BE"/>
    <w:multiLevelType w:val="hybridMultilevel"/>
    <w:tmpl w:val="695C681E"/>
    <w:lvl w:ilvl="0" w:tplc="AA6684DC">
      <w:start w:val="1"/>
      <w:numFmt w:val="bullet"/>
      <w:lvlText w:val=""/>
      <w:lvlJc w:val="left"/>
      <w:pPr>
        <w:ind w:left="720" w:hanging="360"/>
      </w:pPr>
      <w:rPr>
        <w:rFonts w:ascii="Symbol" w:hAnsi="Symbol" w:hint="default"/>
      </w:rPr>
    </w:lvl>
    <w:lvl w:ilvl="1" w:tplc="B6021A6A">
      <w:start w:val="1"/>
      <w:numFmt w:val="bullet"/>
      <w:lvlText w:val="→"/>
      <w:lvlJc w:val="left"/>
      <w:pPr>
        <w:ind w:left="1440" w:hanging="360"/>
      </w:pPr>
      <w:rPr>
        <w:rFonts w:ascii="DengXian" w:eastAsia="DengXian" w:hAnsi="DengXian" w:hint="eastAsi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5580371"/>
    <w:multiLevelType w:val="hybridMultilevel"/>
    <w:tmpl w:val="49723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4"/>
  </w:num>
  <w:num w:numId="3">
    <w:abstractNumId w:val="11"/>
  </w:num>
  <w:num w:numId="4">
    <w:abstractNumId w:val="15"/>
  </w:num>
  <w:num w:numId="5">
    <w:abstractNumId w:val="7"/>
  </w:num>
  <w:num w:numId="6">
    <w:abstractNumId w:val="0"/>
  </w:num>
  <w:num w:numId="7">
    <w:abstractNumId w:val="8"/>
  </w:num>
  <w:num w:numId="8">
    <w:abstractNumId w:val="12"/>
  </w:num>
  <w:num w:numId="9">
    <w:abstractNumId w:val="17"/>
  </w:num>
  <w:num w:numId="10">
    <w:abstractNumId w:val="10"/>
  </w:num>
  <w:num w:numId="11">
    <w:abstractNumId w:val="9"/>
  </w:num>
  <w:num w:numId="12">
    <w:abstractNumId w:val="1"/>
  </w:num>
  <w:num w:numId="13">
    <w:abstractNumId w:val="6"/>
  </w:num>
  <w:num w:numId="14">
    <w:abstractNumId w:val="18"/>
  </w:num>
  <w:num w:numId="15">
    <w:abstractNumId w:val="3"/>
  </w:num>
  <w:num w:numId="16">
    <w:abstractNumId w:val="13"/>
  </w:num>
  <w:num w:numId="17">
    <w:abstractNumId w:val="19"/>
  </w:num>
  <w:num w:numId="18">
    <w:abstractNumId w:val="4"/>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53"/>
    <w:rsid w:val="00016358"/>
    <w:rsid w:val="00052668"/>
    <w:rsid w:val="000656A2"/>
    <w:rsid w:val="00083CA4"/>
    <w:rsid w:val="000C2F13"/>
    <w:rsid w:val="000C7DFB"/>
    <w:rsid w:val="000E6FF8"/>
    <w:rsid w:val="000E7BB0"/>
    <w:rsid w:val="000F29E2"/>
    <w:rsid w:val="000F7524"/>
    <w:rsid w:val="00113904"/>
    <w:rsid w:val="00115892"/>
    <w:rsid w:val="001166F8"/>
    <w:rsid w:val="001307EE"/>
    <w:rsid w:val="001332E0"/>
    <w:rsid w:val="00141858"/>
    <w:rsid w:val="00144BBE"/>
    <w:rsid w:val="001658CA"/>
    <w:rsid w:val="00166CEA"/>
    <w:rsid w:val="00181A80"/>
    <w:rsid w:val="0018670E"/>
    <w:rsid w:val="00186C0A"/>
    <w:rsid w:val="001C346C"/>
    <w:rsid w:val="001D55D7"/>
    <w:rsid w:val="001E215B"/>
    <w:rsid w:val="001E608F"/>
    <w:rsid w:val="00206A12"/>
    <w:rsid w:val="002150A8"/>
    <w:rsid w:val="00246607"/>
    <w:rsid w:val="002622E3"/>
    <w:rsid w:val="00262802"/>
    <w:rsid w:val="002A1D42"/>
    <w:rsid w:val="002C30FA"/>
    <w:rsid w:val="002F2D49"/>
    <w:rsid w:val="00316BFB"/>
    <w:rsid w:val="00384E6D"/>
    <w:rsid w:val="003911AA"/>
    <w:rsid w:val="003A7EF1"/>
    <w:rsid w:val="003B449E"/>
    <w:rsid w:val="003B5DF1"/>
    <w:rsid w:val="003C16AF"/>
    <w:rsid w:val="003F71F8"/>
    <w:rsid w:val="00404A58"/>
    <w:rsid w:val="00407304"/>
    <w:rsid w:val="0041434B"/>
    <w:rsid w:val="004364FB"/>
    <w:rsid w:val="004508E3"/>
    <w:rsid w:val="00463AAC"/>
    <w:rsid w:val="00474B72"/>
    <w:rsid w:val="004C6900"/>
    <w:rsid w:val="004D1FB4"/>
    <w:rsid w:val="004E0A29"/>
    <w:rsid w:val="004E1F96"/>
    <w:rsid w:val="00530DD0"/>
    <w:rsid w:val="00545E2D"/>
    <w:rsid w:val="005563A8"/>
    <w:rsid w:val="00571583"/>
    <w:rsid w:val="005A0CDA"/>
    <w:rsid w:val="005C7C11"/>
    <w:rsid w:val="005D642E"/>
    <w:rsid w:val="005E4429"/>
    <w:rsid w:val="006069A5"/>
    <w:rsid w:val="00615703"/>
    <w:rsid w:val="00620099"/>
    <w:rsid w:val="006217A6"/>
    <w:rsid w:val="00623AD9"/>
    <w:rsid w:val="0062567D"/>
    <w:rsid w:val="00650101"/>
    <w:rsid w:val="00664E6F"/>
    <w:rsid w:val="00666FC6"/>
    <w:rsid w:val="006A2E4D"/>
    <w:rsid w:val="006A6032"/>
    <w:rsid w:val="006B41F8"/>
    <w:rsid w:val="006E49AB"/>
    <w:rsid w:val="00701537"/>
    <w:rsid w:val="00707ED8"/>
    <w:rsid w:val="007236DD"/>
    <w:rsid w:val="00752158"/>
    <w:rsid w:val="00760AC0"/>
    <w:rsid w:val="00771351"/>
    <w:rsid w:val="00795F81"/>
    <w:rsid w:val="007C2F70"/>
    <w:rsid w:val="007F12B6"/>
    <w:rsid w:val="007F2721"/>
    <w:rsid w:val="00822651"/>
    <w:rsid w:val="0084175A"/>
    <w:rsid w:val="00857AE7"/>
    <w:rsid w:val="00872052"/>
    <w:rsid w:val="0087450B"/>
    <w:rsid w:val="008A1B03"/>
    <w:rsid w:val="008D5EC4"/>
    <w:rsid w:val="008F43FC"/>
    <w:rsid w:val="008F6D06"/>
    <w:rsid w:val="00914519"/>
    <w:rsid w:val="0091525A"/>
    <w:rsid w:val="00963840"/>
    <w:rsid w:val="00976087"/>
    <w:rsid w:val="009851A5"/>
    <w:rsid w:val="009A3546"/>
    <w:rsid w:val="009A58E8"/>
    <w:rsid w:val="009F116A"/>
    <w:rsid w:val="00A01FA0"/>
    <w:rsid w:val="00A13BDF"/>
    <w:rsid w:val="00A2754F"/>
    <w:rsid w:val="00A401AF"/>
    <w:rsid w:val="00A4194D"/>
    <w:rsid w:val="00A47112"/>
    <w:rsid w:val="00A47C6D"/>
    <w:rsid w:val="00A92427"/>
    <w:rsid w:val="00AA0CB6"/>
    <w:rsid w:val="00AC4B0D"/>
    <w:rsid w:val="00AC573C"/>
    <w:rsid w:val="00AD7415"/>
    <w:rsid w:val="00AE01F1"/>
    <w:rsid w:val="00AF1E73"/>
    <w:rsid w:val="00B11786"/>
    <w:rsid w:val="00B23D1D"/>
    <w:rsid w:val="00B260D9"/>
    <w:rsid w:val="00B42E90"/>
    <w:rsid w:val="00B9539D"/>
    <w:rsid w:val="00B96627"/>
    <w:rsid w:val="00BA3676"/>
    <w:rsid w:val="00BB4E32"/>
    <w:rsid w:val="00BD45B2"/>
    <w:rsid w:val="00BE45BD"/>
    <w:rsid w:val="00BF2E84"/>
    <w:rsid w:val="00C342C8"/>
    <w:rsid w:val="00C51BD0"/>
    <w:rsid w:val="00C55D8A"/>
    <w:rsid w:val="00C64692"/>
    <w:rsid w:val="00C869BC"/>
    <w:rsid w:val="00C923C1"/>
    <w:rsid w:val="00D34160"/>
    <w:rsid w:val="00D961E3"/>
    <w:rsid w:val="00DB44E1"/>
    <w:rsid w:val="00DD7E78"/>
    <w:rsid w:val="00E03241"/>
    <w:rsid w:val="00E074DA"/>
    <w:rsid w:val="00E166B6"/>
    <w:rsid w:val="00E52F4F"/>
    <w:rsid w:val="00E54674"/>
    <w:rsid w:val="00E62E53"/>
    <w:rsid w:val="00E639E3"/>
    <w:rsid w:val="00E81435"/>
    <w:rsid w:val="00E92B4F"/>
    <w:rsid w:val="00EA2C5A"/>
    <w:rsid w:val="00EB01A2"/>
    <w:rsid w:val="00F04D1E"/>
    <w:rsid w:val="00F076D6"/>
    <w:rsid w:val="00F13997"/>
    <w:rsid w:val="00F86318"/>
    <w:rsid w:val="00FB68BE"/>
    <w:rsid w:val="00FD6E1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F6C30"/>
  <w15:chartTrackingRefBased/>
  <w15:docId w15:val="{923D3365-C763-4FD1-932E-6B29DA55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E84"/>
    <w:rPr>
      <w:rFonts w:ascii="DengXian" w:hAnsi="DengXian"/>
      <w:sz w:val="21"/>
    </w:rPr>
  </w:style>
  <w:style w:type="paragraph" w:styleId="Heading1">
    <w:name w:val="heading 1"/>
    <w:aliases w:val="HEADING 1"/>
    <w:basedOn w:val="Normal"/>
    <w:next w:val="Normal"/>
    <w:link w:val="Heading1Char"/>
    <w:uiPriority w:val="9"/>
    <w:qFormat/>
    <w:rsid w:val="00BF2E84"/>
    <w:pPr>
      <w:keepNext/>
      <w:keepLines/>
      <w:spacing w:before="240" w:after="0"/>
      <w:outlineLvl w:val="0"/>
    </w:pPr>
    <w:rPr>
      <w:rFonts w:eastAsiaTheme="majorEastAsia" w:cstheme="majorBidi"/>
      <w:szCs w:val="32"/>
    </w:rPr>
  </w:style>
  <w:style w:type="paragraph" w:styleId="Heading2">
    <w:name w:val="heading 2"/>
    <w:aliases w:val="HEADING 2"/>
    <w:basedOn w:val="Normal"/>
    <w:next w:val="Normal"/>
    <w:link w:val="Heading2Char"/>
    <w:uiPriority w:val="9"/>
    <w:unhideWhenUsed/>
    <w:qFormat/>
    <w:rsid w:val="00BF2E84"/>
    <w:pPr>
      <w:keepNext/>
      <w:keepLines/>
      <w:spacing w:before="40" w:after="0"/>
      <w:outlineLvl w:val="1"/>
    </w:pPr>
    <w:rPr>
      <w:rFonts w:eastAsiaTheme="majorEastAsia" w:cstheme="majorBidi"/>
      <w:szCs w:val="26"/>
      <w:u w:val="single"/>
    </w:rPr>
  </w:style>
  <w:style w:type="paragraph" w:styleId="Heading3">
    <w:name w:val="heading 3"/>
    <w:aliases w:val="HEADING 3"/>
    <w:basedOn w:val="Normal"/>
    <w:next w:val="Normal"/>
    <w:link w:val="Heading3Char"/>
    <w:uiPriority w:val="9"/>
    <w:unhideWhenUsed/>
    <w:qFormat/>
    <w:rsid w:val="00BF2E8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1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41F8"/>
  </w:style>
  <w:style w:type="paragraph" w:styleId="Footer">
    <w:name w:val="footer"/>
    <w:basedOn w:val="Normal"/>
    <w:link w:val="FooterChar"/>
    <w:uiPriority w:val="99"/>
    <w:unhideWhenUsed/>
    <w:rsid w:val="006B41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41F8"/>
  </w:style>
  <w:style w:type="paragraph" w:customStyle="1" w:styleId="Fuzeile1">
    <w:name w:val="Fußzeile1"/>
    <w:basedOn w:val="Normal"/>
    <w:link w:val="Fuzeilenzeichen"/>
    <w:uiPriority w:val="99"/>
    <w:unhideWhenUsed/>
    <w:qFormat/>
    <w:rsid w:val="006B41F8"/>
    <w:pPr>
      <w:spacing w:after="0" w:line="240" w:lineRule="auto"/>
      <w:ind w:left="29" w:right="29"/>
    </w:pPr>
    <w:rPr>
      <w:color w:val="4472C4" w:themeColor="accent1"/>
      <w:sz w:val="20"/>
      <w:szCs w:val="20"/>
      <w:lang w:eastAsia="de-DE"/>
    </w:rPr>
  </w:style>
  <w:style w:type="character" w:customStyle="1" w:styleId="Fuzeilenzeichen">
    <w:name w:val="Fußzeilenzeichen"/>
    <w:basedOn w:val="DefaultParagraphFont"/>
    <w:link w:val="Fuzeile1"/>
    <w:uiPriority w:val="99"/>
    <w:rsid w:val="006B41F8"/>
    <w:rPr>
      <w:color w:val="4472C4" w:themeColor="accent1"/>
      <w:sz w:val="20"/>
      <w:szCs w:val="20"/>
      <w:lang w:eastAsia="de-DE"/>
    </w:rPr>
  </w:style>
  <w:style w:type="paragraph" w:customStyle="1" w:styleId="Grafik">
    <w:name w:val="Grafik"/>
    <w:basedOn w:val="Normal"/>
    <w:uiPriority w:val="99"/>
    <w:rsid w:val="006B41F8"/>
    <w:pPr>
      <w:spacing w:after="80" w:line="240" w:lineRule="auto"/>
      <w:jc w:val="center"/>
    </w:pPr>
    <w:rPr>
      <w:sz w:val="20"/>
      <w:szCs w:val="20"/>
      <w:lang w:eastAsia="de-DE"/>
    </w:rPr>
  </w:style>
  <w:style w:type="paragraph" w:customStyle="1" w:styleId="Organisation">
    <w:name w:val="Organisation"/>
    <w:basedOn w:val="Normal"/>
    <w:uiPriority w:val="2"/>
    <w:rsid w:val="006B41F8"/>
    <w:pPr>
      <w:spacing w:after="60" w:line="240" w:lineRule="auto"/>
      <w:ind w:left="29" w:right="29"/>
    </w:pPr>
    <w:rPr>
      <w:b/>
      <w:bCs/>
      <w:color w:val="4472C4" w:themeColor="accent1"/>
      <w:sz w:val="36"/>
      <w:szCs w:val="20"/>
      <w:lang w:eastAsia="de-DE"/>
    </w:rPr>
  </w:style>
  <w:style w:type="character" w:customStyle="1" w:styleId="Betont">
    <w:name w:val="Betont"/>
    <w:basedOn w:val="DefaultParagraphFont"/>
    <w:uiPriority w:val="10"/>
    <w:qFormat/>
    <w:rsid w:val="006B41F8"/>
    <w:rPr>
      <w:b/>
      <w:bCs/>
    </w:rPr>
  </w:style>
  <w:style w:type="character" w:styleId="Hyperlink">
    <w:name w:val="Hyperlink"/>
    <w:basedOn w:val="DefaultParagraphFont"/>
    <w:uiPriority w:val="99"/>
    <w:unhideWhenUsed/>
    <w:rsid w:val="00571583"/>
    <w:rPr>
      <w:color w:val="0563C1" w:themeColor="hyperlink"/>
      <w:u w:val="single"/>
    </w:rPr>
  </w:style>
  <w:style w:type="character" w:customStyle="1" w:styleId="NichtaufgelsteErwhnung1">
    <w:name w:val="Nicht aufgelöste Erwähnung1"/>
    <w:basedOn w:val="DefaultParagraphFont"/>
    <w:uiPriority w:val="99"/>
    <w:semiHidden/>
    <w:unhideWhenUsed/>
    <w:rsid w:val="00571583"/>
    <w:rPr>
      <w:color w:val="605E5C"/>
      <w:shd w:val="clear" w:color="auto" w:fill="E1DFDD"/>
    </w:rPr>
  </w:style>
  <w:style w:type="paragraph" w:styleId="ListParagraph">
    <w:name w:val="List Paragraph"/>
    <w:basedOn w:val="Normal"/>
    <w:uiPriority w:val="34"/>
    <w:qFormat/>
    <w:rsid w:val="007236DD"/>
    <w:pPr>
      <w:ind w:left="720"/>
      <w:contextualSpacing/>
    </w:pPr>
  </w:style>
  <w:style w:type="paragraph" w:customStyle="1" w:styleId="paragraph">
    <w:name w:val="paragraph"/>
    <w:basedOn w:val="Normal"/>
    <w:rsid w:val="0011589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rsid w:val="0091451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4519"/>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41434B"/>
    <w:rPr>
      <w:color w:val="605E5C"/>
      <w:shd w:val="clear" w:color="auto" w:fill="E1DFDD"/>
    </w:rPr>
  </w:style>
  <w:style w:type="character" w:styleId="CommentReference">
    <w:name w:val="annotation reference"/>
    <w:basedOn w:val="DefaultParagraphFont"/>
    <w:uiPriority w:val="99"/>
    <w:semiHidden/>
    <w:unhideWhenUsed/>
    <w:rsid w:val="00FB68BE"/>
    <w:rPr>
      <w:sz w:val="16"/>
      <w:szCs w:val="16"/>
    </w:rPr>
  </w:style>
  <w:style w:type="paragraph" w:styleId="CommentText">
    <w:name w:val="annotation text"/>
    <w:basedOn w:val="Normal"/>
    <w:link w:val="CommentTextChar"/>
    <w:uiPriority w:val="99"/>
    <w:semiHidden/>
    <w:unhideWhenUsed/>
    <w:rsid w:val="00FB68BE"/>
    <w:pPr>
      <w:spacing w:line="240" w:lineRule="auto"/>
    </w:pPr>
    <w:rPr>
      <w:sz w:val="20"/>
      <w:szCs w:val="20"/>
    </w:rPr>
  </w:style>
  <w:style w:type="character" w:customStyle="1" w:styleId="CommentTextChar">
    <w:name w:val="Comment Text Char"/>
    <w:basedOn w:val="DefaultParagraphFont"/>
    <w:link w:val="CommentText"/>
    <w:uiPriority w:val="99"/>
    <w:semiHidden/>
    <w:rsid w:val="00FB68BE"/>
    <w:rPr>
      <w:sz w:val="20"/>
      <w:szCs w:val="20"/>
    </w:rPr>
  </w:style>
  <w:style w:type="paragraph" w:styleId="CommentSubject">
    <w:name w:val="annotation subject"/>
    <w:basedOn w:val="CommentText"/>
    <w:next w:val="CommentText"/>
    <w:link w:val="CommentSubjectChar"/>
    <w:uiPriority w:val="99"/>
    <w:semiHidden/>
    <w:unhideWhenUsed/>
    <w:rsid w:val="00FB68BE"/>
    <w:rPr>
      <w:b/>
      <w:bCs/>
    </w:rPr>
  </w:style>
  <w:style w:type="character" w:customStyle="1" w:styleId="CommentSubjectChar">
    <w:name w:val="Comment Subject Char"/>
    <w:basedOn w:val="CommentTextChar"/>
    <w:link w:val="CommentSubject"/>
    <w:uiPriority w:val="99"/>
    <w:semiHidden/>
    <w:rsid w:val="00FB68BE"/>
    <w:rPr>
      <w:b/>
      <w:bCs/>
      <w:sz w:val="20"/>
      <w:szCs w:val="20"/>
    </w:rPr>
  </w:style>
  <w:style w:type="character" w:styleId="FollowedHyperlink">
    <w:name w:val="FollowedHyperlink"/>
    <w:basedOn w:val="DefaultParagraphFont"/>
    <w:uiPriority w:val="99"/>
    <w:semiHidden/>
    <w:unhideWhenUsed/>
    <w:rsid w:val="000F7524"/>
    <w:rPr>
      <w:color w:val="954F72" w:themeColor="followedHyperlink"/>
      <w:u w:val="single"/>
    </w:rPr>
  </w:style>
  <w:style w:type="paragraph" w:styleId="FootnoteText">
    <w:name w:val="footnote text"/>
    <w:basedOn w:val="Normal"/>
    <w:link w:val="FootnoteTextChar"/>
    <w:uiPriority w:val="99"/>
    <w:semiHidden/>
    <w:unhideWhenUsed/>
    <w:rsid w:val="002150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0A8"/>
    <w:rPr>
      <w:sz w:val="20"/>
      <w:szCs w:val="20"/>
    </w:rPr>
  </w:style>
  <w:style w:type="character" w:styleId="FootnoteReference">
    <w:name w:val="footnote reference"/>
    <w:aliases w:val="4_G Char Char,callout,Footnote Refernece,Footnote Reference Number,Fußnotenzeichen_Raxen,BVI fnr,Fago Fußnotenzeichen,Footnote number"/>
    <w:basedOn w:val="DefaultParagraphFont"/>
    <w:link w:val="4G"/>
    <w:uiPriority w:val="99"/>
    <w:unhideWhenUsed/>
    <w:qFormat/>
    <w:rsid w:val="002150A8"/>
    <w:rPr>
      <w:vertAlign w:val="superscript"/>
    </w:rPr>
  </w:style>
  <w:style w:type="character" w:customStyle="1" w:styleId="Heading1Char">
    <w:name w:val="Heading 1 Char"/>
    <w:aliases w:val="HEADING 1 Char"/>
    <w:basedOn w:val="DefaultParagraphFont"/>
    <w:link w:val="Heading1"/>
    <w:uiPriority w:val="9"/>
    <w:rsid w:val="00BF2E84"/>
    <w:rPr>
      <w:rFonts w:ascii="DengXian" w:eastAsiaTheme="majorEastAsia" w:hAnsi="DengXian" w:cstheme="majorBidi"/>
      <w:sz w:val="21"/>
      <w:szCs w:val="32"/>
    </w:rPr>
  </w:style>
  <w:style w:type="character" w:customStyle="1" w:styleId="Heading2Char">
    <w:name w:val="Heading 2 Char"/>
    <w:aliases w:val="HEADING 2 Char"/>
    <w:basedOn w:val="DefaultParagraphFont"/>
    <w:link w:val="Heading2"/>
    <w:uiPriority w:val="9"/>
    <w:rsid w:val="00BF2E84"/>
    <w:rPr>
      <w:rFonts w:ascii="DengXian" w:eastAsiaTheme="majorEastAsia" w:hAnsi="DengXian" w:cstheme="majorBidi"/>
      <w:sz w:val="21"/>
      <w:szCs w:val="26"/>
      <w:u w:val="single"/>
    </w:rPr>
  </w:style>
  <w:style w:type="character" w:customStyle="1" w:styleId="Heading3Char">
    <w:name w:val="Heading 3 Char"/>
    <w:aliases w:val="HEADING 3 Char"/>
    <w:basedOn w:val="DefaultParagraphFont"/>
    <w:link w:val="Heading3"/>
    <w:uiPriority w:val="9"/>
    <w:rsid w:val="00BF2E84"/>
    <w:rPr>
      <w:rFonts w:ascii="DengXian" w:eastAsiaTheme="majorEastAsia" w:hAnsi="DengXian" w:cstheme="majorBidi"/>
      <w:b/>
      <w:sz w:val="21"/>
      <w:szCs w:val="24"/>
    </w:rPr>
  </w:style>
  <w:style w:type="paragraph" w:styleId="TOCHeading">
    <w:name w:val="TOC Heading"/>
    <w:basedOn w:val="Heading1"/>
    <w:next w:val="Normal"/>
    <w:uiPriority w:val="39"/>
    <w:unhideWhenUsed/>
    <w:qFormat/>
    <w:rsid w:val="00545E2D"/>
    <w:pPr>
      <w:outlineLvl w:val="9"/>
    </w:pPr>
    <w:rPr>
      <w:lang w:eastAsia="de-DE"/>
    </w:rPr>
  </w:style>
  <w:style w:type="paragraph" w:styleId="TOC1">
    <w:name w:val="toc 1"/>
    <w:basedOn w:val="Normal"/>
    <w:next w:val="Normal"/>
    <w:autoRedefine/>
    <w:uiPriority w:val="39"/>
    <w:unhideWhenUsed/>
    <w:rsid w:val="00545E2D"/>
    <w:pPr>
      <w:spacing w:after="100"/>
    </w:pPr>
  </w:style>
  <w:style w:type="paragraph" w:styleId="TOC2">
    <w:name w:val="toc 2"/>
    <w:basedOn w:val="Normal"/>
    <w:next w:val="Normal"/>
    <w:autoRedefine/>
    <w:uiPriority w:val="39"/>
    <w:unhideWhenUsed/>
    <w:rsid w:val="00545E2D"/>
    <w:pPr>
      <w:tabs>
        <w:tab w:val="left" w:pos="1276"/>
        <w:tab w:val="right" w:leader="dot" w:pos="9062"/>
      </w:tabs>
      <w:spacing w:after="0" w:line="240" w:lineRule="auto"/>
      <w:ind w:left="851" w:right="1275"/>
    </w:pPr>
  </w:style>
  <w:style w:type="paragraph" w:styleId="TOC3">
    <w:name w:val="toc 3"/>
    <w:basedOn w:val="Normal"/>
    <w:next w:val="Normal"/>
    <w:autoRedefine/>
    <w:uiPriority w:val="39"/>
    <w:unhideWhenUsed/>
    <w:rsid w:val="00545E2D"/>
    <w:pPr>
      <w:tabs>
        <w:tab w:val="left" w:pos="1701"/>
        <w:tab w:val="right" w:leader="dot" w:pos="9062"/>
      </w:tabs>
      <w:spacing w:after="0" w:line="240" w:lineRule="auto"/>
      <w:ind w:left="851" w:right="1275"/>
    </w:pPr>
  </w:style>
  <w:style w:type="paragraph" w:styleId="Revision">
    <w:name w:val="Revision"/>
    <w:hidden/>
    <w:uiPriority w:val="99"/>
    <w:semiHidden/>
    <w:rsid w:val="001D55D7"/>
    <w:pPr>
      <w:spacing w:after="0" w:line="240" w:lineRule="auto"/>
    </w:pPr>
  </w:style>
  <w:style w:type="paragraph" w:customStyle="1" w:styleId="4G">
    <w:name w:val="4_G"/>
    <w:basedOn w:val="Normal"/>
    <w:link w:val="FootnoteReference"/>
    <w:uiPriority w:val="99"/>
    <w:rsid w:val="001E608F"/>
    <w:pPr>
      <w:spacing w:after="0" w:line="240" w:lineRule="auto"/>
      <w:jc w:val="both"/>
    </w:pPr>
    <w:rPr>
      <w:rFonts w:asciiTheme="minorHAnsi" w:hAnsiTheme="minorHAns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9740">
      <w:bodyDiv w:val="1"/>
      <w:marLeft w:val="0"/>
      <w:marRight w:val="0"/>
      <w:marTop w:val="0"/>
      <w:marBottom w:val="0"/>
      <w:divBdr>
        <w:top w:val="none" w:sz="0" w:space="0" w:color="auto"/>
        <w:left w:val="none" w:sz="0" w:space="0" w:color="auto"/>
        <w:bottom w:val="none" w:sz="0" w:space="0" w:color="auto"/>
        <w:right w:val="none" w:sz="0" w:space="0" w:color="auto"/>
      </w:divBdr>
    </w:div>
    <w:div w:id="507252628">
      <w:bodyDiv w:val="1"/>
      <w:marLeft w:val="0"/>
      <w:marRight w:val="0"/>
      <w:marTop w:val="0"/>
      <w:marBottom w:val="0"/>
      <w:divBdr>
        <w:top w:val="none" w:sz="0" w:space="0" w:color="auto"/>
        <w:left w:val="none" w:sz="0" w:space="0" w:color="auto"/>
        <w:bottom w:val="none" w:sz="0" w:space="0" w:color="auto"/>
        <w:right w:val="none" w:sz="0" w:space="0" w:color="auto"/>
      </w:divBdr>
    </w:div>
    <w:div w:id="585650619">
      <w:bodyDiv w:val="1"/>
      <w:marLeft w:val="0"/>
      <w:marRight w:val="0"/>
      <w:marTop w:val="0"/>
      <w:marBottom w:val="0"/>
      <w:divBdr>
        <w:top w:val="none" w:sz="0" w:space="0" w:color="auto"/>
        <w:left w:val="none" w:sz="0" w:space="0" w:color="auto"/>
        <w:bottom w:val="none" w:sz="0" w:space="0" w:color="auto"/>
        <w:right w:val="none" w:sz="0" w:space="0" w:color="auto"/>
      </w:divBdr>
    </w:div>
    <w:div w:id="712655851">
      <w:bodyDiv w:val="1"/>
      <w:marLeft w:val="0"/>
      <w:marRight w:val="0"/>
      <w:marTop w:val="0"/>
      <w:marBottom w:val="0"/>
      <w:divBdr>
        <w:top w:val="none" w:sz="0" w:space="0" w:color="auto"/>
        <w:left w:val="none" w:sz="0" w:space="0" w:color="auto"/>
        <w:bottom w:val="none" w:sz="0" w:space="0" w:color="auto"/>
        <w:right w:val="none" w:sz="0" w:space="0" w:color="auto"/>
      </w:divBdr>
    </w:div>
    <w:div w:id="1399087752">
      <w:bodyDiv w:val="1"/>
      <w:marLeft w:val="0"/>
      <w:marRight w:val="0"/>
      <w:marTop w:val="0"/>
      <w:marBottom w:val="0"/>
      <w:divBdr>
        <w:top w:val="none" w:sz="0" w:space="0" w:color="auto"/>
        <w:left w:val="none" w:sz="0" w:space="0" w:color="auto"/>
        <w:bottom w:val="none" w:sz="0" w:space="0" w:color="auto"/>
        <w:right w:val="none" w:sz="0" w:space="0" w:color="auto"/>
      </w:divBdr>
    </w:div>
    <w:div w:id="1994334749">
      <w:bodyDiv w:val="1"/>
      <w:marLeft w:val="0"/>
      <w:marRight w:val="0"/>
      <w:marTop w:val="0"/>
      <w:marBottom w:val="0"/>
      <w:divBdr>
        <w:top w:val="none" w:sz="0" w:space="0" w:color="auto"/>
        <w:left w:val="none" w:sz="0" w:space="0" w:color="auto"/>
        <w:bottom w:val="none" w:sz="0" w:space="0" w:color="auto"/>
        <w:right w:val="none" w:sz="0" w:space="0" w:color="auto"/>
      </w:divBdr>
      <w:divsChild>
        <w:div w:id="768552242">
          <w:marLeft w:val="0"/>
          <w:marRight w:val="0"/>
          <w:marTop w:val="0"/>
          <w:marBottom w:val="0"/>
          <w:divBdr>
            <w:top w:val="none" w:sz="0" w:space="0" w:color="auto"/>
            <w:left w:val="none" w:sz="0" w:space="0" w:color="auto"/>
            <w:bottom w:val="none" w:sz="0" w:space="0" w:color="auto"/>
            <w:right w:val="none" w:sz="0" w:space="0" w:color="auto"/>
          </w:divBdr>
          <w:divsChild>
            <w:div w:id="1549030060">
              <w:marLeft w:val="0"/>
              <w:marRight w:val="0"/>
              <w:marTop w:val="0"/>
              <w:marBottom w:val="0"/>
              <w:divBdr>
                <w:top w:val="none" w:sz="0" w:space="0" w:color="auto"/>
                <w:left w:val="none" w:sz="0" w:space="0" w:color="auto"/>
                <w:bottom w:val="none" w:sz="0" w:space="0" w:color="auto"/>
                <w:right w:val="none" w:sz="0" w:space="0" w:color="auto"/>
              </w:divBdr>
              <w:divsChild>
                <w:div w:id="540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04826">
          <w:marLeft w:val="0"/>
          <w:marRight w:val="0"/>
          <w:marTop w:val="0"/>
          <w:marBottom w:val="0"/>
          <w:divBdr>
            <w:top w:val="none" w:sz="0" w:space="0" w:color="auto"/>
            <w:left w:val="none" w:sz="0" w:space="0" w:color="auto"/>
            <w:bottom w:val="none" w:sz="0" w:space="0" w:color="auto"/>
            <w:right w:val="none" w:sz="0" w:space="0" w:color="auto"/>
          </w:divBdr>
          <w:divsChild>
            <w:div w:id="606432065">
              <w:marLeft w:val="0"/>
              <w:marRight w:val="0"/>
              <w:marTop w:val="0"/>
              <w:marBottom w:val="0"/>
              <w:divBdr>
                <w:top w:val="none" w:sz="0" w:space="0" w:color="auto"/>
                <w:left w:val="none" w:sz="0" w:space="0" w:color="auto"/>
                <w:bottom w:val="none" w:sz="0" w:space="0" w:color="auto"/>
                <w:right w:val="none" w:sz="0" w:space="0" w:color="auto"/>
              </w:divBdr>
              <w:divsChild>
                <w:div w:id="16321826">
                  <w:marLeft w:val="0"/>
                  <w:marRight w:val="0"/>
                  <w:marTop w:val="0"/>
                  <w:marBottom w:val="0"/>
                  <w:divBdr>
                    <w:top w:val="none" w:sz="0" w:space="0" w:color="auto"/>
                    <w:left w:val="none" w:sz="0" w:space="0" w:color="auto"/>
                    <w:bottom w:val="none" w:sz="0" w:space="0" w:color="auto"/>
                    <w:right w:val="none" w:sz="0" w:space="0" w:color="auto"/>
                  </w:divBdr>
                  <w:divsChild>
                    <w:div w:id="457989500">
                      <w:marLeft w:val="0"/>
                      <w:marRight w:val="0"/>
                      <w:marTop w:val="0"/>
                      <w:marBottom w:val="0"/>
                      <w:divBdr>
                        <w:top w:val="none" w:sz="0" w:space="0" w:color="auto"/>
                        <w:left w:val="none" w:sz="0" w:space="0" w:color="auto"/>
                        <w:bottom w:val="none" w:sz="0" w:space="0" w:color="auto"/>
                        <w:right w:val="none" w:sz="0" w:space="0" w:color="auto"/>
                      </w:divBdr>
                    </w:div>
                  </w:divsChild>
                </w:div>
                <w:div w:id="296688402">
                  <w:marLeft w:val="0"/>
                  <w:marRight w:val="0"/>
                  <w:marTop w:val="0"/>
                  <w:marBottom w:val="0"/>
                  <w:divBdr>
                    <w:top w:val="none" w:sz="0" w:space="0" w:color="auto"/>
                    <w:left w:val="none" w:sz="0" w:space="0" w:color="auto"/>
                    <w:bottom w:val="none" w:sz="0" w:space="0" w:color="auto"/>
                    <w:right w:val="none" w:sz="0" w:space="0" w:color="auto"/>
                  </w:divBdr>
                  <w:divsChild>
                    <w:div w:id="1358314644">
                      <w:marLeft w:val="0"/>
                      <w:marRight w:val="0"/>
                      <w:marTop w:val="0"/>
                      <w:marBottom w:val="0"/>
                      <w:divBdr>
                        <w:top w:val="none" w:sz="0" w:space="0" w:color="auto"/>
                        <w:left w:val="none" w:sz="0" w:space="0" w:color="auto"/>
                        <w:bottom w:val="none" w:sz="0" w:space="0" w:color="auto"/>
                        <w:right w:val="none" w:sz="0" w:space="0" w:color="auto"/>
                      </w:divBdr>
                    </w:div>
                  </w:divsChild>
                </w:div>
                <w:div w:id="1652784998">
                  <w:marLeft w:val="0"/>
                  <w:marRight w:val="0"/>
                  <w:marTop w:val="0"/>
                  <w:marBottom w:val="0"/>
                  <w:divBdr>
                    <w:top w:val="none" w:sz="0" w:space="0" w:color="auto"/>
                    <w:left w:val="none" w:sz="0" w:space="0" w:color="auto"/>
                    <w:bottom w:val="none" w:sz="0" w:space="0" w:color="auto"/>
                    <w:right w:val="none" w:sz="0" w:space="0" w:color="auto"/>
                  </w:divBdr>
                  <w:divsChild>
                    <w:div w:id="13318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2251">
              <w:marLeft w:val="0"/>
              <w:marRight w:val="0"/>
              <w:marTop w:val="0"/>
              <w:marBottom w:val="0"/>
              <w:divBdr>
                <w:top w:val="none" w:sz="0" w:space="0" w:color="auto"/>
                <w:left w:val="none" w:sz="0" w:space="0" w:color="auto"/>
                <w:bottom w:val="none" w:sz="0" w:space="0" w:color="auto"/>
                <w:right w:val="none" w:sz="0" w:space="0" w:color="auto"/>
              </w:divBdr>
              <w:divsChild>
                <w:div w:id="162401959">
                  <w:marLeft w:val="0"/>
                  <w:marRight w:val="0"/>
                  <w:marTop w:val="0"/>
                  <w:marBottom w:val="0"/>
                  <w:divBdr>
                    <w:top w:val="none" w:sz="0" w:space="0" w:color="auto"/>
                    <w:left w:val="none" w:sz="0" w:space="0" w:color="auto"/>
                    <w:bottom w:val="none" w:sz="0" w:space="0" w:color="auto"/>
                    <w:right w:val="none" w:sz="0" w:space="0" w:color="auto"/>
                  </w:divBdr>
                  <w:divsChild>
                    <w:div w:id="1368918100">
                      <w:marLeft w:val="0"/>
                      <w:marRight w:val="0"/>
                      <w:marTop w:val="0"/>
                      <w:marBottom w:val="0"/>
                      <w:divBdr>
                        <w:top w:val="none" w:sz="0" w:space="0" w:color="auto"/>
                        <w:left w:val="none" w:sz="0" w:space="0" w:color="auto"/>
                        <w:bottom w:val="none" w:sz="0" w:space="0" w:color="auto"/>
                        <w:right w:val="none" w:sz="0" w:space="0" w:color="auto"/>
                      </w:divBdr>
                      <w:divsChild>
                        <w:div w:id="15811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59058">
                  <w:marLeft w:val="0"/>
                  <w:marRight w:val="0"/>
                  <w:marTop w:val="0"/>
                  <w:marBottom w:val="0"/>
                  <w:divBdr>
                    <w:top w:val="none" w:sz="0" w:space="0" w:color="auto"/>
                    <w:left w:val="none" w:sz="0" w:space="0" w:color="auto"/>
                    <w:bottom w:val="none" w:sz="0" w:space="0" w:color="auto"/>
                    <w:right w:val="none" w:sz="0" w:space="0" w:color="auto"/>
                  </w:divBdr>
                  <w:divsChild>
                    <w:div w:id="1102338890">
                      <w:marLeft w:val="0"/>
                      <w:marRight w:val="0"/>
                      <w:marTop w:val="0"/>
                      <w:marBottom w:val="0"/>
                      <w:divBdr>
                        <w:top w:val="none" w:sz="0" w:space="0" w:color="auto"/>
                        <w:left w:val="none" w:sz="0" w:space="0" w:color="auto"/>
                        <w:bottom w:val="none" w:sz="0" w:space="0" w:color="auto"/>
                        <w:right w:val="none" w:sz="0" w:space="0" w:color="auto"/>
                      </w:divBdr>
                      <w:divsChild>
                        <w:div w:id="9309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8425">
              <w:marLeft w:val="0"/>
              <w:marRight w:val="0"/>
              <w:marTop w:val="0"/>
              <w:marBottom w:val="0"/>
              <w:divBdr>
                <w:top w:val="none" w:sz="0" w:space="0" w:color="auto"/>
                <w:left w:val="none" w:sz="0" w:space="0" w:color="auto"/>
                <w:bottom w:val="none" w:sz="0" w:space="0" w:color="auto"/>
                <w:right w:val="none" w:sz="0" w:space="0" w:color="auto"/>
              </w:divBdr>
              <w:divsChild>
                <w:div w:id="1162963897">
                  <w:marLeft w:val="0"/>
                  <w:marRight w:val="0"/>
                  <w:marTop w:val="0"/>
                  <w:marBottom w:val="0"/>
                  <w:divBdr>
                    <w:top w:val="none" w:sz="0" w:space="0" w:color="auto"/>
                    <w:left w:val="none" w:sz="0" w:space="0" w:color="auto"/>
                    <w:bottom w:val="none" w:sz="0" w:space="0" w:color="auto"/>
                    <w:right w:val="none" w:sz="0" w:space="0" w:color="auto"/>
                  </w:divBdr>
                </w:div>
              </w:divsChild>
            </w:div>
            <w:div w:id="924873397">
              <w:marLeft w:val="0"/>
              <w:marRight w:val="0"/>
              <w:marTop w:val="0"/>
              <w:marBottom w:val="0"/>
              <w:divBdr>
                <w:top w:val="none" w:sz="0" w:space="0" w:color="auto"/>
                <w:left w:val="none" w:sz="0" w:space="0" w:color="auto"/>
                <w:bottom w:val="none" w:sz="0" w:space="0" w:color="auto"/>
                <w:right w:val="none" w:sz="0" w:space="0" w:color="auto"/>
              </w:divBdr>
              <w:divsChild>
                <w:div w:id="1371955131">
                  <w:marLeft w:val="0"/>
                  <w:marRight w:val="0"/>
                  <w:marTop w:val="0"/>
                  <w:marBottom w:val="0"/>
                  <w:divBdr>
                    <w:top w:val="none" w:sz="0" w:space="0" w:color="auto"/>
                    <w:left w:val="none" w:sz="0" w:space="0" w:color="auto"/>
                    <w:bottom w:val="none" w:sz="0" w:space="0" w:color="auto"/>
                    <w:right w:val="none" w:sz="0" w:space="0" w:color="auto"/>
                  </w:divBdr>
                </w:div>
              </w:divsChild>
            </w:div>
            <w:div w:id="980615607">
              <w:marLeft w:val="0"/>
              <w:marRight w:val="0"/>
              <w:marTop w:val="0"/>
              <w:marBottom w:val="0"/>
              <w:divBdr>
                <w:top w:val="none" w:sz="0" w:space="0" w:color="auto"/>
                <w:left w:val="none" w:sz="0" w:space="0" w:color="auto"/>
                <w:bottom w:val="none" w:sz="0" w:space="0" w:color="auto"/>
                <w:right w:val="none" w:sz="0" w:space="0" w:color="auto"/>
              </w:divBdr>
              <w:divsChild>
                <w:div w:id="630289931">
                  <w:marLeft w:val="0"/>
                  <w:marRight w:val="0"/>
                  <w:marTop w:val="0"/>
                  <w:marBottom w:val="0"/>
                  <w:divBdr>
                    <w:top w:val="none" w:sz="0" w:space="0" w:color="auto"/>
                    <w:left w:val="none" w:sz="0" w:space="0" w:color="auto"/>
                    <w:bottom w:val="none" w:sz="0" w:space="0" w:color="auto"/>
                    <w:right w:val="none" w:sz="0" w:space="0" w:color="auto"/>
                  </w:divBdr>
                </w:div>
              </w:divsChild>
            </w:div>
            <w:div w:id="1429353050">
              <w:marLeft w:val="0"/>
              <w:marRight w:val="0"/>
              <w:marTop w:val="0"/>
              <w:marBottom w:val="0"/>
              <w:divBdr>
                <w:top w:val="none" w:sz="0" w:space="0" w:color="auto"/>
                <w:left w:val="none" w:sz="0" w:space="0" w:color="auto"/>
                <w:bottom w:val="none" w:sz="0" w:space="0" w:color="auto"/>
                <w:right w:val="none" w:sz="0" w:space="0" w:color="auto"/>
              </w:divBdr>
              <w:divsChild>
                <w:div w:id="58526659">
                  <w:marLeft w:val="0"/>
                  <w:marRight w:val="0"/>
                  <w:marTop w:val="0"/>
                  <w:marBottom w:val="0"/>
                  <w:divBdr>
                    <w:top w:val="none" w:sz="0" w:space="0" w:color="auto"/>
                    <w:left w:val="none" w:sz="0" w:space="0" w:color="auto"/>
                    <w:bottom w:val="none" w:sz="0" w:space="0" w:color="auto"/>
                    <w:right w:val="none" w:sz="0" w:space="0" w:color="auto"/>
                  </w:divBdr>
                </w:div>
              </w:divsChild>
            </w:div>
            <w:div w:id="1671252845">
              <w:marLeft w:val="0"/>
              <w:marRight w:val="0"/>
              <w:marTop w:val="0"/>
              <w:marBottom w:val="0"/>
              <w:divBdr>
                <w:top w:val="none" w:sz="0" w:space="0" w:color="auto"/>
                <w:left w:val="none" w:sz="0" w:space="0" w:color="auto"/>
                <w:bottom w:val="none" w:sz="0" w:space="0" w:color="auto"/>
                <w:right w:val="none" w:sz="0" w:space="0" w:color="auto"/>
              </w:divBdr>
              <w:divsChild>
                <w:div w:id="158038404">
                  <w:marLeft w:val="0"/>
                  <w:marRight w:val="0"/>
                  <w:marTop w:val="0"/>
                  <w:marBottom w:val="0"/>
                  <w:divBdr>
                    <w:top w:val="none" w:sz="0" w:space="0" w:color="auto"/>
                    <w:left w:val="none" w:sz="0" w:space="0" w:color="auto"/>
                    <w:bottom w:val="none" w:sz="0" w:space="0" w:color="auto"/>
                    <w:right w:val="none" w:sz="0" w:space="0" w:color="auto"/>
                  </w:divBdr>
                </w:div>
              </w:divsChild>
            </w:div>
            <w:div w:id="2010139538">
              <w:marLeft w:val="0"/>
              <w:marRight w:val="0"/>
              <w:marTop w:val="0"/>
              <w:marBottom w:val="0"/>
              <w:divBdr>
                <w:top w:val="none" w:sz="0" w:space="0" w:color="auto"/>
                <w:left w:val="none" w:sz="0" w:space="0" w:color="auto"/>
                <w:bottom w:val="none" w:sz="0" w:space="0" w:color="auto"/>
                <w:right w:val="none" w:sz="0" w:space="0" w:color="auto"/>
              </w:divBdr>
              <w:divsChild>
                <w:div w:id="1022586883">
                  <w:marLeft w:val="0"/>
                  <w:marRight w:val="0"/>
                  <w:marTop w:val="0"/>
                  <w:marBottom w:val="0"/>
                  <w:divBdr>
                    <w:top w:val="none" w:sz="0" w:space="0" w:color="auto"/>
                    <w:left w:val="none" w:sz="0" w:space="0" w:color="auto"/>
                    <w:bottom w:val="none" w:sz="0" w:space="0" w:color="auto"/>
                    <w:right w:val="none" w:sz="0" w:space="0" w:color="auto"/>
                  </w:divBdr>
                </w:div>
                <w:div w:id="1403143176">
                  <w:marLeft w:val="0"/>
                  <w:marRight w:val="0"/>
                  <w:marTop w:val="0"/>
                  <w:marBottom w:val="0"/>
                  <w:divBdr>
                    <w:top w:val="none" w:sz="0" w:space="0" w:color="auto"/>
                    <w:left w:val="none" w:sz="0" w:space="0" w:color="auto"/>
                    <w:bottom w:val="none" w:sz="0" w:space="0" w:color="auto"/>
                    <w:right w:val="none" w:sz="0" w:space="0" w:color="auto"/>
                  </w:divBdr>
                </w:div>
                <w:div w:id="1447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5164">
          <w:marLeft w:val="0"/>
          <w:marRight w:val="0"/>
          <w:marTop w:val="0"/>
          <w:marBottom w:val="0"/>
          <w:divBdr>
            <w:top w:val="none" w:sz="0" w:space="0" w:color="auto"/>
            <w:left w:val="none" w:sz="0" w:space="0" w:color="auto"/>
            <w:bottom w:val="none" w:sz="0" w:space="0" w:color="auto"/>
            <w:right w:val="none" w:sz="0" w:space="0" w:color="auto"/>
          </w:divBdr>
          <w:divsChild>
            <w:div w:id="825315848">
              <w:marLeft w:val="0"/>
              <w:marRight w:val="0"/>
              <w:marTop w:val="0"/>
              <w:marBottom w:val="0"/>
              <w:divBdr>
                <w:top w:val="none" w:sz="0" w:space="0" w:color="auto"/>
                <w:left w:val="none" w:sz="0" w:space="0" w:color="auto"/>
                <w:bottom w:val="none" w:sz="0" w:space="0" w:color="auto"/>
                <w:right w:val="none" w:sz="0" w:space="0" w:color="auto"/>
              </w:divBdr>
              <w:divsChild>
                <w:div w:id="1237400394">
                  <w:marLeft w:val="0"/>
                  <w:marRight w:val="0"/>
                  <w:marTop w:val="0"/>
                  <w:marBottom w:val="0"/>
                  <w:divBdr>
                    <w:top w:val="none" w:sz="0" w:space="0" w:color="auto"/>
                    <w:left w:val="none" w:sz="0" w:space="0" w:color="auto"/>
                    <w:bottom w:val="none" w:sz="0" w:space="0" w:color="auto"/>
                    <w:right w:val="none" w:sz="0" w:space="0" w:color="auto"/>
                  </w:divBdr>
                </w:div>
              </w:divsChild>
            </w:div>
            <w:div w:id="1218319029">
              <w:marLeft w:val="0"/>
              <w:marRight w:val="0"/>
              <w:marTop w:val="0"/>
              <w:marBottom w:val="0"/>
              <w:divBdr>
                <w:top w:val="none" w:sz="0" w:space="0" w:color="auto"/>
                <w:left w:val="none" w:sz="0" w:space="0" w:color="auto"/>
                <w:bottom w:val="none" w:sz="0" w:space="0" w:color="auto"/>
                <w:right w:val="none" w:sz="0" w:space="0" w:color="auto"/>
              </w:divBdr>
              <w:divsChild>
                <w:div w:id="2908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0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jkasevic@refugeeright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equal-rights.org/site/assets/files/1286/report_access_to_official_documents_eritrea_equalrights_irap_may-2021.pdf" TargetMode="External"/><Relationship Id="rId2" Type="http://schemas.openxmlformats.org/officeDocument/2006/relationships/hyperlink" Target="mailto:sara.arapiles@nottingham.ac.uk" TargetMode="External"/><Relationship Id="rId1" Type="http://schemas.openxmlformats.org/officeDocument/2006/relationships/hyperlink" Target="mailto:daniel@danielmekonnen.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qrusr\Documents\Custom%20Office%20Templates\6_Report%20and%20Applications%20and%20MoUs\2_FUNDING%20APPLICATION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7D7AF2B3-B468-4AFB-B111-D7EDE679E553}"/>
</file>

<file path=customXml/itemProps2.xml><?xml version="1.0" encoding="utf-8"?>
<ds:datastoreItem xmlns:ds="http://schemas.openxmlformats.org/officeDocument/2006/customXml" ds:itemID="{E38448DD-84CC-4D62-9315-024DF2310BF8}"/>
</file>

<file path=customXml/itemProps3.xml><?xml version="1.0" encoding="utf-8"?>
<ds:datastoreItem xmlns:ds="http://schemas.openxmlformats.org/officeDocument/2006/customXml" ds:itemID="{131CB6CB-33C0-4DF3-987F-3FE11CDE524A}"/>
</file>

<file path=customXml/itemProps4.xml><?xml version="1.0" encoding="utf-8"?>
<ds:datastoreItem xmlns:ds="http://schemas.openxmlformats.org/officeDocument/2006/customXml" ds:itemID="{BAF249DF-9E47-4019-A10B-D19419169674}"/>
</file>

<file path=docProps/app.xml><?xml version="1.0" encoding="utf-8"?>
<Properties xmlns="http://schemas.openxmlformats.org/officeDocument/2006/extended-properties" xmlns:vt="http://schemas.openxmlformats.org/officeDocument/2006/docPropsVTypes">
  <Template>2_FUNDING APPLICATIONS</Template>
  <TotalTime>8</TotalTime>
  <Pages>5</Pages>
  <Words>2135</Words>
  <Characters>12171</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Nestler</dc:creator>
  <cp:keywords/>
  <dc:description/>
  <cp:lastModifiedBy>Corinna Ujkasevic</cp:lastModifiedBy>
  <cp:revision>2</cp:revision>
  <cp:lastPrinted>2018-11-26T06:38:00Z</cp:lastPrinted>
  <dcterms:created xsi:type="dcterms:W3CDTF">2021-10-29T13:30:00Z</dcterms:created>
  <dcterms:modified xsi:type="dcterms:W3CDTF">2021-10-29T13:30:00Z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