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D206" w14:textId="5A9DB757" w:rsidR="00DF0E79" w:rsidRDefault="006219E7" w:rsidP="006219E7">
      <w:pPr>
        <w:jc w:val="center"/>
        <w:rPr>
          <w:rFonts w:asciiTheme="majorBidi" w:hAnsiTheme="majorBidi" w:cstheme="majorBidi"/>
          <w:b/>
          <w:bCs/>
          <w:color w:val="0070C0"/>
          <w:sz w:val="28"/>
          <w:szCs w:val="28"/>
        </w:rPr>
      </w:pPr>
      <w:bookmarkStart w:id="0" w:name="_GoBack"/>
      <w:bookmarkEnd w:id="0"/>
      <w:r w:rsidRPr="006219E7">
        <w:rPr>
          <w:rFonts w:asciiTheme="majorBidi" w:hAnsiTheme="majorBidi" w:cstheme="majorBidi"/>
          <w:b/>
          <w:bCs/>
          <w:color w:val="0070C0"/>
          <w:sz w:val="28"/>
          <w:szCs w:val="28"/>
        </w:rPr>
        <w:t>Maat for Peace’ submission to the Intergovernmental Working Group on the Right to Development on “</w:t>
      </w:r>
      <w:r w:rsidR="00DF0E79" w:rsidRPr="006219E7">
        <w:rPr>
          <w:rFonts w:asciiTheme="majorBidi" w:hAnsiTheme="majorBidi" w:cstheme="majorBidi"/>
          <w:b/>
          <w:bCs/>
          <w:color w:val="0070C0"/>
          <w:sz w:val="28"/>
          <w:szCs w:val="28"/>
        </w:rPr>
        <w:t xml:space="preserve">Comments </w:t>
      </w:r>
      <w:r w:rsidR="00E20CF0" w:rsidRPr="006219E7">
        <w:rPr>
          <w:rFonts w:asciiTheme="majorBidi" w:hAnsiTheme="majorBidi" w:cstheme="majorBidi"/>
          <w:b/>
          <w:bCs/>
          <w:color w:val="0070C0"/>
          <w:sz w:val="28"/>
          <w:szCs w:val="28"/>
        </w:rPr>
        <w:t xml:space="preserve">&amp; </w:t>
      </w:r>
      <w:r w:rsidR="009F578D" w:rsidRPr="006219E7">
        <w:rPr>
          <w:rFonts w:asciiTheme="majorBidi" w:hAnsiTheme="majorBidi" w:cstheme="majorBidi"/>
          <w:b/>
          <w:bCs/>
          <w:color w:val="0070C0"/>
          <w:sz w:val="28"/>
          <w:szCs w:val="28"/>
        </w:rPr>
        <w:t xml:space="preserve">Textual </w:t>
      </w:r>
      <w:r w:rsidR="00E20CF0" w:rsidRPr="006219E7">
        <w:rPr>
          <w:rFonts w:asciiTheme="majorBidi" w:hAnsiTheme="majorBidi" w:cstheme="majorBidi"/>
          <w:b/>
          <w:bCs/>
          <w:color w:val="0070C0"/>
          <w:sz w:val="28"/>
          <w:szCs w:val="28"/>
        </w:rPr>
        <w:t>S</w:t>
      </w:r>
      <w:r w:rsidR="00DF0E79" w:rsidRPr="006219E7">
        <w:rPr>
          <w:rFonts w:asciiTheme="majorBidi" w:hAnsiTheme="majorBidi" w:cstheme="majorBidi"/>
          <w:b/>
          <w:bCs/>
          <w:color w:val="0070C0"/>
          <w:sz w:val="28"/>
          <w:szCs w:val="28"/>
        </w:rPr>
        <w:t xml:space="preserve">uggestions on </w:t>
      </w:r>
      <w:bookmarkStart w:id="1" w:name="OLE_LINK17"/>
      <w:bookmarkStart w:id="2" w:name="OLE_LINK18"/>
      <w:bookmarkStart w:id="3" w:name="OLE_LINK7"/>
      <w:bookmarkStart w:id="4" w:name="OLE_LINK8"/>
      <w:r w:rsidR="00DF0E79" w:rsidRPr="006219E7">
        <w:rPr>
          <w:rFonts w:asciiTheme="majorBidi" w:hAnsiTheme="majorBidi" w:cstheme="majorBidi"/>
          <w:b/>
          <w:bCs/>
          <w:color w:val="0070C0"/>
          <w:sz w:val="28"/>
          <w:szCs w:val="28"/>
        </w:rPr>
        <w:t xml:space="preserve">the </w:t>
      </w:r>
      <w:r w:rsidR="00E20CF0" w:rsidRPr="006219E7">
        <w:rPr>
          <w:rFonts w:asciiTheme="majorBidi" w:hAnsiTheme="majorBidi" w:cstheme="majorBidi"/>
          <w:b/>
          <w:bCs/>
          <w:color w:val="0070C0"/>
          <w:sz w:val="28"/>
          <w:szCs w:val="28"/>
        </w:rPr>
        <w:t xml:space="preserve">Draft Convention </w:t>
      </w:r>
      <w:r w:rsidR="00DF0E79" w:rsidRPr="006219E7">
        <w:rPr>
          <w:rFonts w:asciiTheme="majorBidi" w:hAnsiTheme="majorBidi" w:cstheme="majorBidi"/>
          <w:b/>
          <w:bCs/>
          <w:color w:val="0070C0"/>
          <w:sz w:val="28"/>
          <w:szCs w:val="28"/>
        </w:rPr>
        <w:t xml:space="preserve">on the </w:t>
      </w:r>
      <w:r w:rsidR="00E20CF0" w:rsidRPr="006219E7">
        <w:rPr>
          <w:rFonts w:asciiTheme="majorBidi" w:hAnsiTheme="majorBidi" w:cstheme="majorBidi"/>
          <w:b/>
          <w:bCs/>
          <w:color w:val="0070C0"/>
          <w:sz w:val="28"/>
          <w:szCs w:val="28"/>
        </w:rPr>
        <w:t xml:space="preserve">Right </w:t>
      </w:r>
      <w:r w:rsidR="00DF0E79" w:rsidRPr="006219E7">
        <w:rPr>
          <w:rFonts w:asciiTheme="majorBidi" w:hAnsiTheme="majorBidi" w:cstheme="majorBidi"/>
          <w:b/>
          <w:bCs/>
          <w:color w:val="0070C0"/>
          <w:sz w:val="28"/>
          <w:szCs w:val="28"/>
        </w:rPr>
        <w:t xml:space="preserve">to </w:t>
      </w:r>
      <w:r w:rsidR="00E20CF0" w:rsidRPr="006219E7">
        <w:rPr>
          <w:rFonts w:asciiTheme="majorBidi" w:hAnsiTheme="majorBidi" w:cstheme="majorBidi"/>
          <w:b/>
          <w:bCs/>
          <w:color w:val="0070C0"/>
          <w:sz w:val="28"/>
          <w:szCs w:val="28"/>
        </w:rPr>
        <w:t>Development</w:t>
      </w:r>
      <w:bookmarkEnd w:id="1"/>
      <w:bookmarkEnd w:id="2"/>
      <w:r w:rsidRPr="006219E7">
        <w:rPr>
          <w:rFonts w:asciiTheme="majorBidi" w:hAnsiTheme="majorBidi" w:cstheme="majorBidi"/>
          <w:b/>
          <w:bCs/>
          <w:color w:val="0070C0"/>
          <w:sz w:val="28"/>
          <w:szCs w:val="28"/>
        </w:rPr>
        <w:t>”</w:t>
      </w:r>
    </w:p>
    <w:p w14:paraId="6F8F6749" w14:textId="77777777" w:rsidR="006219E7" w:rsidRPr="006219E7" w:rsidRDefault="006219E7" w:rsidP="006219E7">
      <w:pPr>
        <w:jc w:val="center"/>
        <w:rPr>
          <w:rFonts w:asciiTheme="majorBidi" w:hAnsiTheme="majorBidi" w:cstheme="majorBidi"/>
          <w:b/>
          <w:bCs/>
          <w:color w:val="0070C0"/>
          <w:sz w:val="28"/>
          <w:szCs w:val="28"/>
        </w:rPr>
      </w:pPr>
    </w:p>
    <w:bookmarkEnd w:id="3"/>
    <w:bookmarkEnd w:id="4"/>
    <w:p w14:paraId="135DFBD7" w14:textId="5FB95BDF" w:rsidR="00DF0E79" w:rsidRPr="006219E7" w:rsidRDefault="00F1130F" w:rsidP="006219E7">
      <w:pPr>
        <w:pStyle w:val="ListParagraph"/>
        <w:numPr>
          <w:ilvl w:val="0"/>
          <w:numId w:val="4"/>
        </w:numPr>
        <w:jc w:val="both"/>
        <w:rPr>
          <w:rFonts w:asciiTheme="majorBidi" w:hAnsiTheme="majorBidi" w:cstheme="majorBidi"/>
          <w:b/>
          <w:bCs/>
          <w:color w:val="0070C0"/>
          <w:sz w:val="24"/>
          <w:szCs w:val="24"/>
          <w:u w:val="single"/>
        </w:rPr>
      </w:pPr>
      <w:r w:rsidRPr="006219E7">
        <w:rPr>
          <w:rFonts w:asciiTheme="majorBidi" w:hAnsiTheme="majorBidi" w:cstheme="majorBidi"/>
          <w:b/>
          <w:bCs/>
          <w:color w:val="0070C0"/>
          <w:sz w:val="24"/>
          <w:szCs w:val="24"/>
          <w:u w:val="single"/>
        </w:rPr>
        <w:t>P</w:t>
      </w:r>
      <w:r w:rsidR="00DF0E79" w:rsidRPr="006219E7">
        <w:rPr>
          <w:rFonts w:asciiTheme="majorBidi" w:hAnsiTheme="majorBidi" w:cstheme="majorBidi"/>
          <w:b/>
          <w:bCs/>
          <w:color w:val="0070C0"/>
          <w:sz w:val="24"/>
          <w:szCs w:val="24"/>
          <w:u w:val="single"/>
        </w:rPr>
        <w:t>reamble</w:t>
      </w:r>
      <w:r w:rsidR="006219E7">
        <w:rPr>
          <w:rFonts w:asciiTheme="majorBidi" w:hAnsiTheme="majorBidi" w:cstheme="majorBidi"/>
          <w:b/>
          <w:bCs/>
          <w:color w:val="0070C0"/>
          <w:sz w:val="24"/>
          <w:szCs w:val="24"/>
          <w:u w:val="single"/>
        </w:rPr>
        <w:t xml:space="preserve">: </w:t>
      </w:r>
    </w:p>
    <w:p w14:paraId="17931F4E" w14:textId="77777777" w:rsidR="00E91E94" w:rsidRPr="006219E7" w:rsidRDefault="00DF0E79" w:rsidP="006219E7">
      <w:pPr>
        <w:ind w:firstLine="720"/>
        <w:jc w:val="both"/>
        <w:rPr>
          <w:rFonts w:asciiTheme="majorBidi" w:hAnsiTheme="majorBidi" w:cstheme="majorBidi"/>
          <w:sz w:val="24"/>
          <w:szCs w:val="24"/>
        </w:rPr>
      </w:pPr>
      <w:bookmarkStart w:id="5" w:name="OLE_LINK9"/>
      <w:bookmarkStart w:id="6" w:name="OLE_LINK10"/>
      <w:r w:rsidRPr="006219E7">
        <w:rPr>
          <w:rFonts w:asciiTheme="majorBidi" w:hAnsiTheme="majorBidi" w:cstheme="majorBidi"/>
          <w:sz w:val="24"/>
          <w:szCs w:val="24"/>
        </w:rPr>
        <w:t xml:space="preserve">The United Nations Declaration on the Right to Development </w:t>
      </w:r>
      <w:r w:rsidR="003C7324" w:rsidRPr="006219E7">
        <w:rPr>
          <w:rFonts w:asciiTheme="majorBidi" w:hAnsiTheme="majorBidi" w:cstheme="majorBidi"/>
          <w:sz w:val="24"/>
          <w:szCs w:val="24"/>
        </w:rPr>
        <w:t xml:space="preserve">acknowledged </w:t>
      </w:r>
      <w:r w:rsidRPr="006219E7">
        <w:rPr>
          <w:rFonts w:asciiTheme="majorBidi" w:hAnsiTheme="majorBidi" w:cstheme="majorBidi"/>
          <w:sz w:val="24"/>
          <w:szCs w:val="24"/>
        </w:rPr>
        <w:t xml:space="preserve">in </w:t>
      </w:r>
      <w:bookmarkEnd w:id="5"/>
      <w:bookmarkEnd w:id="6"/>
      <w:r w:rsidRPr="006219E7">
        <w:rPr>
          <w:rFonts w:asciiTheme="majorBidi" w:hAnsiTheme="majorBidi" w:cstheme="majorBidi"/>
          <w:sz w:val="24"/>
          <w:szCs w:val="24"/>
        </w:rPr>
        <w:t xml:space="preserve">1986 that </w:t>
      </w:r>
      <w:r w:rsidR="00AF23F8" w:rsidRPr="006219E7">
        <w:rPr>
          <w:rFonts w:asciiTheme="majorBidi" w:hAnsiTheme="majorBidi" w:cstheme="majorBidi"/>
          <w:sz w:val="24"/>
          <w:szCs w:val="24"/>
        </w:rPr>
        <w:t>the right to development belongs to all individuals and peoples, everywhere, without discrimination</w:t>
      </w:r>
      <w:r w:rsidR="00E91E94" w:rsidRPr="006219E7">
        <w:rPr>
          <w:rFonts w:asciiTheme="majorBidi" w:hAnsiTheme="majorBidi" w:cstheme="majorBidi"/>
          <w:sz w:val="24"/>
          <w:szCs w:val="24"/>
        </w:rPr>
        <w:t xml:space="preserve"> </w:t>
      </w:r>
      <w:r w:rsidRPr="006219E7">
        <w:rPr>
          <w:rFonts w:asciiTheme="majorBidi" w:hAnsiTheme="majorBidi" w:cstheme="majorBidi"/>
          <w:sz w:val="24"/>
          <w:szCs w:val="24"/>
        </w:rPr>
        <w:t xml:space="preserve">and with their participation. The Declaration recognizes the right to self-determination and full sovereignty over natural wealth and resources. Hence, </w:t>
      </w:r>
      <w:r w:rsidR="00E91E94" w:rsidRPr="006219E7">
        <w:rPr>
          <w:rFonts w:asciiTheme="majorBidi" w:hAnsiTheme="majorBidi" w:cstheme="majorBidi"/>
          <w:sz w:val="24"/>
          <w:szCs w:val="24"/>
        </w:rPr>
        <w:t>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p>
    <w:p w14:paraId="0224AFA8"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During the 39</w:t>
      </w:r>
      <w:r w:rsidRPr="006219E7">
        <w:rPr>
          <w:rFonts w:asciiTheme="majorBidi" w:hAnsiTheme="majorBidi" w:cstheme="majorBidi"/>
          <w:sz w:val="24"/>
          <w:szCs w:val="24"/>
          <w:vertAlign w:val="superscript"/>
        </w:rPr>
        <w:t>th</w:t>
      </w:r>
      <w:r w:rsidRPr="006219E7">
        <w:rPr>
          <w:rFonts w:asciiTheme="majorBidi" w:hAnsiTheme="majorBidi" w:cstheme="majorBidi"/>
          <w:sz w:val="24"/>
          <w:szCs w:val="24"/>
        </w:rPr>
        <w:t xml:space="preserve"> session of the Human Rights Council in September 2018, the C</w:t>
      </w:r>
      <w:r w:rsidR="009F578D" w:rsidRPr="006219E7">
        <w:rPr>
          <w:rFonts w:asciiTheme="majorBidi" w:hAnsiTheme="majorBidi" w:cstheme="majorBidi"/>
          <w:sz w:val="24"/>
          <w:szCs w:val="24"/>
        </w:rPr>
        <w:t xml:space="preserve">ouncil adopted Res. </w:t>
      </w:r>
      <w:r w:rsidRPr="006219E7">
        <w:rPr>
          <w:rFonts w:asciiTheme="majorBidi" w:hAnsiTheme="majorBidi" w:cstheme="majorBidi"/>
          <w:sz w:val="24"/>
          <w:szCs w:val="24"/>
        </w:rPr>
        <w:t xml:space="preserve">39/9 on the right to development, </w:t>
      </w:r>
      <w:r w:rsidR="0068526F" w:rsidRPr="006219E7">
        <w:rPr>
          <w:rFonts w:asciiTheme="majorBidi" w:hAnsiTheme="majorBidi" w:cstheme="majorBidi"/>
          <w:sz w:val="24"/>
          <w:szCs w:val="24"/>
        </w:rPr>
        <w:t>and</w:t>
      </w:r>
      <w:r w:rsidRPr="006219E7">
        <w:rPr>
          <w:rFonts w:asciiTheme="majorBidi" w:hAnsiTheme="majorBidi" w:cstheme="majorBidi"/>
          <w:sz w:val="24"/>
          <w:szCs w:val="24"/>
        </w:rPr>
        <w:t xml:space="preserve"> mandated the Working Group on the Right to Development at its twentieth session to prepare a proposal for a legally binding convention or instrument to make the right to development a reality for all, </w:t>
      </w:r>
      <w:r w:rsidR="006D6B8F" w:rsidRPr="006219E7">
        <w:rPr>
          <w:rFonts w:asciiTheme="majorBidi" w:hAnsiTheme="majorBidi" w:cstheme="majorBidi"/>
          <w:sz w:val="24"/>
          <w:szCs w:val="24"/>
        </w:rPr>
        <w:t>through</w:t>
      </w:r>
      <w:r w:rsidRPr="006219E7">
        <w:rPr>
          <w:rFonts w:asciiTheme="majorBidi" w:hAnsiTheme="majorBidi" w:cstheme="majorBidi"/>
          <w:sz w:val="24"/>
          <w:szCs w:val="24"/>
        </w:rPr>
        <w:t xml:space="preserve"> </w:t>
      </w:r>
      <w:r w:rsidR="006D6B8F" w:rsidRPr="006219E7">
        <w:rPr>
          <w:rFonts w:asciiTheme="majorBidi" w:hAnsiTheme="majorBidi" w:cstheme="majorBidi"/>
          <w:sz w:val="24"/>
          <w:szCs w:val="24"/>
        </w:rPr>
        <w:t>creating f</w:t>
      </w:r>
      <w:r w:rsidRPr="006219E7">
        <w:rPr>
          <w:rFonts w:asciiTheme="majorBidi" w:hAnsiTheme="majorBidi" w:cstheme="majorBidi"/>
          <w:sz w:val="24"/>
          <w:szCs w:val="24"/>
        </w:rPr>
        <w:t xml:space="preserve">avorable conditions at the national and international levels for its implementation and the discontinuation of all measures that may </w:t>
      </w:r>
      <w:r w:rsidR="006D6B8F" w:rsidRPr="006219E7">
        <w:rPr>
          <w:rFonts w:asciiTheme="majorBidi" w:hAnsiTheme="majorBidi" w:cstheme="majorBidi"/>
          <w:sz w:val="24"/>
          <w:szCs w:val="24"/>
        </w:rPr>
        <w:t>undermine</w:t>
      </w:r>
      <w:r w:rsidRPr="006219E7">
        <w:rPr>
          <w:rFonts w:asciiTheme="majorBidi" w:hAnsiTheme="majorBidi" w:cstheme="majorBidi"/>
          <w:sz w:val="24"/>
          <w:szCs w:val="24"/>
        </w:rPr>
        <w:t xml:space="preserve"> the right to development in accordance with the Charter, the Declaration on the Right to Development and other international instruments and relevant documents.</w:t>
      </w:r>
    </w:p>
    <w:p w14:paraId="54737BF9" w14:textId="77777777" w:rsidR="00DF0E79" w:rsidRPr="006219E7" w:rsidRDefault="00FD26FA"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The Council</w:t>
      </w:r>
      <w:r w:rsidR="00DF0E79" w:rsidRPr="006219E7">
        <w:rPr>
          <w:rFonts w:asciiTheme="majorBidi" w:hAnsiTheme="majorBidi" w:cstheme="majorBidi"/>
          <w:sz w:val="24"/>
          <w:szCs w:val="24"/>
        </w:rPr>
        <w:t xml:space="preserve"> also emphasized that the eradication of poverty in all its forms, including extreme poverty, is one of the critical elements in promoting and realizing the right to development, </w:t>
      </w:r>
      <w:r w:rsidR="00364FAF" w:rsidRPr="006219E7">
        <w:rPr>
          <w:rFonts w:asciiTheme="majorBidi" w:hAnsiTheme="majorBidi" w:cstheme="majorBidi"/>
          <w:sz w:val="24"/>
          <w:szCs w:val="24"/>
        </w:rPr>
        <w:t>which</w:t>
      </w:r>
      <w:r w:rsidR="00DF0E79" w:rsidRPr="006219E7">
        <w:rPr>
          <w:rFonts w:asciiTheme="majorBidi" w:hAnsiTheme="majorBidi" w:cstheme="majorBidi"/>
          <w:sz w:val="24"/>
          <w:szCs w:val="24"/>
        </w:rPr>
        <w:t xml:space="preserve"> is the biggest challenge facing the world and an indispensable requirement for ach</w:t>
      </w:r>
      <w:r w:rsidR="00364FAF" w:rsidRPr="006219E7">
        <w:rPr>
          <w:rFonts w:asciiTheme="majorBidi" w:hAnsiTheme="majorBidi" w:cstheme="majorBidi"/>
          <w:sz w:val="24"/>
          <w:szCs w:val="24"/>
        </w:rPr>
        <w:t xml:space="preserve">ieving sustainable development. </w:t>
      </w:r>
      <w:r w:rsidR="0092785F" w:rsidRPr="006219E7">
        <w:rPr>
          <w:rFonts w:asciiTheme="majorBidi" w:hAnsiTheme="majorBidi" w:cstheme="majorBidi"/>
          <w:sz w:val="24"/>
          <w:szCs w:val="24"/>
        </w:rPr>
        <w:t xml:space="preserve">Eradication of poverty </w:t>
      </w:r>
      <w:r w:rsidR="00DF0E79" w:rsidRPr="006219E7">
        <w:rPr>
          <w:rFonts w:asciiTheme="majorBidi" w:hAnsiTheme="majorBidi" w:cstheme="majorBidi"/>
          <w:sz w:val="24"/>
          <w:szCs w:val="24"/>
        </w:rPr>
        <w:t>requires a multifaceted and integrated approach, e</w:t>
      </w:r>
      <w:r w:rsidR="00740265" w:rsidRPr="006219E7">
        <w:rPr>
          <w:rFonts w:asciiTheme="majorBidi" w:hAnsiTheme="majorBidi" w:cstheme="majorBidi"/>
          <w:sz w:val="24"/>
          <w:szCs w:val="24"/>
        </w:rPr>
        <w:t>mphasizing the need to achieve s</w:t>
      </w:r>
      <w:r w:rsidR="00DF0E79" w:rsidRPr="006219E7">
        <w:rPr>
          <w:rFonts w:asciiTheme="majorBidi" w:hAnsiTheme="majorBidi" w:cstheme="majorBidi"/>
          <w:sz w:val="24"/>
          <w:szCs w:val="24"/>
        </w:rPr>
        <w:t xml:space="preserve">ustainable development in its three dimensions: economic, social and environmental in a balanced and integrated manner. </w:t>
      </w:r>
      <w:r w:rsidR="00740265" w:rsidRPr="006219E7">
        <w:rPr>
          <w:rFonts w:asciiTheme="majorBidi" w:hAnsiTheme="majorBidi" w:cstheme="majorBidi"/>
          <w:sz w:val="24"/>
          <w:szCs w:val="24"/>
        </w:rPr>
        <w:t>Besides, the Council</w:t>
      </w:r>
      <w:r w:rsidR="00DF0E79" w:rsidRPr="006219E7">
        <w:rPr>
          <w:rFonts w:asciiTheme="majorBidi" w:hAnsiTheme="majorBidi" w:cstheme="majorBidi"/>
          <w:sz w:val="24"/>
          <w:szCs w:val="24"/>
        </w:rPr>
        <w:t xml:space="preserve"> emphasized that recognizing development as a comprehensive economic, social, cultural, civil and political process aims to continuously improve the well-being of all residents </w:t>
      </w:r>
      <w:r w:rsidR="00DF0E79" w:rsidRPr="006219E7">
        <w:rPr>
          <w:rFonts w:asciiTheme="majorBidi" w:hAnsiTheme="majorBidi" w:cstheme="majorBidi"/>
          <w:sz w:val="24"/>
          <w:szCs w:val="24"/>
        </w:rPr>
        <w:lastRenderedPageBreak/>
        <w:t xml:space="preserve">and all individuals on the basis of their active, free and purposeful participation in </w:t>
      </w:r>
      <w:r w:rsidR="00A42C58" w:rsidRPr="006219E7">
        <w:rPr>
          <w:rFonts w:asciiTheme="majorBidi" w:hAnsiTheme="majorBidi" w:cstheme="majorBidi"/>
          <w:sz w:val="24"/>
          <w:szCs w:val="24"/>
        </w:rPr>
        <w:t xml:space="preserve">achieving </w:t>
      </w:r>
      <w:r w:rsidR="00DF0E79" w:rsidRPr="006219E7">
        <w:rPr>
          <w:rFonts w:asciiTheme="majorBidi" w:hAnsiTheme="majorBidi" w:cstheme="majorBidi"/>
          <w:sz w:val="24"/>
          <w:szCs w:val="24"/>
        </w:rPr>
        <w:t xml:space="preserve">development and the equitable distribution of the </w:t>
      </w:r>
      <w:r w:rsidR="00A42C58" w:rsidRPr="006219E7">
        <w:rPr>
          <w:rFonts w:asciiTheme="majorBidi" w:hAnsiTheme="majorBidi" w:cstheme="majorBidi"/>
          <w:sz w:val="24"/>
          <w:szCs w:val="24"/>
        </w:rPr>
        <w:t>its benefits.</w:t>
      </w:r>
      <w:r w:rsidR="00A42C58" w:rsidRPr="006219E7">
        <w:rPr>
          <w:rStyle w:val="FootnoteReference"/>
          <w:rFonts w:asciiTheme="majorBidi" w:hAnsiTheme="majorBidi" w:cstheme="majorBidi"/>
          <w:sz w:val="24"/>
          <w:szCs w:val="24"/>
        </w:rPr>
        <w:footnoteReference w:id="1"/>
      </w:r>
    </w:p>
    <w:p w14:paraId="6D67E549" w14:textId="77777777" w:rsidR="003D1C69" w:rsidRPr="006219E7" w:rsidRDefault="000D3F88"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With this in mind</w:t>
      </w:r>
      <w:r w:rsidR="00DF0E79" w:rsidRPr="006219E7">
        <w:rPr>
          <w:rFonts w:asciiTheme="majorBidi" w:hAnsiTheme="majorBidi" w:cstheme="majorBidi"/>
          <w:sz w:val="24"/>
          <w:szCs w:val="24"/>
        </w:rPr>
        <w:t xml:space="preserve">, </w:t>
      </w:r>
      <w:r w:rsidR="00DF0E79" w:rsidRPr="006219E7">
        <w:rPr>
          <w:rFonts w:asciiTheme="majorBidi" w:hAnsiTheme="majorBidi" w:cstheme="majorBidi"/>
          <w:b/>
          <w:bCs/>
          <w:sz w:val="24"/>
          <w:szCs w:val="24"/>
        </w:rPr>
        <w:t>Maat for Peace, Development and Human Rights</w:t>
      </w:r>
      <w:r w:rsidR="00DF0E79" w:rsidRPr="006219E7">
        <w:rPr>
          <w:rFonts w:asciiTheme="majorBidi" w:hAnsiTheme="majorBidi" w:cstheme="majorBidi"/>
          <w:sz w:val="24"/>
          <w:szCs w:val="24"/>
        </w:rPr>
        <w:t xml:space="preserve"> is interested in </w:t>
      </w:r>
      <w:bookmarkStart w:id="7" w:name="OLE_LINK19"/>
      <w:bookmarkStart w:id="8" w:name="OLE_LINK20"/>
      <w:r w:rsidR="003B49FA" w:rsidRPr="006219E7">
        <w:rPr>
          <w:rFonts w:asciiTheme="majorBidi" w:hAnsiTheme="majorBidi" w:cstheme="majorBidi"/>
          <w:sz w:val="24"/>
          <w:szCs w:val="24"/>
        </w:rPr>
        <w:t>commenting</w:t>
      </w:r>
      <w:r w:rsidR="00DF0E79" w:rsidRPr="006219E7">
        <w:rPr>
          <w:rFonts w:asciiTheme="majorBidi" w:hAnsiTheme="majorBidi" w:cstheme="majorBidi"/>
          <w:sz w:val="24"/>
          <w:szCs w:val="24"/>
        </w:rPr>
        <w:t xml:space="preserve"> on the </w:t>
      </w:r>
      <w:r w:rsidR="003B49FA" w:rsidRPr="006219E7">
        <w:rPr>
          <w:rFonts w:asciiTheme="majorBidi" w:hAnsiTheme="majorBidi" w:cstheme="majorBidi"/>
          <w:sz w:val="24"/>
          <w:szCs w:val="24"/>
        </w:rPr>
        <w:t xml:space="preserve">Draft Convention on the Right to Development </w:t>
      </w:r>
      <w:r w:rsidR="008B18E8" w:rsidRPr="006219E7">
        <w:rPr>
          <w:rFonts w:asciiTheme="majorBidi" w:hAnsiTheme="majorBidi" w:cstheme="majorBidi"/>
          <w:sz w:val="24"/>
          <w:szCs w:val="24"/>
        </w:rPr>
        <w:t>about</w:t>
      </w:r>
      <w:r w:rsidR="00DF0E79" w:rsidRPr="006219E7">
        <w:rPr>
          <w:rFonts w:asciiTheme="majorBidi" w:hAnsiTheme="majorBidi" w:cstheme="majorBidi"/>
          <w:sz w:val="24"/>
          <w:szCs w:val="24"/>
        </w:rPr>
        <w:t xml:space="preserve"> Israel’s violations of the Palestinians’ right to development </w:t>
      </w:r>
      <w:bookmarkEnd w:id="7"/>
      <w:bookmarkEnd w:id="8"/>
      <w:r w:rsidR="00DF0E79" w:rsidRPr="006219E7">
        <w:rPr>
          <w:rFonts w:asciiTheme="majorBidi" w:hAnsiTheme="majorBidi" w:cstheme="majorBidi"/>
          <w:sz w:val="24"/>
          <w:szCs w:val="24"/>
        </w:rPr>
        <w:t>through its</w:t>
      </w:r>
      <w:r w:rsidR="008B18E8" w:rsidRPr="006219E7">
        <w:rPr>
          <w:rFonts w:asciiTheme="majorBidi" w:hAnsiTheme="majorBidi" w:cstheme="majorBidi"/>
          <w:sz w:val="24"/>
          <w:szCs w:val="24"/>
        </w:rPr>
        <w:t xml:space="preserve"> continued violation of their right to self-determination, as well as</w:t>
      </w:r>
      <w:r w:rsidR="001F6AA6" w:rsidRPr="006219E7">
        <w:rPr>
          <w:rFonts w:asciiTheme="majorBidi" w:hAnsiTheme="majorBidi" w:cstheme="majorBidi"/>
          <w:sz w:val="24"/>
          <w:szCs w:val="24"/>
        </w:rPr>
        <w:t xml:space="preserve"> their</w:t>
      </w:r>
      <w:r w:rsidR="008B18E8" w:rsidRPr="006219E7">
        <w:rPr>
          <w:rFonts w:asciiTheme="majorBidi" w:hAnsiTheme="majorBidi" w:cstheme="majorBidi"/>
          <w:sz w:val="24"/>
          <w:szCs w:val="24"/>
        </w:rPr>
        <w:t xml:space="preserve"> </w:t>
      </w:r>
      <w:r w:rsidR="00DF0E79" w:rsidRPr="006219E7">
        <w:rPr>
          <w:rFonts w:asciiTheme="majorBidi" w:hAnsiTheme="majorBidi" w:cstheme="majorBidi"/>
          <w:sz w:val="24"/>
          <w:szCs w:val="24"/>
        </w:rPr>
        <w:t>econ</w:t>
      </w:r>
      <w:r w:rsidR="001F6AA6" w:rsidRPr="006219E7">
        <w:rPr>
          <w:rFonts w:asciiTheme="majorBidi" w:hAnsiTheme="majorBidi" w:cstheme="majorBidi"/>
          <w:sz w:val="24"/>
          <w:szCs w:val="24"/>
        </w:rPr>
        <w:t xml:space="preserve">omic and social rights. Owing to </w:t>
      </w:r>
      <w:r w:rsidR="00DF0E79" w:rsidRPr="006219E7">
        <w:rPr>
          <w:rFonts w:asciiTheme="majorBidi" w:hAnsiTheme="majorBidi" w:cstheme="majorBidi"/>
          <w:sz w:val="24"/>
          <w:szCs w:val="24"/>
        </w:rPr>
        <w:t xml:space="preserve">its </w:t>
      </w:r>
      <w:r w:rsidR="00CF5968" w:rsidRPr="006219E7">
        <w:rPr>
          <w:rFonts w:asciiTheme="majorBidi" w:hAnsiTheme="majorBidi" w:cstheme="majorBidi"/>
          <w:sz w:val="24"/>
          <w:szCs w:val="24"/>
        </w:rPr>
        <w:t>discriminatory and racist policies</w:t>
      </w:r>
      <w:r w:rsidR="001F6AA6" w:rsidRPr="006219E7">
        <w:rPr>
          <w:rFonts w:asciiTheme="majorBidi" w:hAnsiTheme="majorBidi" w:cstheme="majorBidi"/>
          <w:sz w:val="24"/>
          <w:szCs w:val="24"/>
        </w:rPr>
        <w:t>,</w:t>
      </w:r>
      <w:r w:rsidR="001F6AA6" w:rsidRPr="006219E7">
        <w:rPr>
          <w:rFonts w:asciiTheme="majorBidi" w:hAnsiTheme="majorBidi" w:cstheme="majorBidi"/>
          <w:sz w:val="18"/>
          <w:szCs w:val="18"/>
        </w:rPr>
        <w:t xml:space="preserve"> </w:t>
      </w:r>
      <w:r w:rsidR="001F6AA6" w:rsidRPr="006219E7">
        <w:rPr>
          <w:rFonts w:asciiTheme="majorBidi" w:hAnsiTheme="majorBidi" w:cstheme="majorBidi"/>
          <w:sz w:val="24"/>
          <w:szCs w:val="24"/>
        </w:rPr>
        <w:t>for 15 years, the Gaza Strip has been witnessing a suffocating blockade imposed by the Israeli authorities that has affected all social, economic and humanitarian sectors.</w:t>
      </w:r>
      <w:r w:rsidR="00DF0E79" w:rsidRPr="006219E7">
        <w:rPr>
          <w:rFonts w:asciiTheme="majorBidi" w:hAnsiTheme="majorBidi" w:cstheme="majorBidi"/>
          <w:sz w:val="24"/>
          <w:szCs w:val="24"/>
        </w:rPr>
        <w:t xml:space="preserve"> </w:t>
      </w:r>
    </w:p>
    <w:p w14:paraId="45D40C98" w14:textId="35BF892C" w:rsidR="00DF0E79" w:rsidRPr="006219E7" w:rsidRDefault="00DF0E79" w:rsidP="006219E7">
      <w:pPr>
        <w:pStyle w:val="ListParagraph"/>
        <w:numPr>
          <w:ilvl w:val="0"/>
          <w:numId w:val="4"/>
        </w:numPr>
        <w:jc w:val="both"/>
        <w:rPr>
          <w:rFonts w:asciiTheme="majorBidi" w:hAnsiTheme="majorBidi" w:cstheme="majorBidi"/>
          <w:b/>
          <w:bCs/>
          <w:color w:val="0070C0"/>
          <w:sz w:val="24"/>
          <w:szCs w:val="24"/>
          <w:u w:val="single"/>
        </w:rPr>
      </w:pPr>
      <w:r w:rsidRPr="006219E7">
        <w:rPr>
          <w:rFonts w:asciiTheme="majorBidi" w:hAnsiTheme="majorBidi" w:cstheme="majorBidi"/>
          <w:b/>
          <w:bCs/>
          <w:color w:val="0070C0"/>
          <w:sz w:val="24"/>
          <w:szCs w:val="24"/>
          <w:u w:val="single"/>
        </w:rPr>
        <w:t xml:space="preserve">Comment on the </w:t>
      </w:r>
      <w:r w:rsidR="001F6AA6" w:rsidRPr="006219E7">
        <w:rPr>
          <w:rFonts w:asciiTheme="majorBidi" w:hAnsiTheme="majorBidi" w:cstheme="majorBidi"/>
          <w:b/>
          <w:bCs/>
          <w:color w:val="0070C0"/>
          <w:sz w:val="24"/>
          <w:szCs w:val="24"/>
          <w:u w:val="single"/>
        </w:rPr>
        <w:t xml:space="preserve">Draft Convention </w:t>
      </w:r>
      <w:r w:rsidRPr="006219E7">
        <w:rPr>
          <w:rFonts w:asciiTheme="majorBidi" w:hAnsiTheme="majorBidi" w:cstheme="majorBidi"/>
          <w:b/>
          <w:bCs/>
          <w:color w:val="0070C0"/>
          <w:sz w:val="24"/>
          <w:szCs w:val="24"/>
          <w:u w:val="single"/>
        </w:rPr>
        <w:t xml:space="preserve">on the </w:t>
      </w:r>
      <w:r w:rsidR="001F6AA6" w:rsidRPr="006219E7">
        <w:rPr>
          <w:rFonts w:asciiTheme="majorBidi" w:hAnsiTheme="majorBidi" w:cstheme="majorBidi"/>
          <w:b/>
          <w:bCs/>
          <w:color w:val="0070C0"/>
          <w:sz w:val="24"/>
          <w:szCs w:val="24"/>
          <w:u w:val="single"/>
        </w:rPr>
        <w:t xml:space="preserve">Right </w:t>
      </w:r>
      <w:r w:rsidRPr="006219E7">
        <w:rPr>
          <w:rFonts w:asciiTheme="majorBidi" w:hAnsiTheme="majorBidi" w:cstheme="majorBidi"/>
          <w:b/>
          <w:bCs/>
          <w:color w:val="0070C0"/>
          <w:sz w:val="24"/>
          <w:szCs w:val="24"/>
          <w:u w:val="single"/>
        </w:rPr>
        <w:t xml:space="preserve">to </w:t>
      </w:r>
      <w:r w:rsidR="001F6AA6" w:rsidRPr="006219E7">
        <w:rPr>
          <w:rFonts w:asciiTheme="majorBidi" w:hAnsiTheme="majorBidi" w:cstheme="majorBidi"/>
          <w:b/>
          <w:bCs/>
          <w:color w:val="0070C0"/>
          <w:sz w:val="24"/>
          <w:szCs w:val="24"/>
          <w:u w:val="single"/>
        </w:rPr>
        <w:t>Development</w:t>
      </w:r>
      <w:r w:rsidR="006219E7" w:rsidRPr="006219E7">
        <w:rPr>
          <w:rFonts w:asciiTheme="majorBidi" w:hAnsiTheme="majorBidi" w:cstheme="majorBidi"/>
          <w:b/>
          <w:bCs/>
          <w:color w:val="0070C0"/>
          <w:sz w:val="24"/>
          <w:szCs w:val="24"/>
          <w:u w:val="single"/>
        </w:rPr>
        <w:t xml:space="preserve">: </w:t>
      </w:r>
    </w:p>
    <w:p w14:paraId="72F3EC6C"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 xml:space="preserve">The </w:t>
      </w:r>
      <w:r w:rsidR="001F6AA6" w:rsidRPr="006219E7">
        <w:rPr>
          <w:rFonts w:asciiTheme="majorBidi" w:hAnsiTheme="majorBidi" w:cstheme="majorBidi"/>
          <w:sz w:val="24"/>
          <w:szCs w:val="24"/>
        </w:rPr>
        <w:t xml:space="preserve">Draft </w:t>
      </w:r>
      <w:r w:rsidRPr="006219E7">
        <w:rPr>
          <w:rFonts w:asciiTheme="majorBidi" w:hAnsiTheme="majorBidi" w:cstheme="majorBidi"/>
          <w:sz w:val="24"/>
          <w:szCs w:val="24"/>
        </w:rPr>
        <w:t xml:space="preserve">Convention on the Right to Development </w:t>
      </w:r>
      <w:r w:rsidR="00932D80" w:rsidRPr="006219E7">
        <w:rPr>
          <w:rFonts w:asciiTheme="majorBidi" w:hAnsiTheme="majorBidi" w:cstheme="majorBidi"/>
          <w:sz w:val="24"/>
          <w:szCs w:val="24"/>
        </w:rPr>
        <w:t>acknowledged</w:t>
      </w:r>
      <w:r w:rsidR="001F6AA6" w:rsidRPr="006219E7">
        <w:rPr>
          <w:rFonts w:asciiTheme="majorBidi" w:hAnsiTheme="majorBidi" w:cstheme="majorBidi"/>
          <w:sz w:val="24"/>
          <w:szCs w:val="24"/>
        </w:rPr>
        <w:t xml:space="preserve">, </w:t>
      </w:r>
      <w:r w:rsidR="001F6AA6" w:rsidRPr="006219E7">
        <w:rPr>
          <w:rFonts w:asciiTheme="majorBidi" w:hAnsiTheme="majorBidi" w:cstheme="majorBidi"/>
          <w:b/>
          <w:bCs/>
          <w:sz w:val="24"/>
          <w:szCs w:val="24"/>
        </w:rPr>
        <w:t xml:space="preserve">in its </w:t>
      </w:r>
      <w:r w:rsidR="001F6AA6" w:rsidRPr="006219E7">
        <w:rPr>
          <w:rFonts w:asciiTheme="majorBidi" w:hAnsiTheme="majorBidi" w:cstheme="majorBidi"/>
          <w:b/>
          <w:bCs/>
          <w:sz w:val="24"/>
          <w:szCs w:val="24"/>
          <w:u w:val="single"/>
        </w:rPr>
        <w:t>preamble</w:t>
      </w:r>
      <w:r w:rsidR="001F6AA6" w:rsidRPr="006219E7">
        <w:rPr>
          <w:rFonts w:asciiTheme="majorBidi" w:hAnsiTheme="majorBidi" w:cstheme="majorBidi"/>
          <w:sz w:val="24"/>
          <w:szCs w:val="24"/>
        </w:rPr>
        <w:t xml:space="preserve">, </w:t>
      </w:r>
      <w:r w:rsidRPr="006219E7">
        <w:rPr>
          <w:rFonts w:asciiTheme="majorBidi" w:hAnsiTheme="majorBidi" w:cstheme="majorBidi"/>
          <w:sz w:val="24"/>
          <w:szCs w:val="24"/>
        </w:rPr>
        <w:t xml:space="preserve">that the </w:t>
      </w:r>
      <w:r w:rsidR="00932D80" w:rsidRPr="006219E7">
        <w:rPr>
          <w:rFonts w:asciiTheme="majorBidi" w:hAnsiTheme="majorBidi" w:cstheme="majorBidi"/>
          <w:sz w:val="24"/>
          <w:szCs w:val="24"/>
        </w:rPr>
        <w:t xml:space="preserve">realization of the right to development is a common concern of humankind, especially in light of the existence of serious obstacles </w:t>
      </w:r>
      <w:r w:rsidR="009F5447" w:rsidRPr="006219E7">
        <w:rPr>
          <w:rFonts w:asciiTheme="majorBidi" w:hAnsiTheme="majorBidi" w:cstheme="majorBidi"/>
          <w:sz w:val="24"/>
          <w:szCs w:val="24"/>
        </w:rPr>
        <w:t>undermining</w:t>
      </w:r>
      <w:r w:rsidR="00932D80" w:rsidRPr="006219E7">
        <w:rPr>
          <w:rFonts w:asciiTheme="majorBidi" w:hAnsiTheme="majorBidi" w:cstheme="majorBidi"/>
          <w:sz w:val="24"/>
          <w:szCs w:val="24"/>
        </w:rPr>
        <w:t xml:space="preserve"> the realization of the right to development </w:t>
      </w:r>
      <w:r w:rsidR="009F5447" w:rsidRPr="006219E7">
        <w:rPr>
          <w:rFonts w:asciiTheme="majorBidi" w:hAnsiTheme="majorBidi" w:cstheme="majorBidi"/>
          <w:sz w:val="24"/>
          <w:szCs w:val="24"/>
        </w:rPr>
        <w:t>such as</w:t>
      </w:r>
      <w:r w:rsidR="00932D80" w:rsidRPr="006219E7">
        <w:rPr>
          <w:rFonts w:asciiTheme="majorBidi" w:hAnsiTheme="majorBidi" w:cstheme="majorBidi"/>
          <w:sz w:val="24"/>
          <w:szCs w:val="24"/>
        </w:rPr>
        <w:t xml:space="preserve"> poverty, inequality within and across countries,</w:t>
      </w:r>
      <w:r w:rsidR="009F5447" w:rsidRPr="006219E7">
        <w:rPr>
          <w:rFonts w:asciiTheme="majorBidi" w:hAnsiTheme="majorBidi" w:cstheme="majorBidi"/>
          <w:sz w:val="24"/>
          <w:szCs w:val="24"/>
        </w:rPr>
        <w:t xml:space="preserve"> </w:t>
      </w:r>
      <w:r w:rsidR="00932D80" w:rsidRPr="006219E7">
        <w:rPr>
          <w:rFonts w:asciiTheme="majorBidi" w:hAnsiTheme="majorBidi" w:cstheme="majorBidi"/>
          <w:sz w:val="24"/>
          <w:szCs w:val="24"/>
        </w:rPr>
        <w:t>climate change, colonization, neo-colonization, forced displacement, racism, conflicts,</w:t>
      </w:r>
      <w:r w:rsidR="009F5447" w:rsidRPr="006219E7">
        <w:rPr>
          <w:rFonts w:asciiTheme="majorBidi" w:hAnsiTheme="majorBidi" w:cstheme="majorBidi"/>
          <w:sz w:val="24"/>
          <w:szCs w:val="24"/>
        </w:rPr>
        <w:t xml:space="preserve"> </w:t>
      </w:r>
      <w:r w:rsidR="00932D80" w:rsidRPr="006219E7">
        <w:rPr>
          <w:rFonts w:asciiTheme="majorBidi" w:hAnsiTheme="majorBidi" w:cstheme="majorBidi"/>
          <w:sz w:val="24"/>
          <w:szCs w:val="24"/>
        </w:rPr>
        <w:t>aggression and threats against national sovereignty, national unity and territorial integrity,</w:t>
      </w:r>
      <w:r w:rsidR="009F5447" w:rsidRPr="006219E7">
        <w:rPr>
          <w:rFonts w:asciiTheme="majorBidi" w:hAnsiTheme="majorBidi" w:cstheme="majorBidi"/>
          <w:sz w:val="24"/>
          <w:szCs w:val="24"/>
        </w:rPr>
        <w:t xml:space="preserve"> </w:t>
      </w:r>
      <w:r w:rsidR="00932D80" w:rsidRPr="006219E7">
        <w:rPr>
          <w:rFonts w:asciiTheme="majorBidi" w:hAnsiTheme="majorBidi" w:cstheme="majorBidi"/>
          <w:sz w:val="24"/>
          <w:szCs w:val="24"/>
        </w:rPr>
        <w:t>and the denial of other human rights</w:t>
      </w:r>
      <w:r w:rsidRPr="006219E7">
        <w:rPr>
          <w:rFonts w:asciiTheme="majorBidi" w:hAnsiTheme="majorBidi" w:cstheme="majorBidi"/>
          <w:sz w:val="24"/>
          <w:szCs w:val="24"/>
        </w:rPr>
        <w:t>.</w:t>
      </w:r>
    </w:p>
    <w:p w14:paraId="12C1D6D6" w14:textId="77777777" w:rsidR="00491EB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 xml:space="preserve">It also affirmed in </w:t>
      </w:r>
      <w:r w:rsidR="000A0BFF" w:rsidRPr="006219E7">
        <w:rPr>
          <w:rFonts w:asciiTheme="majorBidi" w:hAnsiTheme="majorBidi" w:cstheme="majorBidi"/>
          <w:b/>
          <w:bCs/>
          <w:sz w:val="24"/>
          <w:szCs w:val="24"/>
          <w:u w:val="single"/>
        </w:rPr>
        <w:t>Art. 8</w:t>
      </w:r>
      <w:r w:rsidRPr="006219E7">
        <w:rPr>
          <w:rFonts w:asciiTheme="majorBidi" w:hAnsiTheme="majorBidi" w:cstheme="majorBidi"/>
          <w:sz w:val="24"/>
          <w:szCs w:val="24"/>
        </w:rPr>
        <w:t xml:space="preserve"> that </w:t>
      </w:r>
      <w:r w:rsidR="00DC2B2A" w:rsidRPr="006219E7">
        <w:rPr>
          <w:rFonts w:asciiTheme="majorBidi" w:hAnsiTheme="majorBidi" w:cstheme="majorBidi"/>
          <w:sz w:val="24"/>
          <w:szCs w:val="24"/>
        </w:rPr>
        <w:t>States Parties  undertake to respect, protect and fulfil the right to development for all, without discrimination of any kind on the basis of race, colour, sex, gender, language, religion, political or other opinion, national, ethnic or social origin, property, disability, birth, age or other status, in accordance with obligations set forth in the present Convention.</w:t>
      </w:r>
      <w:r w:rsidRPr="006219E7">
        <w:rPr>
          <w:rFonts w:asciiTheme="majorBidi" w:hAnsiTheme="majorBidi" w:cstheme="majorBidi"/>
          <w:sz w:val="24"/>
          <w:szCs w:val="24"/>
        </w:rPr>
        <w:t xml:space="preserve"> </w:t>
      </w:r>
      <w:r w:rsidR="00491EB9" w:rsidRPr="006219E7">
        <w:rPr>
          <w:rFonts w:asciiTheme="majorBidi" w:hAnsiTheme="majorBidi" w:cstheme="majorBidi"/>
          <w:b/>
          <w:bCs/>
          <w:sz w:val="24"/>
          <w:szCs w:val="24"/>
          <w:u w:val="single"/>
        </w:rPr>
        <w:t>Art.</w:t>
      </w:r>
      <w:r w:rsidRPr="006219E7">
        <w:rPr>
          <w:rFonts w:asciiTheme="majorBidi" w:hAnsiTheme="majorBidi" w:cstheme="majorBidi"/>
          <w:b/>
          <w:bCs/>
          <w:sz w:val="24"/>
          <w:szCs w:val="24"/>
          <w:u w:val="single"/>
        </w:rPr>
        <w:t xml:space="preserve"> 4</w:t>
      </w:r>
      <w:r w:rsidRPr="006219E7">
        <w:rPr>
          <w:rFonts w:asciiTheme="majorBidi" w:hAnsiTheme="majorBidi" w:cstheme="majorBidi"/>
          <w:sz w:val="24"/>
          <w:szCs w:val="24"/>
        </w:rPr>
        <w:t xml:space="preserve"> affirmed that every </w:t>
      </w:r>
      <w:r w:rsidR="00491EB9" w:rsidRPr="006219E7">
        <w:rPr>
          <w:rFonts w:asciiTheme="majorBidi" w:hAnsiTheme="majorBidi" w:cstheme="majorBidi"/>
          <w:sz w:val="24"/>
          <w:szCs w:val="24"/>
        </w:rPr>
        <w:t xml:space="preserve">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 Besides, every human person and all peoples have the right to active, free and meaningful participation in development and in the fair distribution of benefits resulting therefrom. </w:t>
      </w:r>
      <w:r w:rsidR="00DC2B2A" w:rsidRPr="006219E7">
        <w:rPr>
          <w:rStyle w:val="FootnoteReference"/>
          <w:rFonts w:asciiTheme="majorBidi" w:hAnsiTheme="majorBidi" w:cstheme="majorBidi"/>
          <w:sz w:val="24"/>
          <w:szCs w:val="24"/>
        </w:rPr>
        <w:footnoteReference w:id="2"/>
      </w:r>
    </w:p>
    <w:p w14:paraId="315B7CED" w14:textId="77777777" w:rsidR="00DF0E79" w:rsidRPr="006219E7" w:rsidRDefault="00DC2B2A" w:rsidP="006219E7">
      <w:pPr>
        <w:ind w:firstLine="720"/>
        <w:jc w:val="both"/>
        <w:rPr>
          <w:rFonts w:asciiTheme="majorBidi" w:hAnsiTheme="majorBidi" w:cstheme="majorBidi"/>
          <w:sz w:val="24"/>
          <w:szCs w:val="24"/>
        </w:rPr>
      </w:pPr>
      <w:r w:rsidRPr="006219E7">
        <w:rPr>
          <w:rFonts w:asciiTheme="majorBidi" w:hAnsiTheme="majorBidi" w:cstheme="majorBidi"/>
          <w:b/>
          <w:bCs/>
          <w:sz w:val="24"/>
          <w:szCs w:val="24"/>
          <w:u w:val="single"/>
        </w:rPr>
        <w:t>In application</w:t>
      </w:r>
      <w:r w:rsidR="00DF0E79" w:rsidRPr="006219E7">
        <w:rPr>
          <w:rFonts w:asciiTheme="majorBidi" w:hAnsiTheme="majorBidi" w:cstheme="majorBidi"/>
          <w:b/>
          <w:bCs/>
          <w:sz w:val="24"/>
          <w:szCs w:val="24"/>
          <w:u w:val="single"/>
        </w:rPr>
        <w:t xml:space="preserve"> to the Palestinian reality</w:t>
      </w:r>
      <w:r w:rsidR="00DF0E79" w:rsidRPr="006219E7">
        <w:rPr>
          <w:rFonts w:asciiTheme="majorBidi" w:hAnsiTheme="majorBidi" w:cstheme="majorBidi"/>
          <w:sz w:val="24"/>
          <w:szCs w:val="24"/>
        </w:rPr>
        <w:t xml:space="preserve">, we find that Israel, since its </w:t>
      </w:r>
      <w:r w:rsidR="00077B54" w:rsidRPr="006219E7">
        <w:rPr>
          <w:rFonts w:asciiTheme="majorBidi" w:hAnsiTheme="majorBidi" w:cstheme="majorBidi"/>
          <w:sz w:val="24"/>
          <w:szCs w:val="24"/>
        </w:rPr>
        <w:t>birth</w:t>
      </w:r>
      <w:r w:rsidR="00DF0E79" w:rsidRPr="006219E7">
        <w:rPr>
          <w:rFonts w:asciiTheme="majorBidi" w:hAnsiTheme="majorBidi" w:cstheme="majorBidi"/>
          <w:sz w:val="24"/>
          <w:szCs w:val="24"/>
        </w:rPr>
        <w:t xml:space="preserve">, has </w:t>
      </w:r>
      <w:r w:rsidR="00077B54" w:rsidRPr="006219E7">
        <w:rPr>
          <w:rFonts w:asciiTheme="majorBidi" w:hAnsiTheme="majorBidi" w:cstheme="majorBidi"/>
          <w:sz w:val="24"/>
          <w:szCs w:val="24"/>
        </w:rPr>
        <w:t>been violating</w:t>
      </w:r>
      <w:r w:rsidR="00DF0E79" w:rsidRPr="006219E7">
        <w:rPr>
          <w:rFonts w:asciiTheme="majorBidi" w:hAnsiTheme="majorBidi" w:cstheme="majorBidi"/>
          <w:sz w:val="24"/>
          <w:szCs w:val="24"/>
        </w:rPr>
        <w:t xml:space="preserve"> this</w:t>
      </w:r>
      <w:r w:rsidR="00077B54" w:rsidRPr="006219E7">
        <w:rPr>
          <w:rFonts w:asciiTheme="majorBidi" w:hAnsiTheme="majorBidi" w:cstheme="majorBidi"/>
          <w:sz w:val="24"/>
          <w:szCs w:val="24"/>
        </w:rPr>
        <w:t xml:space="preserve"> right and deliberately depriving</w:t>
      </w:r>
      <w:r w:rsidR="00DF0E79" w:rsidRPr="006219E7">
        <w:rPr>
          <w:rFonts w:asciiTheme="majorBidi" w:hAnsiTheme="majorBidi" w:cstheme="majorBidi"/>
          <w:sz w:val="24"/>
          <w:szCs w:val="24"/>
        </w:rPr>
        <w:t xml:space="preserve"> the Palestinian people by all means of achieving development through its discriminatory and racist practices towards everything that is Palestinian. This was confirmed by the United Nations, as it affirmed that the Palestinians are not allowed to </w:t>
      </w:r>
      <w:r w:rsidR="00DF0E79" w:rsidRPr="006219E7">
        <w:rPr>
          <w:rFonts w:asciiTheme="majorBidi" w:hAnsiTheme="majorBidi" w:cstheme="majorBidi"/>
          <w:sz w:val="24"/>
          <w:szCs w:val="24"/>
        </w:rPr>
        <w:lastRenderedPageBreak/>
        <w:t>take any serious steps towards achieving economic and social development, which hinders their inalienable right to achieve development or contribute to achieving economic and social development.</w:t>
      </w:r>
      <w:r w:rsidR="00691FBF" w:rsidRPr="006219E7">
        <w:rPr>
          <w:rStyle w:val="FootnoteReference"/>
          <w:rFonts w:asciiTheme="majorBidi" w:hAnsiTheme="majorBidi" w:cstheme="majorBidi"/>
          <w:sz w:val="24"/>
          <w:szCs w:val="24"/>
        </w:rPr>
        <w:footnoteReference w:id="3"/>
      </w:r>
    </w:p>
    <w:p w14:paraId="1DD457E2"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 xml:space="preserve">The Israeli violations against Palestinian civilians varied. The Israeli government continued its systematic </w:t>
      </w:r>
      <w:bookmarkStart w:id="11" w:name="OLE_LINK25"/>
      <w:bookmarkStart w:id="12" w:name="OLE_LINK26"/>
      <w:r w:rsidRPr="006219E7">
        <w:rPr>
          <w:rFonts w:asciiTheme="majorBidi" w:hAnsiTheme="majorBidi" w:cstheme="majorBidi"/>
          <w:sz w:val="24"/>
          <w:szCs w:val="24"/>
        </w:rPr>
        <w:t xml:space="preserve">sabotage </w:t>
      </w:r>
      <w:r w:rsidR="00E80879" w:rsidRPr="006219E7">
        <w:rPr>
          <w:rFonts w:asciiTheme="majorBidi" w:hAnsiTheme="majorBidi" w:cstheme="majorBidi"/>
          <w:sz w:val="24"/>
          <w:szCs w:val="24"/>
        </w:rPr>
        <w:t>and vandalism</w:t>
      </w:r>
      <w:r w:rsidRPr="006219E7">
        <w:rPr>
          <w:rFonts w:asciiTheme="majorBidi" w:hAnsiTheme="majorBidi" w:cstheme="majorBidi"/>
          <w:sz w:val="24"/>
          <w:szCs w:val="24"/>
        </w:rPr>
        <w:t xml:space="preserve"> </w:t>
      </w:r>
      <w:bookmarkEnd w:id="11"/>
      <w:bookmarkEnd w:id="12"/>
      <w:r w:rsidRPr="006219E7">
        <w:rPr>
          <w:rFonts w:asciiTheme="majorBidi" w:hAnsiTheme="majorBidi" w:cstheme="majorBidi"/>
          <w:sz w:val="24"/>
          <w:szCs w:val="24"/>
        </w:rPr>
        <w:t>against Palestinian properties</w:t>
      </w:r>
      <w:r w:rsidR="00652461" w:rsidRPr="006219E7">
        <w:rPr>
          <w:rFonts w:asciiTheme="majorBidi" w:hAnsiTheme="majorBidi" w:cstheme="majorBidi"/>
          <w:sz w:val="24"/>
          <w:szCs w:val="24"/>
        </w:rPr>
        <w:t>. The</w:t>
      </w:r>
      <w:r w:rsidRPr="006219E7">
        <w:rPr>
          <w:rFonts w:asciiTheme="majorBidi" w:hAnsiTheme="majorBidi" w:cstheme="majorBidi"/>
          <w:sz w:val="24"/>
          <w:szCs w:val="24"/>
        </w:rPr>
        <w:t xml:space="preserve"> </w:t>
      </w:r>
      <w:bookmarkStart w:id="13" w:name="OLE_LINK27"/>
      <w:bookmarkStart w:id="14" w:name="OLE_LINK28"/>
      <w:r w:rsidRPr="006219E7">
        <w:rPr>
          <w:rFonts w:asciiTheme="majorBidi" w:hAnsiTheme="majorBidi" w:cstheme="majorBidi"/>
          <w:sz w:val="24"/>
          <w:szCs w:val="24"/>
        </w:rPr>
        <w:t xml:space="preserve">Israeli forces opened </w:t>
      </w:r>
      <w:r w:rsidR="00652461" w:rsidRPr="006219E7">
        <w:rPr>
          <w:rFonts w:asciiTheme="majorBidi" w:hAnsiTheme="majorBidi" w:cstheme="majorBidi"/>
          <w:sz w:val="24"/>
          <w:szCs w:val="24"/>
        </w:rPr>
        <w:t>rainwater stores allowing water to flood Gaza</w:t>
      </w:r>
      <w:bookmarkEnd w:id="13"/>
      <w:bookmarkEnd w:id="14"/>
      <w:r w:rsidRPr="006219E7">
        <w:rPr>
          <w:rFonts w:asciiTheme="majorBidi" w:hAnsiTheme="majorBidi" w:cstheme="majorBidi"/>
          <w:sz w:val="24"/>
          <w:szCs w:val="24"/>
        </w:rPr>
        <w:t xml:space="preserve">, </w:t>
      </w:r>
      <w:r w:rsidR="00652461" w:rsidRPr="006219E7">
        <w:rPr>
          <w:rFonts w:asciiTheme="majorBidi" w:hAnsiTheme="majorBidi" w:cstheme="majorBidi"/>
          <w:sz w:val="24"/>
          <w:szCs w:val="24"/>
        </w:rPr>
        <w:t>which damaged</w:t>
      </w:r>
      <w:r w:rsidRPr="006219E7">
        <w:rPr>
          <w:rFonts w:asciiTheme="majorBidi" w:hAnsiTheme="majorBidi" w:cstheme="majorBidi"/>
          <w:sz w:val="24"/>
          <w:szCs w:val="24"/>
        </w:rPr>
        <w:t xml:space="preserve"> </w:t>
      </w:r>
      <w:r w:rsidR="0042288F" w:rsidRPr="006219E7">
        <w:rPr>
          <w:rFonts w:asciiTheme="majorBidi" w:hAnsiTheme="majorBidi" w:cstheme="majorBidi"/>
          <w:sz w:val="24"/>
          <w:szCs w:val="24"/>
        </w:rPr>
        <w:t xml:space="preserve">crops, destroyed </w:t>
      </w:r>
      <w:r w:rsidRPr="006219E7">
        <w:rPr>
          <w:rFonts w:asciiTheme="majorBidi" w:hAnsiTheme="majorBidi" w:cstheme="majorBidi"/>
          <w:sz w:val="24"/>
          <w:szCs w:val="24"/>
        </w:rPr>
        <w:t>agricultural fields and inflict</w:t>
      </w:r>
      <w:r w:rsidR="0042288F" w:rsidRPr="006219E7">
        <w:rPr>
          <w:rFonts w:asciiTheme="majorBidi" w:hAnsiTheme="majorBidi" w:cstheme="majorBidi"/>
          <w:sz w:val="24"/>
          <w:szCs w:val="24"/>
        </w:rPr>
        <w:t>ed</w:t>
      </w:r>
      <w:r w:rsidRPr="006219E7">
        <w:rPr>
          <w:rFonts w:asciiTheme="majorBidi" w:hAnsiTheme="majorBidi" w:cstheme="majorBidi"/>
          <w:sz w:val="24"/>
          <w:szCs w:val="24"/>
        </w:rPr>
        <w:t xml:space="preserve"> heavy losses </w:t>
      </w:r>
      <w:r w:rsidR="0042288F" w:rsidRPr="006219E7">
        <w:rPr>
          <w:rFonts w:asciiTheme="majorBidi" w:hAnsiTheme="majorBidi" w:cstheme="majorBidi"/>
          <w:sz w:val="24"/>
          <w:szCs w:val="24"/>
        </w:rPr>
        <w:t>upon Palestinian</w:t>
      </w:r>
      <w:r w:rsidRPr="006219E7">
        <w:rPr>
          <w:rFonts w:asciiTheme="majorBidi" w:hAnsiTheme="majorBidi" w:cstheme="majorBidi"/>
          <w:sz w:val="24"/>
          <w:szCs w:val="24"/>
        </w:rPr>
        <w:t xml:space="preserve"> farmers. The occupation forces also cut off the electricity </w:t>
      </w:r>
      <w:r w:rsidR="00E20490" w:rsidRPr="006219E7">
        <w:rPr>
          <w:rFonts w:asciiTheme="majorBidi" w:hAnsiTheme="majorBidi" w:cstheme="majorBidi"/>
          <w:sz w:val="24"/>
          <w:szCs w:val="24"/>
        </w:rPr>
        <w:t>in</w:t>
      </w:r>
      <w:r w:rsidRPr="006219E7">
        <w:rPr>
          <w:rFonts w:asciiTheme="majorBidi" w:hAnsiTheme="majorBidi" w:cstheme="majorBidi"/>
          <w:sz w:val="24"/>
          <w:szCs w:val="24"/>
        </w:rPr>
        <w:t xml:space="preserve"> </w:t>
      </w:r>
      <w:bookmarkStart w:id="15" w:name="OLE_LINK29"/>
      <w:bookmarkStart w:id="16" w:name="OLE_LINK30"/>
      <w:r w:rsidRPr="006219E7">
        <w:rPr>
          <w:rFonts w:asciiTheme="majorBidi" w:hAnsiTheme="majorBidi" w:cstheme="majorBidi"/>
          <w:sz w:val="24"/>
          <w:szCs w:val="24"/>
        </w:rPr>
        <w:t>north Jericho</w:t>
      </w:r>
      <w:bookmarkEnd w:id="15"/>
      <w:bookmarkEnd w:id="16"/>
      <w:r w:rsidRPr="006219E7">
        <w:rPr>
          <w:rFonts w:asciiTheme="majorBidi" w:hAnsiTheme="majorBidi" w:cstheme="majorBidi"/>
          <w:sz w:val="24"/>
          <w:szCs w:val="24"/>
        </w:rPr>
        <w:t xml:space="preserve">, and flooded hundreds of acres of agricultural land with rainwater, after opening the ferries east of Gaza City, and drowned </w:t>
      </w:r>
      <w:r w:rsidR="0042288F" w:rsidRPr="006219E7">
        <w:rPr>
          <w:rFonts w:asciiTheme="majorBidi" w:hAnsiTheme="majorBidi" w:cstheme="majorBidi"/>
          <w:sz w:val="24"/>
          <w:szCs w:val="24"/>
        </w:rPr>
        <w:t>dozens</w:t>
      </w:r>
      <w:r w:rsidRPr="006219E7">
        <w:rPr>
          <w:rFonts w:asciiTheme="majorBidi" w:hAnsiTheme="majorBidi" w:cstheme="majorBidi"/>
          <w:sz w:val="24"/>
          <w:szCs w:val="24"/>
        </w:rPr>
        <w:t xml:space="preserve"> of citizens in Hamsa in the Jordan Valley after demolishing their homes </w:t>
      </w:r>
      <w:r w:rsidR="001A2832" w:rsidRPr="006219E7">
        <w:rPr>
          <w:rFonts w:asciiTheme="majorBidi" w:hAnsiTheme="majorBidi" w:cstheme="majorBidi"/>
          <w:sz w:val="24"/>
          <w:szCs w:val="24"/>
        </w:rPr>
        <w:t>and displacing them in the open. All these incidents set clear example of</w:t>
      </w:r>
      <w:r w:rsidRPr="006219E7">
        <w:rPr>
          <w:rFonts w:asciiTheme="majorBidi" w:hAnsiTheme="majorBidi" w:cstheme="majorBidi"/>
          <w:sz w:val="24"/>
          <w:szCs w:val="24"/>
        </w:rPr>
        <w:t xml:space="preserve"> the occupation’s </w:t>
      </w:r>
      <w:r w:rsidR="006031F4" w:rsidRPr="006219E7">
        <w:rPr>
          <w:rFonts w:asciiTheme="majorBidi" w:hAnsiTheme="majorBidi" w:cstheme="majorBidi"/>
          <w:sz w:val="24"/>
          <w:szCs w:val="24"/>
        </w:rPr>
        <w:t xml:space="preserve">policy of </w:t>
      </w:r>
      <w:r w:rsidRPr="006219E7">
        <w:rPr>
          <w:rFonts w:asciiTheme="majorBidi" w:hAnsiTheme="majorBidi" w:cstheme="majorBidi"/>
          <w:sz w:val="24"/>
          <w:szCs w:val="24"/>
        </w:rPr>
        <w:t xml:space="preserve">racism </w:t>
      </w:r>
      <w:r w:rsidR="00D809FB" w:rsidRPr="006219E7">
        <w:rPr>
          <w:rFonts w:asciiTheme="majorBidi" w:hAnsiTheme="majorBidi" w:cstheme="majorBidi"/>
          <w:sz w:val="24"/>
          <w:szCs w:val="24"/>
        </w:rPr>
        <w:t xml:space="preserve">and </w:t>
      </w:r>
      <w:r w:rsidR="006031F4" w:rsidRPr="006219E7">
        <w:rPr>
          <w:rFonts w:asciiTheme="majorBidi" w:hAnsiTheme="majorBidi" w:cstheme="majorBidi"/>
          <w:sz w:val="24"/>
          <w:szCs w:val="24"/>
        </w:rPr>
        <w:t>the ongoing</w:t>
      </w:r>
      <w:r w:rsidRPr="006219E7">
        <w:rPr>
          <w:rFonts w:asciiTheme="majorBidi" w:hAnsiTheme="majorBidi" w:cstheme="majorBidi"/>
          <w:sz w:val="24"/>
          <w:szCs w:val="24"/>
        </w:rPr>
        <w:t xml:space="preserve"> violations </w:t>
      </w:r>
      <w:r w:rsidR="006031F4" w:rsidRPr="006219E7">
        <w:rPr>
          <w:rFonts w:asciiTheme="majorBidi" w:hAnsiTheme="majorBidi" w:cstheme="majorBidi"/>
          <w:sz w:val="24"/>
          <w:szCs w:val="24"/>
        </w:rPr>
        <w:t>that aim at annexing</w:t>
      </w:r>
      <w:r w:rsidRPr="006219E7">
        <w:rPr>
          <w:rFonts w:asciiTheme="majorBidi" w:hAnsiTheme="majorBidi" w:cstheme="majorBidi"/>
          <w:sz w:val="24"/>
          <w:szCs w:val="24"/>
        </w:rPr>
        <w:t xml:space="preserve"> </w:t>
      </w:r>
      <w:r w:rsidR="006031F4" w:rsidRPr="006219E7">
        <w:rPr>
          <w:rFonts w:asciiTheme="majorBidi" w:hAnsiTheme="majorBidi" w:cstheme="majorBidi"/>
          <w:sz w:val="24"/>
          <w:szCs w:val="24"/>
        </w:rPr>
        <w:t xml:space="preserve">the </w:t>
      </w:r>
      <w:r w:rsidRPr="006219E7">
        <w:rPr>
          <w:rFonts w:asciiTheme="majorBidi" w:hAnsiTheme="majorBidi" w:cstheme="majorBidi"/>
          <w:sz w:val="24"/>
          <w:szCs w:val="24"/>
        </w:rPr>
        <w:t>Palestinian land</w:t>
      </w:r>
      <w:r w:rsidR="006031F4" w:rsidRPr="006219E7">
        <w:rPr>
          <w:rFonts w:asciiTheme="majorBidi" w:hAnsiTheme="majorBidi" w:cstheme="majorBidi"/>
          <w:sz w:val="24"/>
          <w:szCs w:val="24"/>
        </w:rPr>
        <w:t>s</w:t>
      </w:r>
      <w:r w:rsidRPr="006219E7">
        <w:rPr>
          <w:rFonts w:asciiTheme="majorBidi" w:hAnsiTheme="majorBidi" w:cstheme="majorBidi"/>
          <w:sz w:val="24"/>
          <w:szCs w:val="24"/>
        </w:rPr>
        <w:t>, displacing citizens and rep</w:t>
      </w:r>
      <w:r w:rsidR="000528F7" w:rsidRPr="006219E7">
        <w:rPr>
          <w:rFonts w:asciiTheme="majorBidi" w:hAnsiTheme="majorBidi" w:cstheme="majorBidi"/>
          <w:sz w:val="24"/>
          <w:szCs w:val="24"/>
        </w:rPr>
        <w:t xml:space="preserve">lacing them with settlers. </w:t>
      </w:r>
      <w:r w:rsidR="000528F7" w:rsidRPr="006219E7">
        <w:rPr>
          <w:rStyle w:val="FootnoteReference"/>
          <w:rFonts w:asciiTheme="majorBidi" w:hAnsiTheme="majorBidi" w:cstheme="majorBidi"/>
          <w:sz w:val="24"/>
          <w:szCs w:val="24"/>
        </w:rPr>
        <w:footnoteReference w:id="4"/>
      </w:r>
    </w:p>
    <w:p w14:paraId="763C2D06" w14:textId="77777777" w:rsidR="00DF0E79" w:rsidRPr="006219E7" w:rsidRDefault="000528F7"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 xml:space="preserve">The </w:t>
      </w:r>
      <w:r w:rsidRPr="006219E7">
        <w:rPr>
          <w:rFonts w:asciiTheme="majorBidi" w:hAnsiTheme="majorBidi" w:cstheme="majorBidi"/>
          <w:b/>
          <w:bCs/>
          <w:sz w:val="24"/>
          <w:szCs w:val="24"/>
          <w:u w:val="single"/>
        </w:rPr>
        <w:t>third article</w:t>
      </w:r>
      <w:r w:rsidRPr="006219E7">
        <w:rPr>
          <w:rFonts w:asciiTheme="majorBidi" w:hAnsiTheme="majorBidi" w:cstheme="majorBidi"/>
          <w:sz w:val="24"/>
          <w:szCs w:val="24"/>
        </w:rPr>
        <w:t xml:space="preserve"> of the D</w:t>
      </w:r>
      <w:r w:rsidR="00DF0E79" w:rsidRPr="006219E7">
        <w:rPr>
          <w:rFonts w:asciiTheme="majorBidi" w:hAnsiTheme="majorBidi" w:cstheme="majorBidi"/>
          <w:sz w:val="24"/>
          <w:szCs w:val="24"/>
        </w:rPr>
        <w:t xml:space="preserve">raft </w:t>
      </w:r>
      <w:r w:rsidRPr="006219E7">
        <w:rPr>
          <w:rFonts w:asciiTheme="majorBidi" w:hAnsiTheme="majorBidi" w:cstheme="majorBidi"/>
          <w:sz w:val="24"/>
          <w:szCs w:val="24"/>
        </w:rPr>
        <w:t>Convention</w:t>
      </w:r>
      <w:r w:rsidR="00DF0E79" w:rsidRPr="006219E7">
        <w:rPr>
          <w:rFonts w:asciiTheme="majorBidi" w:hAnsiTheme="majorBidi" w:cstheme="majorBidi"/>
          <w:sz w:val="24"/>
          <w:szCs w:val="24"/>
        </w:rPr>
        <w:t xml:space="preserve"> also emphasized the obligation of everyone at the level of individuals and the international community to respect the rights of individuals and groups, including the right to development, provided that this includes the existence of a joint responsibility for companies, commercial institutions and other actors to achieve sustainable development for these peoples.</w:t>
      </w:r>
      <w:r w:rsidR="00222105" w:rsidRPr="006219E7">
        <w:rPr>
          <w:rStyle w:val="FootnoteReference"/>
          <w:rFonts w:asciiTheme="majorBidi" w:hAnsiTheme="majorBidi" w:cstheme="majorBidi"/>
          <w:sz w:val="24"/>
          <w:szCs w:val="24"/>
        </w:rPr>
        <w:footnoteReference w:id="5"/>
      </w:r>
    </w:p>
    <w:p w14:paraId="7D983AA8"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Althoug</w:t>
      </w:r>
      <w:r w:rsidR="00222105" w:rsidRPr="006219E7">
        <w:rPr>
          <w:rFonts w:asciiTheme="majorBidi" w:hAnsiTheme="majorBidi" w:cstheme="majorBidi"/>
          <w:sz w:val="24"/>
          <w:szCs w:val="24"/>
        </w:rPr>
        <w:t>h UN Security Council Res.</w:t>
      </w:r>
      <w:r w:rsidRPr="006219E7">
        <w:rPr>
          <w:rFonts w:asciiTheme="majorBidi" w:hAnsiTheme="majorBidi" w:cstheme="majorBidi"/>
          <w:sz w:val="24"/>
          <w:szCs w:val="24"/>
        </w:rPr>
        <w:t xml:space="preserve"> 2334 affirmed that the establishment of settlements in the West Bank constitutes a flagrant vio</w:t>
      </w:r>
      <w:r w:rsidR="00222105" w:rsidRPr="006219E7">
        <w:rPr>
          <w:rFonts w:asciiTheme="majorBidi" w:hAnsiTheme="majorBidi" w:cstheme="majorBidi"/>
          <w:sz w:val="24"/>
          <w:szCs w:val="24"/>
        </w:rPr>
        <w:t xml:space="preserve">lation under international law, the </w:t>
      </w:r>
      <w:r w:rsidRPr="006219E7">
        <w:rPr>
          <w:rFonts w:asciiTheme="majorBidi" w:hAnsiTheme="majorBidi" w:cstheme="majorBidi"/>
          <w:sz w:val="24"/>
          <w:szCs w:val="24"/>
        </w:rPr>
        <w:t xml:space="preserve">unabated loss of land and natural resources for settlements, the constant </w:t>
      </w:r>
      <w:r w:rsidR="00A007DF" w:rsidRPr="006219E7">
        <w:rPr>
          <w:rFonts w:asciiTheme="majorBidi" w:hAnsiTheme="majorBidi" w:cstheme="majorBidi"/>
          <w:sz w:val="24"/>
          <w:szCs w:val="24"/>
        </w:rPr>
        <w:t>flow</w:t>
      </w:r>
      <w:r w:rsidRPr="006219E7">
        <w:rPr>
          <w:rFonts w:asciiTheme="majorBidi" w:hAnsiTheme="majorBidi" w:cstheme="majorBidi"/>
          <w:sz w:val="24"/>
          <w:szCs w:val="24"/>
        </w:rPr>
        <w:t xml:space="preserve"> of financial resources into the Israeli treasury, the impact of the prolonged blockade and repeated military operations </w:t>
      </w:r>
      <w:r w:rsidR="00A45D13" w:rsidRPr="006219E7">
        <w:rPr>
          <w:rFonts w:asciiTheme="majorBidi" w:hAnsiTheme="majorBidi" w:cstheme="majorBidi"/>
          <w:sz w:val="24"/>
          <w:szCs w:val="24"/>
        </w:rPr>
        <w:t>in</w:t>
      </w:r>
      <w:r w:rsidRPr="006219E7">
        <w:rPr>
          <w:rFonts w:asciiTheme="majorBidi" w:hAnsiTheme="majorBidi" w:cstheme="majorBidi"/>
          <w:sz w:val="24"/>
          <w:szCs w:val="24"/>
        </w:rPr>
        <w:t xml:space="preserve"> Gaza, the escalating threat of annexation of vast areas of the W</w:t>
      </w:r>
      <w:r w:rsidR="00947ED2" w:rsidRPr="006219E7">
        <w:rPr>
          <w:rFonts w:asciiTheme="majorBidi" w:hAnsiTheme="majorBidi" w:cstheme="majorBidi"/>
          <w:sz w:val="24"/>
          <w:szCs w:val="24"/>
        </w:rPr>
        <w:t>est Bank by the occupying power,</w:t>
      </w:r>
      <w:r w:rsidR="000275FF" w:rsidRPr="006219E7">
        <w:rPr>
          <w:rFonts w:asciiTheme="majorBidi" w:hAnsiTheme="majorBidi" w:cstheme="majorBidi"/>
          <w:sz w:val="24"/>
          <w:szCs w:val="24"/>
        </w:rPr>
        <w:t xml:space="preserve"> w</w:t>
      </w:r>
      <w:r w:rsidRPr="006219E7">
        <w:rPr>
          <w:rFonts w:asciiTheme="majorBidi" w:hAnsiTheme="majorBidi" w:cstheme="majorBidi"/>
          <w:sz w:val="24"/>
          <w:szCs w:val="24"/>
        </w:rPr>
        <w:t>hich has spent billions of dollars to build modern infrastructure to expand settlements, and at the same time, the demolition of Palestinian buildings and production assets to increase the area of ​​settlement expansion, all of this led to the creation of a coercive</w:t>
      </w:r>
      <w:r w:rsidR="00A45D13" w:rsidRPr="006219E7">
        <w:rPr>
          <w:rFonts w:asciiTheme="majorBidi" w:hAnsiTheme="majorBidi" w:cstheme="majorBidi"/>
          <w:sz w:val="24"/>
          <w:szCs w:val="24"/>
        </w:rPr>
        <w:t>, unfavorable</w:t>
      </w:r>
      <w:r w:rsidRPr="006219E7">
        <w:rPr>
          <w:rFonts w:asciiTheme="majorBidi" w:hAnsiTheme="majorBidi" w:cstheme="majorBidi"/>
          <w:sz w:val="24"/>
          <w:szCs w:val="24"/>
        </w:rPr>
        <w:t xml:space="preserve"> environment that pushes Palestinians to leave their lands. Despite the pandemic-induced slowdown in human activity in the region and around the world, 2020 recorded the highest number of demolitions and displacements of Palestinians in recent years. In 2020, the occupation forces targeted 848 Palestinian-owned </w:t>
      </w:r>
      <w:r w:rsidRPr="006219E7">
        <w:rPr>
          <w:rFonts w:asciiTheme="majorBidi" w:hAnsiTheme="majorBidi" w:cstheme="majorBidi"/>
          <w:sz w:val="24"/>
          <w:szCs w:val="24"/>
        </w:rPr>
        <w:lastRenderedPageBreak/>
        <w:t>properties across the West Bank. The demolitions and confiscations led to the displacement of hundreds of Palestinians.</w:t>
      </w:r>
      <w:r w:rsidR="00CE0345" w:rsidRPr="006219E7">
        <w:rPr>
          <w:rStyle w:val="FootnoteReference"/>
          <w:rFonts w:asciiTheme="majorBidi" w:hAnsiTheme="majorBidi" w:cstheme="majorBidi"/>
          <w:sz w:val="24"/>
          <w:szCs w:val="24"/>
        </w:rPr>
        <w:footnoteReference w:id="6"/>
      </w:r>
    </w:p>
    <w:p w14:paraId="540F4C6C"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sz w:val="24"/>
          <w:szCs w:val="24"/>
        </w:rPr>
        <w:t>Thus, it can be said that the expansion of the Israeli settlements takes place at the expense of the confiscation of Palestinian lands and the exploitation of their resources, which deprives the Palestinian people of enjoying their resources and exercising their sovereignty over them, as well as exploiting them in order to achieve development.</w:t>
      </w:r>
    </w:p>
    <w:p w14:paraId="69F39BC8" w14:textId="77777777" w:rsidR="00DF0E79" w:rsidRPr="006219E7" w:rsidRDefault="00DF0E79" w:rsidP="006219E7">
      <w:pPr>
        <w:ind w:firstLine="720"/>
        <w:jc w:val="both"/>
        <w:rPr>
          <w:rFonts w:asciiTheme="majorBidi" w:hAnsiTheme="majorBidi" w:cstheme="majorBidi"/>
          <w:b/>
          <w:bCs/>
          <w:i/>
          <w:iCs/>
          <w:sz w:val="24"/>
          <w:szCs w:val="24"/>
        </w:rPr>
      </w:pPr>
      <w:r w:rsidRPr="006219E7">
        <w:rPr>
          <w:rFonts w:asciiTheme="majorBidi" w:hAnsiTheme="majorBidi" w:cstheme="majorBidi"/>
          <w:b/>
          <w:bCs/>
          <w:i/>
          <w:iCs/>
          <w:sz w:val="24"/>
          <w:szCs w:val="24"/>
        </w:rPr>
        <w:t xml:space="preserve">Hence, it is necessary that the </w:t>
      </w:r>
      <w:r w:rsidR="00CE0345" w:rsidRPr="006219E7">
        <w:rPr>
          <w:rFonts w:asciiTheme="majorBidi" w:hAnsiTheme="majorBidi" w:cstheme="majorBidi"/>
          <w:b/>
          <w:bCs/>
          <w:i/>
          <w:iCs/>
          <w:sz w:val="24"/>
          <w:szCs w:val="24"/>
        </w:rPr>
        <w:t>Convention</w:t>
      </w:r>
      <w:r w:rsidRPr="006219E7">
        <w:rPr>
          <w:rFonts w:asciiTheme="majorBidi" w:hAnsiTheme="majorBidi" w:cstheme="majorBidi"/>
          <w:b/>
          <w:bCs/>
          <w:i/>
          <w:iCs/>
          <w:sz w:val="24"/>
          <w:szCs w:val="24"/>
        </w:rPr>
        <w:t xml:space="preserve"> on the right to development include a clear affirmation of the illegality of the exploitation of the power based on the occupation or the exercise </w:t>
      </w:r>
      <w:r w:rsidR="00287B80" w:rsidRPr="006219E7">
        <w:rPr>
          <w:rFonts w:asciiTheme="majorBidi" w:hAnsiTheme="majorBidi" w:cstheme="majorBidi"/>
          <w:b/>
          <w:bCs/>
          <w:i/>
          <w:iCs/>
          <w:sz w:val="24"/>
          <w:szCs w:val="24"/>
        </w:rPr>
        <w:t>of power over another people for looting</w:t>
      </w:r>
      <w:r w:rsidRPr="006219E7">
        <w:rPr>
          <w:rFonts w:asciiTheme="majorBidi" w:hAnsiTheme="majorBidi" w:cstheme="majorBidi"/>
          <w:b/>
          <w:bCs/>
          <w:i/>
          <w:iCs/>
          <w:sz w:val="24"/>
          <w:szCs w:val="24"/>
        </w:rPr>
        <w:t xml:space="preserve"> its resources and lands. </w:t>
      </w:r>
      <w:r w:rsidR="00AD4F6D" w:rsidRPr="006219E7">
        <w:rPr>
          <w:rFonts w:asciiTheme="majorBidi" w:hAnsiTheme="majorBidi" w:cstheme="majorBidi"/>
          <w:b/>
          <w:bCs/>
          <w:i/>
          <w:iCs/>
          <w:sz w:val="24"/>
          <w:szCs w:val="24"/>
        </w:rPr>
        <w:t>In addition,</w:t>
      </w:r>
      <w:r w:rsidRPr="006219E7">
        <w:rPr>
          <w:rFonts w:asciiTheme="majorBidi" w:hAnsiTheme="majorBidi" w:cstheme="majorBidi"/>
          <w:b/>
          <w:bCs/>
          <w:i/>
          <w:iCs/>
          <w:sz w:val="24"/>
          <w:szCs w:val="24"/>
        </w:rPr>
        <w:t xml:space="preserve"> commercial companies and states </w:t>
      </w:r>
      <w:r w:rsidR="00AC7DD0" w:rsidRPr="006219E7">
        <w:rPr>
          <w:rFonts w:asciiTheme="majorBidi" w:hAnsiTheme="majorBidi" w:cstheme="majorBidi"/>
          <w:b/>
          <w:bCs/>
          <w:i/>
          <w:iCs/>
          <w:sz w:val="24"/>
          <w:szCs w:val="24"/>
        </w:rPr>
        <w:t>must</w:t>
      </w:r>
      <w:r w:rsidRPr="006219E7">
        <w:rPr>
          <w:rFonts w:asciiTheme="majorBidi" w:hAnsiTheme="majorBidi" w:cstheme="majorBidi"/>
          <w:b/>
          <w:bCs/>
          <w:i/>
          <w:iCs/>
          <w:sz w:val="24"/>
          <w:szCs w:val="24"/>
        </w:rPr>
        <w:t xml:space="preserve"> boycott </w:t>
      </w:r>
      <w:r w:rsidR="00AC7DD0" w:rsidRPr="006219E7">
        <w:rPr>
          <w:rFonts w:asciiTheme="majorBidi" w:hAnsiTheme="majorBidi" w:cstheme="majorBidi"/>
          <w:b/>
          <w:bCs/>
          <w:i/>
          <w:iCs/>
          <w:sz w:val="24"/>
          <w:szCs w:val="24"/>
        </w:rPr>
        <w:t xml:space="preserve">the productions </w:t>
      </w:r>
      <w:r w:rsidR="00603C6F" w:rsidRPr="006219E7">
        <w:rPr>
          <w:rFonts w:asciiTheme="majorBidi" w:hAnsiTheme="majorBidi" w:cstheme="majorBidi"/>
          <w:b/>
          <w:bCs/>
          <w:i/>
          <w:iCs/>
          <w:sz w:val="24"/>
          <w:szCs w:val="24"/>
        </w:rPr>
        <w:t>generated by the occupation force</w:t>
      </w:r>
      <w:r w:rsidRPr="006219E7">
        <w:rPr>
          <w:rFonts w:asciiTheme="majorBidi" w:hAnsiTheme="majorBidi" w:cstheme="majorBidi"/>
          <w:b/>
          <w:bCs/>
          <w:i/>
          <w:iCs/>
          <w:sz w:val="24"/>
          <w:szCs w:val="24"/>
        </w:rPr>
        <w:t>s</w:t>
      </w:r>
      <w:r w:rsidR="00603C6F" w:rsidRPr="006219E7">
        <w:rPr>
          <w:rFonts w:asciiTheme="majorBidi" w:hAnsiTheme="majorBidi" w:cstheme="majorBidi"/>
          <w:b/>
          <w:bCs/>
          <w:i/>
          <w:iCs/>
          <w:sz w:val="24"/>
          <w:szCs w:val="24"/>
        </w:rPr>
        <w:t xml:space="preserve"> from these lands</w:t>
      </w:r>
      <w:r w:rsidRPr="006219E7">
        <w:rPr>
          <w:rFonts w:asciiTheme="majorBidi" w:hAnsiTheme="majorBidi" w:cstheme="majorBidi"/>
          <w:b/>
          <w:bCs/>
          <w:i/>
          <w:iCs/>
          <w:sz w:val="24"/>
          <w:szCs w:val="24"/>
        </w:rPr>
        <w:t>.</w:t>
      </w:r>
    </w:p>
    <w:p w14:paraId="41AC2B9C" w14:textId="77777777" w:rsidR="00F6492B" w:rsidRPr="006219E7" w:rsidRDefault="00DF0E79" w:rsidP="006219E7">
      <w:pPr>
        <w:ind w:firstLine="720"/>
        <w:jc w:val="both"/>
        <w:rPr>
          <w:rFonts w:asciiTheme="majorBidi" w:hAnsiTheme="majorBidi" w:cstheme="majorBidi"/>
          <w:sz w:val="24"/>
          <w:szCs w:val="24"/>
          <w:rtl/>
        </w:rPr>
      </w:pPr>
      <w:r w:rsidRPr="006219E7">
        <w:rPr>
          <w:rFonts w:asciiTheme="majorBidi" w:hAnsiTheme="majorBidi" w:cstheme="majorBidi"/>
          <w:sz w:val="24"/>
          <w:szCs w:val="24"/>
        </w:rPr>
        <w:t xml:space="preserve"> </w:t>
      </w:r>
      <w:r w:rsidRPr="006219E7">
        <w:rPr>
          <w:rFonts w:asciiTheme="majorBidi" w:hAnsiTheme="majorBidi" w:cstheme="majorBidi"/>
          <w:b/>
          <w:bCs/>
          <w:sz w:val="24"/>
          <w:szCs w:val="24"/>
          <w:u w:val="single"/>
        </w:rPr>
        <w:t>Article V</w:t>
      </w:r>
      <w:r w:rsidRPr="006219E7">
        <w:rPr>
          <w:rFonts w:asciiTheme="majorBidi" w:hAnsiTheme="majorBidi" w:cstheme="majorBidi"/>
          <w:sz w:val="24"/>
          <w:szCs w:val="24"/>
        </w:rPr>
        <w:t xml:space="preserve"> of the draft </w:t>
      </w:r>
      <w:r w:rsidR="006A3D6D" w:rsidRPr="006219E7">
        <w:rPr>
          <w:rFonts w:asciiTheme="majorBidi" w:hAnsiTheme="majorBidi" w:cstheme="majorBidi"/>
          <w:sz w:val="24"/>
          <w:szCs w:val="24"/>
        </w:rPr>
        <w:t>Convention</w:t>
      </w:r>
      <w:r w:rsidRPr="006219E7">
        <w:rPr>
          <w:rFonts w:asciiTheme="majorBidi" w:hAnsiTheme="majorBidi" w:cstheme="majorBidi"/>
          <w:sz w:val="24"/>
          <w:szCs w:val="24"/>
        </w:rPr>
        <w:t xml:space="preserve"> </w:t>
      </w:r>
      <w:r w:rsidR="006A3D6D" w:rsidRPr="006219E7">
        <w:rPr>
          <w:rFonts w:asciiTheme="majorBidi" w:hAnsiTheme="majorBidi" w:cstheme="majorBidi"/>
          <w:sz w:val="24"/>
          <w:szCs w:val="24"/>
        </w:rPr>
        <w:t>highlighted</w:t>
      </w:r>
      <w:r w:rsidRPr="006219E7">
        <w:rPr>
          <w:rFonts w:asciiTheme="majorBidi" w:hAnsiTheme="majorBidi" w:cstheme="majorBidi"/>
          <w:sz w:val="24"/>
          <w:szCs w:val="24"/>
        </w:rPr>
        <w:t xml:space="preserve"> the link between the right to development and the right to self-determination and stressed th</w:t>
      </w:r>
      <w:r w:rsidR="006041BE" w:rsidRPr="006219E7">
        <w:rPr>
          <w:rFonts w:asciiTheme="majorBidi" w:hAnsiTheme="majorBidi" w:cstheme="majorBidi"/>
          <w:sz w:val="24"/>
          <w:szCs w:val="24"/>
        </w:rPr>
        <w:t>at the</w:t>
      </w:r>
      <w:r w:rsidRPr="006219E7">
        <w:rPr>
          <w:rFonts w:asciiTheme="majorBidi" w:hAnsiTheme="majorBidi" w:cstheme="majorBidi"/>
          <w:sz w:val="24"/>
          <w:szCs w:val="24"/>
        </w:rPr>
        <w:t xml:space="preserve"> </w:t>
      </w:r>
      <w:r w:rsidR="006041BE" w:rsidRPr="006219E7">
        <w:rPr>
          <w:rFonts w:asciiTheme="majorBidi" w:hAnsiTheme="majorBidi" w:cstheme="majorBidi"/>
          <w:sz w:val="24"/>
          <w:szCs w:val="24"/>
        </w:rPr>
        <w:t>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r w:rsidRPr="006219E7">
        <w:rPr>
          <w:rFonts w:asciiTheme="majorBidi" w:hAnsiTheme="majorBidi" w:cstheme="majorBidi"/>
          <w:sz w:val="24"/>
          <w:szCs w:val="24"/>
        </w:rPr>
        <w:t xml:space="preserve">. </w:t>
      </w:r>
      <w:r w:rsidR="00FB07CD" w:rsidRPr="006219E7">
        <w:rPr>
          <w:rFonts w:asciiTheme="majorBidi" w:hAnsiTheme="majorBidi" w:cstheme="majorBidi"/>
          <w:sz w:val="24"/>
          <w:szCs w:val="24"/>
        </w:rPr>
        <w:t>States shall take resolute steps to prevent and eliminate massive and flagrant violations</w:t>
      </w:r>
      <w:r w:rsidR="00F6492B" w:rsidRPr="006219E7">
        <w:rPr>
          <w:rFonts w:asciiTheme="majorBidi" w:hAnsiTheme="majorBidi" w:cstheme="majorBidi"/>
          <w:sz w:val="24"/>
          <w:szCs w:val="24"/>
          <w:rtl/>
        </w:rPr>
        <w:t xml:space="preserve"> </w:t>
      </w:r>
      <w:r w:rsidR="00FB07CD" w:rsidRPr="006219E7">
        <w:rPr>
          <w:rFonts w:asciiTheme="majorBidi" w:hAnsiTheme="majorBidi" w:cstheme="majorBidi"/>
          <w:sz w:val="24"/>
          <w:szCs w:val="24"/>
        </w:rPr>
        <w:t>of the human rights of persons and peoples affected by situations such as those resulting from</w:t>
      </w:r>
      <w:r w:rsidR="00F6492B" w:rsidRPr="006219E7">
        <w:rPr>
          <w:rFonts w:asciiTheme="majorBidi" w:hAnsiTheme="majorBidi" w:cstheme="majorBidi"/>
          <w:sz w:val="24"/>
          <w:szCs w:val="24"/>
          <w:rtl/>
        </w:rPr>
        <w:t xml:space="preserve"> </w:t>
      </w:r>
      <w:r w:rsidR="00FB07CD" w:rsidRPr="006219E7">
        <w:rPr>
          <w:rFonts w:asciiTheme="majorBidi" w:hAnsiTheme="majorBidi" w:cstheme="majorBidi"/>
          <w:sz w:val="24"/>
          <w:szCs w:val="24"/>
        </w:rPr>
        <w:t>apartheid, all forms of racism and racial discrimination, colonialism, foreign domination and</w:t>
      </w:r>
      <w:r w:rsidRPr="006219E7">
        <w:rPr>
          <w:rFonts w:asciiTheme="majorBidi" w:hAnsiTheme="majorBidi" w:cstheme="majorBidi"/>
          <w:sz w:val="24"/>
          <w:szCs w:val="24"/>
        </w:rPr>
        <w:t xml:space="preserve">, </w:t>
      </w:r>
      <w:r w:rsidR="00F6492B" w:rsidRPr="006219E7">
        <w:rPr>
          <w:rFonts w:asciiTheme="majorBidi" w:hAnsiTheme="majorBidi" w:cstheme="majorBidi"/>
          <w:sz w:val="24"/>
          <w:szCs w:val="24"/>
        </w:rPr>
        <w:t>occupation, aggression, foreign interference and threats against national sovereignty, national</w:t>
      </w:r>
      <w:r w:rsidR="00F6492B" w:rsidRPr="006219E7">
        <w:rPr>
          <w:rFonts w:asciiTheme="majorBidi" w:hAnsiTheme="majorBidi" w:cstheme="majorBidi"/>
          <w:sz w:val="24"/>
          <w:szCs w:val="24"/>
          <w:rtl/>
        </w:rPr>
        <w:t xml:space="preserve"> </w:t>
      </w:r>
      <w:r w:rsidR="00F6492B" w:rsidRPr="006219E7">
        <w:rPr>
          <w:rFonts w:asciiTheme="majorBidi" w:hAnsiTheme="majorBidi" w:cstheme="majorBidi"/>
          <w:sz w:val="24"/>
          <w:szCs w:val="24"/>
        </w:rPr>
        <w:t>unity and territorial integrity, threats of war and the refusal to otherwise recognize the fundamental right of peoples to self-determination.</w:t>
      </w:r>
      <w:r w:rsidR="00F6492B" w:rsidRPr="006219E7">
        <w:rPr>
          <w:rStyle w:val="FootnoteReference"/>
          <w:rFonts w:asciiTheme="majorBidi" w:hAnsiTheme="majorBidi" w:cstheme="majorBidi"/>
          <w:sz w:val="24"/>
          <w:szCs w:val="24"/>
        </w:rPr>
        <w:footnoteReference w:id="7"/>
      </w:r>
    </w:p>
    <w:p w14:paraId="0511E55A"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b/>
          <w:bCs/>
          <w:i/>
          <w:iCs/>
          <w:sz w:val="24"/>
          <w:szCs w:val="24"/>
        </w:rPr>
        <w:t>It can be said</w:t>
      </w:r>
      <w:r w:rsidRPr="006219E7">
        <w:rPr>
          <w:rFonts w:asciiTheme="majorBidi" w:hAnsiTheme="majorBidi" w:cstheme="majorBidi"/>
          <w:sz w:val="24"/>
          <w:szCs w:val="24"/>
        </w:rPr>
        <w:t xml:space="preserve"> that th</w:t>
      </w:r>
      <w:r w:rsidR="009C4EB8" w:rsidRPr="006219E7">
        <w:rPr>
          <w:rFonts w:asciiTheme="majorBidi" w:hAnsiTheme="majorBidi" w:cstheme="majorBidi"/>
          <w:sz w:val="24"/>
          <w:szCs w:val="24"/>
        </w:rPr>
        <w:t>is</w:t>
      </w:r>
      <w:r w:rsidRPr="006219E7">
        <w:rPr>
          <w:rFonts w:asciiTheme="majorBidi" w:hAnsiTheme="majorBidi" w:cstheme="majorBidi"/>
          <w:sz w:val="24"/>
          <w:szCs w:val="24"/>
        </w:rPr>
        <w:t xml:space="preserve"> </w:t>
      </w:r>
      <w:r w:rsidR="00802F3F" w:rsidRPr="006219E7">
        <w:rPr>
          <w:rFonts w:asciiTheme="majorBidi" w:hAnsiTheme="majorBidi" w:cstheme="majorBidi"/>
          <w:sz w:val="24"/>
          <w:szCs w:val="24"/>
        </w:rPr>
        <w:t xml:space="preserve">vaguely-worded </w:t>
      </w:r>
      <w:r w:rsidRPr="006219E7">
        <w:rPr>
          <w:rFonts w:asciiTheme="majorBidi" w:hAnsiTheme="majorBidi" w:cstheme="majorBidi"/>
          <w:sz w:val="24"/>
          <w:szCs w:val="24"/>
        </w:rPr>
        <w:t xml:space="preserve">article </w:t>
      </w:r>
      <w:r w:rsidR="00802F3F" w:rsidRPr="006219E7">
        <w:rPr>
          <w:rFonts w:asciiTheme="majorBidi" w:hAnsiTheme="majorBidi" w:cstheme="majorBidi"/>
          <w:sz w:val="24"/>
          <w:szCs w:val="24"/>
        </w:rPr>
        <w:t>can be interpreted as</w:t>
      </w:r>
      <w:r w:rsidRPr="006219E7">
        <w:rPr>
          <w:rFonts w:asciiTheme="majorBidi" w:hAnsiTheme="majorBidi" w:cstheme="majorBidi"/>
          <w:sz w:val="24"/>
          <w:szCs w:val="24"/>
        </w:rPr>
        <w:t xml:space="preserve"> undermining the right of these peoples to implement the right to development, especially since the reality of the rights of the occupied people depends mainly on the decisions of the occupying power. Through its policies and practices, Israel denies Palestinians their right to self-determination as its actions threaten livelihoods, increase poverty and food insecurity, deny Palestinians social services, and limit access to quality medical care. Israel also created separate physical spaces </w:t>
      </w:r>
      <w:r w:rsidR="009221DD" w:rsidRPr="006219E7">
        <w:rPr>
          <w:rFonts w:asciiTheme="majorBidi" w:hAnsiTheme="majorBidi" w:cstheme="majorBidi"/>
          <w:sz w:val="24"/>
          <w:szCs w:val="24"/>
        </w:rPr>
        <w:t>on</w:t>
      </w:r>
      <w:r w:rsidRPr="006219E7">
        <w:rPr>
          <w:rFonts w:asciiTheme="majorBidi" w:hAnsiTheme="majorBidi" w:cstheme="majorBidi"/>
          <w:sz w:val="24"/>
          <w:szCs w:val="24"/>
        </w:rPr>
        <w:t xml:space="preserve"> ethnic </w:t>
      </w:r>
      <w:r w:rsidR="002D42A9" w:rsidRPr="006219E7">
        <w:rPr>
          <w:rFonts w:asciiTheme="majorBidi" w:hAnsiTheme="majorBidi" w:cstheme="majorBidi"/>
          <w:sz w:val="24"/>
          <w:szCs w:val="24"/>
        </w:rPr>
        <w:t>basis</w:t>
      </w:r>
      <w:r w:rsidRPr="006219E7">
        <w:rPr>
          <w:rFonts w:asciiTheme="majorBidi" w:hAnsiTheme="majorBidi" w:cstheme="majorBidi"/>
          <w:sz w:val="24"/>
          <w:szCs w:val="24"/>
        </w:rPr>
        <w:t xml:space="preserve">. Israel has not only gradually expropriated Palestinian land and property for exclusive Jewish use but has also moved Palestinians into separate enclaves, cementing the isolation of these enclaves from </w:t>
      </w:r>
      <w:r w:rsidRPr="006219E7">
        <w:rPr>
          <w:rFonts w:asciiTheme="majorBidi" w:hAnsiTheme="majorBidi" w:cstheme="majorBidi"/>
          <w:sz w:val="24"/>
          <w:szCs w:val="24"/>
        </w:rPr>
        <w:lastRenderedPageBreak/>
        <w:t>Israeli Jewish areas within Israel and occupied Palestine. This separation is underpinned by the extreme disparity in the distribution of infrastructure, se</w:t>
      </w:r>
      <w:r w:rsidR="000751F3" w:rsidRPr="006219E7">
        <w:rPr>
          <w:rFonts w:asciiTheme="majorBidi" w:hAnsiTheme="majorBidi" w:cstheme="majorBidi"/>
          <w:sz w:val="24"/>
          <w:szCs w:val="24"/>
        </w:rPr>
        <w:t xml:space="preserve">rvices, and access to resources, which strengthens </w:t>
      </w:r>
      <w:r w:rsidRPr="006219E7">
        <w:rPr>
          <w:rFonts w:asciiTheme="majorBidi" w:hAnsiTheme="majorBidi" w:cstheme="majorBidi"/>
          <w:sz w:val="24"/>
          <w:szCs w:val="24"/>
        </w:rPr>
        <w:t>the separation between the Jewish and Palestinian populations.</w:t>
      </w:r>
      <w:r w:rsidR="000751F3" w:rsidRPr="006219E7">
        <w:rPr>
          <w:rStyle w:val="FootnoteReference"/>
          <w:rFonts w:asciiTheme="majorBidi" w:hAnsiTheme="majorBidi" w:cstheme="majorBidi"/>
          <w:sz w:val="24"/>
          <w:szCs w:val="24"/>
        </w:rPr>
        <w:footnoteReference w:id="8"/>
      </w:r>
    </w:p>
    <w:p w14:paraId="1A9873D5" w14:textId="77777777" w:rsidR="00DF0E79" w:rsidRPr="006219E7" w:rsidRDefault="00DF0E79" w:rsidP="006219E7">
      <w:pPr>
        <w:jc w:val="both"/>
        <w:rPr>
          <w:rFonts w:asciiTheme="majorBidi" w:hAnsiTheme="majorBidi" w:cstheme="majorBidi"/>
          <w:b/>
          <w:bCs/>
          <w:i/>
          <w:iCs/>
          <w:sz w:val="24"/>
          <w:szCs w:val="24"/>
        </w:rPr>
      </w:pPr>
      <w:r w:rsidRPr="006219E7">
        <w:rPr>
          <w:rFonts w:asciiTheme="majorBidi" w:hAnsiTheme="majorBidi" w:cstheme="majorBidi"/>
          <w:b/>
          <w:bCs/>
          <w:i/>
          <w:iCs/>
          <w:sz w:val="24"/>
          <w:szCs w:val="24"/>
        </w:rPr>
        <w:t xml:space="preserve">Therefore, the </w:t>
      </w:r>
      <w:r w:rsidR="000751F3" w:rsidRPr="006219E7">
        <w:rPr>
          <w:rFonts w:asciiTheme="majorBidi" w:hAnsiTheme="majorBidi" w:cstheme="majorBidi"/>
          <w:b/>
          <w:bCs/>
          <w:i/>
          <w:iCs/>
          <w:sz w:val="24"/>
          <w:szCs w:val="24"/>
        </w:rPr>
        <w:t>Convention</w:t>
      </w:r>
      <w:r w:rsidRPr="006219E7">
        <w:rPr>
          <w:rFonts w:asciiTheme="majorBidi" w:hAnsiTheme="majorBidi" w:cstheme="majorBidi"/>
          <w:b/>
          <w:bCs/>
          <w:i/>
          <w:iCs/>
          <w:sz w:val="24"/>
          <w:szCs w:val="24"/>
        </w:rPr>
        <w:t xml:space="preserve"> must include a clear obligation for the occupying power to work on developing the resources of the region it occupies for the benefit of the occupied people and not to benefit financially from their natural resources, as this is prohibited under international law.</w:t>
      </w:r>
    </w:p>
    <w:p w14:paraId="65A06674" w14:textId="77777777" w:rsidR="00DF0E79" w:rsidRPr="006219E7" w:rsidRDefault="00DF0E79" w:rsidP="006219E7">
      <w:pPr>
        <w:ind w:firstLine="720"/>
        <w:jc w:val="both"/>
        <w:rPr>
          <w:rFonts w:asciiTheme="majorBidi" w:hAnsiTheme="majorBidi" w:cstheme="majorBidi"/>
          <w:sz w:val="24"/>
          <w:szCs w:val="24"/>
        </w:rPr>
      </w:pPr>
      <w:r w:rsidRPr="006219E7">
        <w:rPr>
          <w:rFonts w:asciiTheme="majorBidi" w:hAnsiTheme="majorBidi" w:cstheme="majorBidi"/>
          <w:b/>
          <w:bCs/>
          <w:sz w:val="24"/>
          <w:szCs w:val="24"/>
          <w:u w:val="single"/>
        </w:rPr>
        <w:t>Article 15</w:t>
      </w:r>
      <w:r w:rsidRPr="006219E7">
        <w:rPr>
          <w:rFonts w:asciiTheme="majorBidi" w:hAnsiTheme="majorBidi" w:cstheme="majorBidi"/>
          <w:sz w:val="24"/>
          <w:szCs w:val="24"/>
        </w:rPr>
        <w:t xml:space="preserve"> of the draft </w:t>
      </w:r>
      <w:r w:rsidR="00AE7E4C" w:rsidRPr="006219E7">
        <w:rPr>
          <w:rFonts w:asciiTheme="majorBidi" w:hAnsiTheme="majorBidi" w:cstheme="majorBidi"/>
          <w:sz w:val="24"/>
          <w:szCs w:val="24"/>
        </w:rPr>
        <w:t>Convention</w:t>
      </w:r>
      <w:r w:rsidRPr="006219E7">
        <w:rPr>
          <w:rFonts w:asciiTheme="majorBidi" w:hAnsiTheme="majorBidi" w:cstheme="majorBidi"/>
          <w:sz w:val="24"/>
          <w:szCs w:val="24"/>
        </w:rPr>
        <w:t xml:space="preserve">, which focuses on the measures and procedures that can be followed to </w:t>
      </w:r>
      <w:r w:rsidR="00D7355D" w:rsidRPr="006219E7">
        <w:rPr>
          <w:rFonts w:asciiTheme="majorBidi" w:hAnsiTheme="majorBidi" w:cstheme="majorBidi"/>
          <w:sz w:val="24"/>
          <w:szCs w:val="24"/>
        </w:rPr>
        <w:t>realize</w:t>
      </w:r>
      <w:r w:rsidRPr="006219E7">
        <w:rPr>
          <w:rFonts w:asciiTheme="majorBidi" w:hAnsiTheme="majorBidi" w:cstheme="majorBidi"/>
          <w:sz w:val="24"/>
          <w:szCs w:val="24"/>
        </w:rPr>
        <w:t xml:space="preserve"> the right to development for </w:t>
      </w:r>
      <w:r w:rsidR="00D7355D" w:rsidRPr="006219E7">
        <w:rPr>
          <w:rFonts w:asciiTheme="majorBidi" w:hAnsiTheme="majorBidi" w:cstheme="majorBidi"/>
          <w:sz w:val="24"/>
          <w:szCs w:val="24"/>
        </w:rPr>
        <w:t>vulnerable</w:t>
      </w:r>
      <w:r w:rsidRPr="006219E7">
        <w:rPr>
          <w:rFonts w:asciiTheme="majorBidi" w:hAnsiTheme="majorBidi" w:cstheme="majorBidi"/>
          <w:sz w:val="24"/>
          <w:szCs w:val="24"/>
        </w:rPr>
        <w:t xml:space="preserve"> peoples, ignores the state of economic </w:t>
      </w:r>
      <w:r w:rsidR="00AF0352" w:rsidRPr="006219E7">
        <w:rPr>
          <w:rFonts w:asciiTheme="majorBidi" w:hAnsiTheme="majorBidi" w:cstheme="majorBidi"/>
          <w:sz w:val="24"/>
          <w:szCs w:val="24"/>
        </w:rPr>
        <w:t>blockade</w:t>
      </w:r>
      <w:r w:rsidRPr="006219E7">
        <w:rPr>
          <w:rFonts w:asciiTheme="majorBidi" w:hAnsiTheme="majorBidi" w:cstheme="majorBidi"/>
          <w:sz w:val="24"/>
          <w:szCs w:val="24"/>
        </w:rPr>
        <w:t xml:space="preserve"> imposed on a number of peoples, especially the Palestinian people in Gaza, who have been collectively punished for nearly 15 years, as the ongoing Israeli </w:t>
      </w:r>
      <w:r w:rsidR="00AF0352" w:rsidRPr="006219E7">
        <w:rPr>
          <w:rFonts w:asciiTheme="majorBidi" w:hAnsiTheme="majorBidi" w:cstheme="majorBidi"/>
          <w:sz w:val="24"/>
          <w:szCs w:val="24"/>
        </w:rPr>
        <w:t xml:space="preserve">blockade </w:t>
      </w:r>
      <w:r w:rsidRPr="006219E7">
        <w:rPr>
          <w:rFonts w:asciiTheme="majorBidi" w:hAnsiTheme="majorBidi" w:cstheme="majorBidi"/>
          <w:sz w:val="24"/>
          <w:szCs w:val="24"/>
        </w:rPr>
        <w:t xml:space="preserve">has deepened the crises </w:t>
      </w:r>
      <w:r w:rsidR="00AF0352" w:rsidRPr="006219E7">
        <w:rPr>
          <w:rFonts w:asciiTheme="majorBidi" w:hAnsiTheme="majorBidi" w:cstheme="majorBidi"/>
          <w:sz w:val="24"/>
          <w:szCs w:val="24"/>
        </w:rPr>
        <w:t xml:space="preserve">the living and humanitarian crisis in Gaza Strip. </w:t>
      </w:r>
      <w:r w:rsidRPr="006219E7">
        <w:rPr>
          <w:rFonts w:asciiTheme="majorBidi" w:hAnsiTheme="majorBidi" w:cstheme="majorBidi"/>
          <w:sz w:val="24"/>
          <w:szCs w:val="24"/>
        </w:rPr>
        <w:t xml:space="preserve">The population of </w:t>
      </w:r>
      <w:r w:rsidR="0038488F" w:rsidRPr="006219E7">
        <w:rPr>
          <w:rFonts w:asciiTheme="majorBidi" w:hAnsiTheme="majorBidi" w:cstheme="majorBidi"/>
          <w:sz w:val="24"/>
          <w:szCs w:val="24"/>
        </w:rPr>
        <w:t xml:space="preserve">the Strip is suffering from an alarming </w:t>
      </w:r>
      <w:r w:rsidRPr="006219E7">
        <w:rPr>
          <w:rFonts w:asciiTheme="majorBidi" w:hAnsiTheme="majorBidi" w:cstheme="majorBidi"/>
          <w:sz w:val="24"/>
          <w:szCs w:val="24"/>
        </w:rPr>
        <w:t xml:space="preserve">rise in the unemployment rate, which has reached 45%, with 217,100 unemployed workers, and it rises among the youth to reach 63%. More than half of the population of the Gaza Strip suffers from poverty, as data from </w:t>
      </w:r>
      <w:bookmarkStart w:id="17" w:name="OLE_LINK54"/>
      <w:bookmarkStart w:id="18" w:name="OLE_LINK55"/>
      <w:r w:rsidRPr="006219E7">
        <w:rPr>
          <w:rFonts w:asciiTheme="majorBidi" w:hAnsiTheme="majorBidi" w:cstheme="majorBidi"/>
          <w:sz w:val="24"/>
          <w:szCs w:val="24"/>
        </w:rPr>
        <w:t xml:space="preserve">the Palestinian Central Bureau of Statistics </w:t>
      </w:r>
      <w:bookmarkEnd w:id="17"/>
      <w:bookmarkEnd w:id="18"/>
      <w:r w:rsidRPr="006219E7">
        <w:rPr>
          <w:rFonts w:asciiTheme="majorBidi" w:hAnsiTheme="majorBidi" w:cstheme="majorBidi"/>
          <w:sz w:val="24"/>
          <w:szCs w:val="24"/>
        </w:rPr>
        <w:t xml:space="preserve">indicate that the prevalence of poverty among the population of the Gaza Strip is 53%, and more than 62.2% of the population of the Strip </w:t>
      </w:r>
      <w:r w:rsidR="0038488F" w:rsidRPr="006219E7">
        <w:rPr>
          <w:rFonts w:asciiTheme="majorBidi" w:hAnsiTheme="majorBidi" w:cstheme="majorBidi"/>
          <w:sz w:val="24"/>
          <w:szCs w:val="24"/>
        </w:rPr>
        <w:t>suffer from</w:t>
      </w:r>
      <w:r w:rsidRPr="006219E7">
        <w:rPr>
          <w:rFonts w:asciiTheme="majorBidi" w:hAnsiTheme="majorBidi" w:cstheme="majorBidi"/>
          <w:sz w:val="24"/>
          <w:szCs w:val="24"/>
        </w:rPr>
        <w:t xml:space="preserve"> food </w:t>
      </w:r>
      <w:r w:rsidR="0038488F" w:rsidRPr="006219E7">
        <w:rPr>
          <w:rFonts w:asciiTheme="majorBidi" w:hAnsiTheme="majorBidi" w:cstheme="majorBidi"/>
          <w:sz w:val="24"/>
          <w:szCs w:val="24"/>
        </w:rPr>
        <w:t>insecurity</w:t>
      </w:r>
      <w:r w:rsidRPr="006219E7">
        <w:rPr>
          <w:rFonts w:asciiTheme="majorBidi" w:hAnsiTheme="majorBidi" w:cstheme="majorBidi"/>
          <w:sz w:val="24"/>
          <w:szCs w:val="24"/>
        </w:rPr>
        <w:t xml:space="preserve">, according to the United Nations Office for the Coordination of Humanitarian Affairs. The civilian population still suffers from a lack of electricity and water services due to the lack of fuel supplies and the disconnection of feeding lines from Israel from time to time, while the local market suffers from a shortage of many basic materials on the pretext of their dual use. In the </w:t>
      </w:r>
      <w:r w:rsidRPr="006219E7">
        <w:rPr>
          <w:rFonts w:asciiTheme="majorBidi" w:hAnsiTheme="majorBidi" w:cstheme="majorBidi"/>
          <w:b/>
          <w:bCs/>
          <w:sz w:val="24"/>
          <w:szCs w:val="24"/>
        </w:rPr>
        <w:t>West Bank</w:t>
      </w:r>
      <w:r w:rsidRPr="006219E7">
        <w:rPr>
          <w:rFonts w:asciiTheme="majorBidi" w:hAnsiTheme="majorBidi" w:cstheme="majorBidi"/>
          <w:sz w:val="24"/>
          <w:szCs w:val="24"/>
        </w:rPr>
        <w:t xml:space="preserve">, many roads are still completely closed since the Al-Aqsa Intifada in 2000. In addition to the fixed checkpoints, the occupation forces </w:t>
      </w:r>
      <w:r w:rsidR="00D46B85" w:rsidRPr="006219E7">
        <w:rPr>
          <w:rFonts w:asciiTheme="majorBidi" w:hAnsiTheme="majorBidi" w:cstheme="majorBidi"/>
          <w:sz w:val="24"/>
          <w:szCs w:val="24"/>
        </w:rPr>
        <w:t>continue to</w:t>
      </w:r>
      <w:r w:rsidRPr="006219E7">
        <w:rPr>
          <w:rFonts w:asciiTheme="majorBidi" w:hAnsiTheme="majorBidi" w:cstheme="majorBidi"/>
          <w:sz w:val="24"/>
          <w:szCs w:val="24"/>
        </w:rPr>
        <w:t xml:space="preserve"> set up many sudden checkpoints, </w:t>
      </w:r>
      <w:r w:rsidR="00D46B85" w:rsidRPr="006219E7">
        <w:rPr>
          <w:rFonts w:asciiTheme="majorBidi" w:hAnsiTheme="majorBidi" w:cstheme="majorBidi"/>
          <w:sz w:val="24"/>
          <w:szCs w:val="24"/>
        </w:rPr>
        <w:t>block</w:t>
      </w:r>
      <w:r w:rsidRPr="006219E7">
        <w:rPr>
          <w:rFonts w:asciiTheme="majorBidi" w:hAnsiTheme="majorBidi" w:cstheme="majorBidi"/>
          <w:sz w:val="24"/>
          <w:szCs w:val="24"/>
        </w:rPr>
        <w:t xml:space="preserve"> the movement of civilians, and arrest many at </w:t>
      </w:r>
      <w:r w:rsidR="00CA37A3" w:rsidRPr="006219E7">
        <w:rPr>
          <w:rFonts w:asciiTheme="majorBidi" w:hAnsiTheme="majorBidi" w:cstheme="majorBidi"/>
          <w:sz w:val="24"/>
          <w:szCs w:val="24"/>
        </w:rPr>
        <w:t>these</w:t>
      </w:r>
      <w:r w:rsidRPr="006219E7">
        <w:rPr>
          <w:rFonts w:asciiTheme="majorBidi" w:hAnsiTheme="majorBidi" w:cstheme="majorBidi"/>
          <w:sz w:val="24"/>
          <w:szCs w:val="24"/>
        </w:rPr>
        <w:t xml:space="preserve"> checkpoints and border crossings, specifically </w:t>
      </w:r>
      <w:bookmarkStart w:id="19" w:name="OLE_LINK56"/>
      <w:r w:rsidR="00377B4B" w:rsidRPr="006219E7">
        <w:rPr>
          <w:rFonts w:asciiTheme="majorBidi" w:hAnsiTheme="majorBidi" w:cstheme="majorBidi"/>
          <w:sz w:val="24"/>
          <w:szCs w:val="24"/>
        </w:rPr>
        <w:t xml:space="preserve">Al-Karamah Border Crossing </w:t>
      </w:r>
      <w:bookmarkEnd w:id="19"/>
      <w:r w:rsidR="00377B4B" w:rsidRPr="006219E7">
        <w:rPr>
          <w:rFonts w:asciiTheme="majorBidi" w:hAnsiTheme="majorBidi" w:cstheme="majorBidi"/>
          <w:sz w:val="24"/>
          <w:szCs w:val="24"/>
        </w:rPr>
        <w:t>between Jordan and Iraq</w:t>
      </w:r>
      <w:r w:rsidRPr="006219E7">
        <w:rPr>
          <w:rFonts w:asciiTheme="majorBidi" w:hAnsiTheme="majorBidi" w:cstheme="majorBidi"/>
          <w:sz w:val="24"/>
          <w:szCs w:val="24"/>
        </w:rPr>
        <w:t>.</w:t>
      </w:r>
      <w:r w:rsidR="00377B4B" w:rsidRPr="006219E7">
        <w:rPr>
          <w:rStyle w:val="FootnoteReference"/>
          <w:rFonts w:asciiTheme="majorBidi" w:hAnsiTheme="majorBidi" w:cstheme="majorBidi"/>
          <w:sz w:val="24"/>
          <w:szCs w:val="24"/>
        </w:rPr>
        <w:footnoteReference w:id="9"/>
      </w:r>
    </w:p>
    <w:p w14:paraId="55875332" w14:textId="04D76515" w:rsidR="00DF0E79" w:rsidRPr="006219E7" w:rsidRDefault="00377B4B" w:rsidP="006219E7">
      <w:pPr>
        <w:pStyle w:val="ListParagraph"/>
        <w:numPr>
          <w:ilvl w:val="0"/>
          <w:numId w:val="4"/>
        </w:numPr>
        <w:jc w:val="both"/>
        <w:rPr>
          <w:rFonts w:asciiTheme="majorBidi" w:hAnsiTheme="majorBidi" w:cstheme="majorBidi"/>
          <w:b/>
          <w:bCs/>
          <w:color w:val="0070C0"/>
          <w:sz w:val="24"/>
          <w:szCs w:val="24"/>
          <w:u w:val="single"/>
        </w:rPr>
      </w:pPr>
      <w:r w:rsidRPr="006219E7">
        <w:rPr>
          <w:rFonts w:asciiTheme="majorBidi" w:hAnsiTheme="majorBidi" w:cstheme="majorBidi"/>
          <w:b/>
          <w:bCs/>
          <w:color w:val="0070C0"/>
          <w:sz w:val="24"/>
          <w:szCs w:val="24"/>
          <w:u w:val="single"/>
        </w:rPr>
        <w:t>S</w:t>
      </w:r>
      <w:r w:rsidR="00DF0E79" w:rsidRPr="006219E7">
        <w:rPr>
          <w:rFonts w:asciiTheme="majorBidi" w:hAnsiTheme="majorBidi" w:cstheme="majorBidi"/>
          <w:b/>
          <w:bCs/>
          <w:color w:val="0070C0"/>
          <w:sz w:val="24"/>
          <w:szCs w:val="24"/>
          <w:u w:val="single"/>
        </w:rPr>
        <w:t>uggestions</w:t>
      </w:r>
      <w:r w:rsidR="006219E7" w:rsidRPr="006219E7">
        <w:rPr>
          <w:rFonts w:asciiTheme="majorBidi" w:hAnsiTheme="majorBidi" w:cstheme="majorBidi"/>
          <w:b/>
          <w:bCs/>
          <w:color w:val="0070C0"/>
          <w:sz w:val="24"/>
          <w:szCs w:val="24"/>
          <w:u w:val="single"/>
        </w:rPr>
        <w:t xml:space="preserve">: </w:t>
      </w:r>
    </w:p>
    <w:p w14:paraId="438F83F3" w14:textId="77777777" w:rsidR="00DF0E79" w:rsidRPr="006219E7" w:rsidRDefault="00377B4B" w:rsidP="006219E7">
      <w:pPr>
        <w:jc w:val="both"/>
        <w:rPr>
          <w:rFonts w:asciiTheme="majorBidi" w:hAnsiTheme="majorBidi" w:cstheme="majorBidi"/>
          <w:sz w:val="24"/>
          <w:szCs w:val="24"/>
        </w:rPr>
      </w:pPr>
      <w:r w:rsidRPr="006219E7">
        <w:rPr>
          <w:rFonts w:asciiTheme="majorBidi" w:hAnsiTheme="majorBidi" w:cstheme="majorBidi"/>
          <w:sz w:val="24"/>
          <w:szCs w:val="24"/>
        </w:rPr>
        <w:t>Based on</w:t>
      </w:r>
      <w:r w:rsidR="00DF0E79" w:rsidRPr="006219E7">
        <w:rPr>
          <w:rFonts w:asciiTheme="majorBidi" w:hAnsiTheme="majorBidi" w:cstheme="majorBidi"/>
          <w:sz w:val="24"/>
          <w:szCs w:val="24"/>
        </w:rPr>
        <w:t xml:space="preserve"> the Israeli violations of the Palestinians’ right to development and sovereignty over their natural resources, </w:t>
      </w:r>
      <w:r w:rsidR="00DF0E79" w:rsidRPr="006219E7">
        <w:rPr>
          <w:rFonts w:asciiTheme="majorBidi" w:hAnsiTheme="majorBidi" w:cstheme="majorBidi"/>
          <w:b/>
          <w:bCs/>
          <w:sz w:val="24"/>
          <w:szCs w:val="24"/>
        </w:rPr>
        <w:t>Maat for Peace, Development and Human Rights</w:t>
      </w:r>
      <w:r w:rsidR="00DF0E79" w:rsidRPr="006219E7">
        <w:rPr>
          <w:rFonts w:asciiTheme="majorBidi" w:hAnsiTheme="majorBidi" w:cstheme="majorBidi"/>
          <w:sz w:val="24"/>
          <w:szCs w:val="24"/>
        </w:rPr>
        <w:t xml:space="preserve"> </w:t>
      </w:r>
      <w:r w:rsidR="000130F7" w:rsidRPr="006219E7">
        <w:rPr>
          <w:rFonts w:asciiTheme="majorBidi" w:hAnsiTheme="majorBidi" w:cstheme="majorBidi"/>
          <w:sz w:val="24"/>
          <w:szCs w:val="24"/>
        </w:rPr>
        <w:t>stresses</w:t>
      </w:r>
      <w:r w:rsidR="00DF0E79" w:rsidRPr="006219E7">
        <w:rPr>
          <w:rFonts w:asciiTheme="majorBidi" w:hAnsiTheme="majorBidi" w:cstheme="majorBidi"/>
          <w:sz w:val="24"/>
          <w:szCs w:val="24"/>
        </w:rPr>
        <w:t xml:space="preserve"> that the proposed </w:t>
      </w:r>
      <w:r w:rsidR="000130F7" w:rsidRPr="006219E7">
        <w:rPr>
          <w:rFonts w:asciiTheme="majorBidi" w:hAnsiTheme="majorBidi" w:cstheme="majorBidi"/>
          <w:sz w:val="24"/>
          <w:szCs w:val="24"/>
        </w:rPr>
        <w:t>Convention</w:t>
      </w:r>
      <w:r w:rsidR="00DF0E79" w:rsidRPr="006219E7">
        <w:rPr>
          <w:rFonts w:asciiTheme="majorBidi" w:hAnsiTheme="majorBidi" w:cstheme="majorBidi"/>
          <w:sz w:val="24"/>
          <w:szCs w:val="24"/>
        </w:rPr>
        <w:t xml:space="preserve"> for the right to development must </w:t>
      </w:r>
      <w:r w:rsidR="000130F7" w:rsidRPr="006219E7">
        <w:rPr>
          <w:rFonts w:asciiTheme="majorBidi" w:hAnsiTheme="majorBidi" w:cstheme="majorBidi"/>
          <w:sz w:val="24"/>
          <w:szCs w:val="24"/>
        </w:rPr>
        <w:t>consider the following</w:t>
      </w:r>
      <w:r w:rsidR="00DF0E79" w:rsidRPr="006219E7">
        <w:rPr>
          <w:rFonts w:asciiTheme="majorBidi" w:hAnsiTheme="majorBidi" w:cstheme="majorBidi"/>
          <w:sz w:val="24"/>
          <w:szCs w:val="24"/>
        </w:rPr>
        <w:t>:</w:t>
      </w:r>
    </w:p>
    <w:p w14:paraId="73C5D27F" w14:textId="77777777" w:rsidR="00DF0E79" w:rsidRPr="006219E7" w:rsidRDefault="00DF0E79" w:rsidP="006219E7">
      <w:pPr>
        <w:pStyle w:val="ListParagraph"/>
        <w:numPr>
          <w:ilvl w:val="0"/>
          <w:numId w:val="1"/>
        </w:numPr>
        <w:jc w:val="both"/>
        <w:rPr>
          <w:rFonts w:asciiTheme="majorBidi" w:hAnsiTheme="majorBidi" w:cstheme="majorBidi"/>
          <w:sz w:val="24"/>
          <w:szCs w:val="24"/>
        </w:rPr>
      </w:pPr>
      <w:r w:rsidRPr="006219E7">
        <w:rPr>
          <w:rFonts w:asciiTheme="majorBidi" w:hAnsiTheme="majorBidi" w:cstheme="majorBidi"/>
          <w:sz w:val="24"/>
          <w:szCs w:val="24"/>
        </w:rPr>
        <w:lastRenderedPageBreak/>
        <w:t>The reciprocal relationship between the right to development and the enjoyment of human rights without discrimination for all peoples, especially those under occupation or not enjoying self-government.</w:t>
      </w:r>
    </w:p>
    <w:p w14:paraId="07294E72" w14:textId="706AEB3D" w:rsidR="00DF0E79" w:rsidRPr="006219E7" w:rsidRDefault="00DF0E79" w:rsidP="006219E7">
      <w:pPr>
        <w:pStyle w:val="ListParagraph"/>
        <w:numPr>
          <w:ilvl w:val="0"/>
          <w:numId w:val="1"/>
        </w:numPr>
        <w:jc w:val="both"/>
        <w:rPr>
          <w:rFonts w:asciiTheme="majorBidi" w:hAnsiTheme="majorBidi" w:cstheme="majorBidi"/>
          <w:sz w:val="24"/>
          <w:szCs w:val="24"/>
        </w:rPr>
      </w:pPr>
      <w:r w:rsidRPr="006219E7">
        <w:rPr>
          <w:rFonts w:asciiTheme="majorBidi" w:hAnsiTheme="majorBidi" w:cstheme="majorBidi"/>
          <w:sz w:val="24"/>
          <w:szCs w:val="24"/>
        </w:rPr>
        <w:t xml:space="preserve">To clarify the systematic Israeli practices of apartheid and the continuation of aggression against the Palestinian people, as well as the economic blockade aimed at undermining the right of the Palestinian people to development in a more clear and explicit way in the </w:t>
      </w:r>
      <w:r w:rsidR="00310369" w:rsidRPr="006219E7">
        <w:rPr>
          <w:rFonts w:asciiTheme="majorBidi" w:hAnsiTheme="majorBidi" w:cstheme="majorBidi"/>
          <w:sz w:val="24"/>
          <w:szCs w:val="24"/>
        </w:rPr>
        <w:t>Convention</w:t>
      </w:r>
      <w:r w:rsidRPr="006219E7">
        <w:rPr>
          <w:rFonts w:asciiTheme="majorBidi" w:hAnsiTheme="majorBidi" w:cstheme="majorBidi"/>
          <w:sz w:val="24"/>
          <w:szCs w:val="24"/>
        </w:rPr>
        <w:t>.</w:t>
      </w:r>
    </w:p>
    <w:p w14:paraId="56B32C13" w14:textId="77777777" w:rsidR="00DF0E79" w:rsidRPr="006219E7" w:rsidRDefault="00DF0E79" w:rsidP="006219E7">
      <w:pPr>
        <w:pStyle w:val="ListParagraph"/>
        <w:numPr>
          <w:ilvl w:val="0"/>
          <w:numId w:val="1"/>
        </w:numPr>
        <w:jc w:val="both"/>
        <w:rPr>
          <w:rFonts w:asciiTheme="majorBidi" w:hAnsiTheme="majorBidi" w:cstheme="majorBidi"/>
          <w:sz w:val="24"/>
          <w:szCs w:val="24"/>
        </w:rPr>
      </w:pPr>
      <w:r w:rsidRPr="006219E7">
        <w:rPr>
          <w:rFonts w:asciiTheme="majorBidi" w:hAnsiTheme="majorBidi" w:cstheme="majorBidi"/>
          <w:sz w:val="24"/>
          <w:szCs w:val="24"/>
        </w:rPr>
        <w:t xml:space="preserve">Inclusion of additional articles and provisions related to the responsibility of business companies in a manner that reflects the United Nations framework on protection, respect and redress, in accordance with </w:t>
      </w:r>
      <w:bookmarkStart w:id="20" w:name="OLE_LINK57"/>
      <w:bookmarkStart w:id="21" w:name="OLE_LINK58"/>
      <w:r w:rsidRPr="006219E7">
        <w:rPr>
          <w:rFonts w:asciiTheme="majorBidi" w:hAnsiTheme="majorBidi" w:cstheme="majorBidi"/>
          <w:sz w:val="24"/>
          <w:szCs w:val="24"/>
        </w:rPr>
        <w:t>the United Nations Guiding Principles on Business and Human Rights</w:t>
      </w:r>
      <w:bookmarkEnd w:id="20"/>
      <w:bookmarkEnd w:id="21"/>
      <w:r w:rsidRPr="006219E7">
        <w:rPr>
          <w:rFonts w:asciiTheme="majorBidi" w:hAnsiTheme="majorBidi" w:cstheme="majorBidi"/>
          <w:sz w:val="24"/>
          <w:szCs w:val="24"/>
        </w:rPr>
        <w:t>. As well as the need for a clear accountability mechanism that gives the people involved the right to development by ensuring their ability to have sovereignty over natural resources as a critical component of the right to development.</w:t>
      </w:r>
    </w:p>
    <w:p w14:paraId="32AECBBD" w14:textId="0AF80F38" w:rsidR="00DF0E79" w:rsidRPr="006219E7" w:rsidRDefault="00DF0E79" w:rsidP="006219E7">
      <w:pPr>
        <w:pStyle w:val="ListParagraph"/>
        <w:numPr>
          <w:ilvl w:val="0"/>
          <w:numId w:val="1"/>
        </w:numPr>
        <w:jc w:val="both"/>
        <w:rPr>
          <w:rFonts w:asciiTheme="majorBidi" w:hAnsiTheme="majorBidi" w:cstheme="majorBidi"/>
          <w:sz w:val="24"/>
          <w:szCs w:val="24"/>
        </w:rPr>
      </w:pPr>
      <w:r w:rsidRPr="006219E7">
        <w:rPr>
          <w:rFonts w:asciiTheme="majorBidi" w:hAnsiTheme="majorBidi" w:cstheme="majorBidi"/>
          <w:sz w:val="24"/>
          <w:szCs w:val="24"/>
        </w:rPr>
        <w:t xml:space="preserve">The </w:t>
      </w:r>
      <w:r w:rsidR="00826697" w:rsidRPr="006219E7">
        <w:rPr>
          <w:rFonts w:asciiTheme="majorBidi" w:hAnsiTheme="majorBidi" w:cstheme="majorBidi"/>
          <w:sz w:val="24"/>
          <w:szCs w:val="24"/>
        </w:rPr>
        <w:t>Convention</w:t>
      </w:r>
      <w:r w:rsidR="006219E7">
        <w:rPr>
          <w:rFonts w:asciiTheme="majorBidi" w:hAnsiTheme="majorBidi" w:cstheme="majorBidi"/>
          <w:sz w:val="24"/>
          <w:szCs w:val="24"/>
        </w:rPr>
        <w:t xml:space="preserve"> should</w:t>
      </w:r>
      <w:r w:rsidRPr="006219E7">
        <w:rPr>
          <w:rFonts w:asciiTheme="majorBidi" w:hAnsiTheme="majorBidi" w:cstheme="majorBidi"/>
          <w:sz w:val="24"/>
          <w:szCs w:val="24"/>
        </w:rPr>
        <w:t xml:space="preserve"> include </w:t>
      </w:r>
      <w:r w:rsidR="0044005F" w:rsidRPr="006219E7">
        <w:rPr>
          <w:rFonts w:asciiTheme="majorBidi" w:hAnsiTheme="majorBidi" w:cstheme="majorBidi"/>
          <w:sz w:val="24"/>
          <w:szCs w:val="24"/>
        </w:rPr>
        <w:t xml:space="preserve">clearly-worded </w:t>
      </w:r>
      <w:r w:rsidRPr="006219E7">
        <w:rPr>
          <w:rFonts w:asciiTheme="majorBidi" w:hAnsiTheme="majorBidi" w:cstheme="majorBidi"/>
          <w:sz w:val="24"/>
          <w:szCs w:val="24"/>
        </w:rPr>
        <w:t>articles that acknowledge and ensure the protection of peoples under occupation or non-self-governing territories from discriminatory and racist practices aimed at depriving them of their inherent right to development.</w:t>
      </w:r>
    </w:p>
    <w:p w14:paraId="76CAEEA5" w14:textId="68966D36" w:rsidR="00DF0E79" w:rsidRPr="006219E7" w:rsidRDefault="006219E7" w:rsidP="006219E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To establish </w:t>
      </w:r>
      <w:r w:rsidR="0044005F" w:rsidRPr="006219E7">
        <w:rPr>
          <w:rFonts w:asciiTheme="majorBidi" w:hAnsiTheme="majorBidi" w:cstheme="majorBidi"/>
          <w:sz w:val="24"/>
          <w:szCs w:val="24"/>
        </w:rPr>
        <w:t>a</w:t>
      </w:r>
      <w:r w:rsidR="00DF0E79" w:rsidRPr="006219E7">
        <w:rPr>
          <w:rFonts w:asciiTheme="majorBidi" w:hAnsiTheme="majorBidi" w:cstheme="majorBidi"/>
          <w:sz w:val="24"/>
          <w:szCs w:val="24"/>
        </w:rPr>
        <w:t xml:space="preserve"> complaints mechanism that can be applied to all peoples, through which occupied peoples who do not enjoy the right to self-determination can </w:t>
      </w:r>
      <w:r w:rsidR="001A0955" w:rsidRPr="006219E7">
        <w:rPr>
          <w:rFonts w:asciiTheme="majorBidi" w:hAnsiTheme="majorBidi" w:cstheme="majorBidi"/>
          <w:sz w:val="24"/>
          <w:szCs w:val="24"/>
        </w:rPr>
        <w:t>claim for their rights</w:t>
      </w:r>
      <w:r w:rsidR="00DF0E79" w:rsidRPr="006219E7">
        <w:rPr>
          <w:rFonts w:asciiTheme="majorBidi" w:hAnsiTheme="majorBidi" w:cstheme="majorBidi"/>
          <w:sz w:val="24"/>
          <w:szCs w:val="24"/>
        </w:rPr>
        <w:t xml:space="preserve"> to sovereignty over their natural resources and wealth</w:t>
      </w:r>
      <w:r w:rsidR="00AB2DE8" w:rsidRPr="006219E7">
        <w:rPr>
          <w:rFonts w:asciiTheme="majorBidi" w:hAnsiTheme="majorBidi" w:cstheme="majorBidi"/>
          <w:sz w:val="24"/>
          <w:szCs w:val="24"/>
        </w:rPr>
        <w:t>,</w:t>
      </w:r>
      <w:r w:rsidR="00DF0E79" w:rsidRPr="006219E7">
        <w:rPr>
          <w:rFonts w:asciiTheme="majorBidi" w:hAnsiTheme="majorBidi" w:cstheme="majorBidi"/>
          <w:sz w:val="24"/>
          <w:szCs w:val="24"/>
        </w:rPr>
        <w:t xml:space="preserve"> as the basis for realizing the right to development.</w:t>
      </w:r>
    </w:p>
    <w:sectPr w:rsidR="00DF0E79" w:rsidRPr="006219E7" w:rsidSect="006219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98DD" w14:textId="77777777" w:rsidR="00C83EB8" w:rsidRDefault="00C83EB8" w:rsidP="00A42C58">
      <w:pPr>
        <w:spacing w:after="0" w:line="240" w:lineRule="auto"/>
      </w:pPr>
      <w:r>
        <w:separator/>
      </w:r>
    </w:p>
  </w:endnote>
  <w:endnote w:type="continuationSeparator" w:id="0">
    <w:p w14:paraId="3575804F" w14:textId="77777777" w:rsidR="00C83EB8" w:rsidRDefault="00C83EB8" w:rsidP="00A4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0C02" w14:textId="77777777" w:rsidR="00AB2DE8" w:rsidRDefault="00AB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AB2DE8" w14:paraId="3DA00C83" w14:textId="77777777" w:rsidTr="0088389F">
      <w:trPr>
        <w:jc w:val="center"/>
      </w:trPr>
      <w:tc>
        <w:tcPr>
          <w:tcW w:w="646" w:type="pct"/>
          <w:vMerge w:val="restart"/>
          <w:vAlign w:val="center"/>
        </w:tcPr>
        <w:p w14:paraId="731DAD67" w14:textId="77777777" w:rsidR="00AB2DE8" w:rsidRDefault="00AB2DE8" w:rsidP="00AB2DE8">
          <w:pPr>
            <w:spacing w:after="60"/>
            <w:jc w:val="center"/>
            <w:rPr>
              <w:noProof/>
              <w:rtl/>
            </w:rPr>
          </w:pPr>
          <w:r>
            <w:rPr>
              <w:rFonts w:hint="cs"/>
              <w:noProof/>
              <w:lang w:val="en-GB" w:eastAsia="en-GB"/>
            </w:rPr>
            <w:drawing>
              <wp:inline distT="0" distB="0" distL="0" distR="0" wp14:anchorId="259698B2" wp14:editId="1D6CB43E">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549232BE" w14:textId="77777777" w:rsidR="00AB2DE8" w:rsidRDefault="00AB2DE8" w:rsidP="00AB2DE8">
          <w:pPr>
            <w:spacing w:after="60"/>
            <w:rPr>
              <w:rFonts w:ascii="Times New Roman" w:hAnsi="Times New Roman" w:cs="Times New Roman"/>
              <w:b/>
              <w:bCs/>
              <w:color w:val="000066"/>
              <w:sz w:val="20"/>
              <w:szCs w:val="20"/>
            </w:rPr>
          </w:pPr>
        </w:p>
        <w:p w14:paraId="07B17347" w14:textId="77777777" w:rsidR="00AB2DE8" w:rsidRPr="00EB74DC" w:rsidRDefault="00AB2DE8" w:rsidP="00AB2DE8">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AB2DE8" w14:paraId="1C736595" w14:textId="77777777" w:rsidTr="0088389F">
      <w:trPr>
        <w:jc w:val="center"/>
      </w:trPr>
      <w:tc>
        <w:tcPr>
          <w:tcW w:w="646" w:type="pct"/>
          <w:vMerge/>
        </w:tcPr>
        <w:p w14:paraId="400CCD64" w14:textId="77777777" w:rsidR="00AB2DE8" w:rsidRDefault="00AB2DE8" w:rsidP="00AB2DE8">
          <w:pPr>
            <w:jc w:val="center"/>
            <w:rPr>
              <w:b/>
              <w:bCs/>
              <w:noProof/>
              <w:lang w:bidi="ar-EG"/>
            </w:rPr>
          </w:pPr>
        </w:p>
      </w:tc>
      <w:tc>
        <w:tcPr>
          <w:tcW w:w="278" w:type="pct"/>
          <w:vMerge w:val="restart"/>
          <w:vAlign w:val="center"/>
        </w:tcPr>
        <w:p w14:paraId="463039F6" w14:textId="77777777" w:rsidR="00AB2DE8" w:rsidRPr="000F15D5" w:rsidRDefault="00AB2DE8" w:rsidP="00AB2DE8">
          <w:pPr>
            <w:jc w:val="center"/>
            <w:rPr>
              <w:b/>
              <w:bCs/>
              <w:lang w:bidi="ar-EG"/>
            </w:rPr>
          </w:pPr>
          <w:r>
            <w:rPr>
              <w:b/>
              <w:bCs/>
              <w:noProof/>
              <w:lang w:val="en-GB" w:eastAsia="en-GB"/>
            </w:rPr>
            <w:drawing>
              <wp:inline distT="0" distB="0" distL="0" distR="0" wp14:anchorId="6E4B5E40" wp14:editId="5C6BB223">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432C7AE4" w14:textId="77777777" w:rsidR="00AB2DE8" w:rsidRPr="000F15D5" w:rsidRDefault="00AB2DE8" w:rsidP="00AB2DE8">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AB2DE8" w14:paraId="1C4447BC" w14:textId="77777777" w:rsidTr="0088389F">
      <w:trPr>
        <w:jc w:val="center"/>
      </w:trPr>
      <w:tc>
        <w:tcPr>
          <w:tcW w:w="646" w:type="pct"/>
          <w:vMerge/>
        </w:tcPr>
        <w:p w14:paraId="120CB60F" w14:textId="77777777" w:rsidR="00AB2DE8" w:rsidRDefault="00AB2DE8" w:rsidP="00AB2DE8">
          <w:pPr>
            <w:jc w:val="center"/>
            <w:rPr>
              <w:lang w:bidi="ar-EG"/>
            </w:rPr>
          </w:pPr>
        </w:p>
      </w:tc>
      <w:tc>
        <w:tcPr>
          <w:tcW w:w="278" w:type="pct"/>
          <w:vMerge/>
          <w:vAlign w:val="center"/>
        </w:tcPr>
        <w:p w14:paraId="0CB12862" w14:textId="77777777" w:rsidR="00AB2DE8" w:rsidRDefault="00AB2DE8" w:rsidP="00AB2DE8">
          <w:pPr>
            <w:jc w:val="center"/>
            <w:rPr>
              <w:lang w:bidi="ar-EG"/>
            </w:rPr>
          </w:pPr>
        </w:p>
      </w:tc>
      <w:tc>
        <w:tcPr>
          <w:tcW w:w="4076" w:type="pct"/>
          <w:gridSpan w:val="5"/>
          <w:vAlign w:val="center"/>
        </w:tcPr>
        <w:p w14:paraId="0366DD4B" w14:textId="77777777" w:rsidR="00AB2DE8" w:rsidRPr="000F15D5" w:rsidRDefault="00AB2DE8" w:rsidP="00AB2DE8">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AB2DE8" w14:paraId="7FD07F73" w14:textId="77777777" w:rsidTr="0088389F">
      <w:trPr>
        <w:jc w:val="center"/>
      </w:trPr>
      <w:tc>
        <w:tcPr>
          <w:tcW w:w="646" w:type="pct"/>
          <w:vMerge/>
        </w:tcPr>
        <w:p w14:paraId="0280C7B3" w14:textId="77777777" w:rsidR="00AB2DE8" w:rsidRDefault="00AB2DE8" w:rsidP="00AB2DE8">
          <w:pPr>
            <w:jc w:val="center"/>
            <w:rPr>
              <w:noProof/>
              <w:lang w:bidi="ar-EG"/>
            </w:rPr>
          </w:pPr>
        </w:p>
      </w:tc>
      <w:tc>
        <w:tcPr>
          <w:tcW w:w="278" w:type="pct"/>
          <w:vAlign w:val="center"/>
        </w:tcPr>
        <w:p w14:paraId="2179CDAF" w14:textId="77777777" w:rsidR="00AB2DE8" w:rsidRDefault="00AB2DE8" w:rsidP="00AB2DE8">
          <w:pPr>
            <w:jc w:val="center"/>
            <w:rPr>
              <w:lang w:bidi="ar-EG"/>
            </w:rPr>
          </w:pPr>
          <w:r>
            <w:rPr>
              <w:noProof/>
              <w:lang w:val="en-GB" w:eastAsia="en-GB"/>
            </w:rPr>
            <w:drawing>
              <wp:inline distT="0" distB="0" distL="0" distR="0" wp14:anchorId="2A9DD058" wp14:editId="034E7B77">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58D47A22" w14:textId="77777777" w:rsidR="00AB2DE8" w:rsidRPr="000F15D5" w:rsidRDefault="00AB2DE8" w:rsidP="00AB2DE8">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6A5E46BC" w14:textId="77777777" w:rsidR="00AB2DE8" w:rsidRPr="000F15D5" w:rsidRDefault="00AB2DE8" w:rsidP="00AB2DE8">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3DCC9913" w14:textId="77777777" w:rsidR="00AB2DE8" w:rsidRPr="00A20672" w:rsidRDefault="00AB2DE8" w:rsidP="00AB2DE8">
          <w:pPr>
            <w:rPr>
              <w:b/>
              <w:bCs/>
              <w:sz w:val="18"/>
              <w:szCs w:val="18"/>
              <w:lang w:bidi="ar-EG"/>
            </w:rPr>
          </w:pPr>
          <w:r>
            <w:rPr>
              <w:b/>
              <w:bCs/>
              <w:noProof/>
              <w:sz w:val="18"/>
              <w:szCs w:val="18"/>
              <w:lang w:val="en-GB" w:eastAsia="en-GB"/>
            </w:rPr>
            <w:drawing>
              <wp:inline distT="0" distB="0" distL="0" distR="0" wp14:anchorId="74E3403F" wp14:editId="4D249DAF">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6D1954A0" w14:textId="77777777" w:rsidR="00AB2DE8" w:rsidRPr="000F15D5" w:rsidRDefault="00AB2DE8" w:rsidP="00AB2DE8">
          <w:pPr>
            <w:rPr>
              <w:sz w:val="18"/>
              <w:szCs w:val="18"/>
              <w:lang w:bidi="ar-EG"/>
            </w:rPr>
          </w:pPr>
          <w:r w:rsidRPr="0086433E">
            <w:rPr>
              <w:rStyle w:val="apple-style-span"/>
              <w:color w:val="000000"/>
              <w:sz w:val="20"/>
              <w:szCs w:val="20"/>
            </w:rPr>
            <w:t>maat@maatpeace.org</w:t>
          </w:r>
        </w:p>
      </w:tc>
    </w:tr>
    <w:tr w:rsidR="00AB2DE8" w14:paraId="796E82ED" w14:textId="77777777" w:rsidTr="0088389F">
      <w:trPr>
        <w:jc w:val="center"/>
      </w:trPr>
      <w:tc>
        <w:tcPr>
          <w:tcW w:w="646" w:type="pct"/>
          <w:vMerge/>
        </w:tcPr>
        <w:p w14:paraId="7CB64C65" w14:textId="77777777" w:rsidR="00AB2DE8" w:rsidRDefault="00AB2DE8" w:rsidP="00AB2DE8">
          <w:pPr>
            <w:jc w:val="center"/>
            <w:rPr>
              <w:noProof/>
              <w:lang w:bidi="ar-EG"/>
            </w:rPr>
          </w:pPr>
        </w:p>
      </w:tc>
      <w:tc>
        <w:tcPr>
          <w:tcW w:w="278" w:type="pct"/>
          <w:vAlign w:val="center"/>
        </w:tcPr>
        <w:p w14:paraId="789DB500" w14:textId="77777777" w:rsidR="00AB2DE8" w:rsidRDefault="00AB2DE8" w:rsidP="00AB2DE8">
          <w:pPr>
            <w:jc w:val="center"/>
            <w:rPr>
              <w:noProof/>
              <w:lang w:bidi="ar-EG"/>
            </w:rPr>
          </w:pPr>
          <w:r>
            <w:rPr>
              <w:noProof/>
              <w:lang w:val="en-GB" w:eastAsia="en-GB"/>
            </w:rPr>
            <w:drawing>
              <wp:inline distT="0" distB="0" distL="0" distR="0" wp14:anchorId="10C2299B" wp14:editId="03C2C96C">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535BA02" w14:textId="77777777" w:rsidR="00AB2DE8" w:rsidRPr="00DE0507" w:rsidRDefault="00AB2DE8" w:rsidP="00AB2DE8">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092DC60E" w14:textId="77777777" w:rsidR="00AB2DE8" w:rsidRPr="00DE0507" w:rsidRDefault="00AB2DE8" w:rsidP="00AB2DE8">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3C13CD12" w14:textId="77777777" w:rsidR="00AB2DE8" w:rsidRDefault="00AB2DE8" w:rsidP="00AB2DE8">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2B5EADB" wp14:editId="77FFBD5B">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5EAEF80A" w14:textId="77777777" w:rsidR="00AB2DE8" w:rsidRPr="0086433E" w:rsidRDefault="00AB2DE8" w:rsidP="00AB2DE8">
          <w:pPr>
            <w:rPr>
              <w:rStyle w:val="apple-style-span"/>
              <w:color w:val="000000"/>
              <w:sz w:val="20"/>
              <w:szCs w:val="20"/>
            </w:rPr>
          </w:pPr>
          <w:r w:rsidRPr="0086433E">
            <w:rPr>
              <w:rStyle w:val="apple-style-span"/>
              <w:b/>
              <w:bCs/>
              <w:color w:val="000000" w:themeColor="text1"/>
              <w:sz w:val="18"/>
              <w:szCs w:val="18"/>
            </w:rPr>
            <w:t>+201226521170</w:t>
          </w:r>
        </w:p>
      </w:tc>
    </w:tr>
  </w:tbl>
  <w:p w14:paraId="1FA1C280" w14:textId="77777777" w:rsidR="00AB2DE8" w:rsidRPr="00AB2DE8" w:rsidRDefault="00AB2DE8" w:rsidP="00AB2DE8">
    <w:pPr>
      <w:pStyle w:val="Footer"/>
      <w:rPr>
        <w:sz w:val="2"/>
        <w:szCs w:val="2"/>
      </w:rPr>
    </w:pPr>
    <w:r>
      <w:rPr>
        <w:noProof/>
        <w:lang w:val="en-GB" w:eastAsia="en-GB"/>
      </w:rPr>
      <w:drawing>
        <wp:anchor distT="0" distB="0" distL="114300" distR="114300" simplePos="0" relativeHeight="251659264" behindDoc="0" locked="0" layoutInCell="1" allowOverlap="1" wp14:anchorId="2910382F" wp14:editId="6E481ABE">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136E" w14:textId="77777777" w:rsidR="00AB2DE8" w:rsidRDefault="00AB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ABB10" w14:textId="77777777" w:rsidR="00C83EB8" w:rsidRDefault="00C83EB8" w:rsidP="00A42C58">
      <w:pPr>
        <w:spacing w:after="0" w:line="240" w:lineRule="auto"/>
      </w:pPr>
      <w:r>
        <w:separator/>
      </w:r>
    </w:p>
  </w:footnote>
  <w:footnote w:type="continuationSeparator" w:id="0">
    <w:p w14:paraId="41055247" w14:textId="77777777" w:rsidR="00C83EB8" w:rsidRDefault="00C83EB8" w:rsidP="00A42C58">
      <w:pPr>
        <w:spacing w:after="0" w:line="240" w:lineRule="auto"/>
      </w:pPr>
      <w:r>
        <w:continuationSeparator/>
      </w:r>
    </w:p>
  </w:footnote>
  <w:footnote w:id="1">
    <w:p w14:paraId="5F36E9A7" w14:textId="77777777" w:rsidR="00A42C58" w:rsidRDefault="00A42C58" w:rsidP="00AB2DE8">
      <w:pPr>
        <w:pStyle w:val="FootnoteText"/>
        <w:bidi/>
      </w:pPr>
      <w:r>
        <w:rPr>
          <w:rStyle w:val="FootnoteReference"/>
        </w:rPr>
        <w:footnoteRef/>
      </w:r>
      <w:r>
        <w:t xml:space="preserve"> </w:t>
      </w:r>
      <w:r w:rsidR="00AB2DE8">
        <w:rPr>
          <w:rFonts w:hint="cs"/>
          <w:rtl/>
        </w:rPr>
        <w:t xml:space="preserve">ديباجة القرار 39/9 لمجلس حقوق الانسان ، الدورة 39 لمجلس حقوق الانسان، 28 سبتمبر 2018،  الرابط، </w:t>
      </w:r>
      <w:hyperlink r:id="rId1" w:history="1">
        <w:r w:rsidR="00AB2DE8" w:rsidRPr="00BB2D99">
          <w:rPr>
            <w:rStyle w:val="Hyperlink"/>
          </w:rPr>
          <w:t>https://undocs.org/ar/A/HRC/RES/39/9</w:t>
        </w:r>
      </w:hyperlink>
    </w:p>
  </w:footnote>
  <w:footnote w:id="2">
    <w:p w14:paraId="58AE849B" w14:textId="77777777" w:rsidR="00DC2B2A" w:rsidRDefault="00DC2B2A">
      <w:pPr>
        <w:pStyle w:val="FootnoteText"/>
      </w:pPr>
      <w:r>
        <w:rPr>
          <w:rStyle w:val="FootnoteReference"/>
        </w:rPr>
        <w:footnoteRef/>
      </w:r>
      <w:r>
        <w:t xml:space="preserve"> </w:t>
      </w:r>
      <w:r w:rsidR="00AB2DE8" w:rsidRPr="00E250C0">
        <w:t>Draft convention on the right to development, Working Group on the Right to Development, Twenty-first session, link, 4–8 May 2020,</w:t>
      </w:r>
      <w:r w:rsidR="00AB2DE8">
        <w:t xml:space="preserve"> </w:t>
      </w:r>
      <w:bookmarkStart w:id="9" w:name="OLE_LINK23"/>
      <w:bookmarkStart w:id="10" w:name="OLE_LINK24"/>
      <w:r w:rsidR="00AB2DE8">
        <w:fldChar w:fldCharType="begin"/>
      </w:r>
      <w:r w:rsidR="00AB2DE8">
        <w:instrText xml:space="preserve"> HYPERLINK "</w:instrText>
      </w:r>
      <w:r w:rsidR="00AB2DE8" w:rsidRPr="001F6824">
        <w:instrText>https://undocs.org/en/A/HRC/WG.2/21/2</w:instrText>
      </w:r>
      <w:r w:rsidR="00AB2DE8">
        <w:instrText xml:space="preserve">" </w:instrText>
      </w:r>
      <w:r w:rsidR="00AB2DE8">
        <w:fldChar w:fldCharType="separate"/>
      </w:r>
      <w:r w:rsidR="00AB2DE8" w:rsidRPr="00463D53">
        <w:rPr>
          <w:rStyle w:val="Hyperlink"/>
        </w:rPr>
        <w:t>https://undocs.org/en/A/HRC/WG.2/21/2</w:t>
      </w:r>
      <w:bookmarkEnd w:id="9"/>
      <w:bookmarkEnd w:id="10"/>
      <w:r w:rsidR="00AB2DE8">
        <w:fldChar w:fldCharType="end"/>
      </w:r>
    </w:p>
  </w:footnote>
  <w:footnote w:id="3">
    <w:p w14:paraId="3A221F73" w14:textId="77777777" w:rsidR="00691FBF" w:rsidRDefault="00691FBF" w:rsidP="00AB2DE8">
      <w:pPr>
        <w:pStyle w:val="FootnoteText"/>
        <w:bidi/>
      </w:pPr>
      <w:r>
        <w:rPr>
          <w:rStyle w:val="FootnoteReference"/>
        </w:rPr>
        <w:footnoteRef/>
      </w:r>
      <w:r>
        <w:t xml:space="preserve"> </w:t>
      </w:r>
      <w:r w:rsidR="00AB2DE8">
        <w:rPr>
          <w:rFonts w:hint="cs"/>
          <w:rtl/>
        </w:rPr>
        <w:t xml:space="preserve">التكاليف الاقتصادية التي يتكبدها الشعب الفلسطيني بسبب الاحتلال الاسرائيلي، الدورة السادسة والسبعون للجمعية العامة للامم المتحدة، 30 اغسطس 2021، الرابط، </w:t>
      </w:r>
      <w:hyperlink r:id="rId2" w:history="1">
        <w:r w:rsidR="00AB2DE8" w:rsidRPr="00DD0727">
          <w:rPr>
            <w:rStyle w:val="Hyperlink"/>
          </w:rPr>
          <w:t>https://www.undocs.org/ar/A/76/309</w:t>
        </w:r>
      </w:hyperlink>
    </w:p>
  </w:footnote>
  <w:footnote w:id="4">
    <w:p w14:paraId="4A1D6342" w14:textId="77777777" w:rsidR="000528F7" w:rsidRDefault="000528F7" w:rsidP="00AB2DE8">
      <w:pPr>
        <w:pStyle w:val="FootnoteText"/>
        <w:bidi/>
      </w:pPr>
      <w:r>
        <w:rPr>
          <w:rStyle w:val="FootnoteReference"/>
        </w:rPr>
        <w:footnoteRef/>
      </w:r>
      <w:r>
        <w:t xml:space="preserve"> </w:t>
      </w:r>
      <w:r w:rsidR="00AB2DE8">
        <w:rPr>
          <w:rFonts w:hint="cs"/>
          <w:rtl/>
          <w:lang w:bidi="ar-EG"/>
        </w:rPr>
        <w:t xml:space="preserve">استغراب فلسطيني للصمت الدولي على الانتهاكات الاسرائيلية، موقع الشرق الاوسط، 20 فبراير 2021، الرابط، </w:t>
      </w:r>
      <w:hyperlink r:id="rId3" w:history="1">
        <w:r w:rsidR="00AB2DE8" w:rsidRPr="003436F7">
          <w:rPr>
            <w:rStyle w:val="Hyperlink"/>
            <w:lang w:bidi="ar-EG"/>
          </w:rPr>
          <w:t>https://bit.ly/3e7d6HV</w:t>
        </w:r>
      </w:hyperlink>
    </w:p>
  </w:footnote>
  <w:footnote w:id="5">
    <w:p w14:paraId="6475A4B4" w14:textId="77777777" w:rsidR="00222105" w:rsidRDefault="00222105">
      <w:pPr>
        <w:pStyle w:val="FootnoteText"/>
      </w:pPr>
      <w:r>
        <w:rPr>
          <w:rStyle w:val="FootnoteReference"/>
        </w:rPr>
        <w:footnoteRef/>
      </w:r>
      <w:r>
        <w:t xml:space="preserve"> </w:t>
      </w:r>
      <w:r w:rsidR="00AB2DE8" w:rsidRPr="00E250C0">
        <w:t>Draft convention on the right to development, Working Group on the Right to Development, Twenty-first session, link, 4–8 May 2020,</w:t>
      </w:r>
      <w:r w:rsidR="00AB2DE8">
        <w:t xml:space="preserve"> </w:t>
      </w:r>
      <w:hyperlink r:id="rId4" w:history="1">
        <w:r w:rsidR="00AB2DE8" w:rsidRPr="00BB2D99">
          <w:rPr>
            <w:rStyle w:val="Hyperlink"/>
          </w:rPr>
          <w:t>https://undocs.org/en/A/HRC/WG.2/21/2</w:t>
        </w:r>
      </w:hyperlink>
    </w:p>
  </w:footnote>
  <w:footnote w:id="6">
    <w:p w14:paraId="103C8368" w14:textId="77777777" w:rsidR="00CE0345" w:rsidRDefault="00CE0345" w:rsidP="00AB2DE8">
      <w:pPr>
        <w:pStyle w:val="FootnoteText"/>
        <w:bidi/>
      </w:pPr>
      <w:r>
        <w:rPr>
          <w:rStyle w:val="FootnoteReference"/>
        </w:rPr>
        <w:footnoteRef/>
      </w:r>
      <w:r>
        <w:t xml:space="preserve"> </w:t>
      </w:r>
      <w:r w:rsidR="00AB2DE8">
        <w:rPr>
          <w:rFonts w:hint="cs"/>
          <w:rtl/>
        </w:rPr>
        <w:t xml:space="preserve">التكاليف الاقتصادية التي يتكبدها الشعب الفلسطيني بسبب الاحتلال الاسرائيلي، الدورة السادسة والسبعون للجمعية العامة للامم المتحدة، 30 اغسطس 2021، الرابط، </w:t>
      </w:r>
      <w:hyperlink r:id="rId5" w:history="1">
        <w:r w:rsidR="00AB2DE8" w:rsidRPr="00DD0727">
          <w:rPr>
            <w:rStyle w:val="Hyperlink"/>
          </w:rPr>
          <w:t>https://www.undocs.org/ar/A/76/309</w:t>
        </w:r>
      </w:hyperlink>
    </w:p>
  </w:footnote>
  <w:footnote w:id="7">
    <w:p w14:paraId="7C89E37A" w14:textId="77777777" w:rsidR="00F6492B" w:rsidRDefault="00F6492B">
      <w:pPr>
        <w:pStyle w:val="FootnoteText"/>
      </w:pPr>
      <w:r>
        <w:rPr>
          <w:rStyle w:val="FootnoteReference"/>
        </w:rPr>
        <w:footnoteRef/>
      </w:r>
      <w:r>
        <w:t xml:space="preserve"> </w:t>
      </w:r>
      <w:r w:rsidR="00AB2DE8" w:rsidRPr="00E250C0">
        <w:t>Draft convention on the right to development, Working Group on the Right to Development, Twenty-first session, link, 4–8 May 2020,</w:t>
      </w:r>
      <w:r w:rsidR="00AB2DE8">
        <w:t xml:space="preserve"> </w:t>
      </w:r>
      <w:hyperlink r:id="rId6" w:history="1">
        <w:r w:rsidR="00AB2DE8" w:rsidRPr="00BB2D99">
          <w:rPr>
            <w:rStyle w:val="Hyperlink"/>
          </w:rPr>
          <w:t>https://undocs.org/en/A/HRC/WG.2/21/2</w:t>
        </w:r>
      </w:hyperlink>
    </w:p>
  </w:footnote>
  <w:footnote w:id="8">
    <w:p w14:paraId="50E8B016" w14:textId="77777777" w:rsidR="000751F3" w:rsidRDefault="000751F3" w:rsidP="00AB2DE8">
      <w:pPr>
        <w:pStyle w:val="FootnoteText"/>
      </w:pPr>
      <w:r>
        <w:rPr>
          <w:rStyle w:val="FootnoteReference"/>
        </w:rPr>
        <w:footnoteRef/>
      </w:r>
      <w:r>
        <w:t xml:space="preserve"> </w:t>
      </w:r>
      <w:r w:rsidR="00AB2DE8">
        <w:t>International Organization for the Elimination of All Forms of Racial Discrimination (EAFORD), Report to Human Rights Council Working Group on Universal Periodic Review, 29th Session, (January to February 2018).</w:t>
      </w:r>
    </w:p>
  </w:footnote>
  <w:footnote w:id="9">
    <w:p w14:paraId="09B82412" w14:textId="77777777" w:rsidR="00377B4B" w:rsidRDefault="00377B4B" w:rsidP="00AB2DE8">
      <w:pPr>
        <w:pStyle w:val="FootnoteText"/>
        <w:bidi/>
      </w:pPr>
      <w:r>
        <w:rPr>
          <w:rStyle w:val="FootnoteReference"/>
        </w:rPr>
        <w:footnoteRef/>
      </w:r>
      <w:r>
        <w:t xml:space="preserve"> </w:t>
      </w:r>
      <w:r w:rsidR="00AB2DE8" w:rsidRPr="007F19FC">
        <w:rPr>
          <w:rtl/>
        </w:rPr>
        <w:t>التقرير الأسبوعي حول الانتهاكات الإسرائيلية في الأرض الفلسطينيــة المحتلــة (30 ديسمبر 2021 – 5 يناير 2022)</w:t>
      </w:r>
      <w:r w:rsidR="00AB2DE8" w:rsidRPr="007F19FC">
        <w:rPr>
          <w:rFonts w:hint="cs"/>
          <w:rtl/>
        </w:rPr>
        <w:t xml:space="preserve">، المركز الفلسطيني لحقوق الانسان، </w:t>
      </w:r>
      <w:hyperlink r:id="rId7" w:history="1">
        <w:r w:rsidR="00AB2DE8" w:rsidRPr="0031397D">
          <w:rPr>
            <w:rStyle w:val="Hyperlink"/>
          </w:rPr>
          <w:t>https://bit.ly/3t8SeZK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DE25" w14:textId="77777777" w:rsidR="00AB2DE8" w:rsidRDefault="00AB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342E" w14:textId="77777777" w:rsidR="00AB2DE8" w:rsidRDefault="00AB2DE8">
    <w:pPr>
      <w:pStyle w:val="Header"/>
    </w:pPr>
    <w:r>
      <w:rPr>
        <w:rFonts w:hint="cs"/>
        <w:noProof/>
        <w:lang w:val="en-GB" w:eastAsia="en-GB"/>
      </w:rPr>
      <w:drawing>
        <wp:inline distT="0" distB="0" distL="0" distR="0" wp14:anchorId="3DF12092" wp14:editId="667B5C73">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DA14" w14:textId="77777777" w:rsidR="00AB2DE8" w:rsidRDefault="00AB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E59"/>
    <w:multiLevelType w:val="hybridMultilevel"/>
    <w:tmpl w:val="AC98EE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E15999"/>
    <w:multiLevelType w:val="hybridMultilevel"/>
    <w:tmpl w:val="0B7AB5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E35B5"/>
    <w:multiLevelType w:val="hybridMultilevel"/>
    <w:tmpl w:val="227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96BBA"/>
    <w:multiLevelType w:val="hybridMultilevel"/>
    <w:tmpl w:val="3DDE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79"/>
    <w:rsid w:val="000130F7"/>
    <w:rsid w:val="000275FF"/>
    <w:rsid w:val="000528F7"/>
    <w:rsid w:val="000740B5"/>
    <w:rsid w:val="000751F3"/>
    <w:rsid w:val="00077B54"/>
    <w:rsid w:val="000A0BFF"/>
    <w:rsid w:val="000D3F88"/>
    <w:rsid w:val="001A0955"/>
    <w:rsid w:val="001A2832"/>
    <w:rsid w:val="001F6AA6"/>
    <w:rsid w:val="00222105"/>
    <w:rsid w:val="0024770B"/>
    <w:rsid w:val="00287B80"/>
    <w:rsid w:val="002D42A9"/>
    <w:rsid w:val="00310369"/>
    <w:rsid w:val="00364FAF"/>
    <w:rsid w:val="00375E32"/>
    <w:rsid w:val="00377B4B"/>
    <w:rsid w:val="0038488F"/>
    <w:rsid w:val="003B49FA"/>
    <w:rsid w:val="003C2BDA"/>
    <w:rsid w:val="003C7324"/>
    <w:rsid w:val="0042288F"/>
    <w:rsid w:val="0044005F"/>
    <w:rsid w:val="00491EB9"/>
    <w:rsid w:val="004B38C4"/>
    <w:rsid w:val="006031F4"/>
    <w:rsid w:val="00603C6F"/>
    <w:rsid w:val="006041BE"/>
    <w:rsid w:val="006219E7"/>
    <w:rsid w:val="00652461"/>
    <w:rsid w:val="0068526F"/>
    <w:rsid w:val="00691FBF"/>
    <w:rsid w:val="006A3D6D"/>
    <w:rsid w:val="006D6B8F"/>
    <w:rsid w:val="00740265"/>
    <w:rsid w:val="00802F3F"/>
    <w:rsid w:val="00826697"/>
    <w:rsid w:val="008B18E8"/>
    <w:rsid w:val="009221DD"/>
    <w:rsid w:val="0092785F"/>
    <w:rsid w:val="00932D80"/>
    <w:rsid w:val="00947ED2"/>
    <w:rsid w:val="009746D6"/>
    <w:rsid w:val="00993471"/>
    <w:rsid w:val="009A1AC0"/>
    <w:rsid w:val="009C4EB8"/>
    <w:rsid w:val="009F5447"/>
    <w:rsid w:val="009F578D"/>
    <w:rsid w:val="00A007DF"/>
    <w:rsid w:val="00A42C58"/>
    <w:rsid w:val="00A45D13"/>
    <w:rsid w:val="00AB2DE8"/>
    <w:rsid w:val="00AC7DD0"/>
    <w:rsid w:val="00AD4F6D"/>
    <w:rsid w:val="00AE7E4C"/>
    <w:rsid w:val="00AF0352"/>
    <w:rsid w:val="00AF23F8"/>
    <w:rsid w:val="00C83EB8"/>
    <w:rsid w:val="00CA37A3"/>
    <w:rsid w:val="00CE0345"/>
    <w:rsid w:val="00CF5968"/>
    <w:rsid w:val="00D46B85"/>
    <w:rsid w:val="00D7355D"/>
    <w:rsid w:val="00D809FB"/>
    <w:rsid w:val="00DC2B2A"/>
    <w:rsid w:val="00DF0E79"/>
    <w:rsid w:val="00E20490"/>
    <w:rsid w:val="00E20CF0"/>
    <w:rsid w:val="00E2729D"/>
    <w:rsid w:val="00E32CCE"/>
    <w:rsid w:val="00E60FB2"/>
    <w:rsid w:val="00E80879"/>
    <w:rsid w:val="00E91E94"/>
    <w:rsid w:val="00EA1B7D"/>
    <w:rsid w:val="00EB6531"/>
    <w:rsid w:val="00ED189E"/>
    <w:rsid w:val="00F1130F"/>
    <w:rsid w:val="00F6492B"/>
    <w:rsid w:val="00FB07CD"/>
    <w:rsid w:val="00FD2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6975C"/>
  <w15:chartTrackingRefBased/>
  <w15:docId w15:val="{8F016D44-4D92-4E03-9D2A-8886BD2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2D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1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2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C58"/>
    <w:rPr>
      <w:sz w:val="20"/>
      <w:szCs w:val="20"/>
    </w:rPr>
  </w:style>
  <w:style w:type="character" w:styleId="FootnoteReference">
    <w:name w:val="footnote reference"/>
    <w:basedOn w:val="DefaultParagraphFont"/>
    <w:uiPriority w:val="99"/>
    <w:semiHidden/>
    <w:unhideWhenUsed/>
    <w:rsid w:val="00A42C58"/>
    <w:rPr>
      <w:vertAlign w:val="superscript"/>
    </w:rPr>
  </w:style>
  <w:style w:type="paragraph" w:styleId="ListParagraph">
    <w:name w:val="List Paragraph"/>
    <w:basedOn w:val="Normal"/>
    <w:uiPriority w:val="34"/>
    <w:qFormat/>
    <w:rsid w:val="000130F7"/>
    <w:pPr>
      <w:ind w:left="720"/>
      <w:contextualSpacing/>
    </w:pPr>
  </w:style>
  <w:style w:type="character" w:styleId="Hyperlink">
    <w:name w:val="Hyperlink"/>
    <w:basedOn w:val="DefaultParagraphFont"/>
    <w:uiPriority w:val="99"/>
    <w:unhideWhenUsed/>
    <w:rsid w:val="00AB2DE8"/>
    <w:rPr>
      <w:color w:val="0563C1" w:themeColor="hyperlink"/>
      <w:u w:val="single"/>
    </w:rPr>
  </w:style>
  <w:style w:type="character" w:customStyle="1" w:styleId="Heading1Char">
    <w:name w:val="Heading 1 Char"/>
    <w:basedOn w:val="DefaultParagraphFont"/>
    <w:link w:val="Heading1"/>
    <w:uiPriority w:val="9"/>
    <w:rsid w:val="00AB2D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B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DE8"/>
  </w:style>
  <w:style w:type="paragraph" w:styleId="Footer">
    <w:name w:val="footer"/>
    <w:basedOn w:val="Normal"/>
    <w:link w:val="FooterChar"/>
    <w:uiPriority w:val="99"/>
    <w:unhideWhenUsed/>
    <w:rsid w:val="00AB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DE8"/>
  </w:style>
  <w:style w:type="table" w:styleId="TableGrid">
    <w:name w:val="Table Grid"/>
    <w:basedOn w:val="TableNormal"/>
    <w:uiPriority w:val="39"/>
    <w:rsid w:val="00AB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B2DE8"/>
  </w:style>
  <w:style w:type="character" w:customStyle="1" w:styleId="Heading2Char">
    <w:name w:val="Heading 2 Char"/>
    <w:basedOn w:val="DefaultParagraphFont"/>
    <w:link w:val="Heading2"/>
    <w:uiPriority w:val="9"/>
    <w:rsid w:val="006219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t.ly/3e7d6HV" TargetMode="External"/><Relationship Id="rId7" Type="http://schemas.openxmlformats.org/officeDocument/2006/relationships/hyperlink" Target="https://bit.ly/3t8SeZK" TargetMode="External"/><Relationship Id="rId2" Type="http://schemas.openxmlformats.org/officeDocument/2006/relationships/hyperlink" Target="https://www.undocs.org/ar/A/76/309" TargetMode="External"/><Relationship Id="rId1" Type="http://schemas.openxmlformats.org/officeDocument/2006/relationships/hyperlink" Target="https://undocs.org/ar/A/HRC/RES/39/9" TargetMode="External"/><Relationship Id="rId6" Type="http://schemas.openxmlformats.org/officeDocument/2006/relationships/hyperlink" Target="https://undocs.org/en/A/HRC/WG.2/21/2" TargetMode="External"/><Relationship Id="rId5" Type="http://schemas.openxmlformats.org/officeDocument/2006/relationships/hyperlink" Target="https://www.undocs.org/ar/A/76/309" TargetMode="External"/><Relationship Id="rId4" Type="http://schemas.openxmlformats.org/officeDocument/2006/relationships/hyperlink" Target="https://undocs.org/en/A/HRC/WG.2/2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6FD9472-329A-4133-8F62-B85513C4023E}">
  <ds:schemaRefs>
    <ds:schemaRef ds:uri="http://schemas.openxmlformats.org/officeDocument/2006/bibliography"/>
  </ds:schemaRefs>
</ds:datastoreItem>
</file>

<file path=customXml/itemProps2.xml><?xml version="1.0" encoding="utf-8"?>
<ds:datastoreItem xmlns:ds="http://schemas.openxmlformats.org/officeDocument/2006/customXml" ds:itemID="{B64DA3F8-0325-4754-8BF9-6DD767A8FD9E}"/>
</file>

<file path=customXml/itemProps3.xml><?xml version="1.0" encoding="utf-8"?>
<ds:datastoreItem xmlns:ds="http://schemas.openxmlformats.org/officeDocument/2006/customXml" ds:itemID="{2206FADE-03AE-4AE1-A46F-C7687EAB7BC7}"/>
</file>

<file path=customXml/itemProps4.xml><?xml version="1.0" encoding="utf-8"?>
<ds:datastoreItem xmlns:ds="http://schemas.openxmlformats.org/officeDocument/2006/customXml" ds:itemID="{7F3632BC-BADC-4A29-9026-0542D45B7AB0}"/>
</file>

<file path=docProps/app.xml><?xml version="1.0" encoding="utf-8"?>
<Properties xmlns="http://schemas.openxmlformats.org/officeDocument/2006/extended-properties" xmlns:vt="http://schemas.openxmlformats.org/officeDocument/2006/docPropsVTypes">
  <Template>Normal.dotm</Template>
  <TotalTime>1</TotalTime>
  <Pages>6</Pages>
  <Words>2088</Words>
  <Characters>11905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Richard Lapper</cp:lastModifiedBy>
  <cp:revision>2</cp:revision>
  <dcterms:created xsi:type="dcterms:W3CDTF">2022-01-17T12:04:00Z</dcterms:created>
  <dcterms:modified xsi:type="dcterms:W3CDTF">2022-01-17T12:04:00Z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