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53AE" w14:textId="77777777" w:rsidR="00DD33DF" w:rsidRPr="006E41A2" w:rsidRDefault="00683C32" w:rsidP="0024724A">
      <w:pPr>
        <w:pStyle w:val="StandardWeb"/>
        <w:spacing w:before="0" w:beforeAutospacing="0" w:after="0" w:afterAutospacing="0"/>
        <w:jc w:val="both"/>
        <w:rPr>
          <w:b/>
          <w:bCs/>
          <w:iCs/>
          <w:color w:val="000000"/>
          <w:sz w:val="27"/>
          <w:szCs w:val="27"/>
        </w:rPr>
      </w:pPr>
      <w:r w:rsidRPr="006E41A2">
        <w:rPr>
          <w:b/>
          <w:bCs/>
          <w:iCs/>
          <w:color w:val="000000"/>
          <w:sz w:val="27"/>
          <w:szCs w:val="27"/>
        </w:rPr>
        <w:t xml:space="preserve">OHCHR: </w:t>
      </w:r>
      <w:r w:rsidR="00DD33DF" w:rsidRPr="006E41A2">
        <w:rPr>
          <w:b/>
          <w:bCs/>
          <w:iCs/>
          <w:color w:val="000000"/>
          <w:sz w:val="27"/>
          <w:szCs w:val="27"/>
        </w:rPr>
        <w:t>Questionnaire of the Special Rapporteur on the human rights of migrants:</w:t>
      </w:r>
      <w:r w:rsidRPr="006E41A2">
        <w:rPr>
          <w:b/>
          <w:bCs/>
          <w:iCs/>
          <w:color w:val="000000"/>
          <w:sz w:val="27"/>
          <w:szCs w:val="27"/>
        </w:rPr>
        <w:t xml:space="preserve"> </w:t>
      </w:r>
      <w:r w:rsidR="00AF077B">
        <w:rPr>
          <w:b/>
          <w:bCs/>
          <w:iCs/>
          <w:color w:val="000000"/>
          <w:sz w:val="27"/>
          <w:szCs w:val="27"/>
        </w:rPr>
        <w:t xml:space="preserve">Human rights violations at international borders: trends, </w:t>
      </w:r>
      <w:proofErr w:type="gramStart"/>
      <w:r w:rsidR="00AF077B">
        <w:rPr>
          <w:b/>
          <w:bCs/>
          <w:iCs/>
          <w:color w:val="000000"/>
          <w:sz w:val="27"/>
          <w:szCs w:val="27"/>
        </w:rPr>
        <w:t>prevention</w:t>
      </w:r>
      <w:proofErr w:type="gramEnd"/>
      <w:r w:rsidR="00AF077B">
        <w:rPr>
          <w:b/>
          <w:bCs/>
          <w:iCs/>
          <w:color w:val="000000"/>
          <w:sz w:val="27"/>
          <w:szCs w:val="27"/>
        </w:rPr>
        <w:t xml:space="preserve"> and </w:t>
      </w:r>
      <w:r w:rsidR="00401CA4">
        <w:rPr>
          <w:b/>
          <w:bCs/>
          <w:iCs/>
          <w:color w:val="000000"/>
          <w:sz w:val="27"/>
          <w:szCs w:val="27"/>
        </w:rPr>
        <w:t>accountability</w:t>
      </w:r>
    </w:p>
    <w:p w14:paraId="2B48FBA0" w14:textId="77777777" w:rsidR="00683C32" w:rsidRPr="006E41A2" w:rsidRDefault="00683C32" w:rsidP="0024724A">
      <w:pPr>
        <w:pStyle w:val="StandardWeb"/>
        <w:spacing w:before="0" w:beforeAutospacing="0" w:after="0" w:afterAutospacing="0"/>
        <w:jc w:val="both"/>
        <w:rPr>
          <w:b/>
          <w:bCs/>
          <w:iCs/>
          <w:color w:val="000000"/>
          <w:sz w:val="27"/>
          <w:szCs w:val="27"/>
        </w:rPr>
      </w:pPr>
    </w:p>
    <w:p w14:paraId="29E9F28E" w14:textId="77777777" w:rsidR="00683C32" w:rsidRPr="006E41A2" w:rsidRDefault="00683C32" w:rsidP="0024724A">
      <w:pPr>
        <w:pStyle w:val="StandardWeb"/>
        <w:spacing w:before="0" w:beforeAutospacing="0" w:after="0" w:afterAutospacing="0"/>
        <w:jc w:val="both"/>
        <w:rPr>
          <w:b/>
          <w:bCs/>
          <w:iCs/>
          <w:color w:val="000000"/>
          <w:sz w:val="27"/>
          <w:szCs w:val="27"/>
        </w:rPr>
      </w:pPr>
      <w:r w:rsidRPr="006E41A2">
        <w:rPr>
          <w:b/>
          <w:bCs/>
          <w:iCs/>
          <w:color w:val="000000"/>
          <w:sz w:val="27"/>
          <w:szCs w:val="27"/>
        </w:rPr>
        <w:t xml:space="preserve">Commentary by </w:t>
      </w:r>
      <w:proofErr w:type="spellStart"/>
      <w:r w:rsidRPr="006E41A2">
        <w:rPr>
          <w:b/>
          <w:bCs/>
          <w:iCs/>
          <w:color w:val="000000"/>
          <w:sz w:val="27"/>
          <w:szCs w:val="27"/>
        </w:rPr>
        <w:t>AsyLex</w:t>
      </w:r>
      <w:proofErr w:type="spellEnd"/>
      <w:r w:rsidRPr="006E41A2">
        <w:rPr>
          <w:b/>
          <w:bCs/>
          <w:iCs/>
          <w:color w:val="000000"/>
          <w:sz w:val="27"/>
          <w:szCs w:val="27"/>
        </w:rPr>
        <w:t xml:space="preserve"> regarding Switzerland</w:t>
      </w:r>
    </w:p>
    <w:p w14:paraId="0F0B0BBA" w14:textId="77777777" w:rsidR="00683C32" w:rsidRPr="006E41A2" w:rsidRDefault="00683C32" w:rsidP="0024724A">
      <w:pPr>
        <w:pStyle w:val="StandardWeb"/>
        <w:spacing w:before="0" w:beforeAutospacing="0" w:after="0" w:afterAutospacing="0"/>
        <w:jc w:val="both"/>
        <w:rPr>
          <w:b/>
          <w:bCs/>
          <w:iCs/>
          <w:color w:val="000000"/>
          <w:sz w:val="27"/>
          <w:szCs w:val="27"/>
        </w:rPr>
      </w:pPr>
    </w:p>
    <w:p w14:paraId="35CDA5C1" w14:textId="77777777" w:rsidR="00683C32" w:rsidRPr="006E41A2" w:rsidRDefault="00683C32" w:rsidP="0024724A">
      <w:pPr>
        <w:pStyle w:val="StandardWeb"/>
        <w:spacing w:before="0" w:beforeAutospacing="0" w:after="0" w:afterAutospacing="0"/>
        <w:ind w:left="1416" w:hanging="1416"/>
        <w:jc w:val="both"/>
        <w:rPr>
          <w:b/>
          <w:bCs/>
          <w:iCs/>
          <w:color w:val="000000"/>
          <w:sz w:val="22"/>
          <w:szCs w:val="22"/>
        </w:rPr>
      </w:pPr>
      <w:r w:rsidRPr="006E41A2">
        <w:rPr>
          <w:b/>
          <w:bCs/>
          <w:iCs/>
          <w:color w:val="000000"/>
          <w:sz w:val="22"/>
          <w:szCs w:val="22"/>
        </w:rPr>
        <w:t xml:space="preserve">Authors: </w:t>
      </w:r>
      <w:r w:rsidRPr="006E41A2">
        <w:rPr>
          <w:b/>
          <w:bCs/>
          <w:iCs/>
          <w:color w:val="000000"/>
          <w:sz w:val="22"/>
          <w:szCs w:val="22"/>
        </w:rPr>
        <w:tab/>
      </w:r>
      <w:proofErr w:type="spellStart"/>
      <w:r w:rsidRPr="006E41A2">
        <w:rPr>
          <w:b/>
          <w:bCs/>
          <w:iCs/>
          <w:color w:val="000000"/>
          <w:sz w:val="22"/>
          <w:szCs w:val="22"/>
        </w:rPr>
        <w:t>Joëlle</w:t>
      </w:r>
      <w:proofErr w:type="spellEnd"/>
      <w:r w:rsidRPr="006E41A2">
        <w:rPr>
          <w:b/>
          <w:bCs/>
          <w:iCs/>
          <w:color w:val="000000"/>
          <w:sz w:val="22"/>
          <w:szCs w:val="22"/>
        </w:rPr>
        <w:t xml:space="preserve"> Spahni, Dr. Stephanie </w:t>
      </w:r>
      <w:proofErr w:type="spellStart"/>
      <w:r w:rsidRPr="006E41A2">
        <w:rPr>
          <w:b/>
          <w:bCs/>
          <w:iCs/>
          <w:color w:val="000000"/>
          <w:sz w:val="22"/>
          <w:szCs w:val="22"/>
        </w:rPr>
        <w:t>Motz</w:t>
      </w:r>
      <w:proofErr w:type="spellEnd"/>
      <w:r w:rsidRPr="006E41A2">
        <w:rPr>
          <w:b/>
          <w:bCs/>
          <w:iCs/>
          <w:color w:val="000000"/>
          <w:sz w:val="22"/>
          <w:szCs w:val="22"/>
        </w:rPr>
        <w:t xml:space="preserve"> and Lea </w:t>
      </w:r>
      <w:proofErr w:type="spellStart"/>
      <w:r w:rsidRPr="006E41A2">
        <w:rPr>
          <w:b/>
          <w:bCs/>
          <w:iCs/>
          <w:color w:val="000000"/>
          <w:sz w:val="22"/>
          <w:szCs w:val="22"/>
        </w:rPr>
        <w:t>Hungerbühler</w:t>
      </w:r>
      <w:proofErr w:type="spellEnd"/>
    </w:p>
    <w:p w14:paraId="2D5CA605" w14:textId="77777777" w:rsidR="00683C32" w:rsidRPr="006E41A2" w:rsidRDefault="00683C32" w:rsidP="0024724A">
      <w:pPr>
        <w:pStyle w:val="StandardWeb"/>
        <w:spacing w:before="0" w:beforeAutospacing="0" w:after="0" w:afterAutospacing="0"/>
        <w:jc w:val="both"/>
        <w:rPr>
          <w:b/>
          <w:bCs/>
          <w:iCs/>
          <w:color w:val="000000"/>
          <w:sz w:val="22"/>
          <w:szCs w:val="22"/>
        </w:rPr>
      </w:pPr>
    </w:p>
    <w:p w14:paraId="5659DD8A" w14:textId="77777777" w:rsidR="00683C32" w:rsidRPr="006E41A2" w:rsidRDefault="00683C32" w:rsidP="0024724A">
      <w:pPr>
        <w:pStyle w:val="StandardWeb"/>
        <w:spacing w:before="0" w:beforeAutospacing="0" w:after="0" w:afterAutospacing="0"/>
        <w:jc w:val="both"/>
        <w:rPr>
          <w:b/>
          <w:bCs/>
          <w:iCs/>
          <w:color w:val="000000"/>
          <w:sz w:val="22"/>
          <w:szCs w:val="22"/>
        </w:rPr>
      </w:pPr>
      <w:r w:rsidRPr="006E41A2">
        <w:rPr>
          <w:b/>
          <w:bCs/>
          <w:iCs/>
          <w:color w:val="000000"/>
          <w:sz w:val="22"/>
          <w:szCs w:val="22"/>
        </w:rPr>
        <w:t xml:space="preserve">Date: </w:t>
      </w:r>
      <w:r w:rsidRPr="006E41A2">
        <w:rPr>
          <w:b/>
          <w:bCs/>
          <w:iCs/>
          <w:color w:val="000000"/>
          <w:sz w:val="22"/>
          <w:szCs w:val="22"/>
        </w:rPr>
        <w:tab/>
      </w:r>
      <w:r w:rsidRPr="006E41A2">
        <w:rPr>
          <w:b/>
          <w:bCs/>
          <w:iCs/>
          <w:color w:val="000000"/>
          <w:sz w:val="22"/>
          <w:szCs w:val="22"/>
        </w:rPr>
        <w:tab/>
      </w:r>
      <w:r w:rsidR="00FC399B" w:rsidRPr="00207D17">
        <w:rPr>
          <w:b/>
          <w:bCs/>
          <w:iCs/>
          <w:color w:val="000000"/>
          <w:sz w:val="22"/>
          <w:szCs w:val="22"/>
        </w:rPr>
        <w:t>25</w:t>
      </w:r>
      <w:r w:rsidR="00AF077B">
        <w:rPr>
          <w:b/>
          <w:bCs/>
          <w:iCs/>
          <w:color w:val="000000"/>
          <w:sz w:val="22"/>
          <w:szCs w:val="22"/>
        </w:rPr>
        <w:t xml:space="preserve"> February 2022</w:t>
      </w:r>
    </w:p>
    <w:p w14:paraId="5094DB29" w14:textId="77777777" w:rsidR="00683C32" w:rsidRPr="006E41A2" w:rsidRDefault="00683C32" w:rsidP="0024724A">
      <w:pPr>
        <w:pStyle w:val="StandardWeb"/>
        <w:spacing w:before="0" w:beforeAutospacing="0" w:after="0" w:afterAutospacing="0"/>
        <w:jc w:val="both"/>
        <w:rPr>
          <w:b/>
          <w:bCs/>
          <w:iCs/>
          <w:color w:val="000000"/>
          <w:sz w:val="22"/>
          <w:szCs w:val="22"/>
        </w:rPr>
      </w:pPr>
    </w:p>
    <w:p w14:paraId="79A8A08A" w14:textId="77777777" w:rsidR="00683C32" w:rsidRPr="006E41A2" w:rsidRDefault="00683C32" w:rsidP="0024724A">
      <w:pPr>
        <w:pStyle w:val="StandardWeb"/>
        <w:spacing w:before="0" w:beforeAutospacing="0" w:after="0" w:afterAutospacing="0"/>
        <w:jc w:val="both"/>
        <w:rPr>
          <w:sz w:val="22"/>
          <w:szCs w:val="22"/>
        </w:rPr>
      </w:pPr>
      <w:r w:rsidRPr="006E41A2">
        <w:rPr>
          <w:b/>
          <w:bCs/>
          <w:iCs/>
          <w:color w:val="000000"/>
          <w:sz w:val="22"/>
          <w:szCs w:val="22"/>
        </w:rPr>
        <w:t>Contact:</w:t>
      </w:r>
      <w:r w:rsidRPr="006E41A2">
        <w:rPr>
          <w:b/>
          <w:bCs/>
          <w:iCs/>
          <w:color w:val="000000"/>
          <w:sz w:val="22"/>
          <w:szCs w:val="22"/>
        </w:rPr>
        <w:tab/>
        <w:t>info@asylex.ch</w:t>
      </w:r>
    </w:p>
    <w:p w14:paraId="5523B682" w14:textId="77777777" w:rsidR="00DD33DF" w:rsidRPr="006E41A2" w:rsidRDefault="00DD33DF" w:rsidP="0024724A">
      <w:pPr>
        <w:spacing w:after="240"/>
        <w:jc w:val="both"/>
        <w:rPr>
          <w:rFonts w:ascii="Times New Roman" w:hAnsi="Times New Roman" w:cs="Times New Roman"/>
        </w:rPr>
      </w:pPr>
    </w:p>
    <w:p w14:paraId="561D741D" w14:textId="77777777" w:rsidR="00683C32" w:rsidRPr="006E41A2" w:rsidRDefault="00683C32" w:rsidP="0024724A">
      <w:pPr>
        <w:pStyle w:val="Listenabsatz"/>
        <w:numPr>
          <w:ilvl w:val="0"/>
          <w:numId w:val="13"/>
        </w:numPr>
        <w:spacing w:before="120" w:after="120"/>
        <w:ind w:left="357" w:hanging="357"/>
        <w:jc w:val="both"/>
        <w:rPr>
          <w:rFonts w:ascii="Times New Roman" w:hAnsi="Times New Roman" w:cs="Times New Roman"/>
          <w:b/>
        </w:rPr>
      </w:pPr>
      <w:r w:rsidRPr="006E41A2">
        <w:rPr>
          <w:rFonts w:ascii="Times New Roman" w:hAnsi="Times New Roman" w:cs="Times New Roman"/>
          <w:b/>
        </w:rPr>
        <w:t>About the commenting organization</w:t>
      </w:r>
    </w:p>
    <w:p w14:paraId="42FC630A" w14:textId="77777777" w:rsidR="00683C32" w:rsidRPr="006E41A2" w:rsidRDefault="00C01CDC" w:rsidP="0024724A">
      <w:pPr>
        <w:jc w:val="both"/>
        <w:rPr>
          <w:rFonts w:ascii="Times New Roman" w:eastAsia="Times New Roman" w:hAnsi="Times New Roman" w:cs="Times New Roman"/>
        </w:rPr>
      </w:pPr>
      <w:hyperlink r:id="rId8">
        <w:proofErr w:type="spellStart"/>
        <w:r w:rsidR="00683C32" w:rsidRPr="006E41A2">
          <w:rPr>
            <w:rFonts w:ascii="Times New Roman" w:eastAsia="Times New Roman" w:hAnsi="Times New Roman" w:cs="Times New Roman"/>
            <w:color w:val="000000"/>
            <w:u w:val="single"/>
          </w:rPr>
          <w:t>AsyLex</w:t>
        </w:r>
        <w:proofErr w:type="spellEnd"/>
      </w:hyperlink>
      <w:r w:rsidR="00683C32" w:rsidRPr="006E41A2">
        <w:rPr>
          <w:rFonts w:ascii="Times New Roman" w:eastAsia="Times New Roman" w:hAnsi="Times New Roman" w:cs="Times New Roman"/>
        </w:rPr>
        <w:t xml:space="preserve"> is an independent, Switzerland-based association providing legal assistance and representation to asylum seekers in Switzerland and beyond. Our work is performed primarily by volunteers, who provide legal counseling and court representation in cases involving Swiss asylum procedure and </w:t>
      </w:r>
      <w:r w:rsidR="006E41A2" w:rsidRPr="006E41A2">
        <w:rPr>
          <w:rFonts w:ascii="Times New Roman" w:eastAsia="Times New Roman" w:hAnsi="Times New Roman" w:cs="Times New Roman"/>
        </w:rPr>
        <w:t>immigration detention</w:t>
      </w:r>
      <w:r w:rsidR="00683C32" w:rsidRPr="006E41A2">
        <w:rPr>
          <w:rFonts w:ascii="Times New Roman" w:eastAsia="Times New Roman" w:hAnsi="Times New Roman" w:cs="Times New Roman"/>
        </w:rPr>
        <w:t xml:space="preserve">. </w:t>
      </w:r>
    </w:p>
    <w:p w14:paraId="67703CB0" w14:textId="77777777" w:rsidR="0024724A" w:rsidRPr="006E41A2" w:rsidRDefault="00683C32" w:rsidP="0024724A">
      <w:pPr>
        <w:jc w:val="both"/>
        <w:rPr>
          <w:rFonts w:ascii="Times New Roman" w:eastAsia="Times New Roman" w:hAnsi="Times New Roman" w:cs="Times New Roman"/>
        </w:rPr>
      </w:pPr>
      <w:r w:rsidRPr="006E41A2">
        <w:rPr>
          <w:rFonts w:ascii="Times New Roman" w:eastAsia="Times New Roman" w:hAnsi="Times New Roman" w:cs="Times New Roman"/>
        </w:rPr>
        <w:t xml:space="preserve">We share the Special Rapporteur’s concern about </w:t>
      </w:r>
      <w:r w:rsidR="00AF077B">
        <w:rPr>
          <w:rFonts w:ascii="Times New Roman" w:eastAsia="Times New Roman" w:hAnsi="Times New Roman" w:cs="Times New Roman"/>
        </w:rPr>
        <w:t>human rights violations at international borders</w:t>
      </w:r>
      <w:r w:rsidR="0024724A" w:rsidRPr="006E41A2">
        <w:rPr>
          <w:rFonts w:ascii="Times New Roman" w:eastAsia="Times New Roman" w:hAnsi="Times New Roman" w:cs="Times New Roman"/>
        </w:rPr>
        <w:t xml:space="preserve">. </w:t>
      </w:r>
      <w:r w:rsidR="00AF077B">
        <w:rPr>
          <w:rFonts w:ascii="Times New Roman" w:eastAsia="Times New Roman" w:hAnsi="Times New Roman" w:cs="Times New Roman"/>
        </w:rPr>
        <w:t xml:space="preserve">Since </w:t>
      </w:r>
      <w:proofErr w:type="spellStart"/>
      <w:r w:rsidR="00AF077B">
        <w:rPr>
          <w:rFonts w:ascii="Times New Roman" w:eastAsia="Times New Roman" w:hAnsi="Times New Roman" w:cs="Times New Roman"/>
        </w:rPr>
        <w:t>AsyLex</w:t>
      </w:r>
      <w:proofErr w:type="spellEnd"/>
      <w:r w:rsidR="00AF077B">
        <w:rPr>
          <w:rFonts w:ascii="Times New Roman" w:eastAsia="Times New Roman" w:hAnsi="Times New Roman" w:cs="Times New Roman"/>
        </w:rPr>
        <w:t xml:space="preserve"> submitted an extensive report about pushbacks on 1 February 2021, we would like to focus in this report on the “safe third country” concept applied by Swiss authorities and courts.</w:t>
      </w:r>
      <w:r w:rsidR="0024724A" w:rsidRPr="006E41A2">
        <w:rPr>
          <w:rFonts w:ascii="Times New Roman" w:eastAsia="Times New Roman" w:hAnsi="Times New Roman" w:cs="Times New Roman"/>
        </w:rPr>
        <w:t xml:space="preserve"> </w:t>
      </w:r>
      <w:r w:rsidRPr="006E41A2">
        <w:rPr>
          <w:rFonts w:ascii="Times New Roman" w:eastAsia="Times New Roman" w:hAnsi="Times New Roman" w:cs="Times New Roman"/>
        </w:rPr>
        <w:t xml:space="preserve"> </w:t>
      </w:r>
    </w:p>
    <w:p w14:paraId="57D525C5" w14:textId="77777777" w:rsidR="0024724A" w:rsidRPr="006E41A2" w:rsidRDefault="0024724A" w:rsidP="0024724A">
      <w:pPr>
        <w:pStyle w:val="Listenabsatz"/>
        <w:numPr>
          <w:ilvl w:val="0"/>
          <w:numId w:val="13"/>
        </w:numPr>
        <w:spacing w:before="120" w:after="120"/>
        <w:ind w:left="357" w:hanging="357"/>
        <w:jc w:val="both"/>
        <w:rPr>
          <w:rFonts w:ascii="Times New Roman" w:eastAsia="Times New Roman" w:hAnsi="Times New Roman" w:cs="Times New Roman"/>
          <w:b/>
        </w:rPr>
      </w:pPr>
      <w:r w:rsidRPr="006E41A2">
        <w:rPr>
          <w:rFonts w:ascii="Times New Roman" w:eastAsia="Times New Roman" w:hAnsi="Times New Roman" w:cs="Times New Roman"/>
          <w:b/>
        </w:rPr>
        <w:t>Responses to Special Rapporteur’s questions</w:t>
      </w:r>
    </w:p>
    <w:p w14:paraId="2716DDBF" w14:textId="77777777" w:rsidR="00DD33DF" w:rsidRDefault="0024724A" w:rsidP="0024724A">
      <w:pPr>
        <w:spacing w:before="120" w:after="120"/>
        <w:jc w:val="both"/>
        <w:rPr>
          <w:rFonts w:ascii="Times New Roman" w:eastAsia="Times New Roman" w:hAnsi="Times New Roman" w:cs="Times New Roman"/>
          <w:b/>
          <w:i/>
        </w:rPr>
      </w:pPr>
      <w:r w:rsidRPr="006E41A2">
        <w:rPr>
          <w:rFonts w:ascii="Times New Roman" w:eastAsia="Times New Roman" w:hAnsi="Times New Roman" w:cs="Times New Roman"/>
          <w:b/>
          <w:i/>
        </w:rPr>
        <w:t xml:space="preserve">1. </w:t>
      </w:r>
      <w:r w:rsidR="00AF077B">
        <w:rPr>
          <w:rFonts w:ascii="Times New Roman" w:eastAsia="Times New Roman" w:hAnsi="Times New Roman" w:cs="Times New Roman"/>
          <w:b/>
          <w:i/>
        </w:rPr>
        <w:t>/ 2.</w:t>
      </w:r>
    </w:p>
    <w:p w14:paraId="3345A06F" w14:textId="77777777" w:rsidR="00AF077B" w:rsidRDefault="00AF077B" w:rsidP="000C4AD5">
      <w:pPr>
        <w:spacing w:after="240"/>
        <w:jc w:val="both"/>
        <w:rPr>
          <w:rFonts w:ascii="Times New Roman" w:hAnsi="Times New Roman" w:cs="Times New Roman"/>
          <w:color w:val="000000"/>
        </w:rPr>
      </w:pPr>
      <w:r>
        <w:rPr>
          <w:rFonts w:ascii="Times New Roman" w:hAnsi="Times New Roman" w:cs="Times New Roman"/>
          <w:color w:val="000000"/>
        </w:rPr>
        <w:t xml:space="preserve">Please refer to our submission on pushback practices dated 1 February 2021. </w:t>
      </w:r>
    </w:p>
    <w:p w14:paraId="11289712" w14:textId="77777777" w:rsidR="00AF077B" w:rsidRDefault="00AF077B" w:rsidP="000C4AD5">
      <w:pPr>
        <w:spacing w:after="240"/>
        <w:jc w:val="both"/>
        <w:rPr>
          <w:rFonts w:ascii="Times New Roman" w:hAnsi="Times New Roman" w:cs="Times New Roman"/>
          <w:b/>
          <w:color w:val="000000"/>
        </w:rPr>
      </w:pPr>
      <w:r>
        <w:rPr>
          <w:rFonts w:ascii="Times New Roman" w:hAnsi="Times New Roman" w:cs="Times New Roman"/>
          <w:b/>
          <w:i/>
          <w:color w:val="000000"/>
        </w:rPr>
        <w:t>3.</w:t>
      </w:r>
    </w:p>
    <w:p w14:paraId="5D3851B9" w14:textId="056F6D63" w:rsidR="000C4AD5" w:rsidRDefault="00641ABB" w:rsidP="000C4AD5">
      <w:pPr>
        <w:spacing w:after="240"/>
        <w:jc w:val="both"/>
        <w:rPr>
          <w:rFonts w:ascii="Times New Roman" w:hAnsi="Times New Roman" w:cs="Times New Roman"/>
          <w:color w:val="000000"/>
        </w:rPr>
      </w:pPr>
      <w:r>
        <w:rPr>
          <w:rFonts w:ascii="Times New Roman" w:hAnsi="Times New Roman" w:cs="Times New Roman"/>
          <w:color w:val="000000"/>
        </w:rPr>
        <w:t xml:space="preserve">In Switzerland, an asylum application can be lodged </w:t>
      </w:r>
      <w:r w:rsidR="00DD33DF" w:rsidRPr="006E41A2">
        <w:rPr>
          <w:rFonts w:ascii="Times New Roman" w:hAnsi="Times New Roman" w:cs="Times New Roman"/>
          <w:color w:val="000000"/>
        </w:rPr>
        <w:t xml:space="preserve">upon entry at an open border crossing, at a </w:t>
      </w:r>
      <w:r>
        <w:rPr>
          <w:rFonts w:ascii="Times New Roman" w:hAnsi="Times New Roman" w:cs="Times New Roman"/>
          <w:color w:val="000000"/>
        </w:rPr>
        <w:t>S</w:t>
      </w:r>
      <w:r w:rsidR="00DD33DF" w:rsidRPr="006E41A2">
        <w:rPr>
          <w:rFonts w:ascii="Times New Roman" w:hAnsi="Times New Roman" w:cs="Times New Roman"/>
          <w:color w:val="000000"/>
        </w:rPr>
        <w:t xml:space="preserve">wiss airport, or in a federal </w:t>
      </w:r>
      <w:r w:rsidR="0024724A" w:rsidRPr="006E41A2">
        <w:rPr>
          <w:rFonts w:ascii="Times New Roman" w:hAnsi="Times New Roman" w:cs="Times New Roman"/>
          <w:color w:val="000000"/>
        </w:rPr>
        <w:t xml:space="preserve">asylum </w:t>
      </w:r>
      <w:r w:rsidR="00DD33DF" w:rsidRPr="006E41A2">
        <w:rPr>
          <w:rFonts w:ascii="Times New Roman" w:hAnsi="Times New Roman" w:cs="Times New Roman"/>
          <w:color w:val="000000"/>
        </w:rPr>
        <w:t>center</w:t>
      </w:r>
      <w:r w:rsidR="0024724A" w:rsidRPr="006E41A2">
        <w:rPr>
          <w:rFonts w:ascii="Times New Roman" w:hAnsi="Times New Roman" w:cs="Times New Roman"/>
          <w:color w:val="000000"/>
        </w:rPr>
        <w:t xml:space="preserve"> (</w:t>
      </w:r>
      <w:hyperlink r:id="rId9" w:anchor="art_19" w:history="1">
        <w:r w:rsidR="0024724A" w:rsidRPr="00D9438E">
          <w:rPr>
            <w:rStyle w:val="Hyperlink"/>
            <w:rFonts w:ascii="Times New Roman" w:hAnsi="Times New Roman" w:cs="Times New Roman"/>
          </w:rPr>
          <w:t xml:space="preserve">Art. 19 </w:t>
        </w:r>
        <w:proofErr w:type="spellStart"/>
        <w:r w:rsidR="0024724A" w:rsidRPr="00D9438E">
          <w:rPr>
            <w:rStyle w:val="Hyperlink"/>
            <w:rFonts w:ascii="Times New Roman" w:hAnsi="Times New Roman" w:cs="Times New Roman"/>
          </w:rPr>
          <w:t>AsylA</w:t>
        </w:r>
        <w:proofErr w:type="spellEnd"/>
      </w:hyperlink>
      <w:r w:rsidR="0024724A" w:rsidRPr="006E41A2">
        <w:rPr>
          <w:rFonts w:ascii="Times New Roman" w:hAnsi="Times New Roman" w:cs="Times New Roman"/>
          <w:color w:val="000000"/>
        </w:rPr>
        <w:t>)</w:t>
      </w:r>
      <w:r w:rsidR="00DD33DF" w:rsidRPr="006E41A2">
        <w:rPr>
          <w:rFonts w:ascii="Times New Roman" w:hAnsi="Times New Roman" w:cs="Times New Roman"/>
          <w:color w:val="000000"/>
        </w:rPr>
        <w:t>.</w:t>
      </w:r>
      <w:r w:rsidR="00314AB0" w:rsidRPr="006E41A2">
        <w:rPr>
          <w:rFonts w:ascii="Times New Roman" w:hAnsi="Times New Roman" w:cs="Times New Roman"/>
          <w:color w:val="000000"/>
        </w:rPr>
        <w:t xml:space="preserve"> </w:t>
      </w:r>
      <w:r>
        <w:rPr>
          <w:rFonts w:ascii="Times New Roman" w:hAnsi="Times New Roman" w:cs="Times New Roman"/>
          <w:color w:val="000000"/>
        </w:rPr>
        <w:t>Swiss authorities and courts are bound by t</w:t>
      </w:r>
      <w:r w:rsidR="00314AB0" w:rsidRPr="006E41A2">
        <w:rPr>
          <w:rFonts w:ascii="Times New Roman" w:hAnsi="Times New Roman" w:cs="Times New Roman"/>
          <w:color w:val="000000"/>
        </w:rPr>
        <w:t xml:space="preserve">he </w:t>
      </w:r>
      <w:r w:rsidR="00314AB0" w:rsidRPr="002E3D29">
        <w:rPr>
          <w:rFonts w:ascii="Times New Roman" w:hAnsi="Times New Roman" w:cs="Times New Roman"/>
          <w:i/>
          <w:iCs/>
          <w:color w:val="000000"/>
        </w:rPr>
        <w:t>refoulement</w:t>
      </w:r>
      <w:r w:rsidR="00314AB0" w:rsidRPr="006E41A2">
        <w:rPr>
          <w:rFonts w:ascii="Times New Roman" w:hAnsi="Times New Roman" w:cs="Times New Roman"/>
          <w:color w:val="000000"/>
        </w:rPr>
        <w:t xml:space="preserve"> </w:t>
      </w:r>
      <w:r>
        <w:rPr>
          <w:rFonts w:ascii="Times New Roman" w:hAnsi="Times New Roman" w:cs="Times New Roman"/>
          <w:color w:val="000000"/>
        </w:rPr>
        <w:t>prohibition in Swiss law (</w:t>
      </w:r>
      <w:hyperlink r:id="rId10" w:history="1">
        <w:r w:rsidR="00053CDD" w:rsidRPr="00A31B69">
          <w:rPr>
            <w:rStyle w:val="Hyperlink"/>
            <w:rFonts w:ascii="Times New Roman" w:hAnsi="Times New Roman" w:cs="Times New Roman"/>
          </w:rPr>
          <w:t>A</w:t>
        </w:r>
        <w:r w:rsidR="00314AB0" w:rsidRPr="00A31B69">
          <w:rPr>
            <w:rStyle w:val="Hyperlink"/>
            <w:rFonts w:ascii="Times New Roman" w:hAnsi="Times New Roman" w:cs="Times New Roman"/>
          </w:rPr>
          <w:t>rt. 25</w:t>
        </w:r>
        <w:r w:rsidRPr="00A31B69">
          <w:rPr>
            <w:rStyle w:val="Hyperlink"/>
            <w:rFonts w:ascii="Times New Roman" w:hAnsi="Times New Roman" w:cs="Times New Roman"/>
          </w:rPr>
          <w:t xml:space="preserve">(2) </w:t>
        </w:r>
        <w:r w:rsidR="00314AB0" w:rsidRPr="00A31B69">
          <w:rPr>
            <w:rStyle w:val="Hyperlink"/>
            <w:rFonts w:ascii="Times New Roman" w:hAnsi="Times New Roman" w:cs="Times New Roman"/>
          </w:rPr>
          <w:t>FC</w:t>
        </w:r>
      </w:hyperlink>
      <w:r>
        <w:rPr>
          <w:rFonts w:ascii="Times New Roman" w:hAnsi="Times New Roman" w:cs="Times New Roman"/>
          <w:color w:val="000000"/>
        </w:rPr>
        <w:t xml:space="preserve">; </w:t>
      </w:r>
      <w:hyperlink r:id="rId11" w:anchor="art_5" w:history="1">
        <w:r w:rsidR="00053CDD" w:rsidRPr="00A31B69">
          <w:rPr>
            <w:rStyle w:val="Hyperlink"/>
            <w:rFonts w:ascii="Times New Roman" w:hAnsi="Times New Roman" w:cs="Times New Roman"/>
          </w:rPr>
          <w:t>A</w:t>
        </w:r>
        <w:r w:rsidR="00314AB0" w:rsidRPr="00A31B69">
          <w:rPr>
            <w:rStyle w:val="Hyperlink"/>
            <w:rFonts w:ascii="Times New Roman" w:hAnsi="Times New Roman" w:cs="Times New Roman"/>
          </w:rPr>
          <w:t>rt. 5</w:t>
        </w:r>
        <w:r w:rsidRPr="00A31B69">
          <w:rPr>
            <w:rStyle w:val="Hyperlink"/>
            <w:rFonts w:ascii="Times New Roman" w:hAnsi="Times New Roman" w:cs="Times New Roman"/>
          </w:rPr>
          <w:t>(1)</w:t>
        </w:r>
        <w:r w:rsidR="00314AB0" w:rsidRPr="00A31B69">
          <w:rPr>
            <w:rStyle w:val="Hyperlink"/>
            <w:rFonts w:ascii="Times New Roman" w:hAnsi="Times New Roman" w:cs="Times New Roman"/>
          </w:rPr>
          <w:t xml:space="preserve"> </w:t>
        </w:r>
        <w:proofErr w:type="spellStart"/>
        <w:r w:rsidR="00314AB0" w:rsidRPr="00A31B69">
          <w:rPr>
            <w:rStyle w:val="Hyperlink"/>
            <w:rFonts w:ascii="Times New Roman" w:hAnsi="Times New Roman" w:cs="Times New Roman"/>
          </w:rPr>
          <w:t>AsylA</w:t>
        </w:r>
        <w:proofErr w:type="spellEnd"/>
      </w:hyperlink>
      <w:r>
        <w:rPr>
          <w:rFonts w:ascii="Times New Roman" w:hAnsi="Times New Roman" w:cs="Times New Roman"/>
          <w:color w:val="000000"/>
        </w:rPr>
        <w:t>) and in international law (</w:t>
      </w:r>
      <w:hyperlink r:id="rId12" w:history="1">
        <w:r w:rsidR="00053CDD" w:rsidRPr="00A31B69">
          <w:rPr>
            <w:rStyle w:val="Hyperlink"/>
            <w:rFonts w:ascii="Times New Roman" w:hAnsi="Times New Roman" w:cs="Times New Roman"/>
          </w:rPr>
          <w:t>A</w:t>
        </w:r>
        <w:r w:rsidRPr="00A31B69">
          <w:rPr>
            <w:rStyle w:val="Hyperlink"/>
            <w:rFonts w:ascii="Times New Roman" w:hAnsi="Times New Roman" w:cs="Times New Roman"/>
          </w:rPr>
          <w:t>rt. 5(4) FC</w:t>
        </w:r>
      </w:hyperlink>
      <w:r>
        <w:rPr>
          <w:rFonts w:ascii="Times New Roman" w:hAnsi="Times New Roman" w:cs="Times New Roman"/>
          <w:color w:val="000000"/>
        </w:rPr>
        <w:t>).</w:t>
      </w:r>
      <w:r w:rsidR="000C4AD5">
        <w:rPr>
          <w:rFonts w:ascii="Times New Roman" w:hAnsi="Times New Roman" w:cs="Times New Roman"/>
          <w:color w:val="000000"/>
        </w:rPr>
        <w:t xml:space="preserve"> </w:t>
      </w:r>
      <w:r>
        <w:rPr>
          <w:rFonts w:ascii="Times New Roman" w:hAnsi="Times New Roman" w:cs="Times New Roman"/>
          <w:color w:val="000000"/>
        </w:rPr>
        <w:t>A</w:t>
      </w:r>
      <w:r w:rsidR="00833786" w:rsidRPr="006E41A2">
        <w:rPr>
          <w:rFonts w:ascii="Times New Roman" w:hAnsi="Times New Roman" w:cs="Times New Roman"/>
          <w:color w:val="000000"/>
        </w:rPr>
        <w:t xml:space="preserve"> person asking for asylum </w:t>
      </w:r>
      <w:r>
        <w:rPr>
          <w:rFonts w:ascii="Times New Roman" w:hAnsi="Times New Roman" w:cs="Times New Roman"/>
          <w:color w:val="000000"/>
        </w:rPr>
        <w:t>must</w:t>
      </w:r>
      <w:r w:rsidR="00833786" w:rsidRPr="006E41A2">
        <w:rPr>
          <w:rFonts w:ascii="Times New Roman" w:hAnsi="Times New Roman" w:cs="Times New Roman"/>
          <w:color w:val="000000"/>
        </w:rPr>
        <w:t xml:space="preserve"> </w:t>
      </w:r>
      <w:r w:rsidR="000C4AD5">
        <w:rPr>
          <w:rFonts w:ascii="Times New Roman" w:hAnsi="Times New Roman" w:cs="Times New Roman"/>
          <w:color w:val="000000"/>
        </w:rPr>
        <w:t xml:space="preserve">in a first step </w:t>
      </w:r>
      <w:r w:rsidR="00833786" w:rsidRPr="006E41A2">
        <w:rPr>
          <w:rFonts w:ascii="Times New Roman" w:hAnsi="Times New Roman" w:cs="Times New Roman"/>
          <w:color w:val="000000"/>
        </w:rPr>
        <w:t xml:space="preserve">be allocated to a </w:t>
      </w:r>
      <w:hyperlink r:id="rId13" w:history="1">
        <w:r w:rsidR="00833786" w:rsidRPr="006E41A2">
          <w:rPr>
            <w:rStyle w:val="Hyperlink"/>
            <w:rFonts w:ascii="Times New Roman" w:hAnsi="Times New Roman" w:cs="Times New Roman"/>
          </w:rPr>
          <w:t>federal asylum center</w:t>
        </w:r>
      </w:hyperlink>
      <w:r w:rsidR="00833786" w:rsidRPr="006E41A2">
        <w:rPr>
          <w:rFonts w:ascii="Times New Roman" w:hAnsi="Times New Roman" w:cs="Times New Roman"/>
          <w:color w:val="000000"/>
        </w:rPr>
        <w:t xml:space="preserve">, where their asylum claim </w:t>
      </w:r>
      <w:r w:rsidR="000C4AD5">
        <w:rPr>
          <w:rFonts w:ascii="Times New Roman" w:hAnsi="Times New Roman" w:cs="Times New Roman"/>
          <w:color w:val="000000"/>
        </w:rPr>
        <w:t>gets</w:t>
      </w:r>
      <w:r w:rsidR="00833786" w:rsidRPr="006E41A2">
        <w:rPr>
          <w:rFonts w:ascii="Times New Roman" w:hAnsi="Times New Roman" w:cs="Times New Roman"/>
          <w:color w:val="000000"/>
        </w:rPr>
        <w:t xml:space="preserve"> assessed</w:t>
      </w:r>
      <w:r w:rsidR="000C4AD5">
        <w:rPr>
          <w:rFonts w:ascii="Times New Roman" w:hAnsi="Times New Roman" w:cs="Times New Roman"/>
          <w:color w:val="000000"/>
        </w:rPr>
        <w:t xml:space="preserve"> (</w:t>
      </w:r>
      <w:hyperlink r:id="rId14" w:anchor="art_24" w:history="1">
        <w:r w:rsidR="00053CDD" w:rsidRPr="00D9438E">
          <w:rPr>
            <w:rStyle w:val="Hyperlink"/>
            <w:rFonts w:ascii="Times New Roman" w:hAnsi="Times New Roman" w:cs="Times New Roman"/>
          </w:rPr>
          <w:t>A</w:t>
        </w:r>
        <w:r w:rsidR="000C4AD5" w:rsidRPr="00D9438E">
          <w:rPr>
            <w:rStyle w:val="Hyperlink"/>
            <w:rFonts w:ascii="Times New Roman" w:hAnsi="Times New Roman" w:cs="Times New Roman"/>
          </w:rPr>
          <w:t xml:space="preserve">rt. 24 </w:t>
        </w:r>
        <w:proofErr w:type="spellStart"/>
        <w:r w:rsidR="000C4AD5" w:rsidRPr="00D9438E">
          <w:rPr>
            <w:rStyle w:val="Hyperlink"/>
            <w:rFonts w:ascii="Times New Roman" w:hAnsi="Times New Roman" w:cs="Times New Roman"/>
          </w:rPr>
          <w:t>AsylA</w:t>
        </w:r>
        <w:proofErr w:type="spellEnd"/>
      </w:hyperlink>
      <w:r w:rsidR="000C4AD5">
        <w:rPr>
          <w:rFonts w:ascii="Times New Roman" w:hAnsi="Times New Roman" w:cs="Times New Roman"/>
          <w:color w:val="000000"/>
        </w:rPr>
        <w:t>)</w:t>
      </w:r>
      <w:r w:rsidR="00833786" w:rsidRPr="006E41A2">
        <w:rPr>
          <w:rFonts w:ascii="Times New Roman" w:hAnsi="Times New Roman" w:cs="Times New Roman"/>
          <w:color w:val="000000"/>
        </w:rPr>
        <w:t xml:space="preserve">. </w:t>
      </w:r>
    </w:p>
    <w:p w14:paraId="54A40B49" w14:textId="77777777" w:rsidR="00CA541B" w:rsidRDefault="00833786" w:rsidP="00CA541B">
      <w:pPr>
        <w:spacing w:after="240"/>
        <w:jc w:val="both"/>
        <w:rPr>
          <w:rFonts w:ascii="Times New Roman" w:hAnsi="Times New Roman" w:cs="Times New Roman"/>
          <w:color w:val="000000"/>
        </w:rPr>
      </w:pPr>
      <w:r w:rsidRPr="006E41A2">
        <w:rPr>
          <w:rFonts w:ascii="Times New Roman" w:hAnsi="Times New Roman" w:cs="Times New Roman"/>
          <w:color w:val="000000"/>
        </w:rPr>
        <w:t xml:space="preserve">Since Switzerland is part of the </w:t>
      </w:r>
      <w:r w:rsidRPr="006E41A2">
        <w:rPr>
          <w:rFonts w:ascii="Times New Roman" w:hAnsi="Times New Roman" w:cs="Times New Roman"/>
          <w:i/>
          <w:color w:val="000000"/>
        </w:rPr>
        <w:t>Schengen / Dublin</w:t>
      </w:r>
      <w:r w:rsidRPr="006E41A2">
        <w:rPr>
          <w:rFonts w:ascii="Times New Roman" w:hAnsi="Times New Roman" w:cs="Times New Roman"/>
          <w:color w:val="000000"/>
        </w:rPr>
        <w:t xml:space="preserve"> system, the </w:t>
      </w:r>
      <w:hyperlink r:id="rId15" w:history="1">
        <w:r w:rsidRPr="00D607A6">
          <w:rPr>
            <w:rStyle w:val="Hyperlink"/>
            <w:rFonts w:ascii="Times New Roman" w:hAnsi="Times New Roman" w:cs="Times New Roman"/>
          </w:rPr>
          <w:t>Dublin-III-Regulation</w:t>
        </w:r>
      </w:hyperlink>
      <w:r w:rsidRPr="006E41A2">
        <w:rPr>
          <w:rFonts w:ascii="Times New Roman" w:hAnsi="Times New Roman" w:cs="Times New Roman"/>
          <w:color w:val="000000"/>
        </w:rPr>
        <w:t xml:space="preserve"> applies</w:t>
      </w:r>
      <w:r w:rsidR="004241D3">
        <w:rPr>
          <w:rFonts w:ascii="Times New Roman" w:hAnsi="Times New Roman" w:cs="Times New Roman"/>
          <w:color w:val="000000"/>
        </w:rPr>
        <w:t xml:space="preserve"> (</w:t>
      </w:r>
      <w:hyperlink r:id="rId16" w:anchor="art_26_b" w:history="1">
        <w:r w:rsidR="004241D3" w:rsidRPr="00D9438E">
          <w:rPr>
            <w:rStyle w:val="Hyperlink"/>
            <w:rFonts w:ascii="Times New Roman" w:hAnsi="Times New Roman" w:cs="Times New Roman"/>
          </w:rPr>
          <w:t>Art. 26b AsylA</w:t>
        </w:r>
      </w:hyperlink>
      <w:r w:rsidR="004241D3">
        <w:rPr>
          <w:rFonts w:ascii="Times New Roman" w:hAnsi="Times New Roman" w:cs="Times New Roman"/>
          <w:color w:val="000000"/>
        </w:rPr>
        <w:t>)</w:t>
      </w:r>
      <w:r w:rsidRPr="006E41A2">
        <w:rPr>
          <w:rFonts w:ascii="Times New Roman" w:hAnsi="Times New Roman" w:cs="Times New Roman"/>
          <w:color w:val="000000"/>
        </w:rPr>
        <w:t xml:space="preserve">. </w:t>
      </w:r>
      <w:r w:rsidR="00D607A6">
        <w:rPr>
          <w:rFonts w:ascii="Times New Roman" w:hAnsi="Times New Roman" w:cs="Times New Roman"/>
          <w:color w:val="000000"/>
        </w:rPr>
        <w:t>T</w:t>
      </w:r>
      <w:r w:rsidR="000C4AD5">
        <w:rPr>
          <w:rFonts w:ascii="Times New Roman" w:hAnsi="Times New Roman" w:cs="Times New Roman"/>
          <w:color w:val="000000"/>
        </w:rPr>
        <w:t>he</w:t>
      </w:r>
      <w:r w:rsidRPr="006E41A2">
        <w:rPr>
          <w:rFonts w:ascii="Times New Roman" w:hAnsi="Times New Roman" w:cs="Times New Roman"/>
          <w:color w:val="000000"/>
        </w:rPr>
        <w:t xml:space="preserve"> Dublin-III-Regulation defines which European country is responsible for the assessment of an asylum claim</w:t>
      </w:r>
      <w:r w:rsidR="00AE5587" w:rsidRPr="006E41A2">
        <w:rPr>
          <w:rFonts w:ascii="Times New Roman" w:hAnsi="Times New Roman" w:cs="Times New Roman"/>
          <w:color w:val="000000"/>
        </w:rPr>
        <w:t xml:space="preserve">, based on a complex allocation scheme </w:t>
      </w:r>
      <w:r w:rsidR="00D26927">
        <w:rPr>
          <w:rFonts w:ascii="Times New Roman" w:hAnsi="Times New Roman" w:cs="Times New Roman"/>
          <w:color w:val="000000"/>
        </w:rPr>
        <w:t>that</w:t>
      </w:r>
      <w:r w:rsidR="00AE5587" w:rsidRPr="006E41A2">
        <w:rPr>
          <w:rFonts w:ascii="Times New Roman" w:hAnsi="Times New Roman" w:cs="Times New Roman"/>
          <w:color w:val="000000"/>
        </w:rPr>
        <w:t xml:space="preserve"> mostly refers to the first country of arrival. </w:t>
      </w:r>
      <w:r w:rsidR="00CA541B">
        <w:rPr>
          <w:rFonts w:ascii="Times New Roman" w:hAnsi="Times New Roman" w:cs="Times New Roman"/>
          <w:color w:val="000000"/>
        </w:rPr>
        <w:t xml:space="preserve">In addition, and based on bilateral </w:t>
      </w:r>
      <w:hyperlink r:id="rId17" w:history="1">
        <w:r w:rsidR="00CA541B" w:rsidRPr="00542D44">
          <w:rPr>
            <w:rStyle w:val="Hyperlink"/>
            <w:rFonts w:ascii="Times New Roman" w:hAnsi="Times New Roman" w:cs="Times New Roman"/>
          </w:rPr>
          <w:t>readmission agreements</w:t>
        </w:r>
      </w:hyperlink>
      <w:r w:rsidR="00CA541B">
        <w:rPr>
          <w:rFonts w:ascii="Times New Roman" w:hAnsi="Times New Roman" w:cs="Times New Roman"/>
          <w:color w:val="000000"/>
        </w:rPr>
        <w:t xml:space="preserve"> with other states at the international level, and </w:t>
      </w:r>
      <w:hyperlink r:id="rId18" w:anchor="art_31_a" w:history="1">
        <w:r w:rsidR="00CA541B" w:rsidRPr="00D9438E">
          <w:rPr>
            <w:rStyle w:val="Hyperlink"/>
            <w:rFonts w:ascii="Times New Roman" w:hAnsi="Times New Roman" w:cs="Times New Roman"/>
          </w:rPr>
          <w:t>Art. 31a para. 1 AsylA</w:t>
        </w:r>
      </w:hyperlink>
      <w:r w:rsidR="00CA541B">
        <w:rPr>
          <w:rFonts w:ascii="Times New Roman" w:hAnsi="Times New Roman" w:cs="Times New Roman"/>
          <w:color w:val="000000"/>
        </w:rPr>
        <w:t xml:space="preserve"> on the domestic level, the State Secretary for Migration (SEM) </w:t>
      </w:r>
      <w:r w:rsidR="00CA541B">
        <w:rPr>
          <w:rFonts w:ascii="Times New Roman" w:hAnsi="Times New Roman" w:cs="Times New Roman"/>
          <w:i/>
          <w:color w:val="000000"/>
        </w:rPr>
        <w:t xml:space="preserve">generally </w:t>
      </w:r>
      <w:r w:rsidR="00CA541B">
        <w:rPr>
          <w:rFonts w:ascii="Times New Roman" w:hAnsi="Times New Roman" w:cs="Times New Roman"/>
          <w:color w:val="000000"/>
        </w:rPr>
        <w:t xml:space="preserve">issues an inadmissibility decision if the applicant can be transferred to a safe third country. For the definition as a safe third country, the Swiss authorities </w:t>
      </w:r>
      <w:proofErr w:type="gramStart"/>
      <w:r w:rsidR="00CA541B">
        <w:rPr>
          <w:rFonts w:ascii="Times New Roman" w:hAnsi="Times New Roman" w:cs="Times New Roman"/>
          <w:color w:val="000000"/>
        </w:rPr>
        <w:t>have to</w:t>
      </w:r>
      <w:proofErr w:type="gramEnd"/>
      <w:r w:rsidR="00CA541B">
        <w:rPr>
          <w:rFonts w:ascii="Times New Roman" w:hAnsi="Times New Roman" w:cs="Times New Roman"/>
          <w:color w:val="000000"/>
        </w:rPr>
        <w:t xml:space="preserve"> consider the political stability, compliance with human rights, the assessment of other EU/EFTA member states and UNHCR as well as other country specific criteria (Art. 2 para. 1 Asylum Ordinance 1 [</w:t>
      </w:r>
      <w:proofErr w:type="spellStart"/>
      <w:r w:rsidR="00CA541B">
        <w:rPr>
          <w:rFonts w:ascii="Times New Roman" w:hAnsi="Times New Roman" w:cs="Times New Roman"/>
          <w:color w:val="000000"/>
        </w:rPr>
        <w:t>AsylO</w:t>
      </w:r>
      <w:proofErr w:type="spellEnd"/>
      <w:r w:rsidR="00CA541B">
        <w:rPr>
          <w:rFonts w:ascii="Times New Roman" w:hAnsi="Times New Roman" w:cs="Times New Roman"/>
          <w:color w:val="000000"/>
        </w:rPr>
        <w:t xml:space="preserve"> 1]). Based on a bi-annual assessment, the list of safe third countries is defined and amended in the </w:t>
      </w:r>
      <w:proofErr w:type="spellStart"/>
      <w:r w:rsidR="00CA541B">
        <w:rPr>
          <w:rFonts w:ascii="Times New Roman" w:hAnsi="Times New Roman" w:cs="Times New Roman"/>
          <w:color w:val="000000"/>
        </w:rPr>
        <w:t>ASylO</w:t>
      </w:r>
      <w:proofErr w:type="spellEnd"/>
      <w:r w:rsidR="00CA541B">
        <w:rPr>
          <w:rFonts w:ascii="Times New Roman" w:hAnsi="Times New Roman" w:cs="Times New Roman"/>
          <w:color w:val="000000"/>
        </w:rPr>
        <w:t xml:space="preserve"> 1, Annex 2 (available here: </w:t>
      </w:r>
      <w:hyperlink r:id="rId19" w:anchor="annex_2/lvl_d4e130" w:history="1">
        <w:r w:rsidR="00CA541B" w:rsidRPr="00767959">
          <w:rPr>
            <w:rStyle w:val="Hyperlink"/>
            <w:rFonts w:ascii="Times New Roman" w:hAnsi="Times New Roman" w:cs="Times New Roman"/>
          </w:rPr>
          <w:t>https://www.fedlex.admin.ch/eli/cc/1999/359/de#annex_2/lvl_d4e130</w:t>
        </w:r>
      </w:hyperlink>
      <w:r w:rsidR="00CA541B">
        <w:rPr>
          <w:rFonts w:ascii="Times New Roman" w:hAnsi="Times New Roman" w:cs="Times New Roman"/>
          <w:color w:val="000000"/>
        </w:rPr>
        <w:t xml:space="preserve">). This list currently contains about 45 countries, namely the member states of EU/EFTA as well as further countries such as Albania, North Macedonia, Bosnia and Herzegovina, Senegal, Georgia, Ghana, India, Kosovo, Moldova, </w:t>
      </w:r>
      <w:proofErr w:type="gramStart"/>
      <w:r w:rsidR="00CA541B">
        <w:rPr>
          <w:rFonts w:ascii="Times New Roman" w:hAnsi="Times New Roman" w:cs="Times New Roman"/>
          <w:color w:val="000000"/>
        </w:rPr>
        <w:t>Mongolia</w:t>
      </w:r>
      <w:proofErr w:type="gramEnd"/>
      <w:r w:rsidR="00CA541B">
        <w:rPr>
          <w:rFonts w:ascii="Times New Roman" w:hAnsi="Times New Roman" w:cs="Times New Roman"/>
          <w:color w:val="000000"/>
        </w:rPr>
        <w:t xml:space="preserve"> or Montenegro.  </w:t>
      </w:r>
    </w:p>
    <w:p w14:paraId="3451CAA2" w14:textId="77777777" w:rsidR="00CA541B" w:rsidRDefault="00CA541B" w:rsidP="00CA541B">
      <w:pPr>
        <w:spacing w:after="240"/>
        <w:jc w:val="both"/>
        <w:rPr>
          <w:rFonts w:ascii="Times New Roman" w:hAnsi="Times New Roman" w:cs="Times New Roman"/>
          <w:color w:val="000000"/>
        </w:rPr>
      </w:pPr>
      <w:r>
        <w:rPr>
          <w:rFonts w:ascii="Times New Roman" w:hAnsi="Times New Roman" w:cs="Times New Roman"/>
          <w:color w:val="000000"/>
        </w:rPr>
        <w:lastRenderedPageBreak/>
        <w:t>In principle, the Dublin member states are generally regarded as safe third countries – be it when the applicant is still in the asylum procedure in such Dublin member state, or (based on separate readmission agreements) whenever the person already received a protection status in such country (</w:t>
      </w:r>
      <w:hyperlink r:id="rId20" w:anchor="art_6_a" w:history="1">
        <w:r w:rsidRPr="00D9438E">
          <w:rPr>
            <w:rStyle w:val="Hyperlink"/>
            <w:rFonts w:ascii="Times New Roman" w:hAnsi="Times New Roman" w:cs="Times New Roman"/>
          </w:rPr>
          <w:t xml:space="preserve">Art. 6a para. 2 lit. b </w:t>
        </w:r>
        <w:proofErr w:type="spellStart"/>
        <w:r w:rsidRPr="00D9438E">
          <w:rPr>
            <w:rStyle w:val="Hyperlink"/>
            <w:rFonts w:ascii="Times New Roman" w:hAnsi="Times New Roman" w:cs="Times New Roman"/>
          </w:rPr>
          <w:t>AsylA</w:t>
        </w:r>
        <w:proofErr w:type="spellEnd"/>
      </w:hyperlink>
      <w:r>
        <w:rPr>
          <w:rFonts w:ascii="Times New Roman" w:hAnsi="Times New Roman" w:cs="Times New Roman"/>
          <w:color w:val="000000"/>
        </w:rPr>
        <w:t>).</w:t>
      </w:r>
    </w:p>
    <w:p w14:paraId="40D77DE5" w14:textId="264187CD" w:rsidR="00CA541B" w:rsidRDefault="001117BC" w:rsidP="001117BC">
      <w:pPr>
        <w:spacing w:after="240"/>
        <w:jc w:val="both"/>
        <w:rPr>
          <w:rFonts w:ascii="Times New Roman" w:hAnsi="Times New Roman" w:cs="Times New Roman"/>
          <w:color w:val="000000"/>
        </w:rPr>
      </w:pPr>
      <w:r>
        <w:rPr>
          <w:rFonts w:ascii="Times New Roman" w:hAnsi="Times New Roman" w:cs="Times New Roman"/>
          <w:color w:val="000000"/>
        </w:rPr>
        <w:t xml:space="preserve">In 2021, more than every third asylum </w:t>
      </w:r>
      <w:r w:rsidR="00531883">
        <w:rPr>
          <w:rFonts w:ascii="Times New Roman" w:hAnsi="Times New Roman" w:cs="Times New Roman"/>
          <w:color w:val="000000"/>
        </w:rPr>
        <w:t xml:space="preserve">applicant in Switzerland was </w:t>
      </w:r>
      <w:r>
        <w:rPr>
          <w:rFonts w:ascii="Times New Roman" w:hAnsi="Times New Roman" w:cs="Times New Roman"/>
          <w:color w:val="000000"/>
        </w:rPr>
        <w:t>returned to a safe third country</w:t>
      </w:r>
      <w:r w:rsidR="00531883">
        <w:rPr>
          <w:rFonts w:ascii="Times New Roman" w:hAnsi="Times New Roman" w:cs="Times New Roman"/>
          <w:color w:val="000000"/>
        </w:rPr>
        <w:t xml:space="preserve">, either based on the Dublin-III-Regulation or on bilateral readmission agreements </w:t>
      </w:r>
      <w:r>
        <w:rPr>
          <w:rFonts w:ascii="Times New Roman" w:hAnsi="Times New Roman" w:cs="Times New Roman"/>
          <w:color w:val="000000"/>
        </w:rPr>
        <w:t xml:space="preserve">(over 6000 asylum applicants out of a total </w:t>
      </w:r>
      <w:r w:rsidR="00531883">
        <w:rPr>
          <w:rFonts w:ascii="Times New Roman" w:hAnsi="Times New Roman" w:cs="Times New Roman"/>
          <w:color w:val="000000"/>
        </w:rPr>
        <w:t>of 14’928 applications). In only 748</w:t>
      </w:r>
      <w:r w:rsidR="00D92FBD">
        <w:rPr>
          <w:rFonts w:ascii="Times New Roman" w:hAnsi="Times New Roman" w:cs="Times New Roman"/>
          <w:color w:val="000000"/>
        </w:rPr>
        <w:t xml:space="preserve"> cases</w:t>
      </w:r>
      <w:r w:rsidR="00531883">
        <w:rPr>
          <w:rFonts w:ascii="Times New Roman" w:hAnsi="Times New Roman" w:cs="Times New Roman"/>
          <w:color w:val="000000"/>
        </w:rPr>
        <w:t xml:space="preserve"> did Switzerland receive asylum applicants from third countries.</w:t>
      </w:r>
      <w:r w:rsidR="00531883">
        <w:rPr>
          <w:rStyle w:val="Funotenzeichen"/>
          <w:rFonts w:ascii="Times New Roman" w:hAnsi="Times New Roman" w:cs="Times New Roman"/>
          <w:color w:val="000000"/>
        </w:rPr>
        <w:footnoteReference w:id="1"/>
      </w:r>
      <w:r w:rsidR="00531883">
        <w:rPr>
          <w:rFonts w:ascii="Times New Roman" w:hAnsi="Times New Roman" w:cs="Times New Roman"/>
          <w:color w:val="000000"/>
        </w:rPr>
        <w:t xml:space="preserve"> </w:t>
      </w:r>
    </w:p>
    <w:p w14:paraId="26059A40" w14:textId="77777777" w:rsidR="00B86750" w:rsidRDefault="000C4AD5" w:rsidP="001117BC">
      <w:pPr>
        <w:spacing w:after="240"/>
        <w:jc w:val="both"/>
        <w:rPr>
          <w:rFonts w:ascii="Times New Roman" w:hAnsi="Times New Roman" w:cs="Times New Roman"/>
          <w:color w:val="000000"/>
        </w:rPr>
      </w:pPr>
      <w:r>
        <w:rPr>
          <w:rFonts w:ascii="Times New Roman" w:hAnsi="Times New Roman" w:cs="Times New Roman"/>
          <w:color w:val="000000"/>
        </w:rPr>
        <w:t>Swiss law provides for a legal procedure</w:t>
      </w:r>
      <w:r w:rsidR="00363AE8" w:rsidRPr="006E41A2">
        <w:rPr>
          <w:rStyle w:val="Funotenzeichen"/>
          <w:rFonts w:ascii="Times New Roman" w:hAnsi="Times New Roman" w:cs="Times New Roman"/>
          <w:color w:val="000000"/>
        </w:rPr>
        <w:footnoteReference w:id="2"/>
      </w:r>
      <w:r w:rsidR="00AE5587" w:rsidRPr="006E41A2">
        <w:rPr>
          <w:rFonts w:ascii="Times New Roman" w:hAnsi="Times New Roman" w:cs="Times New Roman"/>
          <w:color w:val="000000"/>
        </w:rPr>
        <w:t xml:space="preserve">, which </w:t>
      </w:r>
      <w:r w:rsidR="00B86750">
        <w:rPr>
          <w:rFonts w:ascii="Times New Roman" w:hAnsi="Times New Roman" w:cs="Times New Roman"/>
          <w:color w:val="000000"/>
        </w:rPr>
        <w:t>is supposed to guarantee</w:t>
      </w:r>
      <w:r>
        <w:rPr>
          <w:rFonts w:ascii="Times New Roman" w:hAnsi="Times New Roman" w:cs="Times New Roman"/>
          <w:color w:val="000000"/>
        </w:rPr>
        <w:t xml:space="preserve"> the right </w:t>
      </w:r>
      <w:r w:rsidR="00AE5587" w:rsidRPr="006E41A2">
        <w:rPr>
          <w:rFonts w:ascii="Times New Roman" w:hAnsi="Times New Roman" w:cs="Times New Roman"/>
          <w:color w:val="000000"/>
        </w:rPr>
        <w:t>to</w:t>
      </w:r>
      <w:r w:rsidR="00363AE8" w:rsidRPr="006E41A2">
        <w:rPr>
          <w:rFonts w:ascii="Times New Roman" w:hAnsi="Times New Roman" w:cs="Times New Roman"/>
          <w:color w:val="000000"/>
        </w:rPr>
        <w:t xml:space="preserve"> be</w:t>
      </w:r>
      <w:r w:rsidR="00AE5587" w:rsidRPr="006E41A2">
        <w:rPr>
          <w:rFonts w:ascii="Times New Roman" w:hAnsi="Times New Roman" w:cs="Times New Roman"/>
          <w:color w:val="000000"/>
        </w:rPr>
        <w:t xml:space="preserve"> heard about the potential transfer</w:t>
      </w:r>
      <w:r w:rsidR="00363AE8" w:rsidRPr="006E41A2">
        <w:rPr>
          <w:rFonts w:ascii="Times New Roman" w:hAnsi="Times New Roman" w:cs="Times New Roman"/>
          <w:color w:val="000000"/>
        </w:rPr>
        <w:t xml:space="preserve">, </w:t>
      </w:r>
      <w:r>
        <w:rPr>
          <w:rFonts w:ascii="Times New Roman" w:hAnsi="Times New Roman" w:cs="Times New Roman"/>
          <w:color w:val="000000"/>
        </w:rPr>
        <w:t xml:space="preserve">the right </w:t>
      </w:r>
      <w:r w:rsidR="00363AE8" w:rsidRPr="006E41A2">
        <w:rPr>
          <w:rFonts w:ascii="Times New Roman" w:hAnsi="Times New Roman" w:cs="Times New Roman"/>
          <w:color w:val="000000"/>
        </w:rPr>
        <w:t xml:space="preserve">to stay </w:t>
      </w:r>
      <w:r w:rsidR="00D26927">
        <w:rPr>
          <w:rFonts w:ascii="Times New Roman" w:hAnsi="Times New Roman" w:cs="Times New Roman"/>
          <w:color w:val="000000"/>
        </w:rPr>
        <w:t>during the</w:t>
      </w:r>
      <w:r w:rsidR="00363AE8" w:rsidRPr="006E41A2">
        <w:rPr>
          <w:rFonts w:ascii="Times New Roman" w:hAnsi="Times New Roman" w:cs="Times New Roman"/>
          <w:color w:val="000000"/>
        </w:rPr>
        <w:t xml:space="preserve"> procedure</w:t>
      </w:r>
      <w:r w:rsidR="00AE5587" w:rsidRPr="006E41A2">
        <w:rPr>
          <w:rFonts w:ascii="Times New Roman" w:hAnsi="Times New Roman" w:cs="Times New Roman"/>
          <w:color w:val="000000"/>
        </w:rPr>
        <w:t xml:space="preserve"> and </w:t>
      </w:r>
      <w:r>
        <w:rPr>
          <w:rFonts w:ascii="Times New Roman" w:hAnsi="Times New Roman" w:cs="Times New Roman"/>
          <w:color w:val="000000"/>
        </w:rPr>
        <w:t xml:space="preserve">the right </w:t>
      </w:r>
      <w:r w:rsidR="00AE5587" w:rsidRPr="006E41A2">
        <w:rPr>
          <w:rFonts w:ascii="Times New Roman" w:hAnsi="Times New Roman" w:cs="Times New Roman"/>
          <w:color w:val="000000"/>
        </w:rPr>
        <w:t xml:space="preserve">to challenge the </w:t>
      </w:r>
      <w:r>
        <w:rPr>
          <w:rFonts w:ascii="Times New Roman" w:hAnsi="Times New Roman" w:cs="Times New Roman"/>
          <w:color w:val="000000"/>
        </w:rPr>
        <w:t xml:space="preserve">potential </w:t>
      </w:r>
      <w:r w:rsidR="00AE5587" w:rsidRPr="006E41A2">
        <w:rPr>
          <w:rFonts w:ascii="Times New Roman" w:hAnsi="Times New Roman" w:cs="Times New Roman"/>
          <w:color w:val="000000"/>
        </w:rPr>
        <w:t xml:space="preserve">transfer before court. </w:t>
      </w:r>
      <w:r w:rsidR="00B86750">
        <w:rPr>
          <w:rFonts w:ascii="Times New Roman" w:hAnsi="Times New Roman" w:cs="Times New Roman"/>
          <w:color w:val="000000"/>
        </w:rPr>
        <w:t>The other Dublin member state is obliged to accept the return of the applicant if certain requirements are met, and the re-admission procedure is, therefore, a rather swift process, taking place within a few weeks or months normally.</w:t>
      </w:r>
    </w:p>
    <w:p w14:paraId="3FFB5DD8" w14:textId="77777777" w:rsidR="004241D3" w:rsidRDefault="00C01CDC" w:rsidP="00833786">
      <w:pPr>
        <w:spacing w:after="240"/>
        <w:jc w:val="both"/>
        <w:rPr>
          <w:rFonts w:ascii="Times New Roman" w:hAnsi="Times New Roman" w:cs="Times New Roman"/>
          <w:color w:val="000000"/>
        </w:rPr>
      </w:pPr>
      <w:hyperlink r:id="rId21" w:anchor="art_31_a" w:history="1">
        <w:r w:rsidR="004241D3" w:rsidRPr="00D9438E">
          <w:rPr>
            <w:rStyle w:val="Hyperlink"/>
            <w:rFonts w:ascii="Times New Roman" w:hAnsi="Times New Roman" w:cs="Times New Roman"/>
          </w:rPr>
          <w:t xml:space="preserve">Art. 31a para. 2 </w:t>
        </w:r>
        <w:proofErr w:type="spellStart"/>
        <w:r w:rsidR="004241D3" w:rsidRPr="00D9438E">
          <w:rPr>
            <w:rStyle w:val="Hyperlink"/>
            <w:rFonts w:ascii="Times New Roman" w:hAnsi="Times New Roman" w:cs="Times New Roman"/>
          </w:rPr>
          <w:t>Asyl</w:t>
        </w:r>
        <w:r w:rsidR="00D9438E" w:rsidRPr="00D9438E">
          <w:rPr>
            <w:rStyle w:val="Hyperlink"/>
            <w:rFonts w:ascii="Times New Roman" w:hAnsi="Times New Roman" w:cs="Times New Roman"/>
          </w:rPr>
          <w:t>A</w:t>
        </w:r>
        <w:proofErr w:type="spellEnd"/>
      </w:hyperlink>
      <w:r w:rsidR="004241D3">
        <w:rPr>
          <w:rFonts w:ascii="Times New Roman" w:hAnsi="Times New Roman" w:cs="Times New Roman"/>
          <w:color w:val="000000"/>
        </w:rPr>
        <w:t xml:space="preserve"> does not allow for a no-entry decision in cases where </w:t>
      </w:r>
      <w:r w:rsidR="00542D44">
        <w:rPr>
          <w:rFonts w:ascii="Times New Roman" w:hAnsi="Times New Roman" w:cs="Times New Roman"/>
          <w:color w:val="000000"/>
        </w:rPr>
        <w:t xml:space="preserve">there are indications </w:t>
      </w:r>
      <w:r w:rsidR="004241D3">
        <w:rPr>
          <w:rFonts w:ascii="Times New Roman" w:hAnsi="Times New Roman" w:cs="Times New Roman"/>
          <w:color w:val="000000"/>
        </w:rPr>
        <w:t xml:space="preserve">that in the country concerned in this </w:t>
      </w:r>
      <w:proofErr w:type="gramStart"/>
      <w:r w:rsidR="004241D3">
        <w:rPr>
          <w:rFonts w:ascii="Times New Roman" w:hAnsi="Times New Roman" w:cs="Times New Roman"/>
          <w:color w:val="000000"/>
        </w:rPr>
        <w:t>particular case</w:t>
      </w:r>
      <w:proofErr w:type="gramEnd"/>
      <w:r w:rsidR="004241D3">
        <w:rPr>
          <w:rFonts w:ascii="Times New Roman" w:hAnsi="Times New Roman" w:cs="Times New Roman"/>
          <w:color w:val="000000"/>
        </w:rPr>
        <w:t xml:space="preserve"> no effective protection from refoulement is provided.</w:t>
      </w:r>
    </w:p>
    <w:p w14:paraId="294C0415" w14:textId="77777777" w:rsidR="0070169B" w:rsidRDefault="0070169B" w:rsidP="00833786">
      <w:pPr>
        <w:spacing w:after="240"/>
        <w:jc w:val="both"/>
        <w:rPr>
          <w:rFonts w:ascii="Times New Roman" w:hAnsi="Times New Roman" w:cs="Times New Roman"/>
          <w:color w:val="000000"/>
        </w:rPr>
      </w:pPr>
      <w:r>
        <w:rPr>
          <w:rFonts w:ascii="Times New Roman" w:hAnsi="Times New Roman" w:cs="Times New Roman"/>
          <w:color w:val="000000"/>
        </w:rPr>
        <w:t xml:space="preserve">Based on our practical experience, we are highly concerned about the application of the safe third country concept by Swiss authorities (SEM) and the Federal Administrative Court (FAC). </w:t>
      </w:r>
      <w:r w:rsidR="00542D44">
        <w:rPr>
          <w:rFonts w:ascii="Times New Roman" w:hAnsi="Times New Roman" w:cs="Times New Roman"/>
          <w:color w:val="000000"/>
        </w:rPr>
        <w:t xml:space="preserve">The </w:t>
      </w:r>
      <w:r w:rsidR="00911DA1">
        <w:rPr>
          <w:rFonts w:ascii="Times New Roman" w:hAnsi="Times New Roman" w:cs="Times New Roman"/>
          <w:color w:val="000000"/>
        </w:rPr>
        <w:t xml:space="preserve">SEM and FAC </w:t>
      </w:r>
      <w:r w:rsidR="00542D44">
        <w:rPr>
          <w:rFonts w:ascii="Times New Roman" w:hAnsi="Times New Roman" w:cs="Times New Roman"/>
          <w:color w:val="000000"/>
        </w:rPr>
        <w:t>merely rely on the formal ratification of different human rights treaties and legal standards by the third country and fail to thoroughly examine the actual human rights practice in the country concerned</w:t>
      </w:r>
      <w:r w:rsidR="001B1F4F">
        <w:rPr>
          <w:rFonts w:ascii="Times New Roman" w:hAnsi="Times New Roman" w:cs="Times New Roman"/>
          <w:color w:val="000000"/>
        </w:rPr>
        <w:t xml:space="preserve">. The conclude from this formal examination that </w:t>
      </w:r>
      <w:r w:rsidR="00911DA1">
        <w:rPr>
          <w:rFonts w:ascii="Times New Roman" w:hAnsi="Times New Roman" w:cs="Times New Roman"/>
          <w:color w:val="000000"/>
        </w:rPr>
        <w:t xml:space="preserve">therefore, the return of the applicant – regardless of their medical, mental health and family condition – is lawful. </w:t>
      </w:r>
    </w:p>
    <w:p w14:paraId="64456096" w14:textId="77777777" w:rsidR="00911DA1" w:rsidRDefault="00911DA1" w:rsidP="00833786">
      <w:pPr>
        <w:spacing w:after="240"/>
        <w:jc w:val="both"/>
        <w:rPr>
          <w:rFonts w:ascii="Times New Roman" w:hAnsi="Times New Roman" w:cs="Times New Roman"/>
          <w:color w:val="000000"/>
        </w:rPr>
      </w:pPr>
      <w:r>
        <w:rPr>
          <w:rFonts w:ascii="Times New Roman" w:hAnsi="Times New Roman" w:cs="Times New Roman"/>
          <w:color w:val="000000"/>
        </w:rPr>
        <w:t xml:space="preserve">In our view, in these constellations </w:t>
      </w:r>
      <w:r w:rsidR="001B1F4F">
        <w:rPr>
          <w:rFonts w:ascii="Times New Roman" w:hAnsi="Times New Roman" w:cs="Times New Roman"/>
          <w:color w:val="000000"/>
        </w:rPr>
        <w:t xml:space="preserve">the </w:t>
      </w:r>
      <w:r>
        <w:rPr>
          <w:rFonts w:ascii="Times New Roman" w:hAnsi="Times New Roman" w:cs="Times New Roman"/>
          <w:color w:val="000000"/>
        </w:rPr>
        <w:t xml:space="preserve">SEM and </w:t>
      </w:r>
      <w:r w:rsidR="001B1F4F">
        <w:rPr>
          <w:rFonts w:ascii="Times New Roman" w:hAnsi="Times New Roman" w:cs="Times New Roman"/>
          <w:color w:val="000000"/>
        </w:rPr>
        <w:t xml:space="preserve">the </w:t>
      </w:r>
      <w:r>
        <w:rPr>
          <w:rFonts w:ascii="Times New Roman" w:hAnsi="Times New Roman" w:cs="Times New Roman"/>
          <w:color w:val="000000"/>
        </w:rPr>
        <w:t xml:space="preserve">FAC fail to consider the individual situation of the person </w:t>
      </w:r>
      <w:r w:rsidR="001B1F4F">
        <w:rPr>
          <w:rFonts w:ascii="Times New Roman" w:hAnsi="Times New Roman" w:cs="Times New Roman"/>
          <w:color w:val="000000"/>
        </w:rPr>
        <w:t>concerned</w:t>
      </w:r>
      <w:r>
        <w:rPr>
          <w:rFonts w:ascii="Times New Roman" w:hAnsi="Times New Roman" w:cs="Times New Roman"/>
          <w:color w:val="000000"/>
        </w:rPr>
        <w:t>. Our legal representatives have been confronted with various cases of</w:t>
      </w:r>
      <w:r w:rsidR="00A74D79">
        <w:rPr>
          <w:rFonts w:ascii="Times New Roman" w:hAnsi="Times New Roman" w:cs="Times New Roman"/>
          <w:color w:val="000000"/>
        </w:rPr>
        <w:t xml:space="preserve"> clients who would have faced a real risk of</w:t>
      </w:r>
      <w:r>
        <w:rPr>
          <w:rFonts w:ascii="Times New Roman" w:hAnsi="Times New Roman" w:cs="Times New Roman"/>
          <w:color w:val="000000"/>
        </w:rPr>
        <w:t xml:space="preserve"> severe human rights violations </w:t>
      </w:r>
      <w:r w:rsidR="00A74D79">
        <w:rPr>
          <w:rFonts w:ascii="Times New Roman" w:hAnsi="Times New Roman" w:cs="Times New Roman"/>
          <w:color w:val="000000"/>
        </w:rPr>
        <w:t xml:space="preserve">upon return, where </w:t>
      </w:r>
      <w:r w:rsidR="001B1F4F">
        <w:rPr>
          <w:rFonts w:ascii="Times New Roman" w:hAnsi="Times New Roman" w:cs="Times New Roman"/>
          <w:color w:val="000000"/>
        </w:rPr>
        <w:t xml:space="preserve">the </w:t>
      </w:r>
      <w:r w:rsidR="00A74D79">
        <w:rPr>
          <w:rFonts w:ascii="Times New Roman" w:hAnsi="Times New Roman" w:cs="Times New Roman"/>
          <w:color w:val="000000"/>
        </w:rPr>
        <w:t xml:space="preserve">SEM and </w:t>
      </w:r>
      <w:r w:rsidR="001B1F4F">
        <w:rPr>
          <w:rFonts w:ascii="Times New Roman" w:hAnsi="Times New Roman" w:cs="Times New Roman"/>
          <w:color w:val="000000"/>
        </w:rPr>
        <w:t xml:space="preserve">the </w:t>
      </w:r>
      <w:r w:rsidR="00A74D79">
        <w:rPr>
          <w:rFonts w:ascii="Times New Roman" w:hAnsi="Times New Roman" w:cs="Times New Roman"/>
          <w:color w:val="000000"/>
        </w:rPr>
        <w:t xml:space="preserve">FAC simply referred to the legal obligations by which the respective state is bound, without </w:t>
      </w:r>
      <w:r w:rsidR="00483EB7">
        <w:rPr>
          <w:rFonts w:ascii="Times New Roman" w:hAnsi="Times New Roman" w:cs="Times New Roman"/>
          <w:color w:val="000000"/>
        </w:rPr>
        <w:t xml:space="preserve">providing an individualized assessment of </w:t>
      </w:r>
      <w:r w:rsidR="00A74D79">
        <w:rPr>
          <w:rFonts w:ascii="Times New Roman" w:hAnsi="Times New Roman" w:cs="Times New Roman"/>
          <w:color w:val="000000"/>
        </w:rPr>
        <w:t xml:space="preserve">the risk </w:t>
      </w:r>
      <w:r w:rsidR="001B1F4F">
        <w:rPr>
          <w:rFonts w:ascii="Times New Roman" w:hAnsi="Times New Roman" w:cs="Times New Roman"/>
          <w:color w:val="000000"/>
        </w:rPr>
        <w:t xml:space="preserve">to </w:t>
      </w:r>
      <w:r w:rsidR="00A74D79">
        <w:rPr>
          <w:rFonts w:ascii="Times New Roman" w:hAnsi="Times New Roman" w:cs="Times New Roman"/>
          <w:color w:val="000000"/>
        </w:rPr>
        <w:t xml:space="preserve">the applicant. </w:t>
      </w:r>
    </w:p>
    <w:p w14:paraId="549734DB" w14:textId="77777777" w:rsidR="00A74D79" w:rsidRDefault="00401CA4" w:rsidP="00833786">
      <w:pPr>
        <w:spacing w:after="240"/>
        <w:jc w:val="both"/>
        <w:rPr>
          <w:rFonts w:ascii="Times New Roman" w:hAnsi="Times New Roman" w:cs="Times New Roman"/>
          <w:color w:val="000000"/>
          <w:u w:val="single"/>
        </w:rPr>
      </w:pPr>
      <w:r>
        <w:rPr>
          <w:rFonts w:ascii="Times New Roman" w:hAnsi="Times New Roman" w:cs="Times New Roman"/>
          <w:color w:val="000000"/>
          <w:u w:val="single"/>
        </w:rPr>
        <w:t>Practical e</w:t>
      </w:r>
      <w:r w:rsidR="00A74D79">
        <w:rPr>
          <w:rFonts w:ascii="Times New Roman" w:hAnsi="Times New Roman" w:cs="Times New Roman"/>
          <w:color w:val="000000"/>
          <w:u w:val="single"/>
        </w:rPr>
        <w:t>xamples</w:t>
      </w:r>
      <w:r>
        <w:rPr>
          <w:rFonts w:ascii="Times New Roman" w:hAnsi="Times New Roman" w:cs="Times New Roman"/>
          <w:color w:val="000000"/>
          <w:u w:val="single"/>
        </w:rPr>
        <w:t>:</w:t>
      </w:r>
    </w:p>
    <w:p w14:paraId="47D391A5" w14:textId="1B2DDF5A" w:rsidR="00A74D79" w:rsidRDefault="00A74D79" w:rsidP="00A74D79">
      <w:pPr>
        <w:pStyle w:val="Listenabsatz"/>
        <w:numPr>
          <w:ilvl w:val="0"/>
          <w:numId w:val="20"/>
        </w:numPr>
        <w:spacing w:after="240"/>
        <w:jc w:val="both"/>
        <w:rPr>
          <w:rFonts w:ascii="Times New Roman" w:hAnsi="Times New Roman" w:cs="Times New Roman"/>
          <w:color w:val="000000"/>
        </w:rPr>
      </w:pPr>
      <w:r>
        <w:rPr>
          <w:rFonts w:ascii="Times New Roman" w:hAnsi="Times New Roman" w:cs="Times New Roman"/>
          <w:color w:val="000000"/>
        </w:rPr>
        <w:t>We represented three single women who experience</w:t>
      </w:r>
      <w:r w:rsidR="00041B19">
        <w:rPr>
          <w:rFonts w:ascii="Times New Roman" w:hAnsi="Times New Roman" w:cs="Times New Roman"/>
          <w:color w:val="000000"/>
        </w:rPr>
        <w:t>d</w:t>
      </w:r>
      <w:r>
        <w:rPr>
          <w:rFonts w:ascii="Times New Roman" w:hAnsi="Times New Roman" w:cs="Times New Roman"/>
          <w:color w:val="000000"/>
        </w:rPr>
        <w:t xml:space="preserve"> severe SGBV in Greece. Since they were granted refugee status in Greece,</w:t>
      </w:r>
      <w:r w:rsidR="001B1F4F">
        <w:rPr>
          <w:rFonts w:ascii="Times New Roman" w:hAnsi="Times New Roman" w:cs="Times New Roman"/>
          <w:color w:val="000000"/>
        </w:rPr>
        <w:t xml:space="preserve"> the</w:t>
      </w:r>
      <w:r>
        <w:rPr>
          <w:rFonts w:ascii="Times New Roman" w:hAnsi="Times New Roman" w:cs="Times New Roman"/>
          <w:color w:val="000000"/>
        </w:rPr>
        <w:t xml:space="preserve"> SEM and </w:t>
      </w:r>
      <w:r w:rsidR="001B1F4F">
        <w:rPr>
          <w:rFonts w:ascii="Times New Roman" w:hAnsi="Times New Roman" w:cs="Times New Roman"/>
          <w:color w:val="000000"/>
        </w:rPr>
        <w:t xml:space="preserve">the </w:t>
      </w:r>
      <w:r>
        <w:rPr>
          <w:rFonts w:ascii="Times New Roman" w:hAnsi="Times New Roman" w:cs="Times New Roman"/>
          <w:color w:val="000000"/>
        </w:rPr>
        <w:t xml:space="preserve">FAC issued respectively confirmed inadmissibility decisions. We brought all three cases before </w:t>
      </w:r>
      <w:r w:rsidR="001B1F4F">
        <w:rPr>
          <w:rFonts w:ascii="Times New Roman" w:hAnsi="Times New Roman" w:cs="Times New Roman"/>
          <w:color w:val="000000"/>
        </w:rPr>
        <w:t xml:space="preserve">the </w:t>
      </w:r>
      <w:r>
        <w:rPr>
          <w:rFonts w:ascii="Times New Roman" w:hAnsi="Times New Roman" w:cs="Times New Roman"/>
          <w:color w:val="000000"/>
        </w:rPr>
        <w:t>CEDAW</w:t>
      </w:r>
      <w:r w:rsidR="001B1F4F">
        <w:rPr>
          <w:rFonts w:ascii="Times New Roman" w:hAnsi="Times New Roman" w:cs="Times New Roman"/>
          <w:color w:val="000000"/>
        </w:rPr>
        <w:t xml:space="preserve"> Committee</w:t>
      </w:r>
      <w:r>
        <w:rPr>
          <w:rFonts w:ascii="Times New Roman" w:hAnsi="Times New Roman" w:cs="Times New Roman"/>
          <w:color w:val="000000"/>
        </w:rPr>
        <w:t xml:space="preserve">, </w:t>
      </w:r>
      <w:r w:rsidR="001B1F4F">
        <w:rPr>
          <w:rFonts w:ascii="Times New Roman" w:hAnsi="Times New Roman" w:cs="Times New Roman"/>
          <w:color w:val="000000"/>
        </w:rPr>
        <w:t xml:space="preserve">which granted </w:t>
      </w:r>
      <w:r>
        <w:rPr>
          <w:rFonts w:ascii="Times New Roman" w:hAnsi="Times New Roman" w:cs="Times New Roman"/>
          <w:color w:val="000000"/>
        </w:rPr>
        <w:t xml:space="preserve">interim measures. Upon this, </w:t>
      </w:r>
      <w:r w:rsidR="001B1F4F">
        <w:rPr>
          <w:rFonts w:ascii="Times New Roman" w:hAnsi="Times New Roman" w:cs="Times New Roman"/>
          <w:color w:val="000000"/>
        </w:rPr>
        <w:t xml:space="preserve">the </w:t>
      </w:r>
      <w:r>
        <w:rPr>
          <w:rFonts w:ascii="Times New Roman" w:hAnsi="Times New Roman" w:cs="Times New Roman"/>
          <w:color w:val="000000"/>
        </w:rPr>
        <w:t xml:space="preserve">SEM reconsidered one of the cases and the client is now recognized as a refugee. The other two cases are still pending before </w:t>
      </w:r>
      <w:r w:rsidR="001B1F4F">
        <w:rPr>
          <w:rFonts w:ascii="Times New Roman" w:hAnsi="Times New Roman" w:cs="Times New Roman"/>
          <w:color w:val="000000"/>
        </w:rPr>
        <w:t xml:space="preserve">the </w:t>
      </w:r>
      <w:r>
        <w:rPr>
          <w:rFonts w:ascii="Times New Roman" w:hAnsi="Times New Roman" w:cs="Times New Roman"/>
          <w:color w:val="000000"/>
        </w:rPr>
        <w:t>CEDAW</w:t>
      </w:r>
      <w:r w:rsidR="001B1F4F">
        <w:rPr>
          <w:rFonts w:ascii="Times New Roman" w:hAnsi="Times New Roman" w:cs="Times New Roman"/>
          <w:color w:val="000000"/>
        </w:rPr>
        <w:t xml:space="preserve"> Committee</w:t>
      </w:r>
      <w:r>
        <w:rPr>
          <w:rFonts w:ascii="Times New Roman" w:hAnsi="Times New Roman" w:cs="Times New Roman"/>
          <w:color w:val="000000"/>
        </w:rPr>
        <w:t>.</w:t>
      </w:r>
    </w:p>
    <w:p w14:paraId="1A8749D9" w14:textId="77777777" w:rsidR="00A74D79" w:rsidRDefault="00A74D79" w:rsidP="00A74D79">
      <w:pPr>
        <w:pStyle w:val="Listenabsatz"/>
        <w:numPr>
          <w:ilvl w:val="0"/>
          <w:numId w:val="20"/>
        </w:numPr>
        <w:spacing w:after="240"/>
        <w:jc w:val="both"/>
        <w:rPr>
          <w:rFonts w:ascii="Times New Roman" w:hAnsi="Times New Roman" w:cs="Times New Roman"/>
          <w:color w:val="000000"/>
        </w:rPr>
      </w:pPr>
      <w:r>
        <w:rPr>
          <w:rFonts w:ascii="Times New Roman" w:hAnsi="Times New Roman" w:cs="Times New Roman"/>
          <w:color w:val="000000"/>
        </w:rPr>
        <w:t xml:space="preserve">We represented a stateless single mother with her children who was a victim of forced marriage and severe SGBV since her childhood in Syria. </w:t>
      </w:r>
      <w:r w:rsidR="001B1F4F">
        <w:rPr>
          <w:rFonts w:ascii="Times New Roman" w:hAnsi="Times New Roman" w:cs="Times New Roman"/>
          <w:color w:val="000000"/>
        </w:rPr>
        <w:t xml:space="preserve">The </w:t>
      </w:r>
      <w:r>
        <w:rPr>
          <w:rFonts w:ascii="Times New Roman" w:hAnsi="Times New Roman" w:cs="Times New Roman"/>
          <w:color w:val="000000"/>
        </w:rPr>
        <w:t xml:space="preserve">SEM and </w:t>
      </w:r>
      <w:r w:rsidR="001B1F4F">
        <w:rPr>
          <w:rFonts w:ascii="Times New Roman" w:hAnsi="Times New Roman" w:cs="Times New Roman"/>
          <w:color w:val="000000"/>
        </w:rPr>
        <w:t xml:space="preserve">the </w:t>
      </w:r>
      <w:r>
        <w:rPr>
          <w:rFonts w:ascii="Times New Roman" w:hAnsi="Times New Roman" w:cs="Times New Roman"/>
          <w:color w:val="000000"/>
        </w:rPr>
        <w:t xml:space="preserve">FAC decided to return her to </w:t>
      </w:r>
      <w:r w:rsidR="00401CA4">
        <w:rPr>
          <w:rFonts w:ascii="Times New Roman" w:hAnsi="Times New Roman" w:cs="Times New Roman"/>
          <w:color w:val="000000"/>
        </w:rPr>
        <w:t>Bulgaria</w:t>
      </w:r>
      <w:r>
        <w:rPr>
          <w:rFonts w:ascii="Times New Roman" w:hAnsi="Times New Roman" w:cs="Times New Roman"/>
          <w:color w:val="000000"/>
        </w:rPr>
        <w:t>, where she and her children were at risk of further SGBV by the children’s father, where they had no shelter, no medical or mental health support and where the children could not attend school.</w:t>
      </w:r>
      <w:r w:rsidR="00401CA4">
        <w:rPr>
          <w:rFonts w:ascii="Times New Roman" w:hAnsi="Times New Roman" w:cs="Times New Roman"/>
          <w:color w:val="000000"/>
        </w:rPr>
        <w:t xml:space="preserve"> SEM and FAC referred to the legal obligations Bulgaria had and that, in case of violation thereof, the clients would have to seek legal remedies locally. </w:t>
      </w:r>
      <w:r>
        <w:rPr>
          <w:rFonts w:ascii="Times New Roman" w:hAnsi="Times New Roman" w:cs="Times New Roman"/>
          <w:color w:val="000000"/>
        </w:rPr>
        <w:t xml:space="preserve">Upon </w:t>
      </w:r>
      <w:r w:rsidR="001B1F4F">
        <w:rPr>
          <w:rFonts w:ascii="Times New Roman" w:hAnsi="Times New Roman" w:cs="Times New Roman"/>
          <w:color w:val="000000"/>
        </w:rPr>
        <w:t>communication of the case to</w:t>
      </w:r>
      <w:r>
        <w:rPr>
          <w:rFonts w:ascii="Times New Roman" w:hAnsi="Times New Roman" w:cs="Times New Roman"/>
          <w:color w:val="000000"/>
        </w:rPr>
        <w:t xml:space="preserve"> the CRC</w:t>
      </w:r>
      <w:r w:rsidR="001B1F4F">
        <w:rPr>
          <w:rFonts w:ascii="Times New Roman" w:hAnsi="Times New Roman" w:cs="Times New Roman"/>
          <w:color w:val="000000"/>
        </w:rPr>
        <w:t xml:space="preserve"> </w:t>
      </w:r>
      <w:r w:rsidR="001B1F4F">
        <w:rPr>
          <w:rFonts w:ascii="Times New Roman" w:hAnsi="Times New Roman" w:cs="Times New Roman"/>
          <w:color w:val="000000"/>
        </w:rPr>
        <w:lastRenderedPageBreak/>
        <w:t>Committee</w:t>
      </w:r>
      <w:r>
        <w:rPr>
          <w:rFonts w:ascii="Times New Roman" w:hAnsi="Times New Roman" w:cs="Times New Roman"/>
          <w:color w:val="000000"/>
        </w:rPr>
        <w:t xml:space="preserve">, interim measures were granted and shortly afterwards, </w:t>
      </w:r>
      <w:r w:rsidR="001B1F4F">
        <w:rPr>
          <w:rFonts w:ascii="Times New Roman" w:hAnsi="Times New Roman" w:cs="Times New Roman"/>
          <w:color w:val="000000"/>
        </w:rPr>
        <w:t xml:space="preserve">the </w:t>
      </w:r>
      <w:r>
        <w:rPr>
          <w:rFonts w:ascii="Times New Roman" w:hAnsi="Times New Roman" w:cs="Times New Roman"/>
          <w:color w:val="000000"/>
        </w:rPr>
        <w:t xml:space="preserve">SEM reconsidered its decision. The national asylum procedure is still ongoing. </w:t>
      </w:r>
    </w:p>
    <w:p w14:paraId="5328DAAE" w14:textId="77777777" w:rsidR="0045738C" w:rsidRPr="003F7094" w:rsidRDefault="0045738C" w:rsidP="0045738C">
      <w:pPr>
        <w:pStyle w:val="Listenabsatz"/>
        <w:numPr>
          <w:ilvl w:val="0"/>
          <w:numId w:val="20"/>
        </w:numPr>
        <w:spacing w:after="0" w:line="240" w:lineRule="auto"/>
        <w:rPr>
          <w:rFonts w:ascii="Times New Roman" w:eastAsia="Times New Roman" w:hAnsi="Times New Roman" w:cs="Times New Roman"/>
          <w:sz w:val="24"/>
          <w:szCs w:val="24"/>
          <w:lang w:val="de-CR" w:eastAsia="zh-CN"/>
        </w:rPr>
      </w:pPr>
      <w:r w:rsidRPr="0045738C">
        <w:rPr>
          <w:rFonts w:ascii="Times New Roman" w:eastAsia="Times New Roman" w:hAnsi="Times New Roman" w:cs="Times New Roman"/>
          <w:color w:val="000000"/>
          <w:shd w:val="clear" w:color="auto" w:fill="FFFFFF"/>
          <w:lang w:val="de-CR" w:eastAsia="zh-CN"/>
        </w:rPr>
        <w:t>We represented a Syrian Kurd suffering from severe PTSD and high suicidality.</w:t>
      </w:r>
      <w:r w:rsidR="006D554D">
        <w:rPr>
          <w:rFonts w:ascii="Times New Roman" w:eastAsia="Times New Roman" w:hAnsi="Times New Roman" w:cs="Times New Roman"/>
          <w:color w:val="000000"/>
          <w:shd w:val="clear" w:color="auto" w:fill="FFFFFF"/>
          <w:lang w:eastAsia="zh-CN"/>
        </w:rPr>
        <w:t xml:space="preserve"> The</w:t>
      </w:r>
      <w:r w:rsidRPr="0045738C">
        <w:rPr>
          <w:rFonts w:ascii="Times New Roman" w:eastAsia="Times New Roman" w:hAnsi="Times New Roman" w:cs="Times New Roman"/>
          <w:color w:val="000000"/>
          <w:shd w:val="clear" w:color="auto" w:fill="FFFFFF"/>
          <w:lang w:val="de-CR" w:eastAsia="zh-CN"/>
        </w:rPr>
        <w:t xml:space="preserve"> SEM / FAC</w:t>
      </w:r>
      <w:r w:rsidR="0057615C" w:rsidRPr="003F7094">
        <w:rPr>
          <w:rFonts w:ascii="Times New Roman" w:eastAsia="Times New Roman" w:hAnsi="Times New Roman" w:cs="Times New Roman"/>
          <w:color w:val="000000"/>
          <w:shd w:val="clear" w:color="auto" w:fill="FFFFFF"/>
          <w:lang w:eastAsia="zh-CN"/>
        </w:rPr>
        <w:t>, relying</w:t>
      </w:r>
      <w:r w:rsidR="00D61A37">
        <w:rPr>
          <w:rFonts w:ascii="Times New Roman" w:eastAsia="Times New Roman" w:hAnsi="Times New Roman" w:cs="Times New Roman"/>
          <w:color w:val="000000"/>
          <w:shd w:val="clear" w:color="auto" w:fill="FFFFFF"/>
          <w:lang w:eastAsia="zh-CN"/>
        </w:rPr>
        <w:t xml:space="preserve"> </w:t>
      </w:r>
      <w:r w:rsidR="00D61A37" w:rsidRPr="00DF5D0F">
        <w:rPr>
          <w:rFonts w:ascii="Times New Roman" w:eastAsia="Times New Roman" w:hAnsi="Times New Roman" w:cs="Times New Roman"/>
          <w:color w:val="000000"/>
          <w:shd w:val="clear" w:color="auto" w:fill="FFFFFF"/>
          <w:lang w:eastAsia="zh-CN"/>
        </w:rPr>
        <w:t>merely</w:t>
      </w:r>
      <w:r w:rsidR="0057615C" w:rsidRPr="003F7094">
        <w:rPr>
          <w:rFonts w:ascii="Times New Roman" w:eastAsia="Times New Roman" w:hAnsi="Times New Roman" w:cs="Times New Roman"/>
          <w:color w:val="000000"/>
          <w:shd w:val="clear" w:color="auto" w:fill="FFFFFF"/>
          <w:lang w:eastAsia="zh-CN"/>
        </w:rPr>
        <w:t xml:space="preserve"> on the fact that R</w:t>
      </w:r>
      <w:r w:rsidR="00C1353C">
        <w:rPr>
          <w:rFonts w:ascii="Times New Roman" w:eastAsia="Times New Roman" w:hAnsi="Times New Roman" w:cs="Times New Roman"/>
          <w:color w:val="000000"/>
          <w:shd w:val="clear" w:color="auto" w:fill="FFFFFF"/>
          <w:lang w:eastAsia="zh-CN"/>
        </w:rPr>
        <w:t>o</w:t>
      </w:r>
      <w:r w:rsidR="0057615C" w:rsidRPr="003F7094">
        <w:rPr>
          <w:rFonts w:ascii="Times New Roman" w:eastAsia="Times New Roman" w:hAnsi="Times New Roman" w:cs="Times New Roman"/>
          <w:color w:val="000000"/>
          <w:shd w:val="clear" w:color="auto" w:fill="FFFFFF"/>
          <w:lang w:eastAsia="zh-CN"/>
        </w:rPr>
        <w:t xml:space="preserve">mania is </w:t>
      </w:r>
      <w:r w:rsidR="00C1353C">
        <w:rPr>
          <w:rFonts w:ascii="Times New Roman" w:eastAsia="Times New Roman" w:hAnsi="Times New Roman" w:cs="Times New Roman"/>
          <w:color w:val="000000"/>
          <w:shd w:val="clear" w:color="auto" w:fill="FFFFFF"/>
          <w:lang w:eastAsia="zh-CN"/>
        </w:rPr>
        <w:t xml:space="preserve">a </w:t>
      </w:r>
      <w:r w:rsidR="0057615C" w:rsidRPr="003F7094">
        <w:rPr>
          <w:rFonts w:ascii="Times New Roman" w:eastAsia="Times New Roman" w:hAnsi="Times New Roman" w:cs="Times New Roman"/>
          <w:color w:val="000000"/>
          <w:shd w:val="clear" w:color="auto" w:fill="FFFFFF"/>
          <w:lang w:eastAsia="zh-CN"/>
        </w:rPr>
        <w:t>part</w:t>
      </w:r>
      <w:r w:rsidR="00C1353C">
        <w:rPr>
          <w:rFonts w:ascii="Times New Roman" w:eastAsia="Times New Roman" w:hAnsi="Times New Roman" w:cs="Times New Roman"/>
          <w:color w:val="000000"/>
          <w:shd w:val="clear" w:color="auto" w:fill="FFFFFF"/>
          <w:lang w:eastAsia="zh-CN"/>
        </w:rPr>
        <w:t>y</w:t>
      </w:r>
      <w:r w:rsidR="0057615C" w:rsidRPr="003F7094">
        <w:rPr>
          <w:rFonts w:ascii="Times New Roman" w:eastAsia="Times New Roman" w:hAnsi="Times New Roman" w:cs="Times New Roman"/>
          <w:color w:val="000000"/>
          <w:shd w:val="clear" w:color="auto" w:fill="FFFFFF"/>
          <w:lang w:eastAsia="zh-CN"/>
        </w:rPr>
        <w:t xml:space="preserve"> </w:t>
      </w:r>
      <w:r w:rsidR="00C1353C">
        <w:rPr>
          <w:rFonts w:ascii="Times New Roman" w:eastAsia="Times New Roman" w:hAnsi="Times New Roman" w:cs="Times New Roman"/>
          <w:color w:val="000000"/>
          <w:shd w:val="clear" w:color="auto" w:fill="FFFFFF"/>
          <w:lang w:eastAsia="zh-CN"/>
        </w:rPr>
        <w:t>to the</w:t>
      </w:r>
      <w:r w:rsidR="0057615C" w:rsidRPr="0057615C">
        <w:rPr>
          <w:rFonts w:ascii="Times New Roman" w:eastAsia="Times New Roman" w:hAnsi="Times New Roman" w:cs="Times New Roman"/>
          <w:color w:val="000000"/>
          <w:shd w:val="clear" w:color="auto" w:fill="FFFFFF"/>
          <w:lang w:eastAsia="zh-CN"/>
        </w:rPr>
        <w:t xml:space="preserve"> </w:t>
      </w:r>
      <w:r w:rsidR="0057615C" w:rsidRPr="0045738C">
        <w:rPr>
          <w:rFonts w:ascii="Times New Roman" w:eastAsia="Times New Roman" w:hAnsi="Times New Roman" w:cs="Times New Roman"/>
          <w:color w:val="000000"/>
          <w:shd w:val="clear" w:color="auto" w:fill="FFFFFF"/>
          <w:lang w:val="de-CR" w:eastAsia="zh-CN"/>
        </w:rPr>
        <w:t>relevant</w:t>
      </w:r>
      <w:r w:rsidR="0057615C" w:rsidRPr="003F7094">
        <w:rPr>
          <w:rFonts w:ascii="Times New Roman" w:eastAsia="Times New Roman" w:hAnsi="Times New Roman" w:cs="Times New Roman"/>
          <w:color w:val="000000"/>
          <w:shd w:val="clear" w:color="auto" w:fill="FFFFFF"/>
          <w:lang w:eastAsia="zh-CN"/>
        </w:rPr>
        <w:t xml:space="preserve"> human </w:t>
      </w:r>
      <w:r w:rsidR="0057615C">
        <w:rPr>
          <w:rFonts w:ascii="Times New Roman" w:eastAsia="Times New Roman" w:hAnsi="Times New Roman" w:cs="Times New Roman"/>
          <w:color w:val="000000"/>
          <w:shd w:val="clear" w:color="auto" w:fill="FFFFFF"/>
          <w:lang w:eastAsia="zh-CN"/>
        </w:rPr>
        <w:t>rights treaties</w:t>
      </w:r>
      <w:r w:rsidR="00BD7AA5">
        <w:rPr>
          <w:rFonts w:ascii="Times New Roman" w:eastAsia="Times New Roman" w:hAnsi="Times New Roman" w:cs="Times New Roman"/>
          <w:color w:val="000000"/>
          <w:shd w:val="clear" w:color="auto" w:fill="FFFFFF"/>
          <w:lang w:eastAsia="zh-CN"/>
        </w:rPr>
        <w:t xml:space="preserve"> (ECHR, CAT)</w:t>
      </w:r>
      <w:r w:rsidR="00D61A37">
        <w:rPr>
          <w:rFonts w:ascii="Times New Roman" w:eastAsia="Times New Roman" w:hAnsi="Times New Roman" w:cs="Times New Roman"/>
          <w:color w:val="000000"/>
          <w:shd w:val="clear" w:color="auto" w:fill="FFFFFF"/>
          <w:lang w:eastAsia="zh-CN"/>
        </w:rPr>
        <w:t xml:space="preserve"> and as a Schengen/Dublin state party is obliged to provide </w:t>
      </w:r>
      <w:r w:rsidR="00C1353C">
        <w:rPr>
          <w:rFonts w:ascii="Times New Roman" w:eastAsia="Times New Roman" w:hAnsi="Times New Roman" w:cs="Times New Roman"/>
          <w:color w:val="000000"/>
          <w:shd w:val="clear" w:color="auto" w:fill="FFFFFF"/>
          <w:lang w:eastAsia="zh-CN"/>
        </w:rPr>
        <w:t>adequate</w:t>
      </w:r>
      <w:r w:rsidR="00D61A37">
        <w:rPr>
          <w:rFonts w:ascii="Times New Roman" w:eastAsia="Times New Roman" w:hAnsi="Times New Roman" w:cs="Times New Roman"/>
          <w:color w:val="000000"/>
          <w:shd w:val="clear" w:color="auto" w:fill="FFFFFF"/>
          <w:lang w:eastAsia="zh-CN"/>
        </w:rPr>
        <w:t xml:space="preserve"> medical care</w:t>
      </w:r>
      <w:r w:rsidR="0057615C">
        <w:rPr>
          <w:rFonts w:ascii="Times New Roman" w:eastAsia="Times New Roman" w:hAnsi="Times New Roman" w:cs="Times New Roman"/>
          <w:color w:val="000000"/>
          <w:shd w:val="clear" w:color="auto" w:fill="FFFFFF"/>
          <w:lang w:eastAsia="zh-CN"/>
        </w:rPr>
        <w:t xml:space="preserve">, </w:t>
      </w:r>
      <w:r w:rsidR="00AC3076" w:rsidRPr="0045738C">
        <w:rPr>
          <w:rFonts w:ascii="Times New Roman" w:eastAsia="Times New Roman" w:hAnsi="Times New Roman" w:cs="Times New Roman"/>
          <w:color w:val="000000"/>
          <w:shd w:val="clear" w:color="auto" w:fill="FFFFFF"/>
          <w:lang w:val="de-CR" w:eastAsia="zh-CN"/>
        </w:rPr>
        <w:t>decided to</w:t>
      </w:r>
      <w:r w:rsidRPr="0045738C">
        <w:rPr>
          <w:rFonts w:ascii="Times New Roman" w:eastAsia="Times New Roman" w:hAnsi="Times New Roman" w:cs="Times New Roman"/>
          <w:color w:val="000000"/>
          <w:shd w:val="clear" w:color="auto" w:fill="FFFFFF"/>
          <w:lang w:val="de-CR" w:eastAsia="zh-CN"/>
        </w:rPr>
        <w:t xml:space="preserve"> deport </w:t>
      </w:r>
      <w:r w:rsidR="00D61A37">
        <w:rPr>
          <w:rFonts w:ascii="Times New Roman" w:eastAsia="Times New Roman" w:hAnsi="Times New Roman" w:cs="Times New Roman"/>
          <w:color w:val="000000"/>
          <w:shd w:val="clear" w:color="auto" w:fill="FFFFFF"/>
          <w:lang w:eastAsia="zh-CN"/>
        </w:rPr>
        <w:t>our client</w:t>
      </w:r>
      <w:r w:rsidRPr="0045738C">
        <w:rPr>
          <w:rFonts w:ascii="Times New Roman" w:eastAsia="Times New Roman" w:hAnsi="Times New Roman" w:cs="Times New Roman"/>
          <w:color w:val="000000"/>
          <w:shd w:val="clear" w:color="auto" w:fill="FFFFFF"/>
          <w:lang w:val="de-CR" w:eastAsia="zh-CN"/>
        </w:rPr>
        <w:t xml:space="preserve"> back to R</w:t>
      </w:r>
      <w:r w:rsidR="00C1353C">
        <w:rPr>
          <w:rFonts w:ascii="Times New Roman" w:eastAsia="Times New Roman" w:hAnsi="Times New Roman" w:cs="Times New Roman"/>
          <w:color w:val="000000"/>
          <w:shd w:val="clear" w:color="auto" w:fill="FFFFFF"/>
          <w:lang w:eastAsia="zh-CN"/>
        </w:rPr>
        <w:t>o</w:t>
      </w:r>
      <w:r w:rsidRPr="0045738C">
        <w:rPr>
          <w:rFonts w:ascii="Times New Roman" w:eastAsia="Times New Roman" w:hAnsi="Times New Roman" w:cs="Times New Roman"/>
          <w:color w:val="000000"/>
          <w:shd w:val="clear" w:color="auto" w:fill="FFFFFF"/>
          <w:lang w:val="de-CR" w:eastAsia="zh-CN"/>
        </w:rPr>
        <w:t xml:space="preserve">mania, </w:t>
      </w:r>
      <w:r w:rsidR="00C1353C" w:rsidRPr="00C1353C">
        <w:rPr>
          <w:rFonts w:ascii="Times New Roman" w:eastAsia="Times New Roman" w:hAnsi="Times New Roman" w:cs="Times New Roman"/>
          <w:color w:val="000000"/>
          <w:shd w:val="clear" w:color="auto" w:fill="FFFFFF"/>
          <w:lang w:eastAsia="zh-CN"/>
        </w:rPr>
        <w:t>where he was severely beaten and intimidated by the authorities and had no access to urgently needed medical care, legal and social support, or housing.</w:t>
      </w:r>
      <w:r w:rsidR="0057615C">
        <w:rPr>
          <w:rFonts w:ascii="Times New Roman" w:eastAsia="Times New Roman" w:hAnsi="Times New Roman" w:cs="Times New Roman"/>
          <w:color w:val="000000"/>
          <w:shd w:val="clear" w:color="auto" w:fill="FFFFFF"/>
          <w:lang w:eastAsia="zh-CN"/>
        </w:rPr>
        <w:t xml:space="preserve"> Moreover, </w:t>
      </w:r>
      <w:r w:rsidR="00C1353C" w:rsidRPr="00C1353C">
        <w:rPr>
          <w:rFonts w:ascii="Times New Roman" w:eastAsia="Times New Roman" w:hAnsi="Times New Roman" w:cs="Times New Roman"/>
          <w:color w:val="000000"/>
          <w:shd w:val="clear" w:color="auto" w:fill="FFFFFF"/>
          <w:lang w:eastAsia="zh-CN"/>
        </w:rPr>
        <w:t xml:space="preserve">his asylum application had been rejected in Romania, leaving him at risk of chain refoulement to Syria, where he would face a serious and real risk of further severe torture or inhuman and degrading treatment. </w:t>
      </w:r>
      <w:proofErr w:type="spellStart"/>
      <w:r w:rsidR="00C1353C" w:rsidRPr="00C1353C">
        <w:rPr>
          <w:rFonts w:ascii="Times New Roman" w:eastAsia="Times New Roman" w:hAnsi="Times New Roman" w:cs="Times New Roman"/>
          <w:color w:val="000000"/>
          <w:shd w:val="clear" w:color="auto" w:fill="FFFFFF"/>
          <w:lang w:eastAsia="zh-CN"/>
        </w:rPr>
        <w:t>AsyLex</w:t>
      </w:r>
      <w:proofErr w:type="spellEnd"/>
      <w:r w:rsidR="00C1353C" w:rsidRPr="00C1353C">
        <w:rPr>
          <w:rFonts w:ascii="Times New Roman" w:eastAsia="Times New Roman" w:hAnsi="Times New Roman" w:cs="Times New Roman"/>
          <w:color w:val="000000"/>
          <w:shd w:val="clear" w:color="auto" w:fill="FFFFFF"/>
          <w:lang w:eastAsia="zh-CN"/>
        </w:rPr>
        <w:t xml:space="preserve"> appealed to the CAT, which immediately issued interim measures. The case is still pending before the Committee</w:t>
      </w:r>
      <w:r w:rsidRPr="0045738C">
        <w:rPr>
          <w:rFonts w:ascii="Times New Roman" w:eastAsia="Times New Roman" w:hAnsi="Times New Roman" w:cs="Times New Roman"/>
          <w:color w:val="000000"/>
          <w:shd w:val="clear" w:color="auto" w:fill="FFFFFF"/>
          <w:lang w:val="de-CR" w:eastAsia="zh-CN"/>
        </w:rPr>
        <w:t xml:space="preserve">. </w:t>
      </w:r>
    </w:p>
    <w:p w14:paraId="615A1EAC" w14:textId="77777777" w:rsidR="0045738C" w:rsidRPr="0045738C" w:rsidRDefault="0045738C" w:rsidP="003F7094">
      <w:pPr>
        <w:pStyle w:val="Listenabsatz"/>
        <w:spacing w:after="0" w:line="240" w:lineRule="auto"/>
        <w:rPr>
          <w:rFonts w:ascii="Times New Roman" w:eastAsia="Times New Roman" w:hAnsi="Times New Roman" w:cs="Times New Roman"/>
          <w:sz w:val="24"/>
          <w:szCs w:val="24"/>
          <w:lang w:val="de-CR" w:eastAsia="zh-CN"/>
        </w:rPr>
      </w:pPr>
    </w:p>
    <w:p w14:paraId="5957A80A" w14:textId="52963274" w:rsidR="00AF077B" w:rsidRPr="00417F07" w:rsidRDefault="00592081" w:rsidP="00207D17">
      <w:pPr>
        <w:jc w:val="both"/>
        <w:rPr>
          <w:rFonts w:ascii="Times New Roman" w:eastAsia="Times New Roman" w:hAnsi="Times New Roman" w:cs="Times New Roman"/>
          <w:sz w:val="24"/>
          <w:szCs w:val="24"/>
          <w:lang w:val="de-CR" w:eastAsia="zh-CN"/>
        </w:rPr>
      </w:pPr>
      <w:r w:rsidRPr="00F37D75">
        <w:rPr>
          <w:rFonts w:ascii="Times New Roman" w:hAnsi="Times New Roman" w:cs="Times New Roman"/>
          <w:color w:val="000000"/>
        </w:rPr>
        <w:t xml:space="preserve">A rich body of case law confirms that </w:t>
      </w:r>
      <w:r>
        <w:rPr>
          <w:rFonts w:ascii="Times New Roman" w:hAnsi="Times New Roman" w:cs="Times New Roman"/>
          <w:color w:val="000000"/>
        </w:rPr>
        <w:t xml:space="preserve">it would be the SEM’s and FAC’s obligation to </w:t>
      </w:r>
      <w:r w:rsidR="001E0398">
        <w:rPr>
          <w:rFonts w:ascii="Times New Roman" w:hAnsi="Times New Roman" w:cs="Times New Roman"/>
          <w:color w:val="000000"/>
        </w:rPr>
        <w:t>provide an individualized assessment of the refoulement risks in every case</w:t>
      </w:r>
      <w:r>
        <w:rPr>
          <w:rFonts w:ascii="Times New Roman" w:hAnsi="Times New Roman" w:cs="Times New Roman"/>
          <w:color w:val="000000"/>
        </w:rPr>
        <w:t xml:space="preserve">, </w:t>
      </w:r>
      <w:r w:rsidR="001E0398">
        <w:rPr>
          <w:rFonts w:ascii="Times New Roman" w:hAnsi="Times New Roman" w:cs="Times New Roman"/>
          <w:color w:val="000000"/>
        </w:rPr>
        <w:t>particularly</w:t>
      </w:r>
      <w:r w:rsidR="001E0398">
        <w:rPr>
          <w:rFonts w:ascii="Times New Roman" w:hAnsi="Times New Roman" w:cs="Times New Roman"/>
          <w:color w:val="000000"/>
        </w:rPr>
        <w:t xml:space="preserve"> </w:t>
      </w:r>
      <w:r>
        <w:rPr>
          <w:rFonts w:ascii="Times New Roman" w:hAnsi="Times New Roman" w:cs="Times New Roman"/>
          <w:color w:val="000000"/>
        </w:rPr>
        <w:t>in situations where vulnerable applicants such as children, single women or single parents, victims of torture and people with severe medical or mental health conditions are concerned</w:t>
      </w:r>
      <w:r>
        <w:rPr>
          <w:rFonts w:ascii="Times New Roman" w:hAnsi="Times New Roman" w:cs="Times New Roman"/>
          <w:color w:val="000000"/>
        </w:rPr>
        <w:t xml:space="preserve"> </w:t>
      </w:r>
      <w:r w:rsidRPr="00417F07">
        <w:rPr>
          <w:rFonts w:asciiTheme="majorBidi" w:hAnsiTheme="majorBidi" w:cstheme="majorBidi"/>
          <w:color w:val="000000" w:themeColor="text1"/>
          <w:lang w:val="de-CR"/>
        </w:rPr>
        <w:t>(</w:t>
      </w:r>
      <w:r w:rsidRPr="00417F07">
        <w:rPr>
          <w:rStyle w:val="Hyperlink"/>
          <w:rFonts w:ascii="Times New Roman" w:hAnsi="Times New Roman" w:cs="Times New Roman"/>
          <w:lang w:val="de-CR"/>
        </w:rPr>
        <w:t xml:space="preserve">ECtHR, </w:t>
      </w:r>
      <w:r w:rsidRPr="00417F07">
        <w:rPr>
          <w:rStyle w:val="Hyperlink"/>
          <w:rFonts w:ascii="Times New Roman" w:hAnsi="Times New Roman" w:cs="Times New Roman"/>
        </w:rPr>
        <w:fldChar w:fldCharType="begin"/>
      </w:r>
      <w:r w:rsidRPr="00C31704">
        <w:rPr>
          <w:rStyle w:val="Hyperlink"/>
          <w:rFonts w:ascii="Times New Roman" w:hAnsi="Times New Roman" w:cs="Times New Roman"/>
          <w:lang w:val="de-CR"/>
        </w:rPr>
        <w:instrText>HYPERLINK "https://www.google.com/url?sa=t&amp;rct=j&amp;q=&amp;esrc=s&amp;source=web&amp;cd=&amp;ved=2ahUKEwjAuuGs95f2AhVDPBoKHdByCy8QFnoECA0QAQ&amp;url=https%3A%2F%2Fhudoc.echr.coe.int%2Fapp%2Fconversion%2Fpdf%2F%3Flibrary%3DECHR%26id%3D001-103050%26filename%3D001-103050.pdf%26TID%3Dcwvzdogrzt&amp;usg=AOvVaw03smgBK7m7oJ_Ut__rWbMk"</w:instrText>
      </w:r>
      <w:r w:rsidRPr="00417F07">
        <w:rPr>
          <w:rStyle w:val="Hyperlink"/>
          <w:rFonts w:ascii="Times New Roman" w:hAnsi="Times New Roman" w:cs="Times New Roman"/>
        </w:rPr>
      </w:r>
      <w:r w:rsidRPr="00417F07">
        <w:rPr>
          <w:rStyle w:val="Hyperlink"/>
          <w:rFonts w:ascii="Times New Roman" w:hAnsi="Times New Roman" w:cs="Times New Roman"/>
        </w:rPr>
        <w:fldChar w:fldCharType="separate"/>
      </w:r>
      <w:r w:rsidRPr="00417F07">
        <w:rPr>
          <w:rStyle w:val="Hyperlink"/>
          <w:rFonts w:ascii="Times New Roman" w:hAnsi="Times New Roman" w:cs="Times New Roman"/>
          <w:lang w:val="de-CR"/>
        </w:rPr>
        <w:t>M.S.S. v Belgium and Greece, no 30696/09, 21.01.2011</w:t>
      </w:r>
      <w:r w:rsidRPr="00361E4E">
        <w:rPr>
          <w:rStyle w:val="Hyperlink"/>
          <w:rFonts w:ascii="Times New Roman" w:hAnsi="Times New Roman" w:cs="Times New Roman"/>
        </w:rPr>
        <w:fldChar w:fldCharType="end"/>
      </w:r>
      <w:r w:rsidRPr="00417F07">
        <w:rPr>
          <w:rStyle w:val="Hyperlink"/>
          <w:rFonts w:ascii="Times New Roman" w:hAnsi="Times New Roman" w:cs="Times New Roman"/>
          <w:lang w:val="de-CR"/>
        </w:rPr>
        <w:t xml:space="preserve">, ECtHR, </w:t>
      </w:r>
      <w:r w:rsidRPr="00417F07">
        <w:rPr>
          <w:rStyle w:val="Hyperlink"/>
          <w:rFonts w:ascii="Times New Roman" w:hAnsi="Times New Roman" w:cs="Times New Roman"/>
        </w:rPr>
        <w:fldChar w:fldCharType="begin"/>
      </w:r>
      <w:r w:rsidRPr="00C31704">
        <w:rPr>
          <w:rStyle w:val="Hyperlink"/>
          <w:rFonts w:ascii="Times New Roman" w:hAnsi="Times New Roman" w:cs="Times New Roman"/>
          <w:lang w:val="de-CR"/>
        </w:rPr>
        <w:instrText>HYPERLINK "https://www.google.com/url?sa=t&amp;rct=j&amp;q=&amp;esrc=s&amp;source=web&amp;cd=&amp;ved=2ahUKEwicuZ7B95f2AhVRzoUKHQPzBS8QFnoECAkQAQ&amp;url=https%3A%2F%2Fhudoc.echr.coe.int%2Fapp%2Fconversion%2Fpdf%2F%3Flibrary%3DECHR%26id%3D001-148070%26filename%3D001-148070.pdf%26TID%3Dhgffdqytsr&amp;usg=AOvVaw2JBGkUo3UyMS-eNV5pEM4p"</w:instrText>
      </w:r>
      <w:r w:rsidRPr="00417F07">
        <w:rPr>
          <w:rStyle w:val="Hyperlink"/>
          <w:rFonts w:ascii="Times New Roman" w:hAnsi="Times New Roman" w:cs="Times New Roman"/>
        </w:rPr>
      </w:r>
      <w:r w:rsidRPr="00417F07">
        <w:rPr>
          <w:rStyle w:val="Hyperlink"/>
          <w:rFonts w:ascii="Times New Roman" w:hAnsi="Times New Roman" w:cs="Times New Roman"/>
        </w:rPr>
        <w:fldChar w:fldCharType="separate"/>
      </w:r>
      <w:r w:rsidRPr="00417F07">
        <w:rPr>
          <w:rStyle w:val="Hyperlink"/>
          <w:rFonts w:ascii="Times New Roman" w:hAnsi="Times New Roman" w:cs="Times New Roman"/>
          <w:lang w:val="de-CR"/>
        </w:rPr>
        <w:t>Tarakhel v. Switzerland, no. 29217/12,</w:t>
      </w:r>
      <w:r w:rsidRPr="00C31704">
        <w:rPr>
          <w:rStyle w:val="Hyperlink"/>
          <w:rFonts w:ascii="Times New Roman" w:hAnsi="Times New Roman" w:cs="Times New Roman"/>
          <w:lang w:val="de-CR"/>
        </w:rPr>
        <w:t xml:space="preserve"> </w:t>
      </w:r>
      <w:r w:rsidRPr="00417F07">
        <w:rPr>
          <w:rStyle w:val="Hyperlink"/>
          <w:rFonts w:ascii="Times New Roman" w:hAnsi="Times New Roman" w:cs="Times New Roman"/>
          <w:lang w:val="de-CR"/>
        </w:rPr>
        <w:t>4.11.2014</w:t>
      </w:r>
      <w:r w:rsidRPr="00361E4E">
        <w:rPr>
          <w:rStyle w:val="Hyperlink"/>
          <w:rFonts w:ascii="Times New Roman" w:hAnsi="Times New Roman" w:cs="Times New Roman"/>
        </w:rPr>
        <w:fldChar w:fldCharType="end"/>
      </w:r>
      <w:r w:rsidRPr="00417F07">
        <w:rPr>
          <w:rStyle w:val="Hyperlink"/>
          <w:rFonts w:ascii="Times New Roman" w:hAnsi="Times New Roman" w:cs="Times New Roman"/>
          <w:lang w:val="de-CR"/>
        </w:rPr>
        <w:t xml:space="preserve">, </w:t>
      </w:r>
      <w:r w:rsidR="00B30098" w:rsidRPr="00417F07">
        <w:rPr>
          <w:rStyle w:val="Hyperlink"/>
          <w:rFonts w:ascii="Times New Roman" w:hAnsi="Times New Roman" w:cs="Times New Roman"/>
        </w:rPr>
        <w:fldChar w:fldCharType="begin"/>
      </w:r>
      <w:r w:rsidR="00B30098" w:rsidRPr="00417F07">
        <w:rPr>
          <w:rStyle w:val="Hyperlink"/>
          <w:rFonts w:ascii="Times New Roman" w:hAnsi="Times New Roman" w:cs="Times New Roman"/>
          <w:lang w:val="de-CR"/>
        </w:rPr>
        <w:instrText xml:space="preserve"> HYPERLINK "https://hudoc.echr.coe.int/fre" \l "{%22itemid%22:[%22001-172091%22]}" </w:instrText>
      </w:r>
      <w:r w:rsidR="00B30098" w:rsidRPr="00417F07">
        <w:rPr>
          <w:rStyle w:val="Hyperlink"/>
          <w:rFonts w:ascii="Times New Roman" w:hAnsi="Times New Roman" w:cs="Times New Roman"/>
        </w:rPr>
      </w:r>
      <w:r w:rsidR="00B30098" w:rsidRPr="00417F07">
        <w:rPr>
          <w:rStyle w:val="Hyperlink"/>
          <w:rFonts w:ascii="Times New Roman" w:hAnsi="Times New Roman" w:cs="Times New Roman"/>
        </w:rPr>
        <w:fldChar w:fldCharType="separate"/>
      </w:r>
      <w:r w:rsidR="00B30098" w:rsidRPr="00417F07">
        <w:rPr>
          <w:rStyle w:val="Hyperlink"/>
          <w:rFonts w:ascii="Times New Roman" w:hAnsi="Times New Roman" w:cs="Times New Roman"/>
          <w:lang w:val="de-CR"/>
        </w:rPr>
        <w:t>ECtHR, Ilias and Ahmed v. Hungary, no. 47287/15, 21.11.2019</w:t>
      </w:r>
      <w:r w:rsidR="00B30098" w:rsidRPr="00417F07">
        <w:rPr>
          <w:rStyle w:val="Hyperlink"/>
          <w:rFonts w:ascii="Times New Roman" w:hAnsi="Times New Roman" w:cs="Times New Roman"/>
        </w:rPr>
        <w:fldChar w:fldCharType="end"/>
      </w:r>
      <w:r w:rsidR="00B30098" w:rsidRPr="00417F07">
        <w:rPr>
          <w:rStyle w:val="Hyperlink"/>
          <w:rFonts w:ascii="Times New Roman" w:hAnsi="Times New Roman" w:cs="Times New Roman"/>
          <w:lang w:val="de-CR"/>
        </w:rPr>
        <w:t>,</w:t>
      </w:r>
      <w:r w:rsidR="00B30098" w:rsidRPr="002B2326">
        <w:rPr>
          <w:rStyle w:val="Hyperlink"/>
          <w:rFonts w:ascii="Times New Roman" w:hAnsi="Times New Roman" w:cs="Times New Roman"/>
          <w:lang w:val="de-CR"/>
        </w:rPr>
        <w:t xml:space="preserve"> </w:t>
      </w:r>
      <w:hyperlink r:id="rId22" w:history="1">
        <w:r w:rsidRPr="000339F9">
          <w:rPr>
            <w:rStyle w:val="Hyperlink"/>
            <w:rFonts w:ascii="Times New Roman" w:hAnsi="Times New Roman" w:cs="Times New Roman"/>
            <w:lang w:val="de-CR"/>
          </w:rPr>
          <w:t>HRC, R.A.A. v. Denmark, no. 2608/2015, 28.10.2016,</w:t>
        </w:r>
      </w:hyperlink>
      <w:r w:rsidRPr="000339F9">
        <w:rPr>
          <w:rStyle w:val="Hyperlink"/>
          <w:rFonts w:ascii="Times New Roman" w:hAnsi="Times New Roman" w:cs="Times New Roman"/>
          <w:lang w:val="de-CR"/>
        </w:rPr>
        <w:t xml:space="preserve"> </w:t>
      </w:r>
      <w:hyperlink r:id="rId23" w:history="1">
        <w:r w:rsidRPr="00417F07">
          <w:rPr>
            <w:rStyle w:val="Hyperlink"/>
            <w:rFonts w:ascii="Times New Roman" w:hAnsi="Times New Roman" w:cs="Times New Roman"/>
            <w:lang w:val="de-CR"/>
          </w:rPr>
          <w:t>HRC, O.Y.K.A. v Denmark, no. 2770/2016, 30.11.2017</w:t>
        </w:r>
      </w:hyperlink>
      <w:r w:rsidRPr="00417F07">
        <w:rPr>
          <w:rStyle w:val="Hyperlink"/>
          <w:rFonts w:ascii="Times New Roman" w:hAnsi="Times New Roman" w:cs="Times New Roman"/>
          <w:lang w:val="de-CR"/>
        </w:rPr>
        <w:t xml:space="preserve">, </w:t>
      </w:r>
      <w:r w:rsidRPr="00417F07">
        <w:rPr>
          <w:rStyle w:val="Hyperlink"/>
          <w:rFonts w:ascii="Times New Roman" w:hAnsi="Times New Roman" w:cs="Times New Roman"/>
        </w:rPr>
        <w:fldChar w:fldCharType="begin"/>
      </w:r>
      <w:r w:rsidRPr="00417F07">
        <w:rPr>
          <w:rStyle w:val="Hyperlink"/>
          <w:rFonts w:ascii="Times New Roman" w:hAnsi="Times New Roman" w:cs="Times New Roman"/>
          <w:lang w:val="de-CR"/>
        </w:rPr>
        <w:instrText xml:space="preserve"> HYPERLINK "https://www.refworld.org/cases,CAT,5b964c664.html" </w:instrText>
      </w:r>
      <w:r w:rsidRPr="00417F07">
        <w:rPr>
          <w:rStyle w:val="Hyperlink"/>
          <w:rFonts w:ascii="Times New Roman" w:hAnsi="Times New Roman" w:cs="Times New Roman"/>
        </w:rPr>
        <w:fldChar w:fldCharType="separate"/>
      </w:r>
      <w:r w:rsidRPr="00417F07">
        <w:rPr>
          <w:rStyle w:val="Hyperlink"/>
          <w:rFonts w:ascii="Times New Roman" w:hAnsi="Times New Roman" w:cs="Times New Roman"/>
          <w:lang w:val="de-CR"/>
        </w:rPr>
        <w:t>CAT, A.N. v. Switzerland, no. 742/2016, 03.08.2018</w:t>
      </w:r>
      <w:r w:rsidRPr="00361E4E">
        <w:rPr>
          <w:rStyle w:val="Hyperlink"/>
          <w:rFonts w:ascii="Times New Roman" w:hAnsi="Times New Roman" w:cs="Times New Roman"/>
        </w:rPr>
        <w:fldChar w:fldCharType="end"/>
      </w:r>
      <w:r w:rsidRPr="00417F07">
        <w:rPr>
          <w:rStyle w:val="Hyperlink"/>
          <w:rFonts w:ascii="Times New Roman" w:hAnsi="Times New Roman" w:cs="Times New Roman"/>
          <w:lang w:val="de-CR"/>
        </w:rPr>
        <w:t xml:space="preserve">, CAT, Harun v. Switzerland, no.758/2016, 6.12.2018, </w:t>
      </w:r>
      <w:hyperlink r:id="rId24" w:history="1">
        <w:r w:rsidRPr="00417F07">
          <w:rPr>
            <w:rStyle w:val="Hyperlink"/>
            <w:rFonts w:ascii="Times New Roman" w:hAnsi="Times New Roman" w:cs="Times New Roman"/>
            <w:lang w:val="de-CR"/>
          </w:rPr>
          <w:t>CRC, V.A. v. Switzerland, no.56/2018, 28.09.2020</w:t>
        </w:r>
      </w:hyperlink>
      <w:r w:rsidRPr="00417F07">
        <w:rPr>
          <w:rStyle w:val="Hyperlink"/>
          <w:rFonts w:ascii="Times New Roman" w:hAnsi="Times New Roman" w:cs="Times New Roman"/>
          <w:lang w:val="de-CR"/>
        </w:rPr>
        <w:t xml:space="preserve">, </w:t>
      </w:r>
      <w:r w:rsidRPr="00417F07">
        <w:rPr>
          <w:rStyle w:val="Hyperlink"/>
          <w:rFonts w:ascii="Times New Roman" w:hAnsi="Times New Roman" w:cs="Times New Roman"/>
        </w:rPr>
        <w:fldChar w:fldCharType="begin"/>
      </w:r>
      <w:r w:rsidRPr="00417F07">
        <w:rPr>
          <w:rStyle w:val="Hyperlink"/>
          <w:rFonts w:ascii="Times New Roman" w:hAnsi="Times New Roman" w:cs="Times New Roman"/>
          <w:lang w:val="de-CR"/>
        </w:rPr>
        <w:instrText xml:space="preserve"> HYPERLINK "https://www.refworld.org/docid/616435a74.html" </w:instrText>
      </w:r>
      <w:r w:rsidRPr="00417F07">
        <w:rPr>
          <w:rStyle w:val="Hyperlink"/>
          <w:rFonts w:ascii="Times New Roman" w:hAnsi="Times New Roman" w:cs="Times New Roman"/>
        </w:rPr>
        <w:fldChar w:fldCharType="separate"/>
      </w:r>
      <w:r w:rsidRPr="00417F07">
        <w:rPr>
          <w:rStyle w:val="Hyperlink"/>
          <w:rFonts w:ascii="Times New Roman" w:hAnsi="Times New Roman" w:cs="Times New Roman"/>
          <w:lang w:val="de-CR"/>
        </w:rPr>
        <w:t>A.M. (M.K.A.H) v. Switzerland, no. 95/2019, 6.10.2021</w:t>
      </w:r>
      <w:r w:rsidRPr="00361E4E">
        <w:rPr>
          <w:rStyle w:val="Hyperlink"/>
          <w:rFonts w:ascii="Times New Roman" w:hAnsi="Times New Roman" w:cs="Times New Roman"/>
        </w:rPr>
        <w:fldChar w:fldCharType="end"/>
      </w:r>
      <w:r w:rsidRPr="00417F07">
        <w:rPr>
          <w:rStyle w:val="Hyperlink"/>
          <w:rFonts w:ascii="Times New Roman" w:hAnsi="Times New Roman" w:cs="Times New Roman"/>
          <w:lang w:val="de-CR"/>
        </w:rPr>
        <w:t>)</w:t>
      </w:r>
      <w:r w:rsidR="002B2326" w:rsidRPr="00425C0B">
        <w:rPr>
          <w:rStyle w:val="Hyperlink"/>
          <w:rFonts w:ascii="Times New Roman" w:hAnsi="Times New Roman" w:cs="Times New Roman"/>
          <w:u w:val="none"/>
          <w:lang w:val="de-CR"/>
        </w:rPr>
        <w:t xml:space="preserve">. </w:t>
      </w:r>
      <w:r w:rsidR="00361E4E" w:rsidRPr="00417F07">
        <w:rPr>
          <w:rFonts w:asciiTheme="majorBidi" w:hAnsiTheme="majorBidi" w:cstheme="majorBidi"/>
          <w:color w:val="000000" w:themeColor="text1"/>
          <w:lang w:val="de-CR"/>
        </w:rPr>
        <w:t>Switzerland has been variously found in violation of the refoulement prohibition in saf</w:t>
      </w:r>
      <w:r w:rsidR="00F35EB1" w:rsidRPr="00F35EB1">
        <w:rPr>
          <w:rFonts w:asciiTheme="majorBidi" w:hAnsiTheme="majorBidi" w:cstheme="majorBidi"/>
          <w:color w:val="000000" w:themeColor="text1"/>
        </w:rPr>
        <w:t>e</w:t>
      </w:r>
      <w:r w:rsidR="00361E4E" w:rsidRPr="00417F07">
        <w:rPr>
          <w:rFonts w:asciiTheme="majorBidi" w:hAnsiTheme="majorBidi" w:cstheme="majorBidi"/>
          <w:color w:val="000000" w:themeColor="text1"/>
          <w:lang w:val="de-CR"/>
        </w:rPr>
        <w:t xml:space="preserve"> third country cases because of the lack of an individualized assessment, e.g. concerning families with children, single mothers with children or torture survivors</w:t>
      </w:r>
      <w:r w:rsidR="003F7094" w:rsidRPr="00417F07">
        <w:rPr>
          <w:rFonts w:asciiTheme="majorBidi" w:hAnsiTheme="majorBidi" w:cstheme="majorBidi"/>
          <w:color w:val="000000" w:themeColor="text1"/>
          <w:lang w:val="de-CR"/>
        </w:rPr>
        <w:t xml:space="preserve"> (</w:t>
      </w:r>
      <w:r w:rsidR="002C29C3" w:rsidRPr="00417F07">
        <w:rPr>
          <w:rStyle w:val="Hyperlink"/>
          <w:rFonts w:ascii="Times New Roman" w:hAnsi="Times New Roman" w:cs="Times New Roman"/>
          <w:lang w:val="de-CR"/>
        </w:rPr>
        <w:t xml:space="preserve">ECtHR, </w:t>
      </w:r>
      <w:r w:rsidR="00C01CDC" w:rsidRPr="00417F07">
        <w:rPr>
          <w:rStyle w:val="Hyperlink"/>
          <w:rFonts w:ascii="Times New Roman" w:hAnsi="Times New Roman" w:cs="Times New Roman"/>
        </w:rPr>
        <w:fldChar w:fldCharType="begin"/>
      </w:r>
      <w:r w:rsidR="00C31704" w:rsidRPr="00C31704">
        <w:rPr>
          <w:rStyle w:val="Hyperlink"/>
          <w:rFonts w:ascii="Times New Roman" w:hAnsi="Times New Roman" w:cs="Times New Roman"/>
          <w:lang w:val="de-CR"/>
        </w:rPr>
        <w:instrText>HYPERLINK "https://www.google.com/url?sa=t&amp;rct=j&amp;q=&amp;esrc=s&amp;source=web&amp;cd=&amp;ved=2ahUKEwicuZ7B95f2AhVRzoUKHQPzBS8QFnoECAkQAQ&amp;url=https%3A%2F%2Fhudoc.echr.coe.int%2Fapp%2Fconversion%2Fpdf%2F%3Flibrary%3DECHR%26id%3D001-148070%26filename%3D001-148070.pdf%26TID%3Dhgffdqytsr&amp;usg=AOvVaw2JBGkUo3UyMS-eNV5pEM4p"</w:instrText>
      </w:r>
      <w:r w:rsidR="00C31704" w:rsidRPr="00417F07">
        <w:rPr>
          <w:rStyle w:val="Hyperlink"/>
          <w:rFonts w:ascii="Times New Roman" w:hAnsi="Times New Roman" w:cs="Times New Roman"/>
        </w:rPr>
      </w:r>
      <w:r w:rsidR="00C01CDC" w:rsidRPr="00417F07">
        <w:rPr>
          <w:rStyle w:val="Hyperlink"/>
          <w:rFonts w:ascii="Times New Roman" w:hAnsi="Times New Roman" w:cs="Times New Roman"/>
        </w:rPr>
        <w:fldChar w:fldCharType="separate"/>
      </w:r>
      <w:r w:rsidR="003F7094" w:rsidRPr="00417F07">
        <w:rPr>
          <w:rStyle w:val="Hyperlink"/>
          <w:rFonts w:ascii="Times New Roman" w:hAnsi="Times New Roman" w:cs="Times New Roman"/>
          <w:lang w:val="de-CR"/>
        </w:rPr>
        <w:t>Tarakhel v. Swit</w:t>
      </w:r>
      <w:r w:rsidR="003F7094" w:rsidRPr="00417F07">
        <w:rPr>
          <w:rStyle w:val="Hyperlink"/>
          <w:rFonts w:ascii="Times New Roman" w:hAnsi="Times New Roman" w:cs="Times New Roman"/>
          <w:lang w:val="de-CR"/>
        </w:rPr>
        <w:t>z</w:t>
      </w:r>
      <w:r w:rsidR="003F7094" w:rsidRPr="00417F07">
        <w:rPr>
          <w:rStyle w:val="Hyperlink"/>
          <w:rFonts w:ascii="Times New Roman" w:hAnsi="Times New Roman" w:cs="Times New Roman"/>
          <w:lang w:val="de-CR"/>
        </w:rPr>
        <w:t>erland, no. 29217/12,</w:t>
      </w:r>
      <w:r w:rsidR="00C31704" w:rsidRPr="00C31704">
        <w:rPr>
          <w:rStyle w:val="Hyperlink"/>
          <w:rFonts w:ascii="Times New Roman" w:hAnsi="Times New Roman" w:cs="Times New Roman"/>
          <w:lang w:val="de-CR"/>
        </w:rPr>
        <w:t xml:space="preserve"> </w:t>
      </w:r>
      <w:r w:rsidR="003F7094" w:rsidRPr="00417F07">
        <w:rPr>
          <w:rStyle w:val="Hyperlink"/>
          <w:rFonts w:ascii="Times New Roman" w:hAnsi="Times New Roman" w:cs="Times New Roman"/>
          <w:lang w:val="de-CR"/>
        </w:rPr>
        <w:t>4</w:t>
      </w:r>
      <w:r w:rsidR="003F7094" w:rsidRPr="00417F07">
        <w:rPr>
          <w:rStyle w:val="Hyperlink"/>
          <w:rFonts w:ascii="Times New Roman" w:hAnsi="Times New Roman" w:cs="Times New Roman"/>
          <w:lang w:val="de-CR"/>
        </w:rPr>
        <w:t>.11.2014</w:t>
      </w:r>
      <w:r w:rsidR="00C01CDC" w:rsidRPr="00361E4E">
        <w:rPr>
          <w:rStyle w:val="Hyperlink"/>
          <w:rFonts w:ascii="Times New Roman" w:hAnsi="Times New Roman" w:cs="Times New Roman"/>
        </w:rPr>
        <w:fldChar w:fldCharType="end"/>
      </w:r>
      <w:r>
        <w:rPr>
          <w:rStyle w:val="Hyperlink"/>
          <w:rFonts w:ascii="Times New Roman" w:hAnsi="Times New Roman" w:cs="Times New Roman"/>
        </w:rPr>
        <w:t>,</w:t>
      </w:r>
      <w:r w:rsidR="003F7094" w:rsidRPr="00417F07">
        <w:rPr>
          <w:rStyle w:val="Hyperlink"/>
          <w:rFonts w:ascii="Times New Roman" w:hAnsi="Times New Roman" w:cs="Times New Roman"/>
          <w:lang w:val="de-CR"/>
        </w:rPr>
        <w:t xml:space="preserve"> </w:t>
      </w:r>
      <w:hyperlink r:id="rId25" w:history="1">
        <w:r w:rsidR="003F7094" w:rsidRPr="00417F07">
          <w:rPr>
            <w:rStyle w:val="Hyperlink"/>
            <w:rFonts w:ascii="Times New Roman" w:hAnsi="Times New Roman" w:cs="Times New Roman"/>
            <w:lang w:val="de-CR"/>
          </w:rPr>
          <w:t>CAT, A.N. v. Switzerland, no.</w:t>
        </w:r>
        <w:r w:rsidR="003F7094" w:rsidRPr="00417F07">
          <w:rPr>
            <w:rStyle w:val="Hyperlink"/>
            <w:rFonts w:ascii="Times New Roman" w:hAnsi="Times New Roman" w:cs="Times New Roman"/>
            <w:lang w:val="de-CR"/>
          </w:rPr>
          <w:t xml:space="preserve"> </w:t>
        </w:r>
        <w:r w:rsidR="003F7094" w:rsidRPr="00417F07">
          <w:rPr>
            <w:rStyle w:val="Hyperlink"/>
            <w:rFonts w:ascii="Times New Roman" w:hAnsi="Times New Roman" w:cs="Times New Roman"/>
            <w:lang w:val="de-CR"/>
          </w:rPr>
          <w:t>742/2016, 03.08.2018</w:t>
        </w:r>
      </w:hyperlink>
      <w:r w:rsidR="003F7094" w:rsidRPr="00417F07">
        <w:rPr>
          <w:rStyle w:val="Hyperlink"/>
          <w:rFonts w:ascii="Times New Roman" w:hAnsi="Times New Roman" w:cs="Times New Roman"/>
          <w:lang w:val="de-CR"/>
        </w:rPr>
        <w:t>,</w:t>
      </w:r>
      <w:r w:rsidR="004859BD" w:rsidRPr="00417F07">
        <w:rPr>
          <w:rStyle w:val="Hyperlink"/>
          <w:rFonts w:ascii="Times New Roman" w:hAnsi="Times New Roman" w:cs="Times New Roman"/>
          <w:lang w:val="de-CR"/>
        </w:rPr>
        <w:t xml:space="preserve"> </w:t>
      </w:r>
      <w:r w:rsidR="00EE4F95" w:rsidRPr="00417F07">
        <w:rPr>
          <w:rStyle w:val="Hyperlink"/>
          <w:rFonts w:ascii="Times New Roman" w:hAnsi="Times New Roman" w:cs="Times New Roman"/>
          <w:lang w:val="de-CR"/>
        </w:rPr>
        <w:t>CAT, Harun v. Switzerland, no.758/2016,</w:t>
      </w:r>
      <w:r w:rsidR="00F35EB1" w:rsidRPr="00F35EB1">
        <w:rPr>
          <w:rStyle w:val="Hyperlink"/>
          <w:rFonts w:ascii="Times New Roman" w:hAnsi="Times New Roman" w:cs="Times New Roman"/>
        </w:rPr>
        <w:t xml:space="preserve"> </w:t>
      </w:r>
      <w:r w:rsidR="00EE4F95" w:rsidRPr="00417F07">
        <w:rPr>
          <w:rStyle w:val="Hyperlink"/>
          <w:rFonts w:ascii="Times New Roman" w:hAnsi="Times New Roman" w:cs="Times New Roman"/>
          <w:lang w:val="de-CR"/>
        </w:rPr>
        <w:t>6.12.2018,</w:t>
      </w:r>
      <w:r w:rsidR="004859BD" w:rsidRPr="00417F07">
        <w:rPr>
          <w:rStyle w:val="Hyperlink"/>
          <w:rFonts w:ascii="Times New Roman" w:hAnsi="Times New Roman" w:cs="Times New Roman"/>
          <w:lang w:val="de-CR"/>
        </w:rPr>
        <w:t xml:space="preserve"> </w:t>
      </w:r>
      <w:r w:rsidR="00035018" w:rsidRPr="00417F07">
        <w:rPr>
          <w:rStyle w:val="Hyperlink"/>
          <w:rFonts w:ascii="Times New Roman" w:hAnsi="Times New Roman" w:cs="Times New Roman"/>
        </w:rPr>
        <w:fldChar w:fldCharType="begin"/>
      </w:r>
      <w:r w:rsidR="00035018" w:rsidRPr="00417F07">
        <w:rPr>
          <w:rStyle w:val="Hyperlink"/>
          <w:rFonts w:ascii="Times New Roman" w:hAnsi="Times New Roman" w:cs="Times New Roman"/>
          <w:lang w:val="de-CR"/>
        </w:rPr>
        <w:instrText xml:space="preserve"> HYPERLINK "https://atlas-of-torture.org/en/entity/im0q5cfe5v?page=1" </w:instrText>
      </w:r>
      <w:r w:rsidR="00035018" w:rsidRPr="00417F07">
        <w:rPr>
          <w:rStyle w:val="Hyperlink"/>
          <w:rFonts w:ascii="Times New Roman" w:hAnsi="Times New Roman" w:cs="Times New Roman"/>
        </w:rPr>
      </w:r>
      <w:r w:rsidR="00035018" w:rsidRPr="00417F07">
        <w:rPr>
          <w:rStyle w:val="Hyperlink"/>
          <w:rFonts w:ascii="Times New Roman" w:hAnsi="Times New Roman" w:cs="Times New Roman"/>
        </w:rPr>
        <w:fldChar w:fldCharType="separate"/>
      </w:r>
      <w:r w:rsidR="00035018" w:rsidRPr="00417F07">
        <w:rPr>
          <w:rStyle w:val="Hyperlink"/>
          <w:rFonts w:ascii="Times New Roman" w:hAnsi="Times New Roman" w:cs="Times New Roman"/>
          <w:lang w:val="de-CR"/>
        </w:rPr>
        <w:t>CRC, V.A. v. Switzerland, no.56/2018, 28.09.2020</w:t>
      </w:r>
      <w:r w:rsidR="00035018" w:rsidRPr="00417F07">
        <w:rPr>
          <w:rStyle w:val="Hyperlink"/>
          <w:rFonts w:ascii="Times New Roman" w:hAnsi="Times New Roman" w:cs="Times New Roman"/>
        </w:rPr>
        <w:fldChar w:fldCharType="end"/>
      </w:r>
      <w:r w:rsidR="00035018" w:rsidRPr="00417F07">
        <w:rPr>
          <w:rStyle w:val="Hyperlink"/>
          <w:rFonts w:ascii="Times New Roman" w:hAnsi="Times New Roman" w:cs="Times New Roman"/>
          <w:lang w:val="de-CR"/>
        </w:rPr>
        <w:t xml:space="preserve">, </w:t>
      </w:r>
      <w:r w:rsidR="00C01CDC" w:rsidRPr="00417F07">
        <w:rPr>
          <w:rStyle w:val="Hyperlink"/>
          <w:rFonts w:ascii="Times New Roman" w:hAnsi="Times New Roman" w:cs="Times New Roman"/>
        </w:rPr>
        <w:fldChar w:fldCharType="begin"/>
      </w:r>
      <w:r w:rsidR="00C01CDC" w:rsidRPr="00417F07">
        <w:rPr>
          <w:rStyle w:val="Hyperlink"/>
          <w:rFonts w:ascii="Times New Roman" w:hAnsi="Times New Roman" w:cs="Times New Roman"/>
          <w:lang w:val="de-CR"/>
        </w:rPr>
        <w:instrText xml:space="preserve"> HYPERLINK "https://www.refworld.org/docid/616435a74.html" </w:instrText>
      </w:r>
      <w:r w:rsidR="00C01CDC" w:rsidRPr="00417F07">
        <w:rPr>
          <w:rStyle w:val="Hyperlink"/>
          <w:rFonts w:ascii="Times New Roman" w:hAnsi="Times New Roman" w:cs="Times New Roman"/>
        </w:rPr>
        <w:fldChar w:fldCharType="separate"/>
      </w:r>
      <w:r w:rsidR="003F7094" w:rsidRPr="00417F07">
        <w:rPr>
          <w:rStyle w:val="Hyperlink"/>
          <w:rFonts w:ascii="Times New Roman" w:hAnsi="Times New Roman" w:cs="Times New Roman"/>
          <w:lang w:val="de-CR"/>
        </w:rPr>
        <w:t>A.M. (M.K.A.H) v. Switzerland, no. 95/2019, 6.10.2021</w:t>
      </w:r>
      <w:r w:rsidR="00C01CDC" w:rsidRPr="00361E4E">
        <w:rPr>
          <w:rStyle w:val="Hyperlink"/>
          <w:rFonts w:ascii="Times New Roman" w:hAnsi="Times New Roman" w:cs="Times New Roman"/>
        </w:rPr>
        <w:fldChar w:fldCharType="end"/>
      </w:r>
      <w:r w:rsidR="003F7094" w:rsidRPr="00417F07">
        <w:rPr>
          <w:rStyle w:val="Hyperlink"/>
          <w:rFonts w:ascii="Times New Roman" w:hAnsi="Times New Roman" w:cs="Times New Roman"/>
          <w:lang w:val="de-CR"/>
        </w:rPr>
        <w:t>)</w:t>
      </w:r>
      <w:r w:rsidR="003F7094" w:rsidRPr="00F915E5">
        <w:rPr>
          <w:rStyle w:val="Hyperlink"/>
          <w:rFonts w:ascii="Times New Roman" w:hAnsi="Times New Roman" w:cs="Times New Roman"/>
          <w:u w:val="none"/>
          <w:lang w:val="de-CR"/>
        </w:rPr>
        <w:t xml:space="preserve">. </w:t>
      </w:r>
      <w:r w:rsidR="00FC399B" w:rsidRPr="00417F07">
        <w:rPr>
          <w:rFonts w:asciiTheme="majorBidi" w:hAnsiTheme="majorBidi" w:cstheme="majorBidi"/>
          <w:color w:val="000000" w:themeColor="text1"/>
        </w:rPr>
        <w:t>These</w:t>
      </w:r>
      <w:r w:rsidR="00FC399B" w:rsidRPr="00417F07">
        <w:rPr>
          <w:rFonts w:ascii="Times New Roman" w:hAnsi="Times New Roman" w:cs="Times New Roman"/>
          <w:color w:val="000000" w:themeColor="text1"/>
        </w:rPr>
        <w:t xml:space="preserve"> numerous cond</w:t>
      </w:r>
      <w:r w:rsidR="00A06E99" w:rsidRPr="00417F07">
        <w:rPr>
          <w:rFonts w:ascii="Times New Roman" w:hAnsi="Times New Roman" w:cs="Times New Roman"/>
          <w:color w:val="000000" w:themeColor="text1"/>
        </w:rPr>
        <w:t>e</w:t>
      </w:r>
      <w:r w:rsidR="00FC399B" w:rsidRPr="00417F07">
        <w:rPr>
          <w:rFonts w:ascii="Times New Roman" w:hAnsi="Times New Roman" w:cs="Times New Roman"/>
          <w:color w:val="000000" w:themeColor="text1"/>
        </w:rPr>
        <w:t xml:space="preserve">mnations of Switzerland by international bodies in safe third country cases bear testimony to the fact that Switzerland </w:t>
      </w:r>
      <w:r w:rsidR="00FC399B" w:rsidRPr="00F37D75">
        <w:rPr>
          <w:rFonts w:ascii="Times New Roman" w:hAnsi="Times New Roman" w:cs="Times New Roman"/>
          <w:color w:val="000000"/>
        </w:rPr>
        <w:t>negatively stands out in Europe with its «safe third country» practice.</w:t>
      </w:r>
      <w:r w:rsidR="00FC399B">
        <w:rPr>
          <w:rFonts w:ascii="Times New Roman" w:hAnsi="Times New Roman" w:cs="Times New Roman"/>
          <w:color w:val="000000"/>
        </w:rPr>
        <w:t xml:space="preserve"> </w:t>
      </w:r>
    </w:p>
    <w:p w14:paraId="12D675A1" w14:textId="77777777" w:rsidR="00DD33DF" w:rsidRDefault="00422792" w:rsidP="007B122C">
      <w:pPr>
        <w:spacing w:before="120" w:after="120"/>
        <w:jc w:val="both"/>
        <w:rPr>
          <w:rFonts w:ascii="Times New Roman" w:eastAsia="Times New Roman" w:hAnsi="Times New Roman" w:cs="Times New Roman"/>
        </w:rPr>
      </w:pPr>
      <w:r w:rsidRPr="006E41A2">
        <w:rPr>
          <w:rFonts w:ascii="Times New Roman" w:eastAsia="Times New Roman" w:hAnsi="Times New Roman" w:cs="Times New Roman"/>
        </w:rPr>
        <w:t xml:space="preserve">We call on the </w:t>
      </w:r>
      <w:r w:rsidR="003F7094">
        <w:rPr>
          <w:rFonts w:ascii="Times New Roman" w:eastAsia="Times New Roman" w:hAnsi="Times New Roman" w:cs="Times New Roman"/>
        </w:rPr>
        <w:t xml:space="preserve">Special Rapporteur on the human rights of migrants to urge </w:t>
      </w:r>
      <w:r w:rsidRPr="006E41A2">
        <w:rPr>
          <w:rFonts w:ascii="Times New Roman" w:eastAsia="Times New Roman" w:hAnsi="Times New Roman" w:cs="Times New Roman"/>
        </w:rPr>
        <w:t xml:space="preserve">Swiss authorities to no longer </w:t>
      </w:r>
      <w:r w:rsidR="00401CA4">
        <w:rPr>
          <w:rFonts w:ascii="Times New Roman" w:eastAsia="Times New Roman" w:hAnsi="Times New Roman" w:cs="Times New Roman"/>
        </w:rPr>
        <w:t xml:space="preserve">rely on mere theoretical legal obligations, to truly assess the individual situation and the individual risks, namely faced by vulnerable asylum applicants, and </w:t>
      </w:r>
      <w:r w:rsidRPr="006E41A2">
        <w:rPr>
          <w:rFonts w:ascii="Times New Roman" w:eastAsia="Times New Roman" w:hAnsi="Times New Roman" w:cs="Times New Roman"/>
        </w:rPr>
        <w:t>to assume their responsibility and</w:t>
      </w:r>
      <w:r w:rsidR="00A44CA5">
        <w:rPr>
          <w:rFonts w:ascii="Times New Roman" w:eastAsia="Times New Roman" w:hAnsi="Times New Roman" w:cs="Times New Roman"/>
        </w:rPr>
        <w:t xml:space="preserve"> to</w:t>
      </w:r>
      <w:r w:rsidRPr="006E41A2">
        <w:rPr>
          <w:rFonts w:ascii="Times New Roman" w:eastAsia="Times New Roman" w:hAnsi="Times New Roman" w:cs="Times New Roman"/>
        </w:rPr>
        <w:t xml:space="preserve"> proactively work on mechanisms to ensure compliance with international obligations, including the prohibition of </w:t>
      </w:r>
      <w:r w:rsidRPr="006E41A2">
        <w:rPr>
          <w:rFonts w:ascii="Times New Roman" w:eastAsia="Times New Roman" w:hAnsi="Times New Roman" w:cs="Times New Roman"/>
          <w:i/>
        </w:rPr>
        <w:t>refoulement</w:t>
      </w:r>
      <w:r w:rsidRPr="006E41A2">
        <w:rPr>
          <w:rFonts w:ascii="Times New Roman" w:eastAsia="Times New Roman" w:hAnsi="Times New Roman" w:cs="Times New Roman"/>
        </w:rPr>
        <w:t xml:space="preserve">.   </w:t>
      </w:r>
    </w:p>
    <w:p w14:paraId="486B6DD7" w14:textId="77777777" w:rsidR="0045738C" w:rsidRDefault="0045738C" w:rsidP="007B122C">
      <w:pPr>
        <w:spacing w:before="120" w:after="120"/>
        <w:jc w:val="both"/>
        <w:rPr>
          <w:rFonts w:ascii="Times New Roman" w:eastAsia="Times New Roman" w:hAnsi="Times New Roman" w:cs="Times New Roman"/>
        </w:rPr>
      </w:pPr>
    </w:p>
    <w:p w14:paraId="5C61AE77" w14:textId="77777777" w:rsidR="007D3237" w:rsidRDefault="007D3237" w:rsidP="007B122C">
      <w:pPr>
        <w:spacing w:before="120" w:after="120"/>
        <w:jc w:val="both"/>
        <w:rPr>
          <w:rFonts w:ascii="Times New Roman" w:eastAsia="Times New Roman" w:hAnsi="Times New Roman" w:cs="Times New Roman"/>
        </w:rPr>
      </w:pPr>
    </w:p>
    <w:p w14:paraId="2A6EF182" w14:textId="77777777" w:rsidR="007D3237" w:rsidRDefault="007D3237" w:rsidP="007B122C">
      <w:pPr>
        <w:spacing w:before="120" w:after="120"/>
        <w:jc w:val="both"/>
        <w:rPr>
          <w:rFonts w:ascii="Times New Roman" w:eastAsia="Times New Roman" w:hAnsi="Times New Roman" w:cs="Times New Roman"/>
        </w:rPr>
      </w:pPr>
    </w:p>
    <w:p w14:paraId="7D33DFBD" w14:textId="77777777" w:rsidR="007D3237" w:rsidRDefault="007D3237" w:rsidP="007B122C">
      <w:pPr>
        <w:spacing w:before="120" w:after="120"/>
        <w:jc w:val="both"/>
        <w:rPr>
          <w:rFonts w:ascii="Times New Roman" w:eastAsia="Times New Roman" w:hAnsi="Times New Roman" w:cs="Times New Roman"/>
        </w:rPr>
      </w:pPr>
    </w:p>
    <w:p w14:paraId="4A1B5BDB" w14:textId="77777777" w:rsidR="007D3237" w:rsidRDefault="007D3237" w:rsidP="007B122C">
      <w:pPr>
        <w:spacing w:before="120" w:after="120"/>
        <w:jc w:val="both"/>
        <w:rPr>
          <w:rFonts w:ascii="Times New Roman" w:eastAsia="Times New Roman" w:hAnsi="Times New Roman" w:cs="Times New Roman"/>
        </w:rPr>
      </w:pPr>
    </w:p>
    <w:p w14:paraId="169FC6B0" w14:textId="77777777" w:rsidR="007D3237" w:rsidRDefault="007D3237" w:rsidP="007B122C">
      <w:pPr>
        <w:spacing w:before="120" w:after="120"/>
        <w:jc w:val="both"/>
        <w:rPr>
          <w:rFonts w:ascii="Times New Roman" w:eastAsia="Times New Roman" w:hAnsi="Times New Roman" w:cs="Times New Roman"/>
        </w:rPr>
      </w:pPr>
    </w:p>
    <w:p w14:paraId="0A961785" w14:textId="77777777" w:rsidR="007D3237" w:rsidRDefault="007D3237" w:rsidP="007B122C">
      <w:pPr>
        <w:spacing w:before="120" w:after="120"/>
        <w:jc w:val="both"/>
        <w:rPr>
          <w:rFonts w:ascii="Times New Roman" w:eastAsia="Times New Roman" w:hAnsi="Times New Roman" w:cs="Times New Roman"/>
        </w:rPr>
      </w:pPr>
    </w:p>
    <w:p w14:paraId="3B110B07" w14:textId="77777777" w:rsidR="007D3237" w:rsidRDefault="007D3237" w:rsidP="007B122C">
      <w:pPr>
        <w:spacing w:before="120" w:after="120"/>
        <w:jc w:val="both"/>
        <w:rPr>
          <w:rFonts w:ascii="Times New Roman" w:eastAsia="Times New Roman" w:hAnsi="Times New Roman" w:cs="Times New Roman"/>
        </w:rPr>
      </w:pPr>
    </w:p>
    <w:p w14:paraId="17E0F0D9" w14:textId="77777777" w:rsidR="007D3237" w:rsidRDefault="007D3237" w:rsidP="007B122C">
      <w:pPr>
        <w:spacing w:before="120" w:after="120"/>
        <w:jc w:val="both"/>
        <w:rPr>
          <w:rFonts w:ascii="Times New Roman" w:eastAsia="Times New Roman" w:hAnsi="Times New Roman" w:cs="Times New Roman"/>
        </w:rPr>
      </w:pPr>
    </w:p>
    <w:p w14:paraId="2B847E7D" w14:textId="77777777" w:rsidR="007D3237" w:rsidRDefault="007D3237" w:rsidP="007B122C">
      <w:pPr>
        <w:spacing w:before="120" w:after="120"/>
        <w:jc w:val="both"/>
        <w:rPr>
          <w:rFonts w:ascii="Times New Roman" w:eastAsia="Times New Roman" w:hAnsi="Times New Roman" w:cs="Times New Roman"/>
        </w:rPr>
      </w:pPr>
    </w:p>
    <w:p w14:paraId="0E79E673" w14:textId="77777777" w:rsidR="007D3237" w:rsidRDefault="007D3237" w:rsidP="007B122C">
      <w:pPr>
        <w:spacing w:before="120" w:after="120"/>
        <w:jc w:val="both"/>
        <w:rPr>
          <w:rFonts w:ascii="Times New Roman" w:eastAsia="Times New Roman" w:hAnsi="Times New Roman" w:cs="Times New Roman"/>
        </w:rPr>
      </w:pPr>
    </w:p>
    <w:p w14:paraId="609D0E20" w14:textId="18AFA985" w:rsidR="00D603C3" w:rsidRPr="00FC399B" w:rsidRDefault="00D603C3" w:rsidP="007735AC">
      <w:pPr>
        <w:pStyle w:val="StandardWeb"/>
        <w:spacing w:before="0" w:beforeAutospacing="0" w:after="0" w:afterAutospacing="0"/>
        <w:jc w:val="both"/>
      </w:pPr>
      <w:r w:rsidRPr="00FC399B">
        <w:rPr>
          <w:rFonts w:asciiTheme="majorBidi" w:hAnsiTheme="majorBidi" w:cstheme="majorBidi"/>
          <w:b/>
          <w:bCs/>
          <w:color w:val="000000"/>
          <w:sz w:val="27"/>
          <w:szCs w:val="27"/>
        </w:rPr>
        <w:lastRenderedPageBreak/>
        <w:t>Annex 1: Articles of law cited: </w:t>
      </w:r>
    </w:p>
    <w:p w14:paraId="1DF7DE3F" w14:textId="5CE0E840" w:rsidR="00A31B69" w:rsidRDefault="00A31B69" w:rsidP="00A31B69">
      <w:pPr>
        <w:pStyle w:val="Listenabsatz"/>
        <w:numPr>
          <w:ilvl w:val="0"/>
          <w:numId w:val="25"/>
        </w:numPr>
        <w:spacing w:before="100" w:beforeAutospacing="1" w:after="100" w:afterAutospacing="1" w:line="240" w:lineRule="auto"/>
        <w:outlineLvl w:val="0"/>
        <w:rPr>
          <w:rFonts w:asciiTheme="majorBidi" w:eastAsia="Times New Roman" w:hAnsiTheme="majorBidi" w:cstheme="majorBidi"/>
          <w:b/>
          <w:bCs/>
          <w:color w:val="000000"/>
          <w:sz w:val="24"/>
          <w:szCs w:val="24"/>
          <w:u w:val="single"/>
          <w:lang w:val="fr-FR"/>
        </w:rPr>
      </w:pPr>
      <w:r w:rsidRPr="00417F07">
        <w:rPr>
          <w:rFonts w:asciiTheme="majorBidi" w:eastAsia="Times New Roman" w:hAnsiTheme="majorBidi" w:cstheme="majorBidi"/>
          <w:b/>
          <w:bCs/>
          <w:color w:val="000000"/>
          <w:sz w:val="24"/>
          <w:szCs w:val="24"/>
          <w:u w:val="single"/>
          <w:lang w:val="fr-FR"/>
        </w:rPr>
        <w:t>Constitution fédérale de la Confédération suisse</w:t>
      </w:r>
    </w:p>
    <w:p w14:paraId="3B3ACB13" w14:textId="46ED03D8" w:rsidR="00A31B69" w:rsidRPr="00207D17" w:rsidRDefault="00A31B69" w:rsidP="00207D17">
      <w:pPr>
        <w:pStyle w:val="StandardWeb"/>
        <w:spacing w:before="1" w:beforeAutospacing="0" w:after="0" w:afterAutospacing="0"/>
        <w:ind w:right="-52"/>
        <w:rPr>
          <w:rFonts w:asciiTheme="majorBidi" w:hAnsiTheme="majorBidi" w:cstheme="majorBidi"/>
          <w:b/>
          <w:bCs/>
          <w:color w:val="000000"/>
          <w:lang w:val="fr-FR"/>
        </w:rPr>
      </w:pPr>
      <w:r w:rsidRPr="00207D17">
        <w:rPr>
          <w:rFonts w:asciiTheme="majorBidi" w:hAnsiTheme="majorBidi" w:cstheme="majorBidi"/>
          <w:b/>
          <w:bCs/>
          <w:color w:val="000000"/>
          <w:lang w:val="fr-FR"/>
        </w:rPr>
        <w:t xml:space="preserve">Art. 5 </w:t>
      </w:r>
      <w:hyperlink r:id="rId26" w:anchor="art_5" w:history="1">
        <w:r w:rsidR="00207D17">
          <w:rPr>
            <w:rFonts w:asciiTheme="majorBidi" w:hAnsiTheme="majorBidi" w:cstheme="majorBidi"/>
            <w:b/>
            <w:bCs/>
            <w:color w:val="000000"/>
            <w:lang w:val="fr-FR"/>
          </w:rPr>
          <w:tab/>
        </w:r>
        <w:r w:rsidR="00207D17">
          <w:rPr>
            <w:rFonts w:asciiTheme="majorBidi" w:hAnsiTheme="majorBidi" w:cstheme="majorBidi"/>
            <w:b/>
            <w:bCs/>
            <w:color w:val="000000"/>
            <w:lang w:val="fr-FR"/>
          </w:rPr>
          <w:tab/>
        </w:r>
        <w:r w:rsidRPr="004D7D9A">
          <w:rPr>
            <w:rFonts w:asciiTheme="majorBidi" w:hAnsiTheme="majorBidi" w:cstheme="majorBidi"/>
            <w:b/>
            <w:bCs/>
            <w:color w:val="000000"/>
            <w:lang w:val="fr-FR"/>
          </w:rPr>
          <w:t xml:space="preserve">Principes de l’activité de l’État régi par le droit </w:t>
        </w:r>
      </w:hyperlink>
    </w:p>
    <w:p w14:paraId="77582AC1" w14:textId="38371757" w:rsidR="00E972E1" w:rsidRPr="004D7D9A" w:rsidRDefault="00E972E1" w:rsidP="00E972E1">
      <w:pPr>
        <w:spacing w:before="100" w:beforeAutospacing="1" w:after="100" w:afterAutospacing="1" w:line="240" w:lineRule="auto"/>
        <w:rPr>
          <w:rFonts w:ascii="Times New Roman" w:eastAsia="Times New Roman" w:hAnsi="Times New Roman" w:cs="Times New Roman"/>
          <w:lang w:val="de-CR" w:eastAsia="zh-CN"/>
        </w:rPr>
      </w:pPr>
      <w:r w:rsidRPr="00E972E1">
        <w:rPr>
          <w:rFonts w:ascii="Times New Roman" w:eastAsia="Times New Roman" w:hAnsi="Times New Roman" w:cs="Times New Roman"/>
          <w:sz w:val="24"/>
          <w:szCs w:val="24"/>
          <w:vertAlign w:val="superscript"/>
          <w:lang w:val="de-CR" w:eastAsia="zh-CN"/>
        </w:rPr>
        <w:t> </w:t>
      </w:r>
      <w:r w:rsidRPr="00E972E1">
        <w:rPr>
          <w:rFonts w:ascii="Times New Roman" w:eastAsia="Times New Roman" w:hAnsi="Times New Roman" w:cs="Times New Roman"/>
          <w:sz w:val="24"/>
          <w:szCs w:val="24"/>
          <w:vertAlign w:val="superscript"/>
          <w:lang w:val="fr-FR" w:eastAsia="zh-CN"/>
        </w:rPr>
        <w:t>1</w:t>
      </w:r>
      <w:r w:rsidRPr="00E972E1">
        <w:rPr>
          <w:rFonts w:ascii="Times New Roman" w:eastAsia="Times New Roman" w:hAnsi="Times New Roman" w:cs="Times New Roman"/>
          <w:sz w:val="24"/>
          <w:szCs w:val="24"/>
          <w:lang w:val="fr-FR" w:eastAsia="zh-CN"/>
        </w:rPr>
        <w:t xml:space="preserve"> </w:t>
      </w:r>
      <w:r w:rsidRPr="004D7D9A">
        <w:rPr>
          <w:rFonts w:ascii="Times New Roman" w:eastAsia="Times New Roman" w:hAnsi="Times New Roman" w:cs="Times New Roman"/>
          <w:lang w:val="de-CR" w:eastAsia="zh-CN"/>
        </w:rPr>
        <w:t>Le droit est la base et la limite de l’activité de l’État.</w:t>
      </w:r>
    </w:p>
    <w:p w14:paraId="0C6D161E" w14:textId="61B05659" w:rsidR="00E972E1" w:rsidRPr="004D7D9A" w:rsidRDefault="00E972E1" w:rsidP="00E972E1">
      <w:pPr>
        <w:spacing w:before="100" w:beforeAutospacing="1" w:after="100" w:afterAutospacing="1" w:line="240" w:lineRule="auto"/>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2</w:t>
      </w:r>
      <w:r w:rsidRPr="004D7D9A">
        <w:rPr>
          <w:rFonts w:ascii="Times New Roman" w:eastAsia="Times New Roman" w:hAnsi="Times New Roman" w:cs="Times New Roman"/>
          <w:vertAlign w:val="superscript"/>
          <w:lang w:val="fr-FR" w:eastAsia="zh-CN"/>
        </w:rPr>
        <w:t xml:space="preserve"> </w:t>
      </w:r>
      <w:r w:rsidRPr="004D7D9A">
        <w:rPr>
          <w:rFonts w:ascii="Times New Roman" w:eastAsia="Times New Roman" w:hAnsi="Times New Roman" w:cs="Times New Roman"/>
          <w:lang w:val="de-CR" w:eastAsia="zh-CN"/>
        </w:rPr>
        <w:t> L’activité de l’État doit répondre à un intérêt public et être proportionnée au but visé.</w:t>
      </w:r>
    </w:p>
    <w:p w14:paraId="4FF634DF" w14:textId="2D553F59" w:rsidR="00E972E1" w:rsidRPr="004D7D9A" w:rsidRDefault="00E972E1" w:rsidP="00E972E1">
      <w:pPr>
        <w:spacing w:before="100" w:beforeAutospacing="1" w:after="100" w:afterAutospacing="1" w:line="240" w:lineRule="auto"/>
        <w:ind w:left="708" w:hanging="700"/>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3</w:t>
      </w:r>
      <w:r w:rsidRPr="004D7D9A">
        <w:rPr>
          <w:rFonts w:ascii="Times New Roman" w:eastAsia="Times New Roman" w:hAnsi="Times New Roman" w:cs="Times New Roman"/>
          <w:lang w:val="de-CR" w:eastAsia="zh-CN"/>
        </w:rPr>
        <w:t> </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Les organes de l’État et les particuliers doivent agir de manière conforme aux règles de la</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bonne foi.</w:t>
      </w:r>
    </w:p>
    <w:p w14:paraId="33571CCA" w14:textId="3C783984" w:rsidR="00E972E1" w:rsidRPr="004D7D9A" w:rsidRDefault="00E972E1" w:rsidP="00E972E1">
      <w:pPr>
        <w:spacing w:before="100" w:beforeAutospacing="1" w:after="100" w:afterAutospacing="1" w:line="240" w:lineRule="auto"/>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4</w:t>
      </w:r>
      <w:r w:rsidRPr="004D7D9A">
        <w:rPr>
          <w:rFonts w:ascii="Times New Roman" w:eastAsia="Times New Roman" w:hAnsi="Times New Roman" w:cs="Times New Roman"/>
          <w:lang w:val="de-CR" w:eastAsia="zh-CN"/>
        </w:rPr>
        <w:t> </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La Confédération et les cantons respectent le droit international.</w:t>
      </w:r>
    </w:p>
    <w:p w14:paraId="147B3A56" w14:textId="5D0132FE" w:rsidR="00A31B69" w:rsidRPr="00E972E1" w:rsidRDefault="00A31B69" w:rsidP="00417F07">
      <w:pPr>
        <w:pStyle w:val="berschrift6"/>
        <w:rPr>
          <w:b w:val="0"/>
          <w:bCs w:val="0"/>
        </w:rPr>
      </w:pPr>
      <w:r w:rsidRPr="00207D17">
        <w:rPr>
          <w:rFonts w:asciiTheme="majorBidi" w:hAnsiTheme="majorBidi" w:cstheme="majorBidi"/>
          <w:color w:val="000000"/>
          <w:sz w:val="24"/>
          <w:szCs w:val="24"/>
          <w:lang w:val="fr-FR" w:eastAsia="en-US"/>
        </w:rPr>
        <w:t xml:space="preserve">Art. 25 </w:t>
      </w:r>
      <w:hyperlink r:id="rId27" w:anchor="art_25" w:history="1">
        <w:r w:rsidR="00207D17" w:rsidRPr="00E972E1">
          <w:rPr>
            <w:rFonts w:asciiTheme="majorBidi" w:hAnsiTheme="majorBidi" w:cstheme="majorBidi"/>
            <w:b w:val="0"/>
            <w:bCs w:val="0"/>
            <w:color w:val="000000"/>
            <w:sz w:val="24"/>
            <w:szCs w:val="24"/>
            <w:lang w:val="fr-FR" w:eastAsia="en-US"/>
          </w:rPr>
          <w:tab/>
        </w:r>
        <w:r w:rsidRPr="004D7D9A">
          <w:rPr>
            <w:rFonts w:asciiTheme="majorBidi" w:hAnsiTheme="majorBidi" w:cstheme="majorBidi"/>
            <w:color w:val="000000"/>
            <w:sz w:val="24"/>
            <w:szCs w:val="24"/>
            <w:lang w:val="fr-FR" w:eastAsia="en-US"/>
          </w:rPr>
          <w:t xml:space="preserve"> </w:t>
        </w:r>
        <w:r w:rsidRPr="004D7D9A">
          <w:rPr>
            <w:rFonts w:asciiTheme="majorBidi" w:hAnsiTheme="majorBidi" w:cstheme="majorBidi"/>
            <w:color w:val="000000"/>
            <w:sz w:val="24"/>
            <w:szCs w:val="24"/>
            <w:lang w:val="fr-FR" w:eastAsia="en-US"/>
          </w:rPr>
          <w:t xml:space="preserve">Protection contre l’expulsion, l’extradition et le refoulement </w:t>
        </w:r>
      </w:hyperlink>
    </w:p>
    <w:p w14:paraId="1A713F62" w14:textId="3D8E083D" w:rsidR="00E972E1" w:rsidRPr="004D7D9A" w:rsidRDefault="00E972E1" w:rsidP="00E972E1">
      <w:pPr>
        <w:spacing w:before="100" w:beforeAutospacing="1" w:after="100" w:afterAutospacing="1" w:line="240" w:lineRule="auto"/>
        <w:ind w:left="700" w:hanging="700"/>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1</w:t>
      </w:r>
      <w:r w:rsidRPr="004D7D9A">
        <w:rPr>
          <w:rFonts w:ascii="Times New Roman" w:eastAsia="Times New Roman" w:hAnsi="Times New Roman" w:cs="Times New Roman"/>
          <w:lang w:val="de-CR" w:eastAsia="zh-CN"/>
        </w:rPr>
        <w:t> </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Les Suisses et les Suissesses ne peuvent être expulsés du pays; ils ne peuvent être remis à une autorité étrangère que s’ils y consentent.</w:t>
      </w:r>
    </w:p>
    <w:p w14:paraId="05994448" w14:textId="2DF247C6" w:rsidR="00E972E1" w:rsidRPr="004D7D9A" w:rsidRDefault="00E972E1" w:rsidP="00E972E1">
      <w:pPr>
        <w:spacing w:before="100" w:beforeAutospacing="1" w:after="100" w:afterAutospacing="1" w:line="240" w:lineRule="auto"/>
        <w:ind w:left="700" w:hanging="700"/>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2</w:t>
      </w:r>
      <w:r w:rsidRPr="004D7D9A">
        <w:rPr>
          <w:rFonts w:ascii="Times New Roman" w:eastAsia="Times New Roman" w:hAnsi="Times New Roman" w:cs="Times New Roman"/>
          <w:lang w:val="de-CR" w:eastAsia="zh-CN"/>
        </w:rPr>
        <w:t> </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Les réfugiés ne peuvent être refoulés sur le territoire d’un État dans lequel ils sont persécutés ni remis aux autorités d’un tel État.</w:t>
      </w:r>
    </w:p>
    <w:p w14:paraId="63DD420A" w14:textId="3D68421E" w:rsidR="00E972E1" w:rsidRPr="004D7D9A" w:rsidRDefault="00E972E1" w:rsidP="00E972E1">
      <w:pPr>
        <w:spacing w:before="100" w:beforeAutospacing="1" w:after="100" w:afterAutospacing="1" w:line="240" w:lineRule="auto"/>
        <w:ind w:left="360" w:hanging="360"/>
        <w:rPr>
          <w:rFonts w:ascii="Times New Roman" w:eastAsia="Times New Roman" w:hAnsi="Times New Roman" w:cs="Times New Roman"/>
          <w:lang w:val="de-CR" w:eastAsia="zh-CN"/>
        </w:rPr>
      </w:pPr>
      <w:r w:rsidRPr="004D7D9A">
        <w:rPr>
          <w:rFonts w:ascii="Times New Roman" w:eastAsia="Times New Roman" w:hAnsi="Times New Roman" w:cs="Times New Roman"/>
          <w:vertAlign w:val="superscript"/>
          <w:lang w:val="de-CR" w:eastAsia="zh-CN"/>
        </w:rPr>
        <w:t>3</w:t>
      </w:r>
      <w:r w:rsidRPr="004D7D9A">
        <w:rPr>
          <w:rFonts w:ascii="Times New Roman" w:eastAsia="Times New Roman" w:hAnsi="Times New Roman" w:cs="Times New Roman"/>
          <w:lang w:val="de-CR" w:eastAsia="zh-CN"/>
        </w:rPr>
        <w:t> </w:t>
      </w:r>
      <w:r w:rsidRPr="004D7D9A">
        <w:rPr>
          <w:rFonts w:ascii="Times New Roman" w:eastAsia="Times New Roman" w:hAnsi="Times New Roman" w:cs="Times New Roman"/>
          <w:lang w:val="fr-FR" w:eastAsia="zh-CN"/>
        </w:rPr>
        <w:t xml:space="preserve"> </w:t>
      </w:r>
      <w:r w:rsidRPr="004D7D9A">
        <w:rPr>
          <w:rFonts w:ascii="Times New Roman" w:eastAsia="Times New Roman" w:hAnsi="Times New Roman" w:cs="Times New Roman"/>
          <w:lang w:val="de-CR" w:eastAsia="zh-CN"/>
        </w:rPr>
        <w:t>Nul ne peut être refoulé sur le territoire d’un État dans lequel il risque la torture ou tout autre traitement ou peine cruels et inhumains.</w:t>
      </w:r>
    </w:p>
    <w:p w14:paraId="3E9C5DEE" w14:textId="77777777" w:rsidR="00A31B69" w:rsidRDefault="00A31B69" w:rsidP="00417F07">
      <w:pPr>
        <w:pStyle w:val="StandardWeb"/>
        <w:spacing w:before="0" w:beforeAutospacing="0" w:after="0" w:afterAutospacing="0"/>
        <w:ind w:left="720" w:right="-52"/>
        <w:jc w:val="both"/>
        <w:textAlignment w:val="baseline"/>
        <w:rPr>
          <w:rFonts w:asciiTheme="majorBidi" w:hAnsiTheme="majorBidi" w:cstheme="majorBidi"/>
          <w:b/>
          <w:bCs/>
          <w:color w:val="000000"/>
          <w:u w:val="single"/>
          <w:lang w:val="fr-FR"/>
        </w:rPr>
      </w:pPr>
    </w:p>
    <w:p w14:paraId="0433BA45" w14:textId="2B964330" w:rsidR="00D603C3" w:rsidRPr="00FC399B" w:rsidRDefault="00D603C3" w:rsidP="00BA26F5">
      <w:pPr>
        <w:pStyle w:val="StandardWeb"/>
        <w:numPr>
          <w:ilvl w:val="0"/>
          <w:numId w:val="25"/>
        </w:numPr>
        <w:spacing w:before="0" w:beforeAutospacing="0" w:after="0" w:afterAutospacing="0"/>
        <w:ind w:right="-52"/>
        <w:jc w:val="both"/>
        <w:textAlignment w:val="baseline"/>
        <w:rPr>
          <w:rFonts w:asciiTheme="majorBidi" w:hAnsiTheme="majorBidi" w:cstheme="majorBidi"/>
          <w:b/>
          <w:bCs/>
          <w:color w:val="000000"/>
          <w:u w:val="single"/>
          <w:lang w:val="fr-FR"/>
        </w:rPr>
      </w:pPr>
      <w:r w:rsidRPr="00FC399B">
        <w:rPr>
          <w:rFonts w:asciiTheme="majorBidi" w:hAnsiTheme="majorBidi" w:cstheme="majorBidi"/>
          <w:b/>
          <w:bCs/>
          <w:color w:val="000000"/>
          <w:u w:val="single"/>
          <w:lang w:val="fr-FR"/>
        </w:rPr>
        <w:t>Loi sur l’asile (</w:t>
      </w:r>
      <w:proofErr w:type="spellStart"/>
      <w:r w:rsidRPr="00FC399B">
        <w:rPr>
          <w:rFonts w:asciiTheme="majorBidi" w:hAnsiTheme="majorBidi" w:cstheme="majorBidi"/>
          <w:b/>
          <w:bCs/>
          <w:color w:val="000000"/>
          <w:u w:val="single"/>
          <w:lang w:val="fr-FR"/>
        </w:rPr>
        <w:t>LAsi</w:t>
      </w:r>
      <w:proofErr w:type="spellEnd"/>
      <w:r w:rsidRPr="00FC399B">
        <w:rPr>
          <w:rFonts w:asciiTheme="majorBidi" w:hAnsiTheme="majorBidi" w:cstheme="majorBidi"/>
          <w:b/>
          <w:bCs/>
          <w:color w:val="000000"/>
          <w:u w:val="single"/>
          <w:lang w:val="fr-FR"/>
        </w:rPr>
        <w:t>) du 26 juin 1998 (</w:t>
      </w:r>
      <w:proofErr w:type="spellStart"/>
      <w:r w:rsidRPr="00FC399B">
        <w:rPr>
          <w:rFonts w:asciiTheme="majorBidi" w:hAnsiTheme="majorBidi" w:cstheme="majorBidi"/>
          <w:b/>
          <w:bCs/>
          <w:color w:val="000000"/>
          <w:u w:val="single"/>
          <w:lang w:val="fr-FR"/>
        </w:rPr>
        <w:t>Etat</w:t>
      </w:r>
      <w:proofErr w:type="spellEnd"/>
      <w:r w:rsidRPr="00FC399B">
        <w:rPr>
          <w:rFonts w:asciiTheme="majorBidi" w:hAnsiTheme="majorBidi" w:cstheme="majorBidi"/>
          <w:b/>
          <w:bCs/>
          <w:color w:val="000000"/>
          <w:u w:val="single"/>
          <w:lang w:val="fr-FR"/>
        </w:rPr>
        <w:t xml:space="preserve"> le 1er janvier 2021)</w:t>
      </w:r>
    </w:p>
    <w:p w14:paraId="4F7D97F9" w14:textId="77777777" w:rsidR="00D603C3" w:rsidRPr="00FC399B" w:rsidRDefault="00D603C3" w:rsidP="00D603C3">
      <w:pPr>
        <w:rPr>
          <w:rFonts w:asciiTheme="majorBidi" w:hAnsiTheme="majorBidi" w:cstheme="majorBidi"/>
          <w:color w:val="000000"/>
          <w:sz w:val="24"/>
          <w:szCs w:val="24"/>
          <w:lang w:val="fr-FR"/>
        </w:rPr>
      </w:pPr>
    </w:p>
    <w:p w14:paraId="203BFA0F" w14:textId="4A5E60B6" w:rsidR="00D603C3" w:rsidRPr="00FC399B" w:rsidRDefault="00D603C3" w:rsidP="00D603C3">
      <w:pPr>
        <w:pStyle w:val="StandardWeb"/>
        <w:spacing w:before="1" w:beforeAutospacing="0" w:after="0" w:afterAutospacing="0"/>
        <w:ind w:right="-52"/>
        <w:jc w:val="both"/>
        <w:rPr>
          <w:rFonts w:asciiTheme="majorBidi" w:hAnsiTheme="majorBidi" w:cstheme="majorBidi"/>
          <w:color w:val="000000"/>
          <w:lang w:val="fr-FR"/>
        </w:rPr>
      </w:pPr>
      <w:r w:rsidRPr="00FC399B">
        <w:rPr>
          <w:rFonts w:asciiTheme="majorBidi" w:hAnsiTheme="majorBidi" w:cstheme="majorBidi"/>
          <w:b/>
          <w:bCs/>
          <w:color w:val="000000"/>
          <w:lang w:val="fr-FR"/>
        </w:rPr>
        <w:t>Art. 5</w:t>
      </w:r>
      <w:r w:rsidRPr="00FC399B">
        <w:rPr>
          <w:rStyle w:val="apple-tab-span"/>
          <w:rFonts w:asciiTheme="majorBidi" w:hAnsiTheme="majorBidi" w:cstheme="majorBidi"/>
          <w:color w:val="000000"/>
          <w:lang w:val="fr-FR"/>
        </w:rPr>
        <w:tab/>
      </w:r>
      <w:r w:rsidR="00E30E41">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Interdiction du refoulement</w:t>
      </w:r>
    </w:p>
    <w:p w14:paraId="37F4D9AE" w14:textId="77777777" w:rsidR="00D603C3" w:rsidRPr="00FC399B" w:rsidRDefault="00D603C3" w:rsidP="00D603C3">
      <w:pPr>
        <w:rPr>
          <w:rFonts w:asciiTheme="majorBidi" w:hAnsiTheme="majorBidi" w:cstheme="majorBidi"/>
          <w:color w:val="000000"/>
          <w:lang w:val="fr-FR"/>
        </w:rPr>
      </w:pPr>
    </w:p>
    <w:p w14:paraId="474FC5F2" w14:textId="481F1A6E" w:rsidR="00D603C3" w:rsidRPr="00FC399B" w:rsidRDefault="00D603C3" w:rsidP="004D7D9A">
      <w:pPr>
        <w:pStyle w:val="StandardWeb"/>
        <w:spacing w:before="1"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 xml:space="preserve">1 </w:t>
      </w:r>
      <w:r w:rsidR="00E972E1">
        <w:rPr>
          <w:rFonts w:asciiTheme="majorBidi" w:hAnsiTheme="majorBidi" w:cstheme="majorBidi"/>
          <w:color w:val="000000"/>
          <w:sz w:val="22"/>
          <w:szCs w:val="22"/>
          <w:vertAlign w:val="superscript"/>
          <w:lang w:val="fr-FR"/>
        </w:rPr>
        <w:t xml:space="preserve"> </w:t>
      </w:r>
      <w:r w:rsidRPr="00FC399B">
        <w:rPr>
          <w:rFonts w:asciiTheme="majorBidi" w:hAnsiTheme="majorBidi" w:cstheme="majorBidi"/>
          <w:color w:val="000000"/>
          <w:sz w:val="22"/>
          <w:szCs w:val="22"/>
          <w:lang w:val="fr-FR"/>
        </w:rPr>
        <w:t>Nul</w:t>
      </w:r>
      <w:proofErr w:type="gramEnd"/>
      <w:r w:rsidRPr="00FC399B">
        <w:rPr>
          <w:rFonts w:asciiTheme="majorBidi" w:hAnsiTheme="majorBidi" w:cstheme="majorBidi"/>
          <w:color w:val="000000"/>
          <w:sz w:val="22"/>
          <w:szCs w:val="22"/>
          <w:lang w:val="fr-FR"/>
        </w:rPr>
        <w:t xml:space="preserve"> ne peut être contraint, de quelque manière que ce soit, à se rendre dans un pays où sa vie, son intégrité corporelle ou sa liberté seraient menacées pour l’un des motifs mentionnés à l’art. 3, al. 1, ou encore d’où il risquerait d’être astreint à se rendre dans un tel pays.</w:t>
      </w:r>
    </w:p>
    <w:p w14:paraId="5A69B7AB" w14:textId="77777777" w:rsidR="00D603C3" w:rsidRPr="00FC399B" w:rsidRDefault="00D603C3" w:rsidP="00D603C3">
      <w:pPr>
        <w:rPr>
          <w:rFonts w:asciiTheme="majorBidi" w:hAnsiTheme="majorBidi" w:cstheme="majorBidi"/>
          <w:color w:val="000000"/>
          <w:lang w:val="fr-FR"/>
        </w:rPr>
      </w:pPr>
    </w:p>
    <w:p w14:paraId="24B80466" w14:textId="77777777" w:rsidR="00D603C3" w:rsidRPr="004D7D9A" w:rsidRDefault="00D603C3" w:rsidP="00D603C3">
      <w:pPr>
        <w:pStyle w:val="StandardWeb"/>
        <w:spacing w:before="0" w:beforeAutospacing="0" w:after="0" w:afterAutospacing="0"/>
        <w:ind w:right="-52"/>
        <w:jc w:val="both"/>
        <w:rPr>
          <w:rFonts w:asciiTheme="majorBidi" w:hAnsiTheme="majorBidi" w:cstheme="majorBidi"/>
          <w:b/>
          <w:bCs/>
          <w:color w:val="000000"/>
          <w:lang w:val="fr-FR"/>
        </w:rPr>
      </w:pPr>
      <w:r w:rsidRPr="00FC399B">
        <w:rPr>
          <w:rFonts w:asciiTheme="majorBidi" w:hAnsiTheme="majorBidi" w:cstheme="majorBidi"/>
          <w:b/>
          <w:bCs/>
          <w:color w:val="000000"/>
          <w:lang w:val="fr-FR"/>
        </w:rPr>
        <w:t>Art. 6</w:t>
      </w:r>
      <w:r w:rsidRPr="00FC399B">
        <w:rPr>
          <w:rFonts w:asciiTheme="majorBidi" w:hAnsiTheme="majorBidi" w:cstheme="majorBidi"/>
          <w:i/>
          <w:iCs/>
          <w:color w:val="000000"/>
          <w:lang w:val="fr-FR"/>
        </w:rPr>
        <w:t>a</w:t>
      </w:r>
      <w:r w:rsidRPr="00FC399B">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Autorité compétente</w:t>
      </w:r>
    </w:p>
    <w:p w14:paraId="428D7866" w14:textId="77777777" w:rsidR="00D603C3" w:rsidRPr="00FC399B" w:rsidRDefault="00D603C3" w:rsidP="00D603C3">
      <w:pPr>
        <w:rPr>
          <w:rFonts w:asciiTheme="majorBidi" w:hAnsiTheme="majorBidi" w:cstheme="majorBidi"/>
          <w:color w:val="000000"/>
          <w:lang w:val="fr-FR"/>
        </w:rPr>
      </w:pPr>
    </w:p>
    <w:p w14:paraId="4850B580" w14:textId="2ECC9BCA" w:rsidR="00D603C3" w:rsidRPr="00FC399B" w:rsidRDefault="00D603C3" w:rsidP="004D7D9A">
      <w:pPr>
        <w:pStyle w:val="StandardWeb"/>
        <w:spacing w:before="78"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1</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Le</w:t>
      </w:r>
      <w:proofErr w:type="gramEnd"/>
      <w:r w:rsidRPr="00FC399B">
        <w:rPr>
          <w:rFonts w:asciiTheme="majorBidi" w:hAnsiTheme="majorBidi" w:cstheme="majorBidi"/>
          <w:color w:val="000000"/>
          <w:sz w:val="22"/>
          <w:szCs w:val="22"/>
          <w:lang w:val="fr-FR"/>
        </w:rPr>
        <w:t xml:space="preserve"> Secrétariat d’État aux migrations (SEM)13 décide de l’octroi ou du refus de l’asile, ainsi que du renvoi d’un requérant de Suisse.</w:t>
      </w:r>
    </w:p>
    <w:p w14:paraId="5B4FBE2C" w14:textId="3C9AF3CE" w:rsidR="00D603C3" w:rsidRDefault="00D603C3" w:rsidP="00D603C3">
      <w:pPr>
        <w:pStyle w:val="StandardWeb"/>
        <w:spacing w:before="73" w:beforeAutospacing="0" w:after="0" w:afterAutospacing="0"/>
        <w:ind w:right="-52"/>
        <w:jc w:val="both"/>
        <w:rPr>
          <w:rFonts w:asciiTheme="majorBidi" w:hAnsiTheme="majorBidi" w:cstheme="majorBidi"/>
          <w:color w:val="000000"/>
          <w:sz w:val="22"/>
          <w:szCs w:val="22"/>
          <w:lang w:val="fr-FR"/>
        </w:rPr>
      </w:pPr>
      <w:proofErr w:type="gramStart"/>
      <w:r w:rsidRPr="004D7D9A">
        <w:rPr>
          <w:rFonts w:asciiTheme="majorBidi" w:hAnsiTheme="majorBidi" w:cstheme="majorBidi"/>
          <w:color w:val="000000"/>
          <w:sz w:val="22"/>
          <w:szCs w:val="22"/>
          <w:vertAlign w:val="superscript"/>
          <w:lang w:val="fr-FR"/>
        </w:rPr>
        <w:t>2</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Le</w:t>
      </w:r>
      <w:proofErr w:type="gramEnd"/>
      <w:r w:rsidRPr="00FC399B">
        <w:rPr>
          <w:rFonts w:asciiTheme="majorBidi" w:hAnsiTheme="majorBidi" w:cstheme="majorBidi"/>
          <w:color w:val="000000"/>
          <w:sz w:val="22"/>
          <w:szCs w:val="22"/>
          <w:lang w:val="fr-FR"/>
        </w:rPr>
        <w:t xml:space="preserve"> Conseil fédéral désigne, outre les États de l’UE ou de l’AELE:</w:t>
      </w:r>
    </w:p>
    <w:p w14:paraId="3F44D25A" w14:textId="77777777" w:rsidR="00E972E1" w:rsidRPr="00FC399B" w:rsidRDefault="00E972E1" w:rsidP="00E972E1">
      <w:pPr>
        <w:pStyle w:val="StandardWeb"/>
        <w:numPr>
          <w:ilvl w:val="0"/>
          <w:numId w:val="28"/>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les</w:t>
      </w:r>
      <w:proofErr w:type="gramEnd"/>
      <w:r w:rsidRPr="00FC399B">
        <w:rPr>
          <w:rFonts w:asciiTheme="majorBidi" w:hAnsiTheme="majorBidi" w:cstheme="majorBidi"/>
          <w:color w:val="000000"/>
          <w:sz w:val="22"/>
          <w:szCs w:val="22"/>
          <w:lang w:val="fr-FR"/>
        </w:rPr>
        <w:t xml:space="preserve"> États d’origine ou de provenance sûrs, à savoir ceux dans lesquels il estime que le requérant est à l’abri de toute persécution;</w:t>
      </w:r>
    </w:p>
    <w:p w14:paraId="201A591B" w14:textId="77777777" w:rsidR="00E972E1" w:rsidRPr="00FC399B" w:rsidRDefault="00E972E1" w:rsidP="00E972E1">
      <w:pPr>
        <w:pStyle w:val="StandardWeb"/>
        <w:numPr>
          <w:ilvl w:val="0"/>
          <w:numId w:val="28"/>
        </w:numPr>
        <w:spacing w:before="79"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les</w:t>
      </w:r>
      <w:proofErr w:type="gramEnd"/>
      <w:r w:rsidRPr="00FC399B">
        <w:rPr>
          <w:rFonts w:asciiTheme="majorBidi" w:hAnsiTheme="majorBidi" w:cstheme="majorBidi"/>
          <w:color w:val="000000"/>
          <w:sz w:val="22"/>
          <w:szCs w:val="22"/>
          <w:lang w:val="fr-FR"/>
        </w:rPr>
        <w:t xml:space="preserve"> États tiers sûrs, à savoir ceux dans lesquels il estime qu’il y a effective- ment respect du principe de non-refoulement au sens de l’art. 5, al. 1.</w:t>
      </w:r>
    </w:p>
    <w:p w14:paraId="0F527417" w14:textId="667517D2" w:rsidR="00D603C3" w:rsidRPr="00FC399B" w:rsidRDefault="00D603C3" w:rsidP="00D603C3">
      <w:pPr>
        <w:pStyle w:val="StandardWeb"/>
        <w:spacing w:before="73" w:beforeAutospacing="0" w:after="0" w:afterAutospacing="0"/>
        <w:ind w:right="-52"/>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3</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Il</w:t>
      </w:r>
      <w:proofErr w:type="gramEnd"/>
      <w:r w:rsidRPr="00FC399B">
        <w:rPr>
          <w:rFonts w:asciiTheme="majorBidi" w:hAnsiTheme="majorBidi" w:cstheme="majorBidi"/>
          <w:color w:val="000000"/>
          <w:sz w:val="22"/>
          <w:szCs w:val="22"/>
          <w:lang w:val="fr-FR"/>
        </w:rPr>
        <w:t xml:space="preserve"> soumet à un contrôle périodique les décisions prises conformément à l’al. 2.</w:t>
      </w:r>
    </w:p>
    <w:p w14:paraId="693C55BE" w14:textId="4F968FE7" w:rsidR="00D603C3" w:rsidRPr="00FC399B" w:rsidRDefault="00D603C3" w:rsidP="004D7D9A">
      <w:pPr>
        <w:pStyle w:val="StandardWeb"/>
        <w:spacing w:before="79"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4</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Il</w:t>
      </w:r>
      <w:proofErr w:type="gramEnd"/>
      <w:r w:rsidRPr="00FC399B">
        <w:rPr>
          <w:rFonts w:asciiTheme="majorBidi" w:hAnsiTheme="majorBidi" w:cstheme="majorBidi"/>
          <w:color w:val="000000"/>
          <w:sz w:val="22"/>
          <w:szCs w:val="22"/>
          <w:lang w:val="fr-FR"/>
        </w:rPr>
        <w:t xml:space="preserve"> soumet la liste visée à l’al. 2, let. </w:t>
      </w:r>
      <w:proofErr w:type="gramStart"/>
      <w:r w:rsidRPr="00FC399B">
        <w:rPr>
          <w:rFonts w:asciiTheme="majorBidi" w:hAnsiTheme="majorBidi" w:cstheme="majorBidi"/>
          <w:color w:val="000000"/>
          <w:sz w:val="22"/>
          <w:szCs w:val="22"/>
          <w:lang w:val="fr-FR"/>
        </w:rPr>
        <w:t>a</w:t>
      </w:r>
      <w:proofErr w:type="gramEnd"/>
      <w:r w:rsidRPr="00FC399B">
        <w:rPr>
          <w:rFonts w:asciiTheme="majorBidi" w:hAnsiTheme="majorBidi" w:cstheme="majorBidi"/>
          <w:color w:val="000000"/>
          <w:sz w:val="22"/>
          <w:szCs w:val="22"/>
          <w:lang w:val="fr-FR"/>
        </w:rPr>
        <w:t>, aux commissions compétentes de l’Assemblée fédérale pour consultation avant toute modification envisagée, mais au moins une fois par an.</w:t>
      </w:r>
    </w:p>
    <w:p w14:paraId="4AB24D7D" w14:textId="77777777" w:rsidR="00D603C3" w:rsidRPr="00FC399B" w:rsidRDefault="00D603C3" w:rsidP="00D603C3">
      <w:pPr>
        <w:spacing w:after="240"/>
        <w:rPr>
          <w:rFonts w:asciiTheme="majorBidi" w:hAnsiTheme="majorBidi" w:cstheme="majorBidi"/>
          <w:color w:val="000000"/>
          <w:lang w:val="fr-FR"/>
        </w:rPr>
      </w:pPr>
    </w:p>
    <w:p w14:paraId="35538ABB" w14:textId="77777777" w:rsidR="00D603C3" w:rsidRPr="00FC399B" w:rsidRDefault="00D603C3" w:rsidP="00D603C3">
      <w:pPr>
        <w:pStyle w:val="StandardWeb"/>
        <w:spacing w:before="1" w:beforeAutospacing="0" w:after="0" w:afterAutospacing="0"/>
        <w:ind w:right="-52"/>
        <w:jc w:val="both"/>
        <w:rPr>
          <w:rFonts w:asciiTheme="majorBidi" w:hAnsiTheme="majorBidi" w:cstheme="majorBidi"/>
          <w:color w:val="000000"/>
          <w:lang w:val="fr-FR"/>
        </w:rPr>
      </w:pPr>
      <w:r w:rsidRPr="00FC399B">
        <w:rPr>
          <w:rFonts w:asciiTheme="majorBidi" w:hAnsiTheme="majorBidi" w:cstheme="majorBidi"/>
          <w:b/>
          <w:bCs/>
          <w:color w:val="000000"/>
          <w:lang w:val="fr-FR"/>
        </w:rPr>
        <w:lastRenderedPageBreak/>
        <w:t>Art. 19</w:t>
      </w:r>
      <w:r w:rsidRPr="00FC399B">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Dépôt de la demande</w:t>
      </w:r>
    </w:p>
    <w:p w14:paraId="60FDE500" w14:textId="77777777" w:rsidR="00D603C3" w:rsidRPr="00FC399B" w:rsidRDefault="00D603C3" w:rsidP="00D603C3">
      <w:pPr>
        <w:rPr>
          <w:rFonts w:asciiTheme="majorBidi" w:hAnsiTheme="majorBidi" w:cstheme="majorBidi"/>
          <w:color w:val="000000"/>
          <w:lang w:val="fr-FR"/>
        </w:rPr>
      </w:pPr>
    </w:p>
    <w:p w14:paraId="07470C44" w14:textId="3B9F17F4" w:rsidR="00D603C3" w:rsidRPr="00FC399B" w:rsidRDefault="00D603C3" w:rsidP="004D7D9A">
      <w:pPr>
        <w:pStyle w:val="StandardWeb"/>
        <w:spacing w:before="77"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1</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w:t>
      </w:r>
      <w:proofErr w:type="gramEnd"/>
      <w:r w:rsidRPr="00FC399B">
        <w:rPr>
          <w:rFonts w:asciiTheme="majorBidi" w:hAnsiTheme="majorBidi" w:cstheme="majorBidi"/>
          <w:color w:val="000000"/>
          <w:sz w:val="22"/>
          <w:szCs w:val="22"/>
          <w:lang w:val="fr-FR"/>
        </w:rPr>
        <w:t xml:space="preserve"> demande d’asile doit être déposée au poste de contrôle d’un aéroport suisse ou, lors de l’entrée en Suisse, à un poste-frontière ouvert ou dans un centre de la Confédération. L’art. 24</w:t>
      </w:r>
      <w:r w:rsidRPr="00FC399B">
        <w:rPr>
          <w:rFonts w:asciiTheme="majorBidi" w:hAnsiTheme="majorBidi" w:cstheme="majorBidi"/>
          <w:i/>
          <w:iCs/>
          <w:color w:val="000000"/>
          <w:sz w:val="22"/>
          <w:szCs w:val="22"/>
          <w:lang w:val="fr-FR"/>
        </w:rPr>
        <w:t>a</w:t>
      </w:r>
      <w:r w:rsidRPr="00FC399B">
        <w:rPr>
          <w:rFonts w:asciiTheme="majorBidi" w:hAnsiTheme="majorBidi" w:cstheme="majorBidi"/>
          <w:color w:val="000000"/>
          <w:sz w:val="22"/>
          <w:szCs w:val="22"/>
          <w:lang w:val="fr-FR"/>
        </w:rPr>
        <w:t>, al. 3, est réservé.</w:t>
      </w:r>
    </w:p>
    <w:p w14:paraId="4BAE4952" w14:textId="67564C00" w:rsidR="00D603C3" w:rsidRPr="00FC399B" w:rsidRDefault="00D603C3" w:rsidP="00D603C3">
      <w:pPr>
        <w:pStyle w:val="StandardWeb"/>
        <w:spacing w:before="78" w:beforeAutospacing="0" w:after="0" w:afterAutospacing="0"/>
        <w:ind w:right="-52"/>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2</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Quiconque</w:t>
      </w:r>
      <w:proofErr w:type="gramEnd"/>
      <w:r w:rsidRPr="00FC399B">
        <w:rPr>
          <w:rFonts w:asciiTheme="majorBidi" w:hAnsiTheme="majorBidi" w:cstheme="majorBidi"/>
          <w:color w:val="000000"/>
          <w:sz w:val="22"/>
          <w:szCs w:val="22"/>
          <w:lang w:val="fr-FR"/>
        </w:rPr>
        <w:t xml:space="preserve"> dépose une demande d’asile doit être présent à la frontière suisse ou sur le territoire suisse.</w:t>
      </w:r>
    </w:p>
    <w:p w14:paraId="00453CEF" w14:textId="77777777" w:rsidR="00897DD8" w:rsidRPr="00FC399B" w:rsidRDefault="00897DD8" w:rsidP="00D603C3">
      <w:pPr>
        <w:spacing w:after="240"/>
        <w:rPr>
          <w:rFonts w:asciiTheme="majorBidi" w:hAnsiTheme="majorBidi" w:cstheme="majorBidi"/>
          <w:color w:val="000000"/>
          <w:lang w:val="fr-FR"/>
        </w:rPr>
      </w:pPr>
    </w:p>
    <w:p w14:paraId="3CE75DA7" w14:textId="0707E515" w:rsidR="00D603C3" w:rsidRPr="004D7D9A" w:rsidRDefault="00D603C3" w:rsidP="00D603C3">
      <w:pPr>
        <w:pStyle w:val="StandardWeb"/>
        <w:spacing w:before="0" w:beforeAutospacing="0" w:after="0" w:afterAutospacing="0"/>
        <w:ind w:right="-52"/>
        <w:jc w:val="both"/>
        <w:rPr>
          <w:rFonts w:asciiTheme="majorBidi" w:hAnsiTheme="majorBidi" w:cstheme="majorBidi"/>
          <w:b/>
          <w:bCs/>
          <w:color w:val="000000"/>
          <w:lang w:val="fr-FR"/>
        </w:rPr>
      </w:pPr>
      <w:r w:rsidRPr="00FC399B">
        <w:rPr>
          <w:rFonts w:asciiTheme="majorBidi" w:hAnsiTheme="majorBidi" w:cstheme="majorBidi"/>
          <w:b/>
          <w:bCs/>
          <w:color w:val="000000"/>
          <w:lang w:val="fr-FR"/>
        </w:rPr>
        <w:t>Art. 24</w:t>
      </w:r>
      <w:r w:rsidRPr="00FC399B">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Centres de la Confédération</w:t>
      </w:r>
    </w:p>
    <w:p w14:paraId="1300A550" w14:textId="77777777" w:rsidR="00D603C3" w:rsidRPr="004D7D9A" w:rsidRDefault="00D603C3" w:rsidP="00D603C3">
      <w:pPr>
        <w:rPr>
          <w:rFonts w:asciiTheme="majorBidi" w:hAnsiTheme="majorBidi" w:cstheme="majorBidi"/>
          <w:b/>
          <w:bCs/>
          <w:color w:val="000000"/>
          <w:lang w:val="fr-FR"/>
        </w:rPr>
      </w:pPr>
    </w:p>
    <w:p w14:paraId="1AD2B925" w14:textId="20E7ADD5" w:rsidR="00D603C3" w:rsidRPr="00FC399B" w:rsidRDefault="00D603C3" w:rsidP="004D7D9A">
      <w:pPr>
        <w:pStyle w:val="StandardWeb"/>
        <w:spacing w:before="77"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1</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w:t>
      </w:r>
      <w:proofErr w:type="gramEnd"/>
      <w:r w:rsidRPr="00FC399B">
        <w:rPr>
          <w:rFonts w:asciiTheme="majorBidi" w:hAnsiTheme="majorBidi" w:cstheme="majorBidi"/>
          <w:color w:val="000000"/>
          <w:sz w:val="22"/>
          <w:szCs w:val="22"/>
          <w:lang w:val="fr-FR"/>
        </w:rPr>
        <w:t xml:space="preserve"> Confédération crée des centres dont elle confie la gestion au SEM. Ce faisant, elle veille à respecter les principes d’une exécution adéquate et rationnelle de sa tâche.</w:t>
      </w:r>
    </w:p>
    <w:p w14:paraId="21157412" w14:textId="4ABEB082" w:rsidR="00D603C3" w:rsidRPr="00FC399B" w:rsidRDefault="00D603C3" w:rsidP="00D603C3">
      <w:pPr>
        <w:pStyle w:val="StandardWeb"/>
        <w:spacing w:before="78" w:beforeAutospacing="0" w:after="0" w:afterAutospacing="0"/>
        <w:ind w:right="-52"/>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2</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w:t>
      </w:r>
      <w:proofErr w:type="gramEnd"/>
      <w:r w:rsidRPr="00FC399B">
        <w:rPr>
          <w:rFonts w:asciiTheme="majorBidi" w:hAnsiTheme="majorBidi" w:cstheme="majorBidi"/>
          <w:color w:val="000000"/>
          <w:sz w:val="22"/>
          <w:szCs w:val="22"/>
          <w:lang w:val="fr-FR"/>
        </w:rPr>
        <w:t xml:space="preserve"> Confédération associe suffisamment tôt les cantons et les communes à la création des centres.</w:t>
      </w:r>
    </w:p>
    <w:p w14:paraId="4F128FC9" w14:textId="650E976D" w:rsidR="00D603C3" w:rsidRDefault="00D603C3" w:rsidP="00D603C3">
      <w:pPr>
        <w:pStyle w:val="StandardWeb"/>
        <w:spacing w:before="78" w:beforeAutospacing="0" w:after="0" w:afterAutospacing="0"/>
        <w:ind w:right="-52"/>
        <w:jc w:val="both"/>
        <w:rPr>
          <w:rFonts w:asciiTheme="majorBidi" w:hAnsiTheme="majorBidi" w:cstheme="majorBidi"/>
          <w:color w:val="000000"/>
          <w:sz w:val="22"/>
          <w:szCs w:val="22"/>
          <w:lang w:val="fr-FR"/>
        </w:rPr>
      </w:pPr>
      <w:proofErr w:type="gramStart"/>
      <w:r w:rsidRPr="004D7D9A">
        <w:rPr>
          <w:rFonts w:asciiTheme="majorBidi" w:hAnsiTheme="majorBidi" w:cstheme="majorBidi"/>
          <w:color w:val="000000"/>
          <w:sz w:val="22"/>
          <w:szCs w:val="22"/>
          <w:vertAlign w:val="superscript"/>
          <w:lang w:val="fr-FR"/>
        </w:rPr>
        <w:t>3</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Tout</w:t>
      </w:r>
      <w:proofErr w:type="gramEnd"/>
      <w:r w:rsidRPr="00FC399B">
        <w:rPr>
          <w:rFonts w:asciiTheme="majorBidi" w:hAnsiTheme="majorBidi" w:cstheme="majorBidi"/>
          <w:color w:val="000000"/>
          <w:sz w:val="22"/>
          <w:szCs w:val="22"/>
          <w:lang w:val="fr-FR"/>
        </w:rPr>
        <w:t xml:space="preserve"> requérant est hébergé dans un centre de la Confédération à compter du dépôt de sa demande d’asile:</w:t>
      </w:r>
    </w:p>
    <w:p w14:paraId="1E40F1C0" w14:textId="77777777" w:rsidR="00E972E1" w:rsidRPr="00FC399B" w:rsidRDefault="00E972E1" w:rsidP="00E972E1">
      <w:pPr>
        <w:pStyle w:val="StandardWeb"/>
        <w:numPr>
          <w:ilvl w:val="0"/>
          <w:numId w:val="29"/>
        </w:numPr>
        <w:spacing w:before="79"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en</w:t>
      </w:r>
      <w:proofErr w:type="gramEnd"/>
      <w:r w:rsidRPr="00FC399B">
        <w:rPr>
          <w:rFonts w:asciiTheme="majorBidi" w:hAnsiTheme="majorBidi" w:cstheme="majorBidi"/>
          <w:color w:val="000000"/>
          <w:sz w:val="22"/>
          <w:szCs w:val="22"/>
          <w:lang w:val="fr-FR"/>
        </w:rPr>
        <w:t xml:space="preserve"> cas de procédure accélérée: jusqu’à l’octroi de l’asile ou de l’admission provisoire, ou jusqu’à son départ;</w:t>
      </w:r>
    </w:p>
    <w:p w14:paraId="02082B29" w14:textId="77777777" w:rsidR="00E972E1" w:rsidRPr="00FC399B" w:rsidRDefault="00E972E1" w:rsidP="00E972E1">
      <w:pPr>
        <w:pStyle w:val="StandardWeb"/>
        <w:numPr>
          <w:ilvl w:val="0"/>
          <w:numId w:val="29"/>
        </w:numPr>
        <w:spacing w:before="73"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en</w:t>
      </w:r>
      <w:proofErr w:type="gramEnd"/>
      <w:r w:rsidRPr="00FC399B">
        <w:rPr>
          <w:rFonts w:asciiTheme="majorBidi" w:hAnsiTheme="majorBidi" w:cstheme="majorBidi"/>
          <w:color w:val="000000"/>
          <w:sz w:val="22"/>
          <w:szCs w:val="22"/>
          <w:lang w:val="fr-FR"/>
        </w:rPr>
        <w:t xml:space="preserve"> cas de procédure Dublin: jusqu’à son départ;</w:t>
      </w:r>
    </w:p>
    <w:p w14:paraId="112B2044" w14:textId="361E2704" w:rsidR="00E972E1" w:rsidRPr="00FC399B" w:rsidRDefault="00E972E1" w:rsidP="004D7D9A">
      <w:pPr>
        <w:pStyle w:val="StandardWeb"/>
        <w:numPr>
          <w:ilvl w:val="0"/>
          <w:numId w:val="29"/>
        </w:numPr>
        <w:spacing w:before="78" w:beforeAutospacing="0" w:after="0" w:afterAutospacing="0"/>
        <w:ind w:right="-52"/>
        <w:jc w:val="both"/>
        <w:rPr>
          <w:rFonts w:asciiTheme="majorBidi" w:hAnsiTheme="majorBidi" w:cstheme="majorBidi"/>
          <w:color w:val="000000"/>
          <w:lang w:val="fr-FR"/>
        </w:rPr>
      </w:pPr>
      <w:proofErr w:type="gramStart"/>
      <w:r w:rsidRPr="00FC399B">
        <w:rPr>
          <w:rFonts w:asciiTheme="majorBidi" w:hAnsiTheme="majorBidi" w:cstheme="majorBidi"/>
          <w:color w:val="000000"/>
          <w:sz w:val="22"/>
          <w:szCs w:val="22"/>
          <w:lang w:val="fr-FR"/>
        </w:rPr>
        <w:t>en</w:t>
      </w:r>
      <w:proofErr w:type="gramEnd"/>
      <w:r w:rsidRPr="00FC399B">
        <w:rPr>
          <w:rFonts w:asciiTheme="majorBidi" w:hAnsiTheme="majorBidi" w:cstheme="majorBidi"/>
          <w:color w:val="000000"/>
          <w:sz w:val="22"/>
          <w:szCs w:val="22"/>
          <w:lang w:val="fr-FR"/>
        </w:rPr>
        <w:t xml:space="preserve"> cas de procédure étendue: jusqu’à son attribution à un canton.</w:t>
      </w:r>
    </w:p>
    <w:p w14:paraId="44DF5F60" w14:textId="1BC683F3" w:rsidR="00D603C3" w:rsidRPr="00FC399B" w:rsidRDefault="00D603C3" w:rsidP="004D7D9A">
      <w:pPr>
        <w:pStyle w:val="StandardWeb"/>
        <w:spacing w:before="78"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4</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w:t>
      </w:r>
      <w:proofErr w:type="gramEnd"/>
      <w:r w:rsidRPr="00FC399B">
        <w:rPr>
          <w:rFonts w:asciiTheme="majorBidi" w:hAnsiTheme="majorBidi" w:cstheme="majorBidi"/>
          <w:color w:val="000000"/>
          <w:sz w:val="22"/>
          <w:szCs w:val="22"/>
          <w:lang w:val="fr-FR"/>
        </w:rPr>
        <w:t xml:space="preserve"> durée maximale du séjour dans les centres de la Confédération est de 140 jours. À l’échéance de la durée maximale, le requérant est attribué à un canton.</w:t>
      </w:r>
    </w:p>
    <w:p w14:paraId="485ACA81" w14:textId="3ADD96A6" w:rsidR="00D603C3" w:rsidRPr="00FC399B" w:rsidRDefault="00D603C3" w:rsidP="004D7D9A">
      <w:pPr>
        <w:pStyle w:val="StandardWeb"/>
        <w:spacing w:before="79"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5</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w:t>
      </w:r>
      <w:proofErr w:type="gramEnd"/>
      <w:r w:rsidRPr="00FC399B">
        <w:rPr>
          <w:rFonts w:asciiTheme="majorBidi" w:hAnsiTheme="majorBidi" w:cstheme="majorBidi"/>
          <w:color w:val="000000"/>
          <w:sz w:val="22"/>
          <w:szCs w:val="22"/>
          <w:lang w:val="fr-FR"/>
        </w:rPr>
        <w:t xml:space="preserve"> durée maximale du séjour peut être prolongée raisonnablement si cela permet de clore rapidement la procédure d’asile ou d’assurer l’exécution du renvoi. Le Conseil fédéral règle les modalités de prolongation de la durée maximale de séjour dans les centres de la Confédération.</w:t>
      </w:r>
    </w:p>
    <w:p w14:paraId="5E178E87" w14:textId="44389509" w:rsidR="00D603C3" w:rsidRPr="00FC399B" w:rsidRDefault="00D603C3" w:rsidP="004D7D9A">
      <w:pPr>
        <w:pStyle w:val="StandardWeb"/>
        <w:spacing w:before="77" w:beforeAutospacing="0" w:after="0" w:afterAutospacing="0"/>
        <w:ind w:left="700" w:right="-52" w:hanging="700"/>
        <w:jc w:val="both"/>
        <w:rPr>
          <w:rFonts w:asciiTheme="majorBidi" w:hAnsiTheme="majorBidi" w:cstheme="majorBidi"/>
          <w:color w:val="000000"/>
          <w:lang w:val="fr-FR"/>
        </w:rPr>
      </w:pPr>
      <w:proofErr w:type="gramStart"/>
      <w:r w:rsidRPr="004D7D9A">
        <w:rPr>
          <w:rFonts w:asciiTheme="majorBidi" w:hAnsiTheme="majorBidi" w:cstheme="majorBidi"/>
          <w:color w:val="000000"/>
          <w:sz w:val="22"/>
          <w:szCs w:val="22"/>
          <w:vertAlign w:val="superscript"/>
          <w:lang w:val="fr-FR"/>
        </w:rPr>
        <w:t>6</w:t>
      </w:r>
      <w:r w:rsidRPr="00FC399B">
        <w:rPr>
          <w:rFonts w:asciiTheme="majorBidi" w:hAnsiTheme="majorBidi" w:cstheme="majorBidi"/>
          <w:color w:val="000000"/>
          <w:sz w:val="22"/>
          <w:szCs w:val="22"/>
          <w:lang w:val="fr-FR"/>
        </w:rPr>
        <w:t xml:space="preserve"> </w:t>
      </w:r>
      <w:r w:rsidR="00E972E1">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L’attribution</w:t>
      </w:r>
      <w:proofErr w:type="gramEnd"/>
      <w:r w:rsidRPr="00FC399B">
        <w:rPr>
          <w:rFonts w:asciiTheme="majorBidi" w:hAnsiTheme="majorBidi" w:cstheme="majorBidi"/>
          <w:color w:val="000000"/>
          <w:sz w:val="22"/>
          <w:szCs w:val="22"/>
          <w:lang w:val="fr-FR"/>
        </w:rPr>
        <w:t xml:space="preserve"> à un canton peut intervenir avant l’échéance de la durée maximale de séjour dans les centres de la Confédération, notamment en cas de hausse soudaine et considérable du nombre de demandes d’asile. La répartition entre les cantons et l’attribution des requérants sont régies par l’art. 27.</w:t>
      </w:r>
    </w:p>
    <w:p w14:paraId="48C3BED0" w14:textId="77777777" w:rsidR="00D603C3" w:rsidRPr="00FC399B" w:rsidRDefault="00D603C3" w:rsidP="00D603C3">
      <w:pPr>
        <w:rPr>
          <w:rFonts w:asciiTheme="majorBidi" w:hAnsiTheme="majorBidi" w:cstheme="majorBidi"/>
          <w:color w:val="000000"/>
          <w:lang w:val="fr-FR"/>
        </w:rPr>
      </w:pPr>
    </w:p>
    <w:p w14:paraId="187C0F60" w14:textId="160B53F2" w:rsidR="00D603C3" w:rsidRPr="00FC399B" w:rsidRDefault="00D603C3" w:rsidP="00D603C3">
      <w:pPr>
        <w:pStyle w:val="StandardWeb"/>
        <w:spacing w:before="1" w:beforeAutospacing="0" w:after="0" w:afterAutospacing="0"/>
        <w:jc w:val="both"/>
        <w:rPr>
          <w:rFonts w:asciiTheme="majorBidi" w:hAnsiTheme="majorBidi" w:cstheme="majorBidi"/>
          <w:color w:val="000000"/>
          <w:lang w:val="fr-FR"/>
        </w:rPr>
      </w:pPr>
      <w:r w:rsidRPr="00FC399B">
        <w:rPr>
          <w:rFonts w:asciiTheme="majorBidi" w:hAnsiTheme="majorBidi" w:cstheme="majorBidi"/>
          <w:b/>
          <w:bCs/>
          <w:color w:val="000000"/>
          <w:lang w:val="fr-FR"/>
        </w:rPr>
        <w:t>Art. 26b</w:t>
      </w:r>
      <w:r w:rsidR="00E972E1">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Procédure Dublin</w:t>
      </w:r>
    </w:p>
    <w:p w14:paraId="6A66993C" w14:textId="77777777" w:rsidR="00D603C3" w:rsidRPr="00FC399B" w:rsidRDefault="00D603C3" w:rsidP="00D603C3">
      <w:pPr>
        <w:rPr>
          <w:rFonts w:asciiTheme="majorBidi" w:hAnsiTheme="majorBidi" w:cstheme="majorBidi"/>
          <w:color w:val="000000"/>
          <w:lang w:val="fr-FR"/>
        </w:rPr>
      </w:pPr>
    </w:p>
    <w:p w14:paraId="7D1177F2" w14:textId="77777777" w:rsidR="00D603C3" w:rsidRPr="00FC399B" w:rsidRDefault="00D603C3" w:rsidP="00D603C3">
      <w:pPr>
        <w:pStyle w:val="StandardWeb"/>
        <w:spacing w:before="0" w:beforeAutospacing="0" w:after="0" w:afterAutospacing="0"/>
        <w:jc w:val="both"/>
        <w:rPr>
          <w:rFonts w:asciiTheme="majorBidi" w:hAnsiTheme="majorBidi" w:cstheme="majorBidi"/>
          <w:color w:val="000000"/>
          <w:lang w:val="fr-FR"/>
        </w:rPr>
      </w:pPr>
      <w:r w:rsidRPr="00FC399B">
        <w:rPr>
          <w:rFonts w:asciiTheme="majorBidi" w:hAnsiTheme="majorBidi" w:cstheme="majorBidi"/>
          <w:color w:val="000000"/>
          <w:sz w:val="22"/>
          <w:szCs w:val="22"/>
          <w:lang w:val="fr-FR"/>
        </w:rPr>
        <w:t xml:space="preserve">La procédure en vue d’une décision au sens de l’art. 31a, al. 1, let. </w:t>
      </w:r>
      <w:proofErr w:type="gramStart"/>
      <w:r w:rsidRPr="00FC399B">
        <w:rPr>
          <w:rFonts w:asciiTheme="majorBidi" w:hAnsiTheme="majorBidi" w:cstheme="majorBidi"/>
          <w:color w:val="000000"/>
          <w:sz w:val="22"/>
          <w:szCs w:val="22"/>
          <w:lang w:val="fr-FR"/>
        </w:rPr>
        <w:t>b</w:t>
      </w:r>
      <w:proofErr w:type="gramEnd"/>
      <w:r w:rsidRPr="00FC399B">
        <w:rPr>
          <w:rFonts w:asciiTheme="majorBidi" w:hAnsiTheme="majorBidi" w:cstheme="majorBidi"/>
          <w:color w:val="000000"/>
          <w:sz w:val="22"/>
          <w:szCs w:val="22"/>
          <w:lang w:val="fr-FR"/>
        </w:rPr>
        <w:t>, commence avec le dépôt de la demande de prise ou reprise en charge du requérant adressée à un État Dublin. Elle dure jusqu’au transfert dans l’État Dublin compétent ou jusqu’à son interruption faisant suite à la décision de traiter la demande dans une procédure accélérée ou une procédure étendue.</w:t>
      </w:r>
    </w:p>
    <w:p w14:paraId="2233875C" w14:textId="77777777" w:rsidR="00D603C3" w:rsidRPr="00FC399B" w:rsidRDefault="00D603C3" w:rsidP="00D603C3">
      <w:pPr>
        <w:spacing w:after="240"/>
        <w:rPr>
          <w:rFonts w:asciiTheme="majorBidi" w:hAnsiTheme="majorBidi" w:cstheme="majorBidi"/>
          <w:color w:val="000000"/>
          <w:lang w:val="fr-FR"/>
        </w:rPr>
      </w:pPr>
    </w:p>
    <w:p w14:paraId="2DDCA56C" w14:textId="4BA02C8D" w:rsidR="00D603C3" w:rsidRPr="004D7D9A" w:rsidRDefault="00D603C3" w:rsidP="00D603C3">
      <w:pPr>
        <w:pStyle w:val="StandardWeb"/>
        <w:spacing w:before="79" w:beforeAutospacing="0" w:after="0" w:afterAutospacing="0"/>
        <w:ind w:right="-52"/>
        <w:jc w:val="both"/>
        <w:rPr>
          <w:rFonts w:asciiTheme="majorBidi" w:hAnsiTheme="majorBidi" w:cstheme="majorBidi"/>
          <w:b/>
          <w:bCs/>
          <w:color w:val="000000"/>
          <w:lang w:val="fr-FR"/>
        </w:rPr>
      </w:pPr>
      <w:r w:rsidRPr="00FC399B">
        <w:rPr>
          <w:rFonts w:asciiTheme="majorBidi" w:hAnsiTheme="majorBidi" w:cstheme="majorBidi"/>
          <w:b/>
          <w:bCs/>
          <w:color w:val="000000"/>
          <w:lang w:val="fr-FR"/>
        </w:rPr>
        <w:t>Art. 31</w:t>
      </w:r>
      <w:r w:rsidRPr="00FC399B">
        <w:rPr>
          <w:rFonts w:asciiTheme="majorBidi" w:hAnsiTheme="majorBidi" w:cstheme="majorBidi"/>
          <w:i/>
          <w:iCs/>
          <w:color w:val="000000"/>
          <w:lang w:val="fr-FR"/>
        </w:rPr>
        <w:t>a</w:t>
      </w:r>
      <w:r w:rsidR="004D7D9A">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Décisions du SEM</w:t>
      </w:r>
    </w:p>
    <w:p w14:paraId="04C2E147" w14:textId="77777777" w:rsidR="00D603C3" w:rsidRPr="00FC399B" w:rsidRDefault="00D603C3" w:rsidP="00D603C3">
      <w:pPr>
        <w:rPr>
          <w:rFonts w:asciiTheme="majorBidi" w:hAnsiTheme="majorBidi" w:cstheme="majorBidi"/>
          <w:color w:val="000000"/>
          <w:lang w:val="fr-FR"/>
        </w:rPr>
      </w:pPr>
    </w:p>
    <w:p w14:paraId="43490762" w14:textId="33142F56" w:rsidR="00D603C3" w:rsidRDefault="00D603C3" w:rsidP="00D603C3">
      <w:pPr>
        <w:pStyle w:val="StandardWeb"/>
        <w:spacing w:before="79" w:beforeAutospacing="0" w:after="0" w:afterAutospacing="0"/>
        <w:ind w:right="-52"/>
        <w:jc w:val="both"/>
        <w:rPr>
          <w:rFonts w:asciiTheme="majorBidi" w:hAnsiTheme="majorBidi" w:cstheme="majorBidi"/>
          <w:color w:val="000000"/>
          <w:sz w:val="22"/>
          <w:szCs w:val="22"/>
          <w:lang w:val="fr-FR"/>
        </w:rPr>
      </w:pPr>
      <w:proofErr w:type="gramStart"/>
      <w:r w:rsidRPr="004D7D9A">
        <w:rPr>
          <w:rFonts w:asciiTheme="majorBidi" w:hAnsiTheme="majorBidi" w:cstheme="majorBidi"/>
          <w:color w:val="000000"/>
          <w:sz w:val="22"/>
          <w:szCs w:val="22"/>
          <w:vertAlign w:val="superscript"/>
          <w:lang w:val="fr-FR"/>
        </w:rPr>
        <w:t>1</w:t>
      </w:r>
      <w:r w:rsidRPr="00FC399B">
        <w:rPr>
          <w:rFonts w:asciiTheme="majorBidi" w:hAnsiTheme="majorBidi" w:cstheme="majorBidi"/>
          <w:color w:val="000000"/>
          <w:sz w:val="22"/>
          <w:szCs w:val="22"/>
          <w:lang w:val="fr-FR"/>
        </w:rPr>
        <w:t xml:space="preserve"> </w:t>
      </w:r>
      <w:r w:rsidR="004D7D9A">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En</w:t>
      </w:r>
      <w:proofErr w:type="gramEnd"/>
      <w:r w:rsidRPr="00FC399B">
        <w:rPr>
          <w:rFonts w:asciiTheme="majorBidi" w:hAnsiTheme="majorBidi" w:cstheme="majorBidi"/>
          <w:color w:val="000000"/>
          <w:sz w:val="22"/>
          <w:szCs w:val="22"/>
          <w:lang w:val="fr-FR"/>
        </w:rPr>
        <w:t xml:space="preserve"> règle générale, le SEM n’entre pas en matière sur une demande d’asile si le requérant:</w:t>
      </w:r>
    </w:p>
    <w:p w14:paraId="391DD9CF" w14:textId="77777777" w:rsidR="004D7D9A" w:rsidRPr="00FC399B" w:rsidRDefault="004D7D9A" w:rsidP="004D7D9A">
      <w:pPr>
        <w:pStyle w:val="StandardWeb"/>
        <w:numPr>
          <w:ilvl w:val="0"/>
          <w:numId w:val="30"/>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peut</w:t>
      </w:r>
      <w:proofErr w:type="gramEnd"/>
      <w:r w:rsidRPr="00FC399B">
        <w:rPr>
          <w:rFonts w:asciiTheme="majorBidi" w:hAnsiTheme="majorBidi" w:cstheme="majorBidi"/>
          <w:color w:val="000000"/>
          <w:sz w:val="22"/>
          <w:szCs w:val="22"/>
          <w:lang w:val="fr-FR"/>
        </w:rPr>
        <w:t xml:space="preserve"> retourner dans un État tiers sûr, au sens de l’art. 6</w:t>
      </w:r>
      <w:r w:rsidRPr="00FC399B">
        <w:rPr>
          <w:rFonts w:asciiTheme="majorBidi" w:hAnsiTheme="majorBidi" w:cstheme="majorBidi"/>
          <w:i/>
          <w:iCs/>
          <w:color w:val="000000"/>
          <w:sz w:val="22"/>
          <w:szCs w:val="22"/>
          <w:lang w:val="fr-FR"/>
        </w:rPr>
        <w:t>a</w:t>
      </w:r>
      <w:r w:rsidRPr="00FC399B">
        <w:rPr>
          <w:rFonts w:asciiTheme="majorBidi" w:hAnsiTheme="majorBidi" w:cstheme="majorBidi"/>
          <w:color w:val="000000"/>
          <w:sz w:val="22"/>
          <w:szCs w:val="22"/>
          <w:lang w:val="fr-FR"/>
        </w:rPr>
        <w:t xml:space="preserve">, al. 2, let. </w:t>
      </w:r>
      <w:proofErr w:type="gramStart"/>
      <w:r w:rsidRPr="00FC399B">
        <w:rPr>
          <w:rFonts w:asciiTheme="majorBidi" w:hAnsiTheme="majorBidi" w:cstheme="majorBidi"/>
          <w:color w:val="000000"/>
          <w:sz w:val="22"/>
          <w:szCs w:val="22"/>
          <w:lang w:val="fr-FR"/>
        </w:rPr>
        <w:t>b</w:t>
      </w:r>
      <w:proofErr w:type="gramEnd"/>
      <w:r w:rsidRPr="00FC399B">
        <w:rPr>
          <w:rFonts w:asciiTheme="majorBidi" w:hAnsiTheme="majorBidi" w:cstheme="majorBidi"/>
          <w:color w:val="000000"/>
          <w:sz w:val="22"/>
          <w:szCs w:val="22"/>
          <w:lang w:val="fr-FR"/>
        </w:rPr>
        <w:t>, dans lequel il a séjourné auparavant;</w:t>
      </w:r>
    </w:p>
    <w:p w14:paraId="52B14986" w14:textId="77777777" w:rsidR="004D7D9A" w:rsidRPr="00FC399B" w:rsidRDefault="004D7D9A" w:rsidP="004D7D9A">
      <w:pPr>
        <w:pStyle w:val="StandardWeb"/>
        <w:numPr>
          <w:ilvl w:val="0"/>
          <w:numId w:val="30"/>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peut</w:t>
      </w:r>
      <w:proofErr w:type="gramEnd"/>
      <w:r w:rsidRPr="00FC399B">
        <w:rPr>
          <w:rFonts w:asciiTheme="majorBidi" w:hAnsiTheme="majorBidi" w:cstheme="majorBidi"/>
          <w:color w:val="000000"/>
          <w:sz w:val="22"/>
          <w:szCs w:val="22"/>
          <w:lang w:val="fr-FR"/>
        </w:rPr>
        <w:t xml:space="preserve"> se rendre dans un État tiers compétent, en vertu d’un accord international, pour mener la procédure d’asile et de renvoi;</w:t>
      </w:r>
    </w:p>
    <w:p w14:paraId="42D4A19F" w14:textId="77777777" w:rsidR="004D7D9A" w:rsidRPr="00FC399B" w:rsidRDefault="004D7D9A" w:rsidP="004D7D9A">
      <w:pPr>
        <w:pStyle w:val="StandardWeb"/>
        <w:numPr>
          <w:ilvl w:val="0"/>
          <w:numId w:val="30"/>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peut</w:t>
      </w:r>
      <w:proofErr w:type="gramEnd"/>
      <w:r w:rsidRPr="00FC399B">
        <w:rPr>
          <w:rFonts w:asciiTheme="majorBidi" w:hAnsiTheme="majorBidi" w:cstheme="majorBidi"/>
          <w:color w:val="000000"/>
          <w:sz w:val="22"/>
          <w:szCs w:val="22"/>
          <w:lang w:val="fr-FR"/>
        </w:rPr>
        <w:t xml:space="preserve"> retourner dans un État tiers dans lequel il a séjourné auparavant;</w:t>
      </w:r>
    </w:p>
    <w:p w14:paraId="40E5A433" w14:textId="77777777" w:rsidR="004D7D9A" w:rsidRPr="00FC399B" w:rsidRDefault="004D7D9A" w:rsidP="004D7D9A">
      <w:pPr>
        <w:pStyle w:val="StandardWeb"/>
        <w:numPr>
          <w:ilvl w:val="0"/>
          <w:numId w:val="30"/>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peut</w:t>
      </w:r>
      <w:proofErr w:type="gramEnd"/>
      <w:r w:rsidRPr="00FC399B">
        <w:rPr>
          <w:rFonts w:asciiTheme="majorBidi" w:hAnsiTheme="majorBidi" w:cstheme="majorBidi"/>
          <w:color w:val="000000"/>
          <w:sz w:val="22"/>
          <w:szCs w:val="22"/>
          <w:lang w:val="fr-FR"/>
        </w:rPr>
        <w:t xml:space="preserve"> poursuivre son voyage vers un État tiers pour lequel il possède un visa et dans lequel il peut demander protection;</w:t>
      </w:r>
    </w:p>
    <w:p w14:paraId="575A8E0F" w14:textId="77777777" w:rsidR="004D7D9A" w:rsidRPr="00FC399B" w:rsidRDefault="004D7D9A" w:rsidP="004D7D9A">
      <w:pPr>
        <w:pStyle w:val="StandardWeb"/>
        <w:numPr>
          <w:ilvl w:val="0"/>
          <w:numId w:val="30"/>
        </w:numPr>
        <w:spacing w:before="78"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peut</w:t>
      </w:r>
      <w:proofErr w:type="gramEnd"/>
      <w:r w:rsidRPr="00FC399B">
        <w:rPr>
          <w:rFonts w:asciiTheme="majorBidi" w:hAnsiTheme="majorBidi" w:cstheme="majorBidi"/>
          <w:color w:val="000000"/>
          <w:sz w:val="22"/>
          <w:szCs w:val="22"/>
          <w:lang w:val="fr-FR"/>
        </w:rPr>
        <w:t xml:space="preserve"> poursuivre son voyage vers un État tiers dans lequel vivent des proches parents ou des personnes avec lesquelles il entretient des liens étroits;</w:t>
      </w:r>
    </w:p>
    <w:p w14:paraId="563CA2E1" w14:textId="77777777" w:rsidR="004D7D9A" w:rsidRPr="00FC399B" w:rsidRDefault="004D7D9A" w:rsidP="004D7D9A">
      <w:pPr>
        <w:pStyle w:val="StandardWeb"/>
        <w:numPr>
          <w:ilvl w:val="0"/>
          <w:numId w:val="30"/>
        </w:numPr>
        <w:spacing w:before="79"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lastRenderedPageBreak/>
        <w:t>peut</w:t>
      </w:r>
      <w:proofErr w:type="gramEnd"/>
      <w:r w:rsidRPr="00FC399B">
        <w:rPr>
          <w:rFonts w:asciiTheme="majorBidi" w:hAnsiTheme="majorBidi" w:cstheme="majorBidi"/>
          <w:color w:val="000000"/>
          <w:sz w:val="22"/>
          <w:szCs w:val="22"/>
          <w:lang w:val="fr-FR"/>
        </w:rPr>
        <w:t xml:space="preserve"> être renvoyé dans son pays d’origine ou de provenance conformément à l’art. 31</w:t>
      </w:r>
      <w:r w:rsidRPr="00FC399B">
        <w:rPr>
          <w:rFonts w:asciiTheme="majorBidi" w:hAnsiTheme="majorBidi" w:cstheme="majorBidi"/>
          <w:i/>
          <w:iCs/>
          <w:color w:val="000000"/>
          <w:sz w:val="22"/>
          <w:szCs w:val="22"/>
          <w:lang w:val="fr-FR"/>
        </w:rPr>
        <w:t>b</w:t>
      </w:r>
      <w:r w:rsidRPr="00FC399B">
        <w:rPr>
          <w:rFonts w:asciiTheme="majorBidi" w:hAnsiTheme="majorBidi" w:cstheme="majorBidi"/>
          <w:color w:val="000000"/>
          <w:sz w:val="22"/>
          <w:szCs w:val="22"/>
          <w:lang w:val="fr-FR"/>
        </w:rPr>
        <w:t>.</w:t>
      </w:r>
    </w:p>
    <w:p w14:paraId="1B6E5D56" w14:textId="77777777" w:rsidR="00D603C3" w:rsidRPr="00FC399B" w:rsidRDefault="00D603C3" w:rsidP="00D603C3">
      <w:pPr>
        <w:rPr>
          <w:rFonts w:asciiTheme="majorBidi" w:hAnsiTheme="majorBidi" w:cstheme="majorBidi"/>
          <w:color w:val="000000"/>
          <w:sz w:val="24"/>
          <w:szCs w:val="24"/>
          <w:lang w:val="fr-FR"/>
        </w:rPr>
      </w:pPr>
    </w:p>
    <w:p w14:paraId="4F0F5031" w14:textId="6E01233B" w:rsidR="00FE3BEF" w:rsidRPr="00FC399B" w:rsidRDefault="00D603C3" w:rsidP="00D603C3">
      <w:pPr>
        <w:rPr>
          <w:rFonts w:asciiTheme="majorBidi" w:hAnsiTheme="majorBidi" w:cstheme="majorBidi"/>
          <w:color w:val="000000"/>
          <w:sz w:val="24"/>
          <w:szCs w:val="24"/>
          <w:lang w:val="fr-FR"/>
        </w:rPr>
      </w:pPr>
      <w:proofErr w:type="gramStart"/>
      <w:r w:rsidRPr="004D7D9A">
        <w:rPr>
          <w:rFonts w:asciiTheme="majorBidi" w:hAnsiTheme="majorBidi" w:cstheme="majorBidi"/>
          <w:color w:val="000000"/>
          <w:vertAlign w:val="superscript"/>
          <w:lang w:val="fr-FR"/>
        </w:rPr>
        <w:t>2</w:t>
      </w:r>
      <w:r w:rsidRPr="00FC399B">
        <w:rPr>
          <w:rFonts w:asciiTheme="majorBidi" w:hAnsiTheme="majorBidi" w:cstheme="majorBidi"/>
          <w:color w:val="000000"/>
          <w:lang w:val="fr-FR"/>
        </w:rPr>
        <w:t xml:space="preserve"> </w:t>
      </w:r>
      <w:r w:rsidR="004D7D9A">
        <w:rPr>
          <w:rFonts w:asciiTheme="majorBidi" w:hAnsiTheme="majorBidi" w:cstheme="majorBidi"/>
          <w:color w:val="000000"/>
          <w:lang w:val="fr-FR"/>
        </w:rPr>
        <w:t xml:space="preserve"> </w:t>
      </w:r>
      <w:r w:rsidRPr="00FC399B">
        <w:rPr>
          <w:rFonts w:asciiTheme="majorBidi" w:hAnsiTheme="majorBidi" w:cstheme="majorBidi"/>
          <w:color w:val="000000"/>
          <w:lang w:val="fr-FR"/>
        </w:rPr>
        <w:t>L’al</w:t>
      </w:r>
      <w:proofErr w:type="gramEnd"/>
      <w:r w:rsidRPr="00FC399B">
        <w:rPr>
          <w:rFonts w:asciiTheme="majorBidi" w:hAnsiTheme="majorBidi" w:cstheme="majorBidi"/>
          <w:color w:val="000000"/>
          <w:lang w:val="fr-FR"/>
        </w:rPr>
        <w:t xml:space="preserve">. 1, let. </w:t>
      </w:r>
      <w:proofErr w:type="gramStart"/>
      <w:r w:rsidRPr="00FC399B">
        <w:rPr>
          <w:rFonts w:asciiTheme="majorBidi" w:hAnsiTheme="majorBidi" w:cstheme="majorBidi"/>
          <w:color w:val="000000"/>
          <w:lang w:val="fr-FR"/>
        </w:rPr>
        <w:t>c</w:t>
      </w:r>
      <w:proofErr w:type="gramEnd"/>
      <w:r w:rsidRPr="00FC399B">
        <w:rPr>
          <w:rFonts w:asciiTheme="majorBidi" w:hAnsiTheme="majorBidi" w:cstheme="majorBidi"/>
          <w:color w:val="000000"/>
          <w:lang w:val="fr-FR"/>
        </w:rPr>
        <w:t xml:space="preserve"> à e, n’est pas applicable lorsque, en l’espèce, le SEM est en présence d’indices selon lesquels l’État tiers n’offre pas une protection effective au regard du principe du non-refoulement visé à l’art. 5, al. 1.</w:t>
      </w:r>
    </w:p>
    <w:p w14:paraId="16979A70" w14:textId="77777777" w:rsidR="00D603C3" w:rsidRPr="00FC399B" w:rsidRDefault="00D603C3" w:rsidP="00D603C3">
      <w:pPr>
        <w:pStyle w:val="StandardWeb"/>
        <w:numPr>
          <w:ilvl w:val="0"/>
          <w:numId w:val="25"/>
        </w:numPr>
        <w:spacing w:before="0" w:beforeAutospacing="0" w:after="0" w:afterAutospacing="0"/>
        <w:ind w:right="-52"/>
        <w:jc w:val="both"/>
        <w:textAlignment w:val="baseline"/>
        <w:rPr>
          <w:rFonts w:asciiTheme="majorBidi" w:hAnsiTheme="majorBidi" w:cstheme="majorBidi"/>
          <w:b/>
          <w:bCs/>
          <w:color w:val="000000"/>
          <w:u w:val="single"/>
          <w:lang w:val="fr-FR"/>
        </w:rPr>
      </w:pPr>
      <w:r w:rsidRPr="00FC399B">
        <w:rPr>
          <w:rFonts w:asciiTheme="majorBidi" w:hAnsiTheme="majorBidi" w:cstheme="majorBidi"/>
          <w:b/>
          <w:bCs/>
          <w:color w:val="000000"/>
          <w:u w:val="single"/>
          <w:lang w:val="fr-FR"/>
        </w:rPr>
        <w:t>Ordonnance 1 sur l’asile relative à la procédure [AsylO1] du 11 août 1999 (</w:t>
      </w:r>
      <w:proofErr w:type="spellStart"/>
      <w:r w:rsidRPr="00FC399B">
        <w:rPr>
          <w:rFonts w:asciiTheme="majorBidi" w:hAnsiTheme="majorBidi" w:cstheme="majorBidi"/>
          <w:b/>
          <w:bCs/>
          <w:color w:val="000000"/>
          <w:u w:val="single"/>
          <w:lang w:val="fr-FR"/>
        </w:rPr>
        <w:t>Etat</w:t>
      </w:r>
      <w:proofErr w:type="spellEnd"/>
      <w:r w:rsidRPr="00FC399B">
        <w:rPr>
          <w:rFonts w:asciiTheme="majorBidi" w:hAnsiTheme="majorBidi" w:cstheme="majorBidi"/>
          <w:b/>
          <w:bCs/>
          <w:color w:val="000000"/>
          <w:u w:val="single"/>
          <w:lang w:val="fr-FR"/>
        </w:rPr>
        <w:t xml:space="preserve"> le 1</w:t>
      </w:r>
      <w:r w:rsidRPr="00FC399B">
        <w:rPr>
          <w:rFonts w:asciiTheme="majorBidi" w:hAnsiTheme="majorBidi" w:cstheme="majorBidi"/>
          <w:b/>
          <w:bCs/>
          <w:color w:val="000000"/>
          <w:u w:val="single"/>
          <w:vertAlign w:val="superscript"/>
          <w:lang w:val="fr-FR"/>
        </w:rPr>
        <w:t>er</w:t>
      </w:r>
      <w:r w:rsidRPr="00FC399B">
        <w:rPr>
          <w:rFonts w:asciiTheme="majorBidi" w:hAnsiTheme="majorBidi" w:cstheme="majorBidi"/>
          <w:b/>
          <w:bCs/>
          <w:color w:val="000000"/>
          <w:u w:val="single"/>
          <w:lang w:val="fr-FR"/>
        </w:rPr>
        <w:t xml:space="preserve"> janvier 2022) </w:t>
      </w:r>
    </w:p>
    <w:p w14:paraId="510C6C97" w14:textId="77777777" w:rsidR="00D603C3" w:rsidRPr="00FC399B" w:rsidRDefault="00D603C3" w:rsidP="00D603C3">
      <w:pPr>
        <w:rPr>
          <w:rFonts w:asciiTheme="majorBidi" w:hAnsiTheme="majorBidi" w:cstheme="majorBidi"/>
          <w:color w:val="000000"/>
          <w:sz w:val="24"/>
          <w:szCs w:val="24"/>
          <w:lang w:val="fr-FR"/>
        </w:rPr>
      </w:pPr>
    </w:p>
    <w:p w14:paraId="64AEB5A5" w14:textId="7A1A0818" w:rsidR="00D603C3" w:rsidRPr="004D7D9A" w:rsidRDefault="00D603C3" w:rsidP="00D603C3">
      <w:pPr>
        <w:pStyle w:val="StandardWeb"/>
        <w:spacing w:before="0" w:beforeAutospacing="0" w:after="0" w:afterAutospacing="0"/>
        <w:jc w:val="both"/>
        <w:rPr>
          <w:rFonts w:asciiTheme="majorBidi" w:hAnsiTheme="majorBidi" w:cstheme="majorBidi"/>
          <w:b/>
          <w:bCs/>
          <w:color w:val="000000"/>
          <w:lang w:val="fr-FR"/>
        </w:rPr>
      </w:pPr>
      <w:r w:rsidRPr="00FC399B">
        <w:rPr>
          <w:rFonts w:asciiTheme="majorBidi" w:hAnsiTheme="majorBidi" w:cstheme="majorBidi"/>
          <w:b/>
          <w:bCs/>
          <w:color w:val="000000"/>
          <w:lang w:val="fr-FR"/>
        </w:rPr>
        <w:t>Art. 2</w:t>
      </w:r>
      <w:r w:rsidR="004D7D9A">
        <w:rPr>
          <w:rStyle w:val="apple-tab-span"/>
          <w:rFonts w:asciiTheme="majorBidi" w:hAnsiTheme="majorBidi" w:cstheme="majorBidi"/>
          <w:color w:val="000000"/>
          <w:lang w:val="fr-FR"/>
        </w:rPr>
        <w:tab/>
      </w:r>
      <w:r w:rsidR="004D7D9A">
        <w:rPr>
          <w:rStyle w:val="apple-tab-span"/>
          <w:rFonts w:asciiTheme="majorBidi" w:hAnsiTheme="majorBidi" w:cstheme="majorBidi"/>
          <w:color w:val="000000"/>
          <w:lang w:val="fr-FR"/>
        </w:rPr>
        <w:tab/>
      </w:r>
      <w:r w:rsidRPr="004D7D9A">
        <w:rPr>
          <w:rFonts w:asciiTheme="majorBidi" w:hAnsiTheme="majorBidi" w:cstheme="majorBidi"/>
          <w:b/>
          <w:bCs/>
          <w:color w:val="000000"/>
          <w:lang w:val="fr-FR"/>
        </w:rPr>
        <w:t>État d’origine ou de provenance exempt de persécutions</w:t>
      </w:r>
    </w:p>
    <w:p w14:paraId="1D7B5E26" w14:textId="77777777" w:rsidR="00D603C3" w:rsidRPr="004D7D9A" w:rsidRDefault="00D603C3" w:rsidP="004D7D9A">
      <w:pPr>
        <w:pStyle w:val="StandardWeb"/>
        <w:spacing w:before="25" w:beforeAutospacing="0" w:after="0" w:afterAutospacing="0"/>
        <w:ind w:left="1134" w:firstLine="282"/>
        <w:jc w:val="both"/>
        <w:rPr>
          <w:rFonts w:asciiTheme="majorBidi" w:hAnsiTheme="majorBidi" w:cstheme="majorBidi"/>
          <w:b/>
          <w:bCs/>
          <w:color w:val="000000"/>
          <w:lang w:val="fr-FR"/>
        </w:rPr>
      </w:pPr>
      <w:r w:rsidRPr="004D7D9A">
        <w:rPr>
          <w:rFonts w:asciiTheme="majorBidi" w:hAnsiTheme="majorBidi" w:cstheme="majorBidi"/>
          <w:b/>
          <w:bCs/>
          <w:color w:val="000000"/>
          <w:sz w:val="22"/>
          <w:szCs w:val="22"/>
          <w:lang w:val="fr-FR"/>
        </w:rPr>
        <w:t>(</w:t>
      </w:r>
      <w:proofErr w:type="gramStart"/>
      <w:r w:rsidRPr="004D7D9A">
        <w:rPr>
          <w:rFonts w:asciiTheme="majorBidi" w:hAnsiTheme="majorBidi" w:cstheme="majorBidi"/>
          <w:b/>
          <w:bCs/>
          <w:color w:val="000000"/>
          <w:sz w:val="22"/>
          <w:szCs w:val="22"/>
          <w:lang w:val="fr-FR"/>
        </w:rPr>
        <w:t>art.</w:t>
      </w:r>
      <w:proofErr w:type="gramEnd"/>
      <w:r w:rsidRPr="004D7D9A">
        <w:rPr>
          <w:rFonts w:asciiTheme="majorBidi" w:hAnsiTheme="majorBidi" w:cstheme="majorBidi"/>
          <w:b/>
          <w:bCs/>
          <w:color w:val="000000"/>
          <w:sz w:val="22"/>
          <w:szCs w:val="22"/>
          <w:lang w:val="fr-FR"/>
        </w:rPr>
        <w:t xml:space="preserve"> 6a, al. 2, let. </w:t>
      </w:r>
      <w:proofErr w:type="gramStart"/>
      <w:r w:rsidRPr="004D7D9A">
        <w:rPr>
          <w:rFonts w:asciiTheme="majorBidi" w:hAnsiTheme="majorBidi" w:cstheme="majorBidi"/>
          <w:b/>
          <w:bCs/>
          <w:color w:val="000000"/>
          <w:sz w:val="22"/>
          <w:szCs w:val="22"/>
          <w:lang w:val="fr-FR"/>
        </w:rPr>
        <w:t>a</w:t>
      </w:r>
      <w:proofErr w:type="gramEnd"/>
      <w:r w:rsidRPr="004D7D9A">
        <w:rPr>
          <w:rFonts w:asciiTheme="majorBidi" w:hAnsiTheme="majorBidi" w:cstheme="majorBidi"/>
          <w:b/>
          <w:bCs/>
          <w:color w:val="000000"/>
          <w:sz w:val="22"/>
          <w:szCs w:val="22"/>
          <w:lang w:val="fr-FR"/>
        </w:rPr>
        <w:t xml:space="preserve">, et 3, </w:t>
      </w:r>
      <w:proofErr w:type="spellStart"/>
      <w:r w:rsidRPr="004D7D9A">
        <w:rPr>
          <w:rFonts w:asciiTheme="majorBidi" w:hAnsiTheme="majorBidi" w:cstheme="majorBidi"/>
          <w:b/>
          <w:bCs/>
          <w:color w:val="000000"/>
          <w:sz w:val="22"/>
          <w:szCs w:val="22"/>
          <w:lang w:val="fr-FR"/>
        </w:rPr>
        <w:t>LAsi</w:t>
      </w:r>
      <w:proofErr w:type="spellEnd"/>
      <w:r w:rsidRPr="004D7D9A">
        <w:rPr>
          <w:rFonts w:asciiTheme="majorBidi" w:hAnsiTheme="majorBidi" w:cstheme="majorBidi"/>
          <w:b/>
          <w:bCs/>
          <w:color w:val="000000"/>
          <w:sz w:val="22"/>
          <w:szCs w:val="22"/>
          <w:lang w:val="fr-FR"/>
        </w:rPr>
        <w:t>)</w:t>
      </w:r>
    </w:p>
    <w:p w14:paraId="20D79E2A" w14:textId="77777777" w:rsidR="00D603C3" w:rsidRPr="00FC399B" w:rsidRDefault="00D603C3" w:rsidP="00D603C3">
      <w:pPr>
        <w:rPr>
          <w:rFonts w:asciiTheme="majorBidi" w:hAnsiTheme="majorBidi" w:cstheme="majorBidi"/>
          <w:color w:val="000000"/>
          <w:lang w:val="fr-FR"/>
        </w:rPr>
      </w:pPr>
    </w:p>
    <w:p w14:paraId="0ADB7A3E" w14:textId="66CCE2FF" w:rsidR="00D603C3" w:rsidRDefault="00D603C3" w:rsidP="00D603C3">
      <w:pPr>
        <w:pStyle w:val="StandardWeb"/>
        <w:spacing w:before="74" w:beforeAutospacing="0" w:after="0" w:afterAutospacing="0"/>
        <w:ind w:right="-52"/>
        <w:jc w:val="both"/>
        <w:rPr>
          <w:rFonts w:asciiTheme="majorBidi" w:hAnsiTheme="majorBidi" w:cstheme="majorBidi"/>
          <w:color w:val="000000"/>
          <w:sz w:val="22"/>
          <w:szCs w:val="22"/>
          <w:lang w:val="fr-FR"/>
        </w:rPr>
      </w:pPr>
      <w:proofErr w:type="gramStart"/>
      <w:r w:rsidRPr="004D7D9A">
        <w:rPr>
          <w:rFonts w:asciiTheme="majorBidi" w:hAnsiTheme="majorBidi" w:cstheme="majorBidi"/>
          <w:color w:val="000000"/>
          <w:sz w:val="22"/>
          <w:szCs w:val="22"/>
          <w:vertAlign w:val="superscript"/>
          <w:lang w:val="fr-FR"/>
        </w:rPr>
        <w:t>1</w:t>
      </w:r>
      <w:r w:rsidRPr="00FC399B">
        <w:rPr>
          <w:rFonts w:asciiTheme="majorBidi" w:hAnsiTheme="majorBidi" w:cstheme="majorBidi"/>
          <w:color w:val="000000"/>
          <w:sz w:val="22"/>
          <w:szCs w:val="22"/>
          <w:lang w:val="fr-FR"/>
        </w:rPr>
        <w:t xml:space="preserve"> </w:t>
      </w:r>
      <w:r w:rsidR="004D7D9A">
        <w:rPr>
          <w:rFonts w:asciiTheme="majorBidi" w:hAnsiTheme="majorBidi" w:cstheme="majorBidi"/>
          <w:color w:val="000000"/>
          <w:sz w:val="22"/>
          <w:szCs w:val="22"/>
          <w:lang w:val="fr-FR"/>
        </w:rPr>
        <w:t xml:space="preserve"> </w:t>
      </w:r>
      <w:r w:rsidRPr="00FC399B">
        <w:rPr>
          <w:rFonts w:asciiTheme="majorBidi" w:hAnsiTheme="majorBidi" w:cstheme="majorBidi"/>
          <w:color w:val="000000"/>
          <w:sz w:val="22"/>
          <w:szCs w:val="22"/>
          <w:lang w:val="fr-FR"/>
        </w:rPr>
        <w:t>Sont</w:t>
      </w:r>
      <w:proofErr w:type="gramEnd"/>
      <w:r w:rsidRPr="00FC399B">
        <w:rPr>
          <w:rFonts w:asciiTheme="majorBidi" w:hAnsiTheme="majorBidi" w:cstheme="majorBidi"/>
          <w:color w:val="000000"/>
          <w:sz w:val="22"/>
          <w:szCs w:val="22"/>
          <w:lang w:val="fr-FR"/>
        </w:rPr>
        <w:t xml:space="preserve"> considérés pour déterminer si l’État d’origine ou de provenance est exempt de persécutions:</w:t>
      </w:r>
    </w:p>
    <w:p w14:paraId="03D974C1" w14:textId="77777777" w:rsidR="004D7D9A" w:rsidRPr="00FC399B" w:rsidRDefault="004D7D9A" w:rsidP="004D7D9A">
      <w:pPr>
        <w:pStyle w:val="StandardWeb"/>
        <w:numPr>
          <w:ilvl w:val="0"/>
          <w:numId w:val="31"/>
        </w:numPr>
        <w:spacing w:before="73" w:beforeAutospacing="0" w:after="0" w:afterAutospacing="0"/>
        <w:ind w:right="-52"/>
        <w:jc w:val="both"/>
        <w:textAlignment w:val="baseline"/>
        <w:rPr>
          <w:rFonts w:asciiTheme="majorBidi" w:hAnsiTheme="majorBidi" w:cstheme="majorBidi"/>
          <w:color w:val="000000"/>
          <w:sz w:val="22"/>
          <w:szCs w:val="22"/>
        </w:rPr>
      </w:pPr>
      <w:r w:rsidRPr="00FC399B">
        <w:rPr>
          <w:rFonts w:asciiTheme="majorBidi" w:hAnsiTheme="majorBidi" w:cstheme="majorBidi"/>
          <w:color w:val="000000"/>
          <w:sz w:val="22"/>
          <w:szCs w:val="22"/>
        </w:rPr>
        <w:t xml:space="preserve">la </w:t>
      </w:r>
      <w:proofErr w:type="spellStart"/>
      <w:r w:rsidRPr="00FC399B">
        <w:rPr>
          <w:rFonts w:asciiTheme="majorBidi" w:hAnsiTheme="majorBidi" w:cstheme="majorBidi"/>
          <w:color w:val="000000"/>
          <w:sz w:val="22"/>
          <w:szCs w:val="22"/>
        </w:rPr>
        <w:t>stabilité</w:t>
      </w:r>
      <w:proofErr w:type="spellEnd"/>
      <w:r w:rsidRPr="00FC399B">
        <w:rPr>
          <w:rFonts w:asciiTheme="majorBidi" w:hAnsiTheme="majorBidi" w:cstheme="majorBidi"/>
          <w:color w:val="000000"/>
          <w:sz w:val="22"/>
          <w:szCs w:val="22"/>
        </w:rPr>
        <w:t xml:space="preserve"> </w:t>
      </w:r>
      <w:proofErr w:type="gramStart"/>
      <w:r w:rsidRPr="00FC399B">
        <w:rPr>
          <w:rFonts w:asciiTheme="majorBidi" w:hAnsiTheme="majorBidi" w:cstheme="majorBidi"/>
          <w:color w:val="000000"/>
          <w:sz w:val="22"/>
          <w:szCs w:val="22"/>
        </w:rPr>
        <w:t>politique;</w:t>
      </w:r>
      <w:proofErr w:type="gramEnd"/>
    </w:p>
    <w:p w14:paraId="20C818C5" w14:textId="77777777" w:rsidR="004D7D9A" w:rsidRPr="00FC399B" w:rsidRDefault="004D7D9A" w:rsidP="004D7D9A">
      <w:pPr>
        <w:pStyle w:val="StandardWeb"/>
        <w:numPr>
          <w:ilvl w:val="0"/>
          <w:numId w:val="31"/>
        </w:numPr>
        <w:spacing w:before="73"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le</w:t>
      </w:r>
      <w:proofErr w:type="gramEnd"/>
      <w:r w:rsidRPr="00FC399B">
        <w:rPr>
          <w:rFonts w:asciiTheme="majorBidi" w:hAnsiTheme="majorBidi" w:cstheme="majorBidi"/>
          <w:color w:val="000000"/>
          <w:sz w:val="22"/>
          <w:szCs w:val="22"/>
          <w:lang w:val="fr-FR"/>
        </w:rPr>
        <w:t xml:space="preserve"> respect des droits de l’homme;</w:t>
      </w:r>
    </w:p>
    <w:p w14:paraId="46A79F04" w14:textId="77777777" w:rsidR="004D7D9A" w:rsidRPr="00FC399B" w:rsidRDefault="004D7D9A" w:rsidP="004D7D9A">
      <w:pPr>
        <w:pStyle w:val="StandardWeb"/>
        <w:numPr>
          <w:ilvl w:val="0"/>
          <w:numId w:val="31"/>
        </w:numPr>
        <w:spacing w:before="79"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l’avis</w:t>
      </w:r>
      <w:proofErr w:type="gramEnd"/>
      <w:r w:rsidRPr="00FC399B">
        <w:rPr>
          <w:rFonts w:asciiTheme="majorBidi" w:hAnsiTheme="majorBidi" w:cstheme="majorBidi"/>
          <w:color w:val="000000"/>
          <w:sz w:val="22"/>
          <w:szCs w:val="22"/>
          <w:lang w:val="fr-FR"/>
        </w:rPr>
        <w:t xml:space="preserve"> d’autres pays membres de l’UE ou de l’AELE et celui du </w:t>
      </w:r>
      <w:proofErr w:type="spellStart"/>
      <w:r w:rsidRPr="00FC399B">
        <w:rPr>
          <w:rFonts w:asciiTheme="majorBidi" w:hAnsiTheme="majorBidi" w:cstheme="majorBidi"/>
          <w:color w:val="000000"/>
          <w:sz w:val="22"/>
          <w:szCs w:val="22"/>
          <w:lang w:val="fr-FR"/>
        </w:rPr>
        <w:t>Haut Commissariat</w:t>
      </w:r>
      <w:proofErr w:type="spellEnd"/>
      <w:r w:rsidRPr="00FC399B">
        <w:rPr>
          <w:rFonts w:asciiTheme="majorBidi" w:hAnsiTheme="majorBidi" w:cstheme="majorBidi"/>
          <w:color w:val="000000"/>
          <w:sz w:val="22"/>
          <w:szCs w:val="22"/>
          <w:lang w:val="fr-FR"/>
        </w:rPr>
        <w:t xml:space="preserve"> des Nations Unies pour les réfugiés (HCR);</w:t>
      </w:r>
    </w:p>
    <w:p w14:paraId="706BA548" w14:textId="77777777" w:rsidR="004D7D9A" w:rsidRPr="00FC399B" w:rsidRDefault="004D7D9A" w:rsidP="004D7D9A">
      <w:pPr>
        <w:pStyle w:val="StandardWeb"/>
        <w:numPr>
          <w:ilvl w:val="0"/>
          <w:numId w:val="31"/>
        </w:numPr>
        <w:spacing w:before="73" w:beforeAutospacing="0" w:after="0" w:afterAutospacing="0"/>
        <w:ind w:right="-52"/>
        <w:jc w:val="both"/>
        <w:textAlignment w:val="baseline"/>
        <w:rPr>
          <w:rFonts w:asciiTheme="majorBidi" w:hAnsiTheme="majorBidi" w:cstheme="majorBidi"/>
          <w:color w:val="000000"/>
          <w:sz w:val="22"/>
          <w:szCs w:val="22"/>
          <w:lang w:val="fr-FR"/>
        </w:rPr>
      </w:pPr>
      <w:proofErr w:type="gramStart"/>
      <w:r w:rsidRPr="00FC399B">
        <w:rPr>
          <w:rFonts w:asciiTheme="majorBidi" w:hAnsiTheme="majorBidi" w:cstheme="majorBidi"/>
          <w:color w:val="000000"/>
          <w:sz w:val="22"/>
          <w:szCs w:val="22"/>
          <w:lang w:val="fr-FR"/>
        </w:rPr>
        <w:t>d’autres</w:t>
      </w:r>
      <w:proofErr w:type="gramEnd"/>
      <w:r w:rsidRPr="00FC399B">
        <w:rPr>
          <w:rFonts w:asciiTheme="majorBidi" w:hAnsiTheme="majorBidi" w:cstheme="majorBidi"/>
          <w:color w:val="000000"/>
          <w:sz w:val="22"/>
          <w:szCs w:val="22"/>
          <w:lang w:val="fr-FR"/>
        </w:rPr>
        <w:t xml:space="preserve"> caractéristiques spécifiques du pays.</w:t>
      </w:r>
    </w:p>
    <w:p w14:paraId="66DF4959" w14:textId="77777777" w:rsidR="00D603C3" w:rsidRPr="00FC399B" w:rsidRDefault="00D603C3" w:rsidP="004D7D9A">
      <w:pPr>
        <w:pStyle w:val="StandardWeb"/>
        <w:spacing w:before="74" w:beforeAutospacing="0" w:after="0" w:afterAutospacing="0"/>
        <w:ind w:left="720" w:right="-52"/>
        <w:jc w:val="both"/>
        <w:rPr>
          <w:lang w:val="fr-FR"/>
        </w:rPr>
      </w:pPr>
    </w:p>
    <w:p w14:paraId="6F25258A" w14:textId="54EC1C76" w:rsidR="00D603C3" w:rsidRPr="00FC399B" w:rsidRDefault="00D603C3" w:rsidP="00417F07">
      <w:pPr>
        <w:pStyle w:val="StandardWeb"/>
        <w:spacing w:before="0" w:beforeAutospacing="0" w:after="0" w:afterAutospacing="0"/>
        <w:jc w:val="both"/>
        <w:rPr>
          <w:lang w:val="fr-FR"/>
        </w:rPr>
      </w:pPr>
      <w:r w:rsidRPr="00417F07">
        <w:rPr>
          <w:rFonts w:asciiTheme="majorBidi" w:hAnsiTheme="majorBidi" w:cstheme="majorBidi"/>
          <w:b/>
          <w:bCs/>
          <w:color w:val="000000"/>
          <w:lang w:val="fr-FR"/>
        </w:rPr>
        <w:t>Annexe 2 à l’AsylO1</w:t>
      </w:r>
    </w:p>
    <w:p w14:paraId="7F1DFF0A" w14:textId="77777777" w:rsidR="00D603C3" w:rsidRPr="00FC399B" w:rsidRDefault="00D603C3" w:rsidP="00D603C3">
      <w:pPr>
        <w:pStyle w:val="StandardWeb"/>
        <w:spacing w:before="0" w:beforeAutospacing="0" w:after="0" w:afterAutospacing="0"/>
        <w:ind w:right="-52"/>
        <w:jc w:val="both"/>
        <w:rPr>
          <w:rFonts w:asciiTheme="majorBidi" w:hAnsiTheme="majorBidi" w:cstheme="majorBidi"/>
          <w:color w:val="000000"/>
          <w:lang w:val="fr-FR"/>
        </w:rPr>
      </w:pPr>
      <w:r w:rsidRPr="00FC399B">
        <w:rPr>
          <w:rFonts w:asciiTheme="majorBidi" w:hAnsiTheme="majorBidi" w:cstheme="majorBidi"/>
          <w:b/>
          <w:bCs/>
          <w:color w:val="000000"/>
          <w:lang w:val="fr-FR"/>
        </w:rPr>
        <w:t>États d’origine ou de provenance exempts de persécutions</w:t>
      </w:r>
    </w:p>
    <w:p w14:paraId="3CCE0FA7" w14:textId="77777777" w:rsidR="00D603C3" w:rsidRPr="00FC399B" w:rsidRDefault="00D603C3" w:rsidP="00D603C3">
      <w:pPr>
        <w:rPr>
          <w:rFonts w:asciiTheme="majorBidi" w:hAnsiTheme="majorBidi" w:cstheme="majorBidi"/>
          <w:color w:val="000000"/>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2835"/>
        <w:gridCol w:w="1985"/>
      </w:tblGrid>
      <w:tr w:rsidR="006D5DAB" w:rsidRPr="00FC399B" w14:paraId="71C34FC2" w14:textId="77777777" w:rsidTr="00207D17">
        <w:trPr>
          <w:trHeight w:val="297"/>
        </w:trPr>
        <w:tc>
          <w:tcPr>
            <w:tcW w:w="2835" w:type="dxa"/>
            <w:hideMark/>
          </w:tcPr>
          <w:p w14:paraId="483B5E99"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Albanie</w:t>
            </w:r>
            <w:proofErr w:type="spellEnd"/>
          </w:p>
        </w:tc>
        <w:tc>
          <w:tcPr>
            <w:tcW w:w="1985" w:type="dxa"/>
            <w:hideMark/>
          </w:tcPr>
          <w:p w14:paraId="28A8E0C3"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Macédoine du Nord</w:t>
            </w:r>
          </w:p>
        </w:tc>
      </w:tr>
      <w:tr w:rsidR="006D5DAB" w:rsidRPr="00FC399B" w14:paraId="6D166A95" w14:textId="77777777" w:rsidTr="00207D17">
        <w:trPr>
          <w:trHeight w:val="323"/>
        </w:trPr>
        <w:tc>
          <w:tcPr>
            <w:tcW w:w="2835" w:type="dxa"/>
            <w:hideMark/>
          </w:tcPr>
          <w:p w14:paraId="6CD7CB25"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Allemagne</w:t>
            </w:r>
            <w:proofErr w:type="spellEnd"/>
          </w:p>
        </w:tc>
        <w:tc>
          <w:tcPr>
            <w:tcW w:w="1985" w:type="dxa"/>
            <w:hideMark/>
          </w:tcPr>
          <w:p w14:paraId="2D994C72"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Malte</w:t>
            </w:r>
          </w:p>
        </w:tc>
      </w:tr>
      <w:tr w:rsidR="006D5DAB" w:rsidRPr="00FC399B" w14:paraId="4908E334" w14:textId="77777777" w:rsidTr="00207D17">
        <w:trPr>
          <w:trHeight w:val="323"/>
        </w:trPr>
        <w:tc>
          <w:tcPr>
            <w:tcW w:w="2835" w:type="dxa"/>
            <w:hideMark/>
          </w:tcPr>
          <w:p w14:paraId="1003C6AD"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Autriche</w:t>
            </w:r>
            <w:proofErr w:type="spellEnd"/>
          </w:p>
        </w:tc>
        <w:tc>
          <w:tcPr>
            <w:tcW w:w="1985" w:type="dxa"/>
            <w:hideMark/>
          </w:tcPr>
          <w:p w14:paraId="7BE987BA" w14:textId="45877BC5"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Moldova</w:t>
            </w:r>
            <w:r w:rsidR="00207D17">
              <w:rPr>
                <w:rFonts w:asciiTheme="majorBidi" w:hAnsiTheme="majorBidi" w:cstheme="majorBidi"/>
                <w:color w:val="000000"/>
                <w:sz w:val="22"/>
                <w:szCs w:val="22"/>
              </w:rPr>
              <w:t xml:space="preserve"> </w:t>
            </w:r>
            <w:r w:rsidRPr="00FC399B">
              <w:rPr>
                <w:rFonts w:asciiTheme="majorBidi" w:hAnsiTheme="majorBidi" w:cstheme="majorBidi"/>
                <w:color w:val="000000"/>
                <w:sz w:val="22"/>
                <w:szCs w:val="22"/>
              </w:rPr>
              <w:t xml:space="preserve">(sans </w:t>
            </w:r>
            <w:proofErr w:type="spellStart"/>
            <w:r w:rsidRPr="00FC399B">
              <w:rPr>
                <w:rFonts w:asciiTheme="majorBidi" w:hAnsiTheme="majorBidi" w:cstheme="majorBidi"/>
                <w:color w:val="000000"/>
                <w:sz w:val="22"/>
                <w:szCs w:val="22"/>
              </w:rPr>
              <w:t>Transnistrie</w:t>
            </w:r>
            <w:proofErr w:type="spellEnd"/>
            <w:r w:rsidRPr="00FC399B">
              <w:rPr>
                <w:rFonts w:asciiTheme="majorBidi" w:hAnsiTheme="majorBidi" w:cstheme="majorBidi"/>
                <w:color w:val="000000"/>
                <w:sz w:val="22"/>
                <w:szCs w:val="22"/>
              </w:rPr>
              <w:t>)</w:t>
            </w:r>
          </w:p>
        </w:tc>
      </w:tr>
      <w:tr w:rsidR="006D5DAB" w:rsidRPr="00FC399B" w14:paraId="1367B0EC" w14:textId="77777777" w:rsidTr="00207D17">
        <w:trPr>
          <w:trHeight w:val="323"/>
        </w:trPr>
        <w:tc>
          <w:tcPr>
            <w:tcW w:w="2835" w:type="dxa"/>
            <w:hideMark/>
          </w:tcPr>
          <w:p w14:paraId="75012CCF"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Belgique</w:t>
            </w:r>
          </w:p>
        </w:tc>
        <w:tc>
          <w:tcPr>
            <w:tcW w:w="1985" w:type="dxa"/>
            <w:hideMark/>
          </w:tcPr>
          <w:p w14:paraId="4921091E"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Mongolie</w:t>
            </w:r>
            <w:proofErr w:type="spellEnd"/>
          </w:p>
        </w:tc>
      </w:tr>
      <w:tr w:rsidR="006D5DAB" w:rsidRPr="00FC399B" w14:paraId="55862C33" w14:textId="77777777" w:rsidTr="00207D17">
        <w:trPr>
          <w:trHeight w:val="323"/>
        </w:trPr>
        <w:tc>
          <w:tcPr>
            <w:tcW w:w="2835" w:type="dxa"/>
            <w:hideMark/>
          </w:tcPr>
          <w:p w14:paraId="0BFB0C3A"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Bénin</w:t>
            </w:r>
            <w:proofErr w:type="spellEnd"/>
          </w:p>
        </w:tc>
        <w:tc>
          <w:tcPr>
            <w:tcW w:w="1985" w:type="dxa"/>
            <w:hideMark/>
          </w:tcPr>
          <w:p w14:paraId="3910D347"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Monténégro</w:t>
            </w:r>
            <w:proofErr w:type="spellEnd"/>
          </w:p>
        </w:tc>
      </w:tr>
      <w:tr w:rsidR="006D5DAB" w:rsidRPr="00FC399B" w14:paraId="650C273E" w14:textId="77777777" w:rsidTr="00207D17">
        <w:trPr>
          <w:trHeight w:val="323"/>
        </w:trPr>
        <w:tc>
          <w:tcPr>
            <w:tcW w:w="2835" w:type="dxa"/>
            <w:hideMark/>
          </w:tcPr>
          <w:p w14:paraId="175A7F77"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Bosnie</w:t>
            </w:r>
            <w:proofErr w:type="spellEnd"/>
            <w:r w:rsidRPr="00FC399B">
              <w:rPr>
                <w:rFonts w:asciiTheme="majorBidi" w:hAnsiTheme="majorBidi" w:cstheme="majorBidi"/>
                <w:color w:val="000000"/>
                <w:sz w:val="22"/>
                <w:szCs w:val="22"/>
              </w:rPr>
              <w:t xml:space="preserve"> et </w:t>
            </w:r>
            <w:proofErr w:type="spellStart"/>
            <w:r w:rsidRPr="00FC399B">
              <w:rPr>
                <w:rFonts w:asciiTheme="majorBidi" w:hAnsiTheme="majorBidi" w:cstheme="majorBidi"/>
                <w:color w:val="000000"/>
                <w:sz w:val="22"/>
                <w:szCs w:val="22"/>
              </w:rPr>
              <w:t>Herzégovine</w:t>
            </w:r>
            <w:proofErr w:type="spellEnd"/>
          </w:p>
        </w:tc>
        <w:tc>
          <w:tcPr>
            <w:tcW w:w="1985" w:type="dxa"/>
            <w:hideMark/>
          </w:tcPr>
          <w:p w14:paraId="05D8B108"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Norvège</w:t>
            </w:r>
            <w:proofErr w:type="spellEnd"/>
          </w:p>
        </w:tc>
      </w:tr>
      <w:tr w:rsidR="006D5DAB" w:rsidRPr="00FC399B" w14:paraId="330A0BAB" w14:textId="77777777" w:rsidTr="00207D17">
        <w:trPr>
          <w:trHeight w:val="323"/>
        </w:trPr>
        <w:tc>
          <w:tcPr>
            <w:tcW w:w="2835" w:type="dxa"/>
            <w:hideMark/>
          </w:tcPr>
          <w:p w14:paraId="1E4A5D3A"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Bulgarie</w:t>
            </w:r>
            <w:proofErr w:type="spellEnd"/>
          </w:p>
        </w:tc>
        <w:tc>
          <w:tcPr>
            <w:tcW w:w="1985" w:type="dxa"/>
            <w:hideMark/>
          </w:tcPr>
          <w:p w14:paraId="25E73C89"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Pays-Bas</w:t>
            </w:r>
          </w:p>
        </w:tc>
      </w:tr>
      <w:tr w:rsidR="006D5DAB" w:rsidRPr="00FC399B" w14:paraId="5A8C13CB" w14:textId="77777777" w:rsidTr="00207D17">
        <w:trPr>
          <w:trHeight w:val="323"/>
        </w:trPr>
        <w:tc>
          <w:tcPr>
            <w:tcW w:w="2835" w:type="dxa"/>
            <w:hideMark/>
          </w:tcPr>
          <w:p w14:paraId="236E65EE"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Chypre</w:t>
            </w:r>
          </w:p>
        </w:tc>
        <w:tc>
          <w:tcPr>
            <w:tcW w:w="1985" w:type="dxa"/>
            <w:hideMark/>
          </w:tcPr>
          <w:p w14:paraId="5D4927E3"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Pologne</w:t>
            </w:r>
            <w:proofErr w:type="spellEnd"/>
          </w:p>
        </w:tc>
      </w:tr>
      <w:tr w:rsidR="006D5DAB" w:rsidRPr="00FC399B" w14:paraId="23343683" w14:textId="77777777" w:rsidTr="00207D17">
        <w:trPr>
          <w:trHeight w:val="323"/>
        </w:trPr>
        <w:tc>
          <w:tcPr>
            <w:tcW w:w="2835" w:type="dxa"/>
            <w:hideMark/>
          </w:tcPr>
          <w:p w14:paraId="4AE034E7"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Croatie</w:t>
            </w:r>
            <w:proofErr w:type="spellEnd"/>
          </w:p>
        </w:tc>
        <w:tc>
          <w:tcPr>
            <w:tcW w:w="1985" w:type="dxa"/>
            <w:hideMark/>
          </w:tcPr>
          <w:p w14:paraId="165A59D0"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Portugal</w:t>
            </w:r>
          </w:p>
        </w:tc>
      </w:tr>
      <w:tr w:rsidR="006D5DAB" w:rsidRPr="00FC399B" w14:paraId="17EE667D" w14:textId="77777777" w:rsidTr="00207D17">
        <w:trPr>
          <w:trHeight w:val="323"/>
        </w:trPr>
        <w:tc>
          <w:tcPr>
            <w:tcW w:w="2835" w:type="dxa"/>
            <w:hideMark/>
          </w:tcPr>
          <w:p w14:paraId="251C110A"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Danemark</w:t>
            </w:r>
            <w:proofErr w:type="spellEnd"/>
          </w:p>
        </w:tc>
        <w:tc>
          <w:tcPr>
            <w:tcW w:w="1985" w:type="dxa"/>
            <w:hideMark/>
          </w:tcPr>
          <w:p w14:paraId="40C6711E"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Roumanie</w:t>
            </w:r>
            <w:proofErr w:type="spellEnd"/>
          </w:p>
        </w:tc>
      </w:tr>
      <w:tr w:rsidR="006D5DAB" w:rsidRPr="00FC399B" w14:paraId="65130251" w14:textId="77777777" w:rsidTr="00207D17">
        <w:trPr>
          <w:trHeight w:val="323"/>
        </w:trPr>
        <w:tc>
          <w:tcPr>
            <w:tcW w:w="2835" w:type="dxa"/>
            <w:hideMark/>
          </w:tcPr>
          <w:p w14:paraId="2FDE940A"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Espagne</w:t>
            </w:r>
            <w:proofErr w:type="spellEnd"/>
          </w:p>
        </w:tc>
        <w:tc>
          <w:tcPr>
            <w:tcW w:w="1985" w:type="dxa"/>
            <w:hideMark/>
          </w:tcPr>
          <w:p w14:paraId="08E21A2E"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Royaume</w:t>
            </w:r>
            <w:proofErr w:type="spellEnd"/>
            <w:r w:rsidRPr="00FC399B">
              <w:rPr>
                <w:rFonts w:asciiTheme="majorBidi" w:hAnsiTheme="majorBidi" w:cstheme="majorBidi"/>
                <w:color w:val="000000"/>
                <w:sz w:val="22"/>
                <w:szCs w:val="22"/>
              </w:rPr>
              <w:t>-Uni</w:t>
            </w:r>
          </w:p>
        </w:tc>
      </w:tr>
      <w:tr w:rsidR="006D5DAB" w:rsidRPr="00FC399B" w14:paraId="7AC5093E" w14:textId="77777777" w:rsidTr="00207D17">
        <w:trPr>
          <w:trHeight w:val="323"/>
        </w:trPr>
        <w:tc>
          <w:tcPr>
            <w:tcW w:w="2835" w:type="dxa"/>
            <w:hideMark/>
          </w:tcPr>
          <w:p w14:paraId="254CD2B1"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Estonie</w:t>
            </w:r>
            <w:proofErr w:type="spellEnd"/>
          </w:p>
        </w:tc>
        <w:tc>
          <w:tcPr>
            <w:tcW w:w="1985" w:type="dxa"/>
            <w:hideMark/>
          </w:tcPr>
          <w:p w14:paraId="0F3B8E0C"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Sénégal</w:t>
            </w:r>
            <w:proofErr w:type="spellEnd"/>
          </w:p>
        </w:tc>
      </w:tr>
      <w:tr w:rsidR="006D5DAB" w:rsidRPr="00FC399B" w14:paraId="1268F689" w14:textId="77777777" w:rsidTr="00207D17">
        <w:trPr>
          <w:trHeight w:val="323"/>
        </w:trPr>
        <w:tc>
          <w:tcPr>
            <w:tcW w:w="2835" w:type="dxa"/>
            <w:hideMark/>
          </w:tcPr>
          <w:p w14:paraId="74009A23"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Finlande</w:t>
            </w:r>
            <w:proofErr w:type="spellEnd"/>
          </w:p>
        </w:tc>
        <w:tc>
          <w:tcPr>
            <w:tcW w:w="1985" w:type="dxa"/>
            <w:hideMark/>
          </w:tcPr>
          <w:p w14:paraId="5626326A"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Serbie</w:t>
            </w:r>
            <w:proofErr w:type="spellEnd"/>
          </w:p>
        </w:tc>
      </w:tr>
      <w:tr w:rsidR="006D5DAB" w:rsidRPr="00FC399B" w14:paraId="75EDEF22" w14:textId="77777777" w:rsidTr="00207D17">
        <w:trPr>
          <w:trHeight w:val="323"/>
        </w:trPr>
        <w:tc>
          <w:tcPr>
            <w:tcW w:w="2835" w:type="dxa"/>
            <w:hideMark/>
          </w:tcPr>
          <w:p w14:paraId="5FC69A11"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France</w:t>
            </w:r>
          </w:p>
        </w:tc>
        <w:tc>
          <w:tcPr>
            <w:tcW w:w="1985" w:type="dxa"/>
            <w:hideMark/>
          </w:tcPr>
          <w:p w14:paraId="61117622"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Slovaquie</w:t>
            </w:r>
            <w:proofErr w:type="spellEnd"/>
          </w:p>
        </w:tc>
      </w:tr>
      <w:tr w:rsidR="006D5DAB" w:rsidRPr="00FC399B" w14:paraId="24FBD82C" w14:textId="77777777" w:rsidTr="00207D17">
        <w:trPr>
          <w:trHeight w:val="323"/>
        </w:trPr>
        <w:tc>
          <w:tcPr>
            <w:tcW w:w="2835" w:type="dxa"/>
            <w:hideMark/>
          </w:tcPr>
          <w:p w14:paraId="43FBE410"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Géorgie</w:t>
            </w:r>
            <w:proofErr w:type="spellEnd"/>
          </w:p>
        </w:tc>
        <w:tc>
          <w:tcPr>
            <w:tcW w:w="1985" w:type="dxa"/>
            <w:hideMark/>
          </w:tcPr>
          <w:p w14:paraId="31690544"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Slovénie</w:t>
            </w:r>
            <w:proofErr w:type="spellEnd"/>
          </w:p>
        </w:tc>
      </w:tr>
      <w:tr w:rsidR="006D5DAB" w:rsidRPr="00FC399B" w14:paraId="35C40431" w14:textId="77777777" w:rsidTr="00207D17">
        <w:trPr>
          <w:trHeight w:val="323"/>
        </w:trPr>
        <w:tc>
          <w:tcPr>
            <w:tcW w:w="2835" w:type="dxa"/>
            <w:hideMark/>
          </w:tcPr>
          <w:p w14:paraId="6CA0DAFC"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Ghana</w:t>
            </w:r>
          </w:p>
        </w:tc>
        <w:tc>
          <w:tcPr>
            <w:tcW w:w="1985" w:type="dxa"/>
            <w:hideMark/>
          </w:tcPr>
          <w:p w14:paraId="71FDEEEE"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Suède</w:t>
            </w:r>
            <w:proofErr w:type="spellEnd"/>
          </w:p>
        </w:tc>
      </w:tr>
      <w:tr w:rsidR="006D5DAB" w:rsidRPr="00FC399B" w14:paraId="09A40BC3" w14:textId="77777777" w:rsidTr="00207D17">
        <w:trPr>
          <w:trHeight w:val="323"/>
        </w:trPr>
        <w:tc>
          <w:tcPr>
            <w:tcW w:w="2835" w:type="dxa"/>
            <w:hideMark/>
          </w:tcPr>
          <w:p w14:paraId="3BE19CA6"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Grèce</w:t>
            </w:r>
            <w:proofErr w:type="spellEnd"/>
          </w:p>
        </w:tc>
        <w:tc>
          <w:tcPr>
            <w:tcW w:w="1985" w:type="dxa"/>
            <w:hideMark/>
          </w:tcPr>
          <w:p w14:paraId="594365C5"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Tchéquie</w:t>
            </w:r>
            <w:proofErr w:type="spellEnd"/>
          </w:p>
        </w:tc>
      </w:tr>
      <w:tr w:rsidR="006D5DAB" w:rsidRPr="00FC399B" w14:paraId="4C6F6122" w14:textId="77777777" w:rsidTr="00207D17">
        <w:trPr>
          <w:trHeight w:val="323"/>
        </w:trPr>
        <w:tc>
          <w:tcPr>
            <w:tcW w:w="2835" w:type="dxa"/>
            <w:hideMark/>
          </w:tcPr>
          <w:p w14:paraId="7563FF78"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Hongrie</w:t>
            </w:r>
            <w:proofErr w:type="spellEnd"/>
          </w:p>
        </w:tc>
        <w:tc>
          <w:tcPr>
            <w:tcW w:w="1985" w:type="dxa"/>
            <w:hideMark/>
          </w:tcPr>
          <w:p w14:paraId="184C9150" w14:textId="77777777" w:rsidR="00D603C3" w:rsidRPr="00FC399B" w:rsidRDefault="00D603C3">
            <w:pPr>
              <w:rPr>
                <w:rFonts w:asciiTheme="majorBidi" w:hAnsiTheme="majorBidi" w:cstheme="majorBidi"/>
              </w:rPr>
            </w:pPr>
          </w:p>
        </w:tc>
      </w:tr>
      <w:tr w:rsidR="006D5DAB" w:rsidRPr="00FC399B" w14:paraId="047AE908" w14:textId="77777777" w:rsidTr="00207D17">
        <w:trPr>
          <w:trHeight w:val="323"/>
        </w:trPr>
        <w:tc>
          <w:tcPr>
            <w:tcW w:w="2835" w:type="dxa"/>
            <w:hideMark/>
          </w:tcPr>
          <w:p w14:paraId="67EE4298"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Inde</w:t>
            </w:r>
            <w:proofErr w:type="spellEnd"/>
          </w:p>
        </w:tc>
        <w:tc>
          <w:tcPr>
            <w:tcW w:w="1985" w:type="dxa"/>
            <w:hideMark/>
          </w:tcPr>
          <w:p w14:paraId="3A7DBAFA" w14:textId="77777777" w:rsidR="00D603C3" w:rsidRPr="00FC399B" w:rsidRDefault="00D603C3">
            <w:pPr>
              <w:rPr>
                <w:rFonts w:asciiTheme="majorBidi" w:hAnsiTheme="majorBidi" w:cstheme="majorBidi"/>
              </w:rPr>
            </w:pPr>
          </w:p>
        </w:tc>
      </w:tr>
      <w:tr w:rsidR="006D5DAB" w:rsidRPr="00FC399B" w14:paraId="43495249" w14:textId="77777777" w:rsidTr="00207D17">
        <w:trPr>
          <w:trHeight w:val="323"/>
        </w:trPr>
        <w:tc>
          <w:tcPr>
            <w:tcW w:w="2835" w:type="dxa"/>
            <w:hideMark/>
          </w:tcPr>
          <w:p w14:paraId="7A4A9412"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lastRenderedPageBreak/>
              <w:t>Irlande</w:t>
            </w:r>
            <w:proofErr w:type="spellEnd"/>
          </w:p>
        </w:tc>
        <w:tc>
          <w:tcPr>
            <w:tcW w:w="1985" w:type="dxa"/>
            <w:hideMark/>
          </w:tcPr>
          <w:p w14:paraId="1A1F7146" w14:textId="77777777" w:rsidR="00D603C3" w:rsidRPr="00FC399B" w:rsidRDefault="00D603C3">
            <w:pPr>
              <w:rPr>
                <w:rFonts w:asciiTheme="majorBidi" w:hAnsiTheme="majorBidi" w:cstheme="majorBidi"/>
              </w:rPr>
            </w:pPr>
          </w:p>
        </w:tc>
      </w:tr>
      <w:tr w:rsidR="006D5DAB" w:rsidRPr="00FC399B" w14:paraId="4645E85C" w14:textId="77777777" w:rsidTr="00207D17">
        <w:trPr>
          <w:trHeight w:val="323"/>
        </w:trPr>
        <w:tc>
          <w:tcPr>
            <w:tcW w:w="2835" w:type="dxa"/>
            <w:hideMark/>
          </w:tcPr>
          <w:p w14:paraId="6EE69BC6"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Islande</w:t>
            </w:r>
            <w:proofErr w:type="spellEnd"/>
          </w:p>
        </w:tc>
        <w:tc>
          <w:tcPr>
            <w:tcW w:w="1985" w:type="dxa"/>
            <w:hideMark/>
          </w:tcPr>
          <w:p w14:paraId="1FF2F24B" w14:textId="77777777" w:rsidR="00D603C3" w:rsidRPr="00FC399B" w:rsidRDefault="00D603C3">
            <w:pPr>
              <w:rPr>
                <w:rFonts w:asciiTheme="majorBidi" w:hAnsiTheme="majorBidi" w:cstheme="majorBidi"/>
              </w:rPr>
            </w:pPr>
          </w:p>
        </w:tc>
      </w:tr>
      <w:tr w:rsidR="006D5DAB" w:rsidRPr="00FC399B" w14:paraId="13270E1F" w14:textId="77777777" w:rsidTr="00207D17">
        <w:trPr>
          <w:trHeight w:val="323"/>
        </w:trPr>
        <w:tc>
          <w:tcPr>
            <w:tcW w:w="2835" w:type="dxa"/>
            <w:hideMark/>
          </w:tcPr>
          <w:p w14:paraId="02EFE558"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Italie</w:t>
            </w:r>
          </w:p>
        </w:tc>
        <w:tc>
          <w:tcPr>
            <w:tcW w:w="1985" w:type="dxa"/>
            <w:hideMark/>
          </w:tcPr>
          <w:p w14:paraId="483E253A" w14:textId="77777777" w:rsidR="00D603C3" w:rsidRPr="00FC399B" w:rsidRDefault="00D603C3">
            <w:pPr>
              <w:rPr>
                <w:rFonts w:asciiTheme="majorBidi" w:hAnsiTheme="majorBidi" w:cstheme="majorBidi"/>
              </w:rPr>
            </w:pPr>
          </w:p>
        </w:tc>
      </w:tr>
      <w:tr w:rsidR="006D5DAB" w:rsidRPr="00FC399B" w14:paraId="17AA4CDC" w14:textId="77777777" w:rsidTr="00207D17">
        <w:trPr>
          <w:trHeight w:val="323"/>
        </w:trPr>
        <w:tc>
          <w:tcPr>
            <w:tcW w:w="2835" w:type="dxa"/>
            <w:hideMark/>
          </w:tcPr>
          <w:p w14:paraId="5C5582E4"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Kosovo</w:t>
            </w:r>
          </w:p>
        </w:tc>
        <w:tc>
          <w:tcPr>
            <w:tcW w:w="1985" w:type="dxa"/>
            <w:hideMark/>
          </w:tcPr>
          <w:p w14:paraId="578B578B" w14:textId="77777777" w:rsidR="00D603C3" w:rsidRPr="00FC399B" w:rsidRDefault="00D603C3">
            <w:pPr>
              <w:rPr>
                <w:rFonts w:asciiTheme="majorBidi" w:hAnsiTheme="majorBidi" w:cstheme="majorBidi"/>
              </w:rPr>
            </w:pPr>
          </w:p>
        </w:tc>
      </w:tr>
      <w:tr w:rsidR="006D5DAB" w:rsidRPr="00FC399B" w14:paraId="6AB093CF" w14:textId="77777777" w:rsidTr="00207D17">
        <w:trPr>
          <w:trHeight w:val="323"/>
        </w:trPr>
        <w:tc>
          <w:tcPr>
            <w:tcW w:w="2835" w:type="dxa"/>
            <w:hideMark/>
          </w:tcPr>
          <w:p w14:paraId="7B5353D5"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Lettonie</w:t>
            </w:r>
            <w:proofErr w:type="spellEnd"/>
          </w:p>
        </w:tc>
        <w:tc>
          <w:tcPr>
            <w:tcW w:w="1985" w:type="dxa"/>
            <w:hideMark/>
          </w:tcPr>
          <w:p w14:paraId="46C41042" w14:textId="77777777" w:rsidR="00D603C3" w:rsidRPr="00FC399B" w:rsidRDefault="00D603C3">
            <w:pPr>
              <w:rPr>
                <w:rFonts w:asciiTheme="majorBidi" w:hAnsiTheme="majorBidi" w:cstheme="majorBidi"/>
              </w:rPr>
            </w:pPr>
          </w:p>
        </w:tc>
      </w:tr>
      <w:tr w:rsidR="006D5DAB" w:rsidRPr="00FC399B" w14:paraId="118758E8" w14:textId="77777777" w:rsidTr="00207D17">
        <w:trPr>
          <w:trHeight w:val="323"/>
        </w:trPr>
        <w:tc>
          <w:tcPr>
            <w:tcW w:w="2835" w:type="dxa"/>
            <w:hideMark/>
          </w:tcPr>
          <w:p w14:paraId="13235241"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Liechtenstein</w:t>
            </w:r>
          </w:p>
        </w:tc>
        <w:tc>
          <w:tcPr>
            <w:tcW w:w="1985" w:type="dxa"/>
            <w:hideMark/>
          </w:tcPr>
          <w:p w14:paraId="4D174A39" w14:textId="77777777" w:rsidR="00D603C3" w:rsidRPr="00FC399B" w:rsidRDefault="00D603C3">
            <w:pPr>
              <w:rPr>
                <w:rFonts w:asciiTheme="majorBidi" w:hAnsiTheme="majorBidi" w:cstheme="majorBidi"/>
              </w:rPr>
            </w:pPr>
          </w:p>
        </w:tc>
      </w:tr>
      <w:tr w:rsidR="006D5DAB" w:rsidRPr="00FC399B" w14:paraId="3A5BBE03" w14:textId="77777777" w:rsidTr="00207D17">
        <w:trPr>
          <w:trHeight w:val="323"/>
        </w:trPr>
        <w:tc>
          <w:tcPr>
            <w:tcW w:w="2835" w:type="dxa"/>
            <w:hideMark/>
          </w:tcPr>
          <w:p w14:paraId="106A7AD9" w14:textId="77777777" w:rsidR="00D603C3" w:rsidRPr="00FC399B" w:rsidRDefault="00D603C3">
            <w:pPr>
              <w:pStyle w:val="StandardWeb"/>
              <w:spacing w:before="0" w:beforeAutospacing="0" w:after="0" w:afterAutospacing="0"/>
              <w:ind w:right="-52"/>
              <w:jc w:val="both"/>
              <w:rPr>
                <w:rFonts w:asciiTheme="majorBidi" w:hAnsiTheme="majorBidi" w:cstheme="majorBidi"/>
              </w:rPr>
            </w:pPr>
            <w:proofErr w:type="spellStart"/>
            <w:r w:rsidRPr="00FC399B">
              <w:rPr>
                <w:rFonts w:asciiTheme="majorBidi" w:hAnsiTheme="majorBidi" w:cstheme="majorBidi"/>
                <w:color w:val="000000"/>
                <w:sz w:val="22"/>
                <w:szCs w:val="22"/>
              </w:rPr>
              <w:t>Lituanie</w:t>
            </w:r>
            <w:proofErr w:type="spellEnd"/>
          </w:p>
        </w:tc>
        <w:tc>
          <w:tcPr>
            <w:tcW w:w="1985" w:type="dxa"/>
            <w:hideMark/>
          </w:tcPr>
          <w:p w14:paraId="5FF7A402" w14:textId="77777777" w:rsidR="00D603C3" w:rsidRPr="00FC399B" w:rsidRDefault="00D603C3">
            <w:pPr>
              <w:rPr>
                <w:rFonts w:asciiTheme="majorBidi" w:hAnsiTheme="majorBidi" w:cstheme="majorBidi"/>
              </w:rPr>
            </w:pPr>
          </w:p>
        </w:tc>
      </w:tr>
      <w:tr w:rsidR="006D5DAB" w:rsidRPr="00FC399B" w14:paraId="4CF291D5" w14:textId="77777777" w:rsidTr="00207D17">
        <w:trPr>
          <w:trHeight w:val="297"/>
        </w:trPr>
        <w:tc>
          <w:tcPr>
            <w:tcW w:w="2835" w:type="dxa"/>
            <w:hideMark/>
          </w:tcPr>
          <w:p w14:paraId="6C955865" w14:textId="77777777" w:rsidR="00D603C3" w:rsidRPr="00FC399B" w:rsidRDefault="00D603C3">
            <w:pPr>
              <w:pStyle w:val="StandardWeb"/>
              <w:spacing w:before="0" w:beforeAutospacing="0" w:after="0" w:afterAutospacing="0"/>
              <w:ind w:right="-52"/>
              <w:jc w:val="both"/>
              <w:rPr>
                <w:rFonts w:asciiTheme="majorBidi" w:hAnsiTheme="majorBidi" w:cstheme="majorBidi"/>
              </w:rPr>
            </w:pPr>
            <w:r w:rsidRPr="00FC399B">
              <w:rPr>
                <w:rFonts w:asciiTheme="majorBidi" w:hAnsiTheme="majorBidi" w:cstheme="majorBidi"/>
                <w:color w:val="000000"/>
                <w:sz w:val="22"/>
                <w:szCs w:val="22"/>
              </w:rPr>
              <w:t>Luxembourg</w:t>
            </w:r>
          </w:p>
        </w:tc>
        <w:tc>
          <w:tcPr>
            <w:tcW w:w="1985" w:type="dxa"/>
            <w:hideMark/>
          </w:tcPr>
          <w:p w14:paraId="386D1CB1" w14:textId="77777777" w:rsidR="00D603C3" w:rsidRPr="00FC399B" w:rsidRDefault="00D603C3">
            <w:pPr>
              <w:rPr>
                <w:rFonts w:asciiTheme="majorBidi" w:hAnsiTheme="majorBidi" w:cstheme="majorBidi"/>
              </w:rPr>
            </w:pPr>
          </w:p>
        </w:tc>
      </w:tr>
    </w:tbl>
    <w:p w14:paraId="10D188ED" w14:textId="77777777" w:rsidR="00D603C3" w:rsidRPr="00FC399B" w:rsidRDefault="00D603C3" w:rsidP="00D603C3">
      <w:pPr>
        <w:rPr>
          <w:rFonts w:asciiTheme="majorBidi" w:hAnsiTheme="majorBidi" w:cstheme="majorBidi"/>
          <w:color w:val="000000"/>
        </w:rPr>
      </w:pPr>
    </w:p>
    <w:p w14:paraId="517E98D4" w14:textId="77777777" w:rsidR="00D603C3" w:rsidRPr="00FC399B" w:rsidRDefault="00D603C3" w:rsidP="00D603C3">
      <w:pPr>
        <w:pStyle w:val="StandardWeb"/>
        <w:spacing w:before="0" w:beforeAutospacing="0" w:after="0" w:afterAutospacing="0"/>
        <w:ind w:right="-52"/>
        <w:jc w:val="both"/>
        <w:rPr>
          <w:rFonts w:asciiTheme="majorBidi" w:hAnsiTheme="majorBidi" w:cstheme="majorBidi"/>
          <w:color w:val="000000"/>
          <w:lang w:val="fr-FR"/>
        </w:rPr>
      </w:pPr>
      <w:r w:rsidRPr="00FC399B">
        <w:rPr>
          <w:rFonts w:asciiTheme="majorBidi" w:hAnsiTheme="majorBidi" w:cstheme="majorBidi"/>
          <w:color w:val="000000"/>
          <w:sz w:val="22"/>
          <w:szCs w:val="22"/>
          <w:lang w:val="fr-FR"/>
        </w:rPr>
        <w:t>* En vigueur depuis le 1</w:t>
      </w:r>
      <w:r w:rsidRPr="00FC399B">
        <w:rPr>
          <w:rFonts w:asciiTheme="majorBidi" w:hAnsiTheme="majorBidi" w:cstheme="majorBidi"/>
          <w:color w:val="000000"/>
          <w:sz w:val="13"/>
          <w:szCs w:val="13"/>
          <w:vertAlign w:val="superscript"/>
          <w:lang w:val="fr-FR"/>
        </w:rPr>
        <w:t>er</w:t>
      </w:r>
      <w:r w:rsidRPr="00FC399B">
        <w:rPr>
          <w:rFonts w:asciiTheme="majorBidi" w:hAnsiTheme="majorBidi" w:cstheme="majorBidi"/>
          <w:color w:val="000000"/>
          <w:sz w:val="22"/>
          <w:szCs w:val="22"/>
          <w:lang w:val="fr-FR"/>
        </w:rPr>
        <w:t xml:space="preserve"> mai 2021 (RO 2021 205)</w:t>
      </w:r>
    </w:p>
    <w:p w14:paraId="00B9E7B8" w14:textId="77777777" w:rsidR="00D603C3" w:rsidRPr="00FC399B" w:rsidRDefault="00D603C3" w:rsidP="00D603C3">
      <w:pPr>
        <w:pStyle w:val="StandardWeb"/>
        <w:spacing w:before="0" w:beforeAutospacing="0" w:after="0" w:afterAutospacing="0"/>
        <w:rPr>
          <w:rFonts w:asciiTheme="majorBidi" w:hAnsiTheme="majorBidi" w:cstheme="majorBidi"/>
          <w:color w:val="000000"/>
          <w:lang w:val="fr-FR"/>
        </w:rPr>
      </w:pPr>
      <w:r w:rsidRPr="00FC399B">
        <w:rPr>
          <w:rFonts w:asciiTheme="majorBidi" w:hAnsiTheme="majorBidi" w:cstheme="majorBidi"/>
          <w:color w:val="000000"/>
          <w:sz w:val="22"/>
          <w:szCs w:val="22"/>
          <w:lang w:val="fr-FR"/>
        </w:rPr>
        <w:t xml:space="preserve">* Disponible ici  </w:t>
      </w:r>
      <w:hyperlink r:id="rId28" w:anchor="annex_2/lvl_d4e130" w:history="1">
        <w:r w:rsidRPr="00FC399B">
          <w:rPr>
            <w:rStyle w:val="Hyperlink"/>
            <w:rFonts w:asciiTheme="majorBidi" w:hAnsiTheme="majorBidi" w:cstheme="majorBidi"/>
            <w:lang w:val="fr-FR"/>
          </w:rPr>
          <w:t>https://www.fedlex.admin.ch/eli/cc/1999/359/fr#annex_2/lvl_d4e130</w:t>
        </w:r>
      </w:hyperlink>
      <w:r w:rsidRPr="00FC399B">
        <w:rPr>
          <w:rFonts w:asciiTheme="majorBidi" w:hAnsiTheme="majorBidi" w:cstheme="majorBidi"/>
          <w:color w:val="000000"/>
          <w:lang w:val="fr-FR"/>
        </w:rPr>
        <w:t> </w:t>
      </w:r>
    </w:p>
    <w:p w14:paraId="1BA5FF3A" w14:textId="010CBFCD" w:rsidR="00D603C3" w:rsidRPr="00FC399B" w:rsidRDefault="00D603C3" w:rsidP="00D603C3">
      <w:pPr>
        <w:rPr>
          <w:rFonts w:asciiTheme="majorBidi" w:hAnsiTheme="majorBidi" w:cstheme="majorBidi"/>
          <w:color w:val="000000"/>
          <w:lang w:val="fr-FR"/>
        </w:rPr>
      </w:pPr>
    </w:p>
    <w:p w14:paraId="4A3D0F0A" w14:textId="77777777" w:rsidR="00D603C3" w:rsidRPr="00FC399B" w:rsidRDefault="00D603C3" w:rsidP="00D603C3">
      <w:pPr>
        <w:pStyle w:val="StandardWeb"/>
        <w:numPr>
          <w:ilvl w:val="0"/>
          <w:numId w:val="27"/>
        </w:numPr>
        <w:spacing w:before="0" w:beforeAutospacing="0" w:after="0" w:afterAutospacing="0"/>
        <w:ind w:right="-52"/>
        <w:jc w:val="both"/>
        <w:textAlignment w:val="baseline"/>
        <w:rPr>
          <w:rFonts w:asciiTheme="majorBidi" w:hAnsiTheme="majorBidi" w:cstheme="majorBidi"/>
          <w:b/>
          <w:bCs/>
          <w:color w:val="000000"/>
          <w:u w:val="single"/>
        </w:rPr>
      </w:pPr>
      <w:r w:rsidRPr="00FC399B">
        <w:rPr>
          <w:rFonts w:asciiTheme="majorBidi" w:hAnsiTheme="majorBidi" w:cstheme="majorBidi"/>
          <w:b/>
          <w:bCs/>
          <w:color w:val="000000"/>
          <w:u w:val="single"/>
        </w:rPr>
        <w:t>Dublin III</w:t>
      </w:r>
    </w:p>
    <w:p w14:paraId="2376CA9A" w14:textId="77777777" w:rsidR="00D603C3" w:rsidRPr="00FC399B" w:rsidRDefault="00D603C3" w:rsidP="00D603C3">
      <w:pPr>
        <w:rPr>
          <w:rFonts w:asciiTheme="majorBidi" w:hAnsiTheme="majorBidi" w:cstheme="majorBidi"/>
          <w:color w:val="000000"/>
          <w:sz w:val="24"/>
          <w:szCs w:val="24"/>
        </w:rPr>
      </w:pPr>
    </w:p>
    <w:p w14:paraId="1F4732DD" w14:textId="77777777" w:rsidR="00D603C3" w:rsidRPr="00FC399B" w:rsidRDefault="00D603C3" w:rsidP="00D603C3">
      <w:pPr>
        <w:pStyle w:val="StandardWeb"/>
        <w:spacing w:before="0" w:beforeAutospacing="0" w:after="0" w:afterAutospacing="0"/>
        <w:jc w:val="both"/>
        <w:rPr>
          <w:rFonts w:asciiTheme="majorBidi" w:hAnsiTheme="majorBidi" w:cstheme="majorBidi"/>
          <w:color w:val="000000"/>
          <w:lang w:val="fr-FR"/>
        </w:rPr>
      </w:pPr>
      <w:r w:rsidRPr="00FC399B">
        <w:rPr>
          <w:rFonts w:asciiTheme="majorBidi" w:hAnsiTheme="majorBidi" w:cstheme="majorBidi"/>
          <w:color w:val="000000"/>
          <w:sz w:val="22"/>
          <w:szCs w:val="22"/>
          <w:shd w:val="clear" w:color="auto" w:fill="FFFFFF"/>
          <w:lang w:val="fr-FR"/>
        </w:rPr>
        <w:t xml:space="preserve">Règlement (UE) n °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disponible ici : </w:t>
      </w:r>
      <w:hyperlink r:id="rId29" w:history="1">
        <w:r w:rsidRPr="00FC399B">
          <w:rPr>
            <w:rStyle w:val="Hyperlink"/>
            <w:rFonts w:asciiTheme="majorBidi" w:hAnsiTheme="majorBidi" w:cstheme="majorBidi"/>
            <w:sz w:val="22"/>
            <w:szCs w:val="22"/>
            <w:shd w:val="clear" w:color="auto" w:fill="FFFFFF"/>
            <w:lang w:val="fr-FR"/>
          </w:rPr>
          <w:t>https://eur-lex.europa.eu/legal-content/FR/TXT/?uri=celex%3A32013R0604</w:t>
        </w:r>
      </w:hyperlink>
      <w:r w:rsidRPr="00FC399B">
        <w:rPr>
          <w:rFonts w:asciiTheme="majorBidi" w:hAnsiTheme="majorBidi" w:cstheme="majorBidi"/>
          <w:color w:val="000000"/>
          <w:sz w:val="22"/>
          <w:szCs w:val="22"/>
          <w:shd w:val="clear" w:color="auto" w:fill="FFFFFF"/>
          <w:lang w:val="fr-FR"/>
        </w:rPr>
        <w:t> </w:t>
      </w:r>
    </w:p>
    <w:p w14:paraId="0977159D" w14:textId="77777777" w:rsidR="00D603C3" w:rsidRPr="00FC399B" w:rsidRDefault="00D603C3" w:rsidP="00D603C3">
      <w:pPr>
        <w:spacing w:after="240"/>
        <w:rPr>
          <w:rFonts w:asciiTheme="majorBidi" w:hAnsiTheme="majorBidi" w:cstheme="majorBidi"/>
          <w:lang w:val="fr-FR"/>
        </w:rPr>
      </w:pPr>
    </w:p>
    <w:p w14:paraId="3884ECE5" w14:textId="77777777" w:rsidR="0045738C" w:rsidRPr="00FC399B" w:rsidRDefault="0045738C" w:rsidP="00D603C3">
      <w:pPr>
        <w:spacing w:before="120" w:after="120"/>
        <w:jc w:val="both"/>
        <w:rPr>
          <w:rFonts w:asciiTheme="majorBidi" w:eastAsia="Times New Roman" w:hAnsiTheme="majorBidi" w:cstheme="majorBidi"/>
          <w:lang w:val="fr-FR"/>
        </w:rPr>
      </w:pPr>
    </w:p>
    <w:sectPr w:rsidR="0045738C" w:rsidRPr="00FC399B" w:rsidSect="0097349B">
      <w:headerReference w:type="default" r:id="rId30"/>
      <w:footerReference w:type="default" r:id="rId31"/>
      <w:headerReference w:type="first" r:id="rId32"/>
      <w:footerReference w:type="first" r:id="rId33"/>
      <w:pgSz w:w="11906" w:h="16838"/>
      <w:pgMar w:top="1417" w:right="1417" w:bottom="1134" w:left="1080"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AF18" w14:textId="77777777" w:rsidR="00C01CDC" w:rsidRDefault="00C01CDC" w:rsidP="009F33E9">
      <w:pPr>
        <w:spacing w:after="0" w:line="240" w:lineRule="auto"/>
      </w:pPr>
      <w:r>
        <w:separator/>
      </w:r>
    </w:p>
  </w:endnote>
  <w:endnote w:type="continuationSeparator" w:id="0">
    <w:p w14:paraId="205D277F" w14:textId="77777777" w:rsidR="00C01CDC" w:rsidRDefault="00C01CDC" w:rsidP="009F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1796"/>
      <w:docPartObj>
        <w:docPartGallery w:val="Page Numbers (Bottom of Page)"/>
        <w:docPartUnique/>
      </w:docPartObj>
    </w:sdtPr>
    <w:sdtEndPr>
      <w:rPr>
        <w:rFonts w:ascii="Arial" w:hAnsi="Arial" w:cs="Arial"/>
        <w:noProof/>
        <w:sz w:val="18"/>
        <w:szCs w:val="18"/>
      </w:rPr>
    </w:sdtEndPr>
    <w:sdtContent>
      <w:p w14:paraId="125B4EC5" w14:textId="77777777" w:rsidR="00BE10FA" w:rsidRPr="0097349B" w:rsidRDefault="00BE10FA" w:rsidP="00904191">
        <w:pPr>
          <w:pStyle w:val="Fuzeile"/>
          <w:spacing w:after="120"/>
          <w:rPr>
            <w:rFonts w:ascii="Arial" w:hAnsi="Arial" w:cs="Arial"/>
            <w:sz w:val="18"/>
          </w:rPr>
        </w:pPr>
      </w:p>
      <w:p w14:paraId="53E9A658" w14:textId="77777777" w:rsidR="00BE10FA" w:rsidRPr="0097349B" w:rsidRDefault="00BE10FA" w:rsidP="0097349B">
        <w:pPr>
          <w:pStyle w:val="Fuzeile"/>
          <w:jc w:val="right"/>
          <w:rPr>
            <w:rFonts w:ascii="Arial" w:hAnsi="Arial" w:cs="Arial"/>
            <w:sz w:val="18"/>
            <w:szCs w:val="18"/>
          </w:rPr>
        </w:pPr>
        <w:r w:rsidRPr="0097349B">
          <w:rPr>
            <w:rFonts w:ascii="Arial" w:hAnsi="Arial" w:cs="Arial"/>
            <w:sz w:val="18"/>
            <w:szCs w:val="18"/>
          </w:rPr>
          <w:fldChar w:fldCharType="begin"/>
        </w:r>
        <w:r w:rsidRPr="0097349B">
          <w:rPr>
            <w:rFonts w:ascii="Arial" w:hAnsi="Arial" w:cs="Arial"/>
            <w:sz w:val="18"/>
            <w:szCs w:val="18"/>
          </w:rPr>
          <w:instrText xml:space="preserve"> PAGE   \* MERGEFORMAT </w:instrText>
        </w:r>
        <w:r w:rsidRPr="0097349B">
          <w:rPr>
            <w:rFonts w:ascii="Arial" w:hAnsi="Arial" w:cs="Arial"/>
            <w:sz w:val="18"/>
            <w:szCs w:val="18"/>
          </w:rPr>
          <w:fldChar w:fldCharType="separate"/>
        </w:r>
        <w:r>
          <w:rPr>
            <w:rFonts w:ascii="Arial" w:hAnsi="Arial" w:cs="Arial"/>
            <w:noProof/>
            <w:sz w:val="18"/>
            <w:szCs w:val="18"/>
          </w:rPr>
          <w:t>2</w:t>
        </w:r>
        <w:r w:rsidRPr="0097349B">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2770" w14:textId="77777777" w:rsidR="00BE10FA" w:rsidRPr="009F33E9" w:rsidRDefault="00BE10FA" w:rsidP="0097349B">
    <w:pPr>
      <w:pStyle w:val="Fuzeile"/>
      <w:spacing w:after="120"/>
      <w:jc w:val="center"/>
      <w:rPr>
        <w:rFonts w:ascii="Arial" w:hAnsi="Arial" w:cs="Arial"/>
        <w:color w:val="4F81BD" w:themeColor="accent1"/>
        <w:sz w:val="18"/>
      </w:rPr>
    </w:pPr>
    <w:r w:rsidRPr="009F33E9">
      <w:rPr>
        <w:rFonts w:ascii="Arial" w:hAnsi="Arial" w:cs="Arial"/>
        <w:color w:val="4F81BD" w:themeColor="accent1"/>
        <w:sz w:val="18"/>
      </w:rPr>
      <w:t>______________________________________________________________________________________</w:t>
    </w:r>
  </w:p>
  <w:p w14:paraId="0A56BE18" w14:textId="77777777" w:rsidR="00BE10FA" w:rsidRPr="0097349B" w:rsidRDefault="00BE10FA" w:rsidP="0BD9061B">
    <w:pPr>
      <w:pStyle w:val="Fuzeile"/>
      <w:spacing w:after="120"/>
      <w:jc w:val="center"/>
      <w:rPr>
        <w:rFonts w:ascii="Arial" w:hAnsi="Arial" w:cs="Arial"/>
        <w:sz w:val="18"/>
        <w:szCs w:val="18"/>
      </w:rPr>
    </w:pPr>
    <w:proofErr w:type="spellStart"/>
    <w:r w:rsidRPr="0BD9061B">
      <w:rPr>
        <w:rFonts w:ascii="Arial" w:hAnsi="Arial" w:cs="Arial"/>
        <w:b/>
        <w:bCs/>
        <w:sz w:val="18"/>
        <w:szCs w:val="18"/>
      </w:rPr>
      <w:t>AsyLex</w:t>
    </w:r>
    <w:proofErr w:type="spellEnd"/>
    <w:r w:rsidRPr="0BD9061B">
      <w:rPr>
        <w:rFonts w:ascii="Arial" w:hAnsi="Arial" w:cs="Arial"/>
        <w:sz w:val="18"/>
        <w:szCs w:val="18"/>
      </w:rPr>
      <w:t xml:space="preserve"> - legal advice on Swiss asylum law</w:t>
    </w:r>
    <w:r>
      <w:br/>
    </w:r>
    <w:r w:rsidRPr="0BD9061B">
      <w:rPr>
        <w:rFonts w:ascii="Arial" w:hAnsi="Arial" w:cs="Arial"/>
        <w:sz w:val="18"/>
        <w:szCs w:val="18"/>
      </w:rPr>
      <w:t>info@AsyLex.ch ~ www.AsyLex.ch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AD69" w14:textId="77777777" w:rsidR="00C01CDC" w:rsidRDefault="00C01CDC" w:rsidP="009F33E9">
      <w:pPr>
        <w:spacing w:after="0" w:line="240" w:lineRule="auto"/>
      </w:pPr>
      <w:r>
        <w:separator/>
      </w:r>
    </w:p>
  </w:footnote>
  <w:footnote w:type="continuationSeparator" w:id="0">
    <w:p w14:paraId="01FC8724" w14:textId="77777777" w:rsidR="00C01CDC" w:rsidRDefault="00C01CDC" w:rsidP="009F33E9">
      <w:pPr>
        <w:spacing w:after="0" w:line="240" w:lineRule="auto"/>
      </w:pPr>
      <w:r>
        <w:continuationSeparator/>
      </w:r>
    </w:p>
  </w:footnote>
  <w:footnote w:id="1">
    <w:p w14:paraId="66A4F636" w14:textId="77777777" w:rsidR="00531883" w:rsidRPr="003F7094" w:rsidRDefault="00531883">
      <w:pPr>
        <w:pStyle w:val="Funotentext"/>
        <w:rPr>
          <w:lang w:val="fr-FR"/>
        </w:rPr>
      </w:pPr>
      <w:r>
        <w:rPr>
          <w:rStyle w:val="Funotenzeichen"/>
        </w:rPr>
        <w:footnoteRef/>
      </w:r>
      <w:r w:rsidRPr="003F7094">
        <w:rPr>
          <w:lang w:val="fr-FR"/>
        </w:rPr>
        <w:t xml:space="preserve"> For all </w:t>
      </w:r>
      <w:proofErr w:type="spellStart"/>
      <w:r w:rsidRPr="003F7094">
        <w:rPr>
          <w:lang w:val="fr-FR"/>
        </w:rPr>
        <w:t>statistical</w:t>
      </w:r>
      <w:proofErr w:type="spellEnd"/>
      <w:r w:rsidRPr="003F7094">
        <w:rPr>
          <w:lang w:val="fr-FR"/>
        </w:rPr>
        <w:t xml:space="preserve"> data, </w:t>
      </w:r>
      <w:proofErr w:type="spellStart"/>
      <w:r w:rsidRPr="003F7094">
        <w:rPr>
          <w:lang w:val="fr-FR"/>
        </w:rPr>
        <w:t>see</w:t>
      </w:r>
      <w:proofErr w:type="spellEnd"/>
      <w:r w:rsidRPr="003F7094">
        <w:rPr>
          <w:lang w:val="fr-FR"/>
        </w:rPr>
        <w:t xml:space="preserve"> in </w:t>
      </w:r>
      <w:proofErr w:type="spellStart"/>
      <w:r w:rsidRPr="003F7094">
        <w:rPr>
          <w:lang w:val="fr-FR"/>
        </w:rPr>
        <w:t>particular</w:t>
      </w:r>
      <w:proofErr w:type="spellEnd"/>
      <w:r w:rsidRPr="003F7094">
        <w:rPr>
          <w:lang w:val="fr-FR"/>
        </w:rPr>
        <w:t xml:space="preserve"> SEM, Commentaire sur la statistique en matière d’asile 2021, 15 </w:t>
      </w:r>
      <w:proofErr w:type="spellStart"/>
      <w:r w:rsidRPr="003F7094">
        <w:rPr>
          <w:lang w:val="fr-FR"/>
        </w:rPr>
        <w:t>February</w:t>
      </w:r>
      <w:proofErr w:type="spellEnd"/>
      <w:r w:rsidRPr="003F7094">
        <w:rPr>
          <w:lang w:val="fr-FR"/>
        </w:rPr>
        <w:t xml:space="preserve"> </w:t>
      </w:r>
      <w:proofErr w:type="gramStart"/>
      <w:r w:rsidRPr="003F7094">
        <w:rPr>
          <w:lang w:val="fr-FR"/>
        </w:rPr>
        <w:t>2022:</w:t>
      </w:r>
      <w:proofErr w:type="gramEnd"/>
      <w:r w:rsidRPr="003F7094">
        <w:rPr>
          <w:lang w:val="fr-FR"/>
        </w:rPr>
        <w:t xml:space="preserve"> </w:t>
      </w:r>
      <w:hyperlink r:id="rId1" w:history="1">
        <w:r w:rsidRPr="003F7094">
          <w:rPr>
            <w:rStyle w:val="Hyperlink"/>
            <w:lang w:val="fr-FR"/>
          </w:rPr>
          <w:t>https://www.sem.admin.ch/dam/sem/fr/data/publiservice/statistik/asylstatistik/2021/stat-jahr-2021-kommentar.pdf.download.pdf/stat-jahr-2021-kommentar-f.pdf</w:t>
        </w:r>
      </w:hyperlink>
      <w:r w:rsidRPr="003F7094">
        <w:rPr>
          <w:lang w:val="fr-FR"/>
        </w:rPr>
        <w:t xml:space="preserve">. </w:t>
      </w:r>
    </w:p>
  </w:footnote>
  <w:footnote w:id="2">
    <w:p w14:paraId="6186542D" w14:textId="77777777" w:rsidR="00BE10FA" w:rsidRPr="00363AE8" w:rsidRDefault="00BE10FA">
      <w:pPr>
        <w:pStyle w:val="Funotentext"/>
      </w:pPr>
      <w:r w:rsidRPr="00F978E3">
        <w:rPr>
          <w:rStyle w:val="Funotenzeichen"/>
          <w:rFonts w:ascii="Times New Roman" w:hAnsi="Times New Roman" w:cs="Times New Roman"/>
        </w:rPr>
        <w:footnoteRef/>
      </w:r>
      <w:r w:rsidRPr="00F978E3">
        <w:rPr>
          <w:rFonts w:ascii="Times New Roman" w:hAnsi="Times New Roman" w:cs="Times New Roman"/>
        </w:rPr>
        <w:t xml:space="preserve"> See </w:t>
      </w:r>
      <w:proofErr w:type="gramStart"/>
      <w:r w:rsidRPr="00F978E3">
        <w:rPr>
          <w:rFonts w:ascii="Times New Roman" w:hAnsi="Times New Roman" w:cs="Times New Roman"/>
        </w:rPr>
        <w:t>e.g.</w:t>
      </w:r>
      <w:proofErr w:type="gramEnd"/>
      <w:r w:rsidRPr="00F978E3">
        <w:rPr>
          <w:rFonts w:ascii="Times New Roman" w:hAnsi="Times New Roman" w:cs="Times New Roman"/>
        </w:rPr>
        <w:t xml:space="preserve"> </w:t>
      </w:r>
      <w:hyperlink r:id="rId2" w:history="1">
        <w:r w:rsidR="00053CDD" w:rsidRPr="00AB223F">
          <w:rPr>
            <w:rStyle w:val="Hyperlink"/>
            <w:rFonts w:ascii="Times New Roman" w:hAnsi="Times New Roman" w:cs="Times New Roman"/>
          </w:rPr>
          <w:t>A</w:t>
        </w:r>
        <w:r w:rsidRPr="00AB223F">
          <w:rPr>
            <w:rStyle w:val="Hyperlink"/>
            <w:rFonts w:ascii="Times New Roman" w:hAnsi="Times New Roman" w:cs="Times New Roman"/>
          </w:rPr>
          <w:t>rt</w:t>
        </w:r>
        <w:r w:rsidR="00053CDD" w:rsidRPr="00AB223F">
          <w:rPr>
            <w:rStyle w:val="Hyperlink"/>
            <w:rFonts w:ascii="Times New Roman" w:hAnsi="Times New Roman" w:cs="Times New Roman"/>
          </w:rPr>
          <w:t>s</w:t>
        </w:r>
        <w:r w:rsidRPr="00AB223F">
          <w:rPr>
            <w:rStyle w:val="Hyperlink"/>
            <w:rFonts w:ascii="Times New Roman" w:hAnsi="Times New Roman" w:cs="Times New Roman"/>
          </w:rPr>
          <w:t xml:space="preserve">. 26b, 31a, 42, 105, 107a </w:t>
        </w:r>
        <w:proofErr w:type="spellStart"/>
        <w:r w:rsidRPr="00AB223F">
          <w:rPr>
            <w:rStyle w:val="Hyperlink"/>
            <w:rFonts w:ascii="Times New Roman" w:hAnsi="Times New Roman" w:cs="Times New Roman"/>
          </w:rPr>
          <w:t>AsylA</w:t>
        </w:r>
        <w:proofErr w:type="spellEnd"/>
        <w:r w:rsidRPr="00AB223F">
          <w:rPr>
            <w:rStyle w:val="Hyperlink"/>
            <w:rFonts w:ascii="Times New Roman" w:hAnsi="Times New Roman" w:cs="Times New Roman"/>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55FE" w14:textId="77777777" w:rsidR="00BE10FA" w:rsidRDefault="00BE10FA">
    <w:pPr>
      <w:pStyle w:val="Kopfzeile"/>
    </w:pPr>
    <w:r>
      <w:rPr>
        <w:noProof/>
        <w:lang w:val="de-CH" w:eastAsia="de-CH"/>
      </w:rPr>
      <w:drawing>
        <wp:anchor distT="0" distB="0" distL="114300" distR="114300" simplePos="0" relativeHeight="251658240" behindDoc="1" locked="0" layoutInCell="1" allowOverlap="1" wp14:anchorId="6D4D2D77" wp14:editId="44D61CE6">
          <wp:simplePos x="0" y="0"/>
          <wp:positionH relativeFrom="column">
            <wp:posOffset>-147320</wp:posOffset>
          </wp:positionH>
          <wp:positionV relativeFrom="paragraph">
            <wp:posOffset>-287655</wp:posOffset>
          </wp:positionV>
          <wp:extent cx="1695450" cy="584200"/>
          <wp:effectExtent l="0" t="0" r="0" b="6350"/>
          <wp:wrapTight wrapText="bothSides">
            <wp:wrapPolygon edited="0">
              <wp:start x="0" y="0"/>
              <wp:lineTo x="0" y="21130"/>
              <wp:lineTo x="21357" y="21130"/>
              <wp:lineTo x="21357" y="0"/>
              <wp:lineTo x="0" y="0"/>
            </wp:wrapPolygon>
          </wp:wrapTight>
          <wp:docPr id="1" name="Picture 1" descr="C:\Users\hunl\Desktop\AsyLex\AsyLex Logo 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nl\Desktop\AsyLex\AsyLex Logo qu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584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9F83" w14:textId="77777777" w:rsidR="00BE10FA" w:rsidRDefault="00BE10FA">
    <w:pPr>
      <w:pStyle w:val="Kopfzeile"/>
    </w:pPr>
    <w:r>
      <w:rPr>
        <w:noProof/>
        <w:lang w:val="de-CH" w:eastAsia="de-CH"/>
      </w:rPr>
      <w:drawing>
        <wp:anchor distT="0" distB="0" distL="114300" distR="114300" simplePos="0" relativeHeight="251660288" behindDoc="1" locked="0" layoutInCell="1" allowOverlap="1" wp14:anchorId="651F8855" wp14:editId="05BE0A7C">
          <wp:simplePos x="0" y="0"/>
          <wp:positionH relativeFrom="column">
            <wp:posOffset>-137160</wp:posOffset>
          </wp:positionH>
          <wp:positionV relativeFrom="paragraph">
            <wp:posOffset>-252095</wp:posOffset>
          </wp:positionV>
          <wp:extent cx="1695450" cy="584200"/>
          <wp:effectExtent l="0" t="0" r="0" b="0"/>
          <wp:wrapTight wrapText="bothSides">
            <wp:wrapPolygon edited="0">
              <wp:start x="0" y="0"/>
              <wp:lineTo x="0" y="21130"/>
              <wp:lineTo x="21357" y="21130"/>
              <wp:lineTo x="21357" y="0"/>
              <wp:lineTo x="0" y="0"/>
            </wp:wrapPolygon>
          </wp:wrapTight>
          <wp:docPr id="2" name="Picture 2" descr="C:\Users\hunl\Desktop\AsyLex\AsyLex Logo 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nl\Desktop\AsyLex\AsyLex Logo qu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584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C0BC8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CF1A7E"/>
    <w:multiLevelType w:val="hybridMultilevel"/>
    <w:tmpl w:val="F3909C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603200"/>
    <w:multiLevelType w:val="multilevel"/>
    <w:tmpl w:val="F4C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05797"/>
    <w:multiLevelType w:val="hybridMultilevel"/>
    <w:tmpl w:val="9A621C7C"/>
    <w:lvl w:ilvl="0" w:tplc="B1E081BC">
      <w:start w:val="4133"/>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A50A92"/>
    <w:multiLevelType w:val="hybridMultilevel"/>
    <w:tmpl w:val="2C1A4BD4"/>
    <w:lvl w:ilvl="0" w:tplc="20000015">
      <w:start w:val="1"/>
      <w:numFmt w:val="upperLetter"/>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BF79C1"/>
    <w:multiLevelType w:val="multilevel"/>
    <w:tmpl w:val="5D10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A7148"/>
    <w:multiLevelType w:val="multilevel"/>
    <w:tmpl w:val="4F24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12AFB"/>
    <w:multiLevelType w:val="hybridMultilevel"/>
    <w:tmpl w:val="3C4C85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B842E8"/>
    <w:multiLevelType w:val="multilevel"/>
    <w:tmpl w:val="2434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64C40"/>
    <w:multiLevelType w:val="hybridMultilevel"/>
    <w:tmpl w:val="A02C68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6913FF"/>
    <w:multiLevelType w:val="multilevel"/>
    <w:tmpl w:val="9A90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129B7"/>
    <w:multiLevelType w:val="multilevel"/>
    <w:tmpl w:val="2A94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B7E4E"/>
    <w:multiLevelType w:val="multilevel"/>
    <w:tmpl w:val="9662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A3DB2"/>
    <w:multiLevelType w:val="multilevel"/>
    <w:tmpl w:val="3F8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422DA"/>
    <w:multiLevelType w:val="hybridMultilevel"/>
    <w:tmpl w:val="57CA680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EFA127F"/>
    <w:multiLevelType w:val="hybridMultilevel"/>
    <w:tmpl w:val="9760C4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8727D3"/>
    <w:multiLevelType w:val="multilevel"/>
    <w:tmpl w:val="2AE4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75F37"/>
    <w:multiLevelType w:val="multilevel"/>
    <w:tmpl w:val="249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D55BF"/>
    <w:multiLevelType w:val="hybridMultilevel"/>
    <w:tmpl w:val="2BE2F910"/>
    <w:lvl w:ilvl="0" w:tplc="65D64E0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07FBF"/>
    <w:multiLevelType w:val="multilevel"/>
    <w:tmpl w:val="2074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A40A21"/>
    <w:multiLevelType w:val="hybridMultilevel"/>
    <w:tmpl w:val="8966801A"/>
    <w:lvl w:ilvl="0" w:tplc="F17CB778">
      <w:start w:val="3"/>
      <w:numFmt w:val="upperRoman"/>
      <w:lvlText w:val="%1."/>
      <w:lvlJc w:val="right"/>
      <w:pPr>
        <w:tabs>
          <w:tab w:val="num" w:pos="720"/>
        </w:tabs>
        <w:ind w:left="720" w:hanging="360"/>
      </w:pPr>
    </w:lvl>
    <w:lvl w:ilvl="1" w:tplc="E7C4E346" w:tentative="1">
      <w:start w:val="1"/>
      <w:numFmt w:val="decimal"/>
      <w:lvlText w:val="%2."/>
      <w:lvlJc w:val="left"/>
      <w:pPr>
        <w:tabs>
          <w:tab w:val="num" w:pos="1440"/>
        </w:tabs>
        <w:ind w:left="1440" w:hanging="360"/>
      </w:pPr>
    </w:lvl>
    <w:lvl w:ilvl="2" w:tplc="81AAF5EC" w:tentative="1">
      <w:start w:val="1"/>
      <w:numFmt w:val="decimal"/>
      <w:lvlText w:val="%3."/>
      <w:lvlJc w:val="left"/>
      <w:pPr>
        <w:tabs>
          <w:tab w:val="num" w:pos="2160"/>
        </w:tabs>
        <w:ind w:left="2160" w:hanging="360"/>
      </w:pPr>
    </w:lvl>
    <w:lvl w:ilvl="3" w:tplc="1916B9D4" w:tentative="1">
      <w:start w:val="1"/>
      <w:numFmt w:val="decimal"/>
      <w:lvlText w:val="%4."/>
      <w:lvlJc w:val="left"/>
      <w:pPr>
        <w:tabs>
          <w:tab w:val="num" w:pos="2880"/>
        </w:tabs>
        <w:ind w:left="2880" w:hanging="360"/>
      </w:pPr>
    </w:lvl>
    <w:lvl w:ilvl="4" w:tplc="6E20400C" w:tentative="1">
      <w:start w:val="1"/>
      <w:numFmt w:val="decimal"/>
      <w:lvlText w:val="%5."/>
      <w:lvlJc w:val="left"/>
      <w:pPr>
        <w:tabs>
          <w:tab w:val="num" w:pos="3600"/>
        </w:tabs>
        <w:ind w:left="3600" w:hanging="360"/>
      </w:pPr>
    </w:lvl>
    <w:lvl w:ilvl="5" w:tplc="8670E9C6" w:tentative="1">
      <w:start w:val="1"/>
      <w:numFmt w:val="decimal"/>
      <w:lvlText w:val="%6."/>
      <w:lvlJc w:val="left"/>
      <w:pPr>
        <w:tabs>
          <w:tab w:val="num" w:pos="4320"/>
        </w:tabs>
        <w:ind w:left="4320" w:hanging="360"/>
      </w:pPr>
    </w:lvl>
    <w:lvl w:ilvl="6" w:tplc="E57098DC" w:tentative="1">
      <w:start w:val="1"/>
      <w:numFmt w:val="decimal"/>
      <w:lvlText w:val="%7."/>
      <w:lvlJc w:val="left"/>
      <w:pPr>
        <w:tabs>
          <w:tab w:val="num" w:pos="5040"/>
        </w:tabs>
        <w:ind w:left="5040" w:hanging="360"/>
      </w:pPr>
    </w:lvl>
    <w:lvl w:ilvl="7" w:tplc="AEB29100" w:tentative="1">
      <w:start w:val="1"/>
      <w:numFmt w:val="decimal"/>
      <w:lvlText w:val="%8."/>
      <w:lvlJc w:val="left"/>
      <w:pPr>
        <w:tabs>
          <w:tab w:val="num" w:pos="5760"/>
        </w:tabs>
        <w:ind w:left="5760" w:hanging="360"/>
      </w:pPr>
    </w:lvl>
    <w:lvl w:ilvl="8" w:tplc="18C6E3DE" w:tentative="1">
      <w:start w:val="1"/>
      <w:numFmt w:val="decimal"/>
      <w:lvlText w:val="%9."/>
      <w:lvlJc w:val="left"/>
      <w:pPr>
        <w:tabs>
          <w:tab w:val="num" w:pos="6480"/>
        </w:tabs>
        <w:ind w:left="6480" w:hanging="360"/>
      </w:pPr>
    </w:lvl>
  </w:abstractNum>
  <w:abstractNum w:abstractNumId="21" w15:restartNumberingAfterBreak="0">
    <w:nsid w:val="600D205A"/>
    <w:multiLevelType w:val="multilevel"/>
    <w:tmpl w:val="B7F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70089"/>
    <w:multiLevelType w:val="hybridMultilevel"/>
    <w:tmpl w:val="DEC24982"/>
    <w:lvl w:ilvl="0" w:tplc="2FC898C2">
      <w:start w:val="3"/>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B7591A"/>
    <w:multiLevelType w:val="hybridMultilevel"/>
    <w:tmpl w:val="D04ED6F4"/>
    <w:lvl w:ilvl="0" w:tplc="4FC80E96">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1E0519"/>
    <w:multiLevelType w:val="hybridMultilevel"/>
    <w:tmpl w:val="621AEF5C"/>
    <w:lvl w:ilvl="0" w:tplc="6F1CDDC4">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E969D5"/>
    <w:multiLevelType w:val="multilevel"/>
    <w:tmpl w:val="BDE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27CAF"/>
    <w:multiLevelType w:val="hybridMultilevel"/>
    <w:tmpl w:val="D46A7D98"/>
    <w:lvl w:ilvl="0" w:tplc="04070013">
      <w:start w:val="1"/>
      <w:numFmt w:val="upperRoman"/>
      <w:lvlText w:val="%1."/>
      <w:lvlJc w:val="right"/>
      <w:pPr>
        <w:ind w:left="720" w:hanging="360"/>
      </w:pPr>
    </w:lvl>
    <w:lvl w:ilvl="1" w:tplc="2EEA33A6" w:tentative="1">
      <w:start w:val="1"/>
      <w:numFmt w:val="decimal"/>
      <w:lvlText w:val="%2."/>
      <w:lvlJc w:val="left"/>
      <w:pPr>
        <w:tabs>
          <w:tab w:val="num" w:pos="1440"/>
        </w:tabs>
        <w:ind w:left="1440" w:hanging="360"/>
      </w:pPr>
    </w:lvl>
    <w:lvl w:ilvl="2" w:tplc="E1643540" w:tentative="1">
      <w:start w:val="1"/>
      <w:numFmt w:val="decimal"/>
      <w:lvlText w:val="%3."/>
      <w:lvlJc w:val="left"/>
      <w:pPr>
        <w:tabs>
          <w:tab w:val="num" w:pos="2160"/>
        </w:tabs>
        <w:ind w:left="2160" w:hanging="360"/>
      </w:pPr>
    </w:lvl>
    <w:lvl w:ilvl="3" w:tplc="5F5A9B1E" w:tentative="1">
      <w:start w:val="1"/>
      <w:numFmt w:val="decimal"/>
      <w:lvlText w:val="%4."/>
      <w:lvlJc w:val="left"/>
      <w:pPr>
        <w:tabs>
          <w:tab w:val="num" w:pos="2880"/>
        </w:tabs>
        <w:ind w:left="2880" w:hanging="360"/>
      </w:pPr>
    </w:lvl>
    <w:lvl w:ilvl="4" w:tplc="7452CC62" w:tentative="1">
      <w:start w:val="1"/>
      <w:numFmt w:val="decimal"/>
      <w:lvlText w:val="%5."/>
      <w:lvlJc w:val="left"/>
      <w:pPr>
        <w:tabs>
          <w:tab w:val="num" w:pos="3600"/>
        </w:tabs>
        <w:ind w:left="3600" w:hanging="360"/>
      </w:pPr>
    </w:lvl>
    <w:lvl w:ilvl="5" w:tplc="5394B600" w:tentative="1">
      <w:start w:val="1"/>
      <w:numFmt w:val="decimal"/>
      <w:lvlText w:val="%6."/>
      <w:lvlJc w:val="left"/>
      <w:pPr>
        <w:tabs>
          <w:tab w:val="num" w:pos="4320"/>
        </w:tabs>
        <w:ind w:left="4320" w:hanging="360"/>
      </w:pPr>
    </w:lvl>
    <w:lvl w:ilvl="6" w:tplc="9DDED8C4" w:tentative="1">
      <w:start w:val="1"/>
      <w:numFmt w:val="decimal"/>
      <w:lvlText w:val="%7."/>
      <w:lvlJc w:val="left"/>
      <w:pPr>
        <w:tabs>
          <w:tab w:val="num" w:pos="5040"/>
        </w:tabs>
        <w:ind w:left="5040" w:hanging="360"/>
      </w:pPr>
    </w:lvl>
    <w:lvl w:ilvl="7" w:tplc="7510730A" w:tentative="1">
      <w:start w:val="1"/>
      <w:numFmt w:val="decimal"/>
      <w:lvlText w:val="%8."/>
      <w:lvlJc w:val="left"/>
      <w:pPr>
        <w:tabs>
          <w:tab w:val="num" w:pos="5760"/>
        </w:tabs>
        <w:ind w:left="5760" w:hanging="360"/>
      </w:pPr>
    </w:lvl>
    <w:lvl w:ilvl="8" w:tplc="C80E5A9E" w:tentative="1">
      <w:start w:val="1"/>
      <w:numFmt w:val="decimal"/>
      <w:lvlText w:val="%9."/>
      <w:lvlJc w:val="left"/>
      <w:pPr>
        <w:tabs>
          <w:tab w:val="num" w:pos="6480"/>
        </w:tabs>
        <w:ind w:left="6480" w:hanging="360"/>
      </w:pPr>
    </w:lvl>
  </w:abstractNum>
  <w:abstractNum w:abstractNumId="27" w15:restartNumberingAfterBreak="0">
    <w:nsid w:val="762C35BF"/>
    <w:multiLevelType w:val="hybridMultilevel"/>
    <w:tmpl w:val="58E4A58E"/>
    <w:lvl w:ilvl="0" w:tplc="3C588308">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6135C2"/>
    <w:multiLevelType w:val="hybridMultilevel"/>
    <w:tmpl w:val="47366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92263DA"/>
    <w:multiLevelType w:val="multilevel"/>
    <w:tmpl w:val="C2D6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A78CB"/>
    <w:multiLevelType w:val="hybridMultilevel"/>
    <w:tmpl w:val="68CC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3"/>
  </w:num>
  <w:num w:numId="4">
    <w:abstractNumId w:val="8"/>
  </w:num>
  <w:num w:numId="5">
    <w:abstractNumId w:val="16"/>
  </w:num>
  <w:num w:numId="6">
    <w:abstractNumId w:val="17"/>
  </w:num>
  <w:num w:numId="7">
    <w:abstractNumId w:val="25"/>
  </w:num>
  <w:num w:numId="8">
    <w:abstractNumId w:val="2"/>
  </w:num>
  <w:num w:numId="9">
    <w:abstractNumId w:val="13"/>
  </w:num>
  <w:num w:numId="10">
    <w:abstractNumId w:val="29"/>
  </w:num>
  <w:num w:numId="11">
    <w:abstractNumId w:val="21"/>
  </w:num>
  <w:num w:numId="12">
    <w:abstractNumId w:val="5"/>
  </w:num>
  <w:num w:numId="13">
    <w:abstractNumId w:val="4"/>
  </w:num>
  <w:num w:numId="14">
    <w:abstractNumId w:val="14"/>
  </w:num>
  <w:num w:numId="15">
    <w:abstractNumId w:val="15"/>
  </w:num>
  <w:num w:numId="16">
    <w:abstractNumId w:val="0"/>
  </w:num>
  <w:num w:numId="17">
    <w:abstractNumId w:val="22"/>
  </w:num>
  <w:num w:numId="18">
    <w:abstractNumId w:val="1"/>
  </w:num>
  <w:num w:numId="19">
    <w:abstractNumId w:val="28"/>
  </w:num>
  <w:num w:numId="20">
    <w:abstractNumId w:val="7"/>
  </w:num>
  <w:num w:numId="21">
    <w:abstractNumId w:val="11"/>
    <w:lvlOverride w:ilvl="0">
      <w:lvl w:ilvl="0">
        <w:numFmt w:val="upperRoman"/>
        <w:lvlText w:val="%1."/>
        <w:lvlJc w:val="right"/>
      </w:lvl>
    </w:lvlOverride>
  </w:num>
  <w:num w:numId="22">
    <w:abstractNumId w:val="6"/>
    <w:lvlOverride w:ilvl="0">
      <w:lvl w:ilvl="0">
        <w:numFmt w:val="lowerLetter"/>
        <w:lvlText w:val="%1."/>
        <w:lvlJc w:val="left"/>
      </w:lvl>
    </w:lvlOverride>
  </w:num>
  <w:num w:numId="23">
    <w:abstractNumId w:val="10"/>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26"/>
  </w:num>
  <w:num w:numId="26">
    <w:abstractNumId w:val="19"/>
    <w:lvlOverride w:ilvl="0">
      <w:lvl w:ilvl="0">
        <w:numFmt w:val="lowerLetter"/>
        <w:lvlText w:val="%1."/>
        <w:lvlJc w:val="left"/>
      </w:lvl>
    </w:lvlOverride>
  </w:num>
  <w:num w:numId="27">
    <w:abstractNumId w:val="20"/>
  </w:num>
  <w:num w:numId="28">
    <w:abstractNumId w:val="24"/>
  </w:num>
  <w:num w:numId="29">
    <w:abstractNumId w:val="23"/>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1"/>
    <w:rsid w:val="000311D0"/>
    <w:rsid w:val="000339F9"/>
    <w:rsid w:val="00035018"/>
    <w:rsid w:val="00041B19"/>
    <w:rsid w:val="00053CDD"/>
    <w:rsid w:val="000549B1"/>
    <w:rsid w:val="00065CD5"/>
    <w:rsid w:val="0007020D"/>
    <w:rsid w:val="000940B2"/>
    <w:rsid w:val="00094853"/>
    <w:rsid w:val="000A7A2D"/>
    <w:rsid w:val="000C148C"/>
    <w:rsid w:val="000C4AD5"/>
    <w:rsid w:val="000E1E35"/>
    <w:rsid w:val="00106F24"/>
    <w:rsid w:val="001117BC"/>
    <w:rsid w:val="00112FB9"/>
    <w:rsid w:val="001324F1"/>
    <w:rsid w:val="001524AC"/>
    <w:rsid w:val="00153623"/>
    <w:rsid w:val="0016574A"/>
    <w:rsid w:val="001670D7"/>
    <w:rsid w:val="00192216"/>
    <w:rsid w:val="001947A3"/>
    <w:rsid w:val="001B1F4F"/>
    <w:rsid w:val="001B6E36"/>
    <w:rsid w:val="001C1103"/>
    <w:rsid w:val="001D063E"/>
    <w:rsid w:val="001D2890"/>
    <w:rsid w:val="001D73AE"/>
    <w:rsid w:val="001E0398"/>
    <w:rsid w:val="00207D17"/>
    <w:rsid w:val="002434B8"/>
    <w:rsid w:val="0024724A"/>
    <w:rsid w:val="002502E9"/>
    <w:rsid w:val="002577E8"/>
    <w:rsid w:val="002727E3"/>
    <w:rsid w:val="00274304"/>
    <w:rsid w:val="002848E8"/>
    <w:rsid w:val="002B2326"/>
    <w:rsid w:val="002C29C3"/>
    <w:rsid w:val="002C78EF"/>
    <w:rsid w:val="002D2FDC"/>
    <w:rsid w:val="002E18B5"/>
    <w:rsid w:val="002E3271"/>
    <w:rsid w:val="002E3D29"/>
    <w:rsid w:val="00314AB0"/>
    <w:rsid w:val="00333E4F"/>
    <w:rsid w:val="00361E4E"/>
    <w:rsid w:val="00363AE8"/>
    <w:rsid w:val="0037348C"/>
    <w:rsid w:val="003C695D"/>
    <w:rsid w:val="003F7094"/>
    <w:rsid w:val="00401CA4"/>
    <w:rsid w:val="00412F39"/>
    <w:rsid w:val="00417F07"/>
    <w:rsid w:val="00422792"/>
    <w:rsid w:val="004241D3"/>
    <w:rsid w:val="004249AE"/>
    <w:rsid w:val="00425C0B"/>
    <w:rsid w:val="00441B94"/>
    <w:rsid w:val="00444349"/>
    <w:rsid w:val="0045738C"/>
    <w:rsid w:val="0046088A"/>
    <w:rsid w:val="00470FCC"/>
    <w:rsid w:val="004809CD"/>
    <w:rsid w:val="00483EB7"/>
    <w:rsid w:val="004859BD"/>
    <w:rsid w:val="004D52F1"/>
    <w:rsid w:val="004D60DC"/>
    <w:rsid w:val="004D7D9A"/>
    <w:rsid w:val="00503D22"/>
    <w:rsid w:val="00504596"/>
    <w:rsid w:val="0052055D"/>
    <w:rsid w:val="0052579B"/>
    <w:rsid w:val="00531883"/>
    <w:rsid w:val="00542D44"/>
    <w:rsid w:val="00560CD3"/>
    <w:rsid w:val="0056126A"/>
    <w:rsid w:val="0056511C"/>
    <w:rsid w:val="00570058"/>
    <w:rsid w:val="00570192"/>
    <w:rsid w:val="0057615C"/>
    <w:rsid w:val="00583020"/>
    <w:rsid w:val="00592081"/>
    <w:rsid w:val="005B0F5B"/>
    <w:rsid w:val="005B63E1"/>
    <w:rsid w:val="005E30ED"/>
    <w:rsid w:val="00600644"/>
    <w:rsid w:val="00641ABB"/>
    <w:rsid w:val="006463A8"/>
    <w:rsid w:val="00683C32"/>
    <w:rsid w:val="006967F3"/>
    <w:rsid w:val="006A2DC1"/>
    <w:rsid w:val="006B1276"/>
    <w:rsid w:val="006C6A3A"/>
    <w:rsid w:val="006D0DCC"/>
    <w:rsid w:val="006D18CC"/>
    <w:rsid w:val="006D2A02"/>
    <w:rsid w:val="006D4AA5"/>
    <w:rsid w:val="006D554D"/>
    <w:rsid w:val="006D5DAB"/>
    <w:rsid w:val="006E41A2"/>
    <w:rsid w:val="006F0967"/>
    <w:rsid w:val="006F12A9"/>
    <w:rsid w:val="006F4E07"/>
    <w:rsid w:val="0070169B"/>
    <w:rsid w:val="00712F15"/>
    <w:rsid w:val="007335B1"/>
    <w:rsid w:val="00743EA9"/>
    <w:rsid w:val="007715CB"/>
    <w:rsid w:val="007735AC"/>
    <w:rsid w:val="00787EC2"/>
    <w:rsid w:val="007B122C"/>
    <w:rsid w:val="007D3237"/>
    <w:rsid w:val="007F55F4"/>
    <w:rsid w:val="00805512"/>
    <w:rsid w:val="00821E29"/>
    <w:rsid w:val="00827129"/>
    <w:rsid w:val="00833786"/>
    <w:rsid w:val="00835ABE"/>
    <w:rsid w:val="00843359"/>
    <w:rsid w:val="0086385D"/>
    <w:rsid w:val="00883F6D"/>
    <w:rsid w:val="00897DD8"/>
    <w:rsid w:val="008A4DE4"/>
    <w:rsid w:val="008D67BC"/>
    <w:rsid w:val="008F031D"/>
    <w:rsid w:val="008F42A4"/>
    <w:rsid w:val="00904191"/>
    <w:rsid w:val="00911DA1"/>
    <w:rsid w:val="00934F80"/>
    <w:rsid w:val="0094557A"/>
    <w:rsid w:val="0097349B"/>
    <w:rsid w:val="00996691"/>
    <w:rsid w:val="009A1BEA"/>
    <w:rsid w:val="009E0FCA"/>
    <w:rsid w:val="009F0EED"/>
    <w:rsid w:val="009F33E9"/>
    <w:rsid w:val="009F361F"/>
    <w:rsid w:val="009F6691"/>
    <w:rsid w:val="009F7237"/>
    <w:rsid w:val="00A03840"/>
    <w:rsid w:val="00A06E99"/>
    <w:rsid w:val="00A31B69"/>
    <w:rsid w:val="00A44842"/>
    <w:rsid w:val="00A44CA5"/>
    <w:rsid w:val="00A64829"/>
    <w:rsid w:val="00A74D79"/>
    <w:rsid w:val="00A83880"/>
    <w:rsid w:val="00A90730"/>
    <w:rsid w:val="00A90DB0"/>
    <w:rsid w:val="00AA1F26"/>
    <w:rsid w:val="00AB223F"/>
    <w:rsid w:val="00AB6FFA"/>
    <w:rsid w:val="00AC3076"/>
    <w:rsid w:val="00AC64FE"/>
    <w:rsid w:val="00AE5587"/>
    <w:rsid w:val="00AF077B"/>
    <w:rsid w:val="00AF1401"/>
    <w:rsid w:val="00AF3787"/>
    <w:rsid w:val="00B30098"/>
    <w:rsid w:val="00B30AF4"/>
    <w:rsid w:val="00B54C35"/>
    <w:rsid w:val="00B60F1C"/>
    <w:rsid w:val="00B60F8E"/>
    <w:rsid w:val="00B72792"/>
    <w:rsid w:val="00B86750"/>
    <w:rsid w:val="00B8710D"/>
    <w:rsid w:val="00BA26F5"/>
    <w:rsid w:val="00BD0503"/>
    <w:rsid w:val="00BD1E98"/>
    <w:rsid w:val="00BD7AA5"/>
    <w:rsid w:val="00BE10FA"/>
    <w:rsid w:val="00BE25A3"/>
    <w:rsid w:val="00C01CDC"/>
    <w:rsid w:val="00C1353C"/>
    <w:rsid w:val="00C1401F"/>
    <w:rsid w:val="00C16CEF"/>
    <w:rsid w:val="00C27FEA"/>
    <w:rsid w:val="00C31704"/>
    <w:rsid w:val="00C33C2B"/>
    <w:rsid w:val="00C44571"/>
    <w:rsid w:val="00C45158"/>
    <w:rsid w:val="00C7001C"/>
    <w:rsid w:val="00C74CB0"/>
    <w:rsid w:val="00C80B34"/>
    <w:rsid w:val="00C86771"/>
    <w:rsid w:val="00CA541B"/>
    <w:rsid w:val="00CC0BE3"/>
    <w:rsid w:val="00CF4C4E"/>
    <w:rsid w:val="00D06FD8"/>
    <w:rsid w:val="00D23AA8"/>
    <w:rsid w:val="00D26927"/>
    <w:rsid w:val="00D3399C"/>
    <w:rsid w:val="00D603C3"/>
    <w:rsid w:val="00D607A6"/>
    <w:rsid w:val="00D61A37"/>
    <w:rsid w:val="00D700EC"/>
    <w:rsid w:val="00D71838"/>
    <w:rsid w:val="00D91D4A"/>
    <w:rsid w:val="00D92FBD"/>
    <w:rsid w:val="00D9438E"/>
    <w:rsid w:val="00D97980"/>
    <w:rsid w:val="00DA6F38"/>
    <w:rsid w:val="00DA7B11"/>
    <w:rsid w:val="00DB772C"/>
    <w:rsid w:val="00DD33DF"/>
    <w:rsid w:val="00DE19FF"/>
    <w:rsid w:val="00DE4C41"/>
    <w:rsid w:val="00E01E65"/>
    <w:rsid w:val="00E1243F"/>
    <w:rsid w:val="00E22AAB"/>
    <w:rsid w:val="00E2492D"/>
    <w:rsid w:val="00E30E41"/>
    <w:rsid w:val="00E34F6B"/>
    <w:rsid w:val="00E53EF5"/>
    <w:rsid w:val="00E74851"/>
    <w:rsid w:val="00E76939"/>
    <w:rsid w:val="00E81F94"/>
    <w:rsid w:val="00E82644"/>
    <w:rsid w:val="00E972E1"/>
    <w:rsid w:val="00EA3EF4"/>
    <w:rsid w:val="00EA6415"/>
    <w:rsid w:val="00EC4B60"/>
    <w:rsid w:val="00EE2F03"/>
    <w:rsid w:val="00EE4F95"/>
    <w:rsid w:val="00EE64B5"/>
    <w:rsid w:val="00EE7D0D"/>
    <w:rsid w:val="00EF4D54"/>
    <w:rsid w:val="00F13E55"/>
    <w:rsid w:val="00F21EDB"/>
    <w:rsid w:val="00F35EB1"/>
    <w:rsid w:val="00F37D75"/>
    <w:rsid w:val="00F666C6"/>
    <w:rsid w:val="00F816A1"/>
    <w:rsid w:val="00F85F00"/>
    <w:rsid w:val="00F915E5"/>
    <w:rsid w:val="00F978E3"/>
    <w:rsid w:val="00FC399B"/>
    <w:rsid w:val="00FD2557"/>
    <w:rsid w:val="00FE2DE0"/>
    <w:rsid w:val="00FE3BEF"/>
    <w:rsid w:val="00FF1B79"/>
    <w:rsid w:val="00FF38EE"/>
    <w:rsid w:val="0BD9061B"/>
    <w:rsid w:val="23B3A9EC"/>
    <w:rsid w:val="324F34B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6EDA8"/>
  <w15:docId w15:val="{48D02A0E-E658-A14E-B3A5-09600631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B34"/>
  </w:style>
  <w:style w:type="paragraph" w:styleId="berschrift1">
    <w:name w:val="heading 1"/>
    <w:basedOn w:val="Standard"/>
    <w:next w:val="Standard"/>
    <w:link w:val="berschrift1Zchn"/>
    <w:uiPriority w:val="9"/>
    <w:qFormat/>
    <w:rsid w:val="00D06F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B0F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DD33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link w:val="berschrift6Zchn"/>
    <w:uiPriority w:val="9"/>
    <w:qFormat/>
    <w:rsid w:val="00A31B69"/>
    <w:pPr>
      <w:spacing w:before="100" w:beforeAutospacing="1" w:after="100" w:afterAutospacing="1" w:line="240" w:lineRule="auto"/>
      <w:outlineLvl w:val="5"/>
    </w:pPr>
    <w:rPr>
      <w:rFonts w:ascii="Times New Roman" w:eastAsia="Times New Roman" w:hAnsi="Times New Roman" w:cs="Times New Roman"/>
      <w:b/>
      <w:bCs/>
      <w:sz w:val="15"/>
      <w:szCs w:val="15"/>
      <w:lang w:val="de-CR"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33E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F33E9"/>
  </w:style>
  <w:style w:type="paragraph" w:styleId="Fuzeile">
    <w:name w:val="footer"/>
    <w:basedOn w:val="Standard"/>
    <w:link w:val="FuzeileZchn"/>
    <w:uiPriority w:val="99"/>
    <w:unhideWhenUsed/>
    <w:rsid w:val="009F33E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F33E9"/>
  </w:style>
  <w:style w:type="paragraph" w:styleId="Sprechblasentext">
    <w:name w:val="Balloon Text"/>
    <w:basedOn w:val="Standard"/>
    <w:link w:val="SprechblasentextZchn"/>
    <w:uiPriority w:val="99"/>
    <w:semiHidden/>
    <w:unhideWhenUsed/>
    <w:rsid w:val="009F33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33E9"/>
    <w:rPr>
      <w:rFonts w:ascii="Tahoma" w:hAnsi="Tahoma" w:cs="Tahoma"/>
      <w:sz w:val="16"/>
      <w:szCs w:val="16"/>
    </w:rPr>
  </w:style>
  <w:style w:type="character" w:styleId="Hyperlink">
    <w:name w:val="Hyperlink"/>
    <w:basedOn w:val="Absatz-Standardschriftart"/>
    <w:uiPriority w:val="99"/>
    <w:unhideWhenUsed/>
    <w:rsid w:val="009F33E9"/>
    <w:rPr>
      <w:color w:val="0000FF" w:themeColor="hyperlink"/>
      <w:u w:val="single"/>
    </w:rPr>
  </w:style>
  <w:style w:type="paragraph" w:styleId="Listenabsatz">
    <w:name w:val="List Paragraph"/>
    <w:basedOn w:val="Standard"/>
    <w:uiPriority w:val="34"/>
    <w:qFormat/>
    <w:rsid w:val="0046088A"/>
    <w:pPr>
      <w:ind w:left="720"/>
      <w:contextualSpacing/>
    </w:pPr>
  </w:style>
  <w:style w:type="character" w:customStyle="1" w:styleId="berschrift2Zchn">
    <w:name w:val="Überschrift 2 Zchn"/>
    <w:basedOn w:val="Absatz-Standardschriftart"/>
    <w:link w:val="berschrift2"/>
    <w:uiPriority w:val="9"/>
    <w:rsid w:val="005B0F5B"/>
    <w:rPr>
      <w:rFonts w:asciiTheme="majorHAnsi" w:eastAsiaTheme="majorEastAsia" w:hAnsiTheme="majorHAnsi" w:cstheme="majorBidi"/>
      <w:color w:val="365F91" w:themeColor="accent1" w:themeShade="BF"/>
      <w:sz w:val="26"/>
      <w:szCs w:val="26"/>
    </w:rPr>
  </w:style>
  <w:style w:type="table" w:styleId="Tabellenraster">
    <w:name w:val="Table Grid"/>
    <w:basedOn w:val="NormaleTabelle"/>
    <w:uiPriority w:val="59"/>
    <w:rsid w:val="005B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DD33D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unhideWhenUsed/>
    <w:rsid w:val="00DD33DF"/>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24724A"/>
    <w:rPr>
      <w:color w:val="605E5C"/>
      <w:shd w:val="clear" w:color="auto" w:fill="E1DFDD"/>
    </w:rPr>
  </w:style>
  <w:style w:type="paragraph" w:styleId="Funotentext">
    <w:name w:val="footnote text"/>
    <w:basedOn w:val="Standard"/>
    <w:link w:val="FunotentextZchn"/>
    <w:uiPriority w:val="99"/>
    <w:unhideWhenUsed/>
    <w:rsid w:val="00314AB0"/>
    <w:pPr>
      <w:spacing w:after="0" w:line="240" w:lineRule="auto"/>
    </w:pPr>
    <w:rPr>
      <w:sz w:val="20"/>
      <w:szCs w:val="20"/>
    </w:rPr>
  </w:style>
  <w:style w:type="character" w:customStyle="1" w:styleId="FunotentextZchn">
    <w:name w:val="Fußnotentext Zchn"/>
    <w:basedOn w:val="Absatz-Standardschriftart"/>
    <w:link w:val="Funotentext"/>
    <w:uiPriority w:val="99"/>
    <w:rsid w:val="00314AB0"/>
    <w:rPr>
      <w:sz w:val="20"/>
      <w:szCs w:val="20"/>
    </w:rPr>
  </w:style>
  <w:style w:type="character" w:styleId="Funotenzeichen">
    <w:name w:val="footnote reference"/>
    <w:basedOn w:val="Absatz-Standardschriftart"/>
    <w:uiPriority w:val="99"/>
    <w:semiHidden/>
    <w:unhideWhenUsed/>
    <w:rsid w:val="00314AB0"/>
    <w:rPr>
      <w:vertAlign w:val="superscript"/>
    </w:rPr>
  </w:style>
  <w:style w:type="character" w:styleId="BesuchterLink">
    <w:name w:val="FollowedHyperlink"/>
    <w:basedOn w:val="Absatz-Standardschriftart"/>
    <w:uiPriority w:val="99"/>
    <w:semiHidden/>
    <w:unhideWhenUsed/>
    <w:rsid w:val="00363AE8"/>
    <w:rPr>
      <w:color w:val="800080" w:themeColor="followedHyperlink"/>
      <w:u w:val="single"/>
    </w:rPr>
  </w:style>
  <w:style w:type="paragraph" w:styleId="Aufzhlungszeichen">
    <w:name w:val="List Bullet"/>
    <w:basedOn w:val="Standard"/>
    <w:uiPriority w:val="99"/>
    <w:unhideWhenUsed/>
    <w:rsid w:val="001B6E36"/>
    <w:pPr>
      <w:numPr>
        <w:numId w:val="16"/>
      </w:numPr>
      <w:contextualSpacing/>
    </w:pPr>
  </w:style>
  <w:style w:type="character" w:customStyle="1" w:styleId="berschrift1Zchn">
    <w:name w:val="Überschrift 1 Zchn"/>
    <w:basedOn w:val="Absatz-Standardschriftart"/>
    <w:link w:val="berschrift1"/>
    <w:uiPriority w:val="9"/>
    <w:rsid w:val="00D06FD8"/>
    <w:rPr>
      <w:rFonts w:asciiTheme="majorHAnsi" w:eastAsiaTheme="majorEastAsia" w:hAnsiTheme="majorHAnsi" w:cstheme="majorBidi"/>
      <w:color w:val="365F91" w:themeColor="accent1" w:themeShade="BF"/>
      <w:sz w:val="32"/>
      <w:szCs w:val="32"/>
    </w:rPr>
  </w:style>
  <w:style w:type="paragraph" w:styleId="berarbeitung">
    <w:name w:val="Revision"/>
    <w:hidden/>
    <w:uiPriority w:val="99"/>
    <w:semiHidden/>
    <w:rsid w:val="001117BC"/>
    <w:pPr>
      <w:spacing w:after="0" w:line="240" w:lineRule="auto"/>
    </w:pPr>
  </w:style>
  <w:style w:type="character" w:styleId="Kommentarzeichen">
    <w:name w:val="annotation reference"/>
    <w:basedOn w:val="Absatz-Standardschriftart"/>
    <w:uiPriority w:val="99"/>
    <w:semiHidden/>
    <w:unhideWhenUsed/>
    <w:rsid w:val="001B1F4F"/>
    <w:rPr>
      <w:sz w:val="16"/>
      <w:szCs w:val="16"/>
    </w:rPr>
  </w:style>
  <w:style w:type="paragraph" w:styleId="Kommentartext">
    <w:name w:val="annotation text"/>
    <w:basedOn w:val="Standard"/>
    <w:link w:val="KommentartextZchn"/>
    <w:uiPriority w:val="99"/>
    <w:semiHidden/>
    <w:unhideWhenUsed/>
    <w:rsid w:val="001B1F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1F4F"/>
    <w:rPr>
      <w:sz w:val="20"/>
      <w:szCs w:val="20"/>
    </w:rPr>
  </w:style>
  <w:style w:type="paragraph" w:styleId="Kommentarthema">
    <w:name w:val="annotation subject"/>
    <w:basedOn w:val="Kommentartext"/>
    <w:next w:val="Kommentartext"/>
    <w:link w:val="KommentarthemaZchn"/>
    <w:uiPriority w:val="99"/>
    <w:semiHidden/>
    <w:unhideWhenUsed/>
    <w:rsid w:val="001B1F4F"/>
    <w:rPr>
      <w:b/>
      <w:bCs/>
    </w:rPr>
  </w:style>
  <w:style w:type="character" w:customStyle="1" w:styleId="KommentarthemaZchn">
    <w:name w:val="Kommentarthema Zchn"/>
    <w:basedOn w:val="KommentartextZchn"/>
    <w:link w:val="Kommentarthema"/>
    <w:uiPriority w:val="99"/>
    <w:semiHidden/>
    <w:rsid w:val="001B1F4F"/>
    <w:rPr>
      <w:b/>
      <w:bCs/>
      <w:sz w:val="20"/>
      <w:szCs w:val="20"/>
    </w:rPr>
  </w:style>
  <w:style w:type="character" w:customStyle="1" w:styleId="apple-tab-span">
    <w:name w:val="apple-tab-span"/>
    <w:basedOn w:val="Absatz-Standardschriftart"/>
    <w:rsid w:val="00D603C3"/>
  </w:style>
  <w:style w:type="character" w:customStyle="1" w:styleId="apple-converted-space">
    <w:name w:val="apple-converted-space"/>
    <w:basedOn w:val="Absatz-Standardschriftart"/>
    <w:rsid w:val="00503D22"/>
  </w:style>
  <w:style w:type="character" w:customStyle="1" w:styleId="berschrift6Zchn">
    <w:name w:val="Überschrift 6 Zchn"/>
    <w:basedOn w:val="Absatz-Standardschriftart"/>
    <w:link w:val="berschrift6"/>
    <w:uiPriority w:val="9"/>
    <w:rsid w:val="00A31B69"/>
    <w:rPr>
      <w:rFonts w:ascii="Times New Roman" w:eastAsia="Times New Roman" w:hAnsi="Times New Roman" w:cs="Times New Roman"/>
      <w:b/>
      <w:bCs/>
      <w:sz w:val="15"/>
      <w:szCs w:val="15"/>
      <w:lang w:val="de-CR" w:eastAsia="zh-CN"/>
    </w:rPr>
  </w:style>
  <w:style w:type="character" w:styleId="Hervorhebung">
    <w:name w:val="Emphasis"/>
    <w:basedOn w:val="Absatz-Standardschriftart"/>
    <w:uiPriority w:val="20"/>
    <w:qFormat/>
    <w:rsid w:val="00485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316">
      <w:bodyDiv w:val="1"/>
      <w:marLeft w:val="0"/>
      <w:marRight w:val="0"/>
      <w:marTop w:val="0"/>
      <w:marBottom w:val="0"/>
      <w:divBdr>
        <w:top w:val="none" w:sz="0" w:space="0" w:color="auto"/>
        <w:left w:val="none" w:sz="0" w:space="0" w:color="auto"/>
        <w:bottom w:val="none" w:sz="0" w:space="0" w:color="auto"/>
        <w:right w:val="none" w:sz="0" w:space="0" w:color="auto"/>
      </w:divBdr>
    </w:div>
    <w:div w:id="61949447">
      <w:bodyDiv w:val="1"/>
      <w:marLeft w:val="0"/>
      <w:marRight w:val="0"/>
      <w:marTop w:val="0"/>
      <w:marBottom w:val="0"/>
      <w:divBdr>
        <w:top w:val="none" w:sz="0" w:space="0" w:color="auto"/>
        <w:left w:val="none" w:sz="0" w:space="0" w:color="auto"/>
        <w:bottom w:val="none" w:sz="0" w:space="0" w:color="auto"/>
        <w:right w:val="none" w:sz="0" w:space="0" w:color="auto"/>
      </w:divBdr>
    </w:div>
    <w:div w:id="96563234">
      <w:bodyDiv w:val="1"/>
      <w:marLeft w:val="0"/>
      <w:marRight w:val="0"/>
      <w:marTop w:val="0"/>
      <w:marBottom w:val="0"/>
      <w:divBdr>
        <w:top w:val="none" w:sz="0" w:space="0" w:color="auto"/>
        <w:left w:val="none" w:sz="0" w:space="0" w:color="auto"/>
        <w:bottom w:val="none" w:sz="0" w:space="0" w:color="auto"/>
        <w:right w:val="none" w:sz="0" w:space="0" w:color="auto"/>
      </w:divBdr>
    </w:div>
    <w:div w:id="235823250">
      <w:bodyDiv w:val="1"/>
      <w:marLeft w:val="0"/>
      <w:marRight w:val="0"/>
      <w:marTop w:val="0"/>
      <w:marBottom w:val="0"/>
      <w:divBdr>
        <w:top w:val="none" w:sz="0" w:space="0" w:color="auto"/>
        <w:left w:val="none" w:sz="0" w:space="0" w:color="auto"/>
        <w:bottom w:val="none" w:sz="0" w:space="0" w:color="auto"/>
        <w:right w:val="none" w:sz="0" w:space="0" w:color="auto"/>
      </w:divBdr>
    </w:div>
    <w:div w:id="366180487">
      <w:bodyDiv w:val="1"/>
      <w:marLeft w:val="0"/>
      <w:marRight w:val="0"/>
      <w:marTop w:val="0"/>
      <w:marBottom w:val="0"/>
      <w:divBdr>
        <w:top w:val="none" w:sz="0" w:space="0" w:color="auto"/>
        <w:left w:val="none" w:sz="0" w:space="0" w:color="auto"/>
        <w:bottom w:val="none" w:sz="0" w:space="0" w:color="auto"/>
        <w:right w:val="none" w:sz="0" w:space="0" w:color="auto"/>
      </w:divBdr>
      <w:divsChild>
        <w:div w:id="142821955">
          <w:marLeft w:val="0"/>
          <w:marRight w:val="0"/>
          <w:marTop w:val="0"/>
          <w:marBottom w:val="0"/>
          <w:divBdr>
            <w:top w:val="none" w:sz="0" w:space="0" w:color="auto"/>
            <w:left w:val="none" w:sz="0" w:space="0" w:color="auto"/>
            <w:bottom w:val="none" w:sz="0" w:space="0" w:color="auto"/>
            <w:right w:val="none" w:sz="0" w:space="0" w:color="auto"/>
          </w:divBdr>
        </w:div>
      </w:divsChild>
    </w:div>
    <w:div w:id="476917536">
      <w:bodyDiv w:val="1"/>
      <w:marLeft w:val="0"/>
      <w:marRight w:val="0"/>
      <w:marTop w:val="0"/>
      <w:marBottom w:val="0"/>
      <w:divBdr>
        <w:top w:val="none" w:sz="0" w:space="0" w:color="auto"/>
        <w:left w:val="none" w:sz="0" w:space="0" w:color="auto"/>
        <w:bottom w:val="none" w:sz="0" w:space="0" w:color="auto"/>
        <w:right w:val="none" w:sz="0" w:space="0" w:color="auto"/>
      </w:divBdr>
    </w:div>
    <w:div w:id="517474798">
      <w:bodyDiv w:val="1"/>
      <w:marLeft w:val="0"/>
      <w:marRight w:val="0"/>
      <w:marTop w:val="0"/>
      <w:marBottom w:val="0"/>
      <w:divBdr>
        <w:top w:val="none" w:sz="0" w:space="0" w:color="auto"/>
        <w:left w:val="none" w:sz="0" w:space="0" w:color="auto"/>
        <w:bottom w:val="none" w:sz="0" w:space="0" w:color="auto"/>
        <w:right w:val="none" w:sz="0" w:space="0" w:color="auto"/>
      </w:divBdr>
    </w:div>
    <w:div w:id="549926590">
      <w:bodyDiv w:val="1"/>
      <w:marLeft w:val="0"/>
      <w:marRight w:val="0"/>
      <w:marTop w:val="0"/>
      <w:marBottom w:val="0"/>
      <w:divBdr>
        <w:top w:val="none" w:sz="0" w:space="0" w:color="auto"/>
        <w:left w:val="none" w:sz="0" w:space="0" w:color="auto"/>
        <w:bottom w:val="none" w:sz="0" w:space="0" w:color="auto"/>
        <w:right w:val="none" w:sz="0" w:space="0" w:color="auto"/>
      </w:divBdr>
    </w:div>
    <w:div w:id="597370517">
      <w:bodyDiv w:val="1"/>
      <w:marLeft w:val="0"/>
      <w:marRight w:val="0"/>
      <w:marTop w:val="0"/>
      <w:marBottom w:val="0"/>
      <w:divBdr>
        <w:top w:val="none" w:sz="0" w:space="0" w:color="auto"/>
        <w:left w:val="none" w:sz="0" w:space="0" w:color="auto"/>
        <w:bottom w:val="none" w:sz="0" w:space="0" w:color="auto"/>
        <w:right w:val="none" w:sz="0" w:space="0" w:color="auto"/>
      </w:divBdr>
      <w:divsChild>
        <w:div w:id="625551446">
          <w:marLeft w:val="875"/>
          <w:marRight w:val="0"/>
          <w:marTop w:val="0"/>
          <w:marBottom w:val="0"/>
          <w:divBdr>
            <w:top w:val="none" w:sz="0" w:space="0" w:color="auto"/>
            <w:left w:val="none" w:sz="0" w:space="0" w:color="auto"/>
            <w:bottom w:val="none" w:sz="0" w:space="0" w:color="auto"/>
            <w:right w:val="none" w:sz="0" w:space="0" w:color="auto"/>
          </w:divBdr>
        </w:div>
      </w:divsChild>
    </w:div>
    <w:div w:id="844444140">
      <w:bodyDiv w:val="1"/>
      <w:marLeft w:val="0"/>
      <w:marRight w:val="0"/>
      <w:marTop w:val="0"/>
      <w:marBottom w:val="0"/>
      <w:divBdr>
        <w:top w:val="none" w:sz="0" w:space="0" w:color="auto"/>
        <w:left w:val="none" w:sz="0" w:space="0" w:color="auto"/>
        <w:bottom w:val="none" w:sz="0" w:space="0" w:color="auto"/>
        <w:right w:val="none" w:sz="0" w:space="0" w:color="auto"/>
      </w:divBdr>
    </w:div>
    <w:div w:id="908227969">
      <w:bodyDiv w:val="1"/>
      <w:marLeft w:val="0"/>
      <w:marRight w:val="0"/>
      <w:marTop w:val="0"/>
      <w:marBottom w:val="0"/>
      <w:divBdr>
        <w:top w:val="none" w:sz="0" w:space="0" w:color="auto"/>
        <w:left w:val="none" w:sz="0" w:space="0" w:color="auto"/>
        <w:bottom w:val="none" w:sz="0" w:space="0" w:color="auto"/>
        <w:right w:val="none" w:sz="0" w:space="0" w:color="auto"/>
      </w:divBdr>
    </w:div>
    <w:div w:id="1324361183">
      <w:bodyDiv w:val="1"/>
      <w:marLeft w:val="0"/>
      <w:marRight w:val="0"/>
      <w:marTop w:val="0"/>
      <w:marBottom w:val="0"/>
      <w:divBdr>
        <w:top w:val="none" w:sz="0" w:space="0" w:color="auto"/>
        <w:left w:val="none" w:sz="0" w:space="0" w:color="auto"/>
        <w:bottom w:val="none" w:sz="0" w:space="0" w:color="auto"/>
        <w:right w:val="none" w:sz="0" w:space="0" w:color="auto"/>
      </w:divBdr>
    </w:div>
    <w:div w:id="1378893306">
      <w:bodyDiv w:val="1"/>
      <w:marLeft w:val="0"/>
      <w:marRight w:val="0"/>
      <w:marTop w:val="0"/>
      <w:marBottom w:val="0"/>
      <w:divBdr>
        <w:top w:val="none" w:sz="0" w:space="0" w:color="auto"/>
        <w:left w:val="none" w:sz="0" w:space="0" w:color="auto"/>
        <w:bottom w:val="none" w:sz="0" w:space="0" w:color="auto"/>
        <w:right w:val="none" w:sz="0" w:space="0" w:color="auto"/>
      </w:divBdr>
      <w:divsChild>
        <w:div w:id="1152869118">
          <w:marLeft w:val="0"/>
          <w:marRight w:val="0"/>
          <w:marTop w:val="0"/>
          <w:marBottom w:val="0"/>
          <w:divBdr>
            <w:top w:val="none" w:sz="0" w:space="0" w:color="auto"/>
            <w:left w:val="none" w:sz="0" w:space="0" w:color="auto"/>
            <w:bottom w:val="none" w:sz="0" w:space="0" w:color="auto"/>
            <w:right w:val="none" w:sz="0" w:space="0" w:color="auto"/>
          </w:divBdr>
        </w:div>
      </w:divsChild>
    </w:div>
    <w:div w:id="1391490649">
      <w:bodyDiv w:val="1"/>
      <w:marLeft w:val="0"/>
      <w:marRight w:val="0"/>
      <w:marTop w:val="0"/>
      <w:marBottom w:val="0"/>
      <w:divBdr>
        <w:top w:val="none" w:sz="0" w:space="0" w:color="auto"/>
        <w:left w:val="none" w:sz="0" w:space="0" w:color="auto"/>
        <w:bottom w:val="none" w:sz="0" w:space="0" w:color="auto"/>
        <w:right w:val="none" w:sz="0" w:space="0" w:color="auto"/>
      </w:divBdr>
    </w:div>
    <w:div w:id="1408185734">
      <w:bodyDiv w:val="1"/>
      <w:marLeft w:val="0"/>
      <w:marRight w:val="0"/>
      <w:marTop w:val="0"/>
      <w:marBottom w:val="0"/>
      <w:divBdr>
        <w:top w:val="none" w:sz="0" w:space="0" w:color="auto"/>
        <w:left w:val="none" w:sz="0" w:space="0" w:color="auto"/>
        <w:bottom w:val="none" w:sz="0" w:space="0" w:color="auto"/>
        <w:right w:val="none" w:sz="0" w:space="0" w:color="auto"/>
      </w:divBdr>
    </w:div>
    <w:div w:id="1653605592">
      <w:bodyDiv w:val="1"/>
      <w:marLeft w:val="0"/>
      <w:marRight w:val="0"/>
      <w:marTop w:val="0"/>
      <w:marBottom w:val="0"/>
      <w:divBdr>
        <w:top w:val="none" w:sz="0" w:space="0" w:color="auto"/>
        <w:left w:val="none" w:sz="0" w:space="0" w:color="auto"/>
        <w:bottom w:val="none" w:sz="0" w:space="0" w:color="auto"/>
        <w:right w:val="none" w:sz="0" w:space="0" w:color="auto"/>
      </w:divBdr>
    </w:div>
    <w:div w:id="1662659064">
      <w:bodyDiv w:val="1"/>
      <w:marLeft w:val="0"/>
      <w:marRight w:val="0"/>
      <w:marTop w:val="0"/>
      <w:marBottom w:val="0"/>
      <w:divBdr>
        <w:top w:val="none" w:sz="0" w:space="0" w:color="auto"/>
        <w:left w:val="none" w:sz="0" w:space="0" w:color="auto"/>
        <w:bottom w:val="none" w:sz="0" w:space="0" w:color="auto"/>
        <w:right w:val="none" w:sz="0" w:space="0" w:color="auto"/>
      </w:divBdr>
    </w:div>
    <w:div w:id="1907035289">
      <w:bodyDiv w:val="1"/>
      <w:marLeft w:val="0"/>
      <w:marRight w:val="0"/>
      <w:marTop w:val="0"/>
      <w:marBottom w:val="0"/>
      <w:divBdr>
        <w:top w:val="none" w:sz="0" w:space="0" w:color="auto"/>
        <w:left w:val="none" w:sz="0" w:space="0" w:color="auto"/>
        <w:bottom w:val="none" w:sz="0" w:space="0" w:color="auto"/>
        <w:right w:val="none" w:sz="0" w:space="0" w:color="auto"/>
      </w:divBdr>
    </w:div>
    <w:div w:id="1947738003">
      <w:bodyDiv w:val="1"/>
      <w:marLeft w:val="0"/>
      <w:marRight w:val="0"/>
      <w:marTop w:val="0"/>
      <w:marBottom w:val="0"/>
      <w:divBdr>
        <w:top w:val="none" w:sz="0" w:space="0" w:color="auto"/>
        <w:left w:val="none" w:sz="0" w:space="0" w:color="auto"/>
        <w:bottom w:val="none" w:sz="0" w:space="0" w:color="auto"/>
        <w:right w:val="none" w:sz="0" w:space="0" w:color="auto"/>
      </w:divBdr>
    </w:div>
    <w:div w:id="1965232045">
      <w:bodyDiv w:val="1"/>
      <w:marLeft w:val="0"/>
      <w:marRight w:val="0"/>
      <w:marTop w:val="0"/>
      <w:marBottom w:val="0"/>
      <w:divBdr>
        <w:top w:val="none" w:sz="0" w:space="0" w:color="auto"/>
        <w:left w:val="none" w:sz="0" w:space="0" w:color="auto"/>
        <w:bottom w:val="none" w:sz="0" w:space="0" w:color="auto"/>
        <w:right w:val="none" w:sz="0" w:space="0" w:color="auto"/>
      </w:divBdr>
    </w:div>
    <w:div w:id="2048528670">
      <w:bodyDiv w:val="1"/>
      <w:marLeft w:val="0"/>
      <w:marRight w:val="0"/>
      <w:marTop w:val="0"/>
      <w:marBottom w:val="0"/>
      <w:divBdr>
        <w:top w:val="none" w:sz="0" w:space="0" w:color="auto"/>
        <w:left w:val="none" w:sz="0" w:space="0" w:color="auto"/>
        <w:bottom w:val="none" w:sz="0" w:space="0" w:color="auto"/>
        <w:right w:val="none" w:sz="0" w:space="0" w:color="auto"/>
      </w:divBdr>
    </w:div>
    <w:div w:id="213242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em.admin.ch/sem/en/home/asyl/asylverfahren/asylregionen-baz.html" TargetMode="External"/><Relationship Id="rId18" Type="http://schemas.openxmlformats.org/officeDocument/2006/relationships/hyperlink" Target="https://www.fedlex.admin.ch/eli/cc/1999/358/en" TargetMode="External"/><Relationship Id="rId26" Type="http://schemas.openxmlformats.org/officeDocument/2006/relationships/hyperlink" Target="https://www.fedlex.admin.ch/eli/cc/1999/404/fr" TargetMode="External"/><Relationship Id="rId21" Type="http://schemas.openxmlformats.org/officeDocument/2006/relationships/hyperlink" Target="https://www.fedlex.admin.ch/eli/cc/1999/35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dlex.admin.ch/eli/cc/1999/404/en" TargetMode="External"/><Relationship Id="rId17" Type="http://schemas.openxmlformats.org/officeDocument/2006/relationships/hyperlink" Target="https://www.sem.admin.ch/sem/en/home/international-rueckkehr/ch-migrationsaussenpolitik/abkommen/rueckuebernahme.html" TargetMode="External"/><Relationship Id="rId25" Type="http://schemas.openxmlformats.org/officeDocument/2006/relationships/hyperlink" Target="https://www.refworld.org/cases,CAT,5b964c664.html"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fedlex.admin.ch/eli/cc/1999/358/en" TargetMode="External"/><Relationship Id="rId20" Type="http://schemas.openxmlformats.org/officeDocument/2006/relationships/hyperlink" Target="https://www.fedlex.admin.ch/eli/cc/1999/358/en" TargetMode="External"/><Relationship Id="rId29" Type="http://schemas.openxmlformats.org/officeDocument/2006/relationships/hyperlink" Target="https://eur-lex.europa.eu/legal-content/FR/TXT/?uri=celex%3A32013R06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lex.admin.ch/eli/cc/1999/358/en" TargetMode="External"/><Relationship Id="rId24" Type="http://schemas.openxmlformats.org/officeDocument/2006/relationships/hyperlink" Target="https://atlas-of-torture.org/en/entity/im0q5cfe5v?page=1" TargetMode="External"/><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ur-lex.europa.eu/LexUriServ/LexUriServ.do?uri=OJ:L:2013:180:0031:0059:en:PDF" TargetMode="External"/><Relationship Id="rId23" Type="http://schemas.openxmlformats.org/officeDocument/2006/relationships/hyperlink" Target="https://fln.dk/-/media/FLN/Publikationer-og-notater/CCPR/OYKA-vs-DK-2770-2016.pdf?la=da&amp;hash=E517440D8093C9D7BFD563CAC301FEF6D58B845B" TargetMode="External"/><Relationship Id="rId28" Type="http://schemas.openxmlformats.org/officeDocument/2006/relationships/hyperlink" Target="https://www.fedlex.admin.ch/eli/cc/1999/359/fr" TargetMode="External"/><Relationship Id="rId36" Type="http://schemas.openxmlformats.org/officeDocument/2006/relationships/customXml" Target="../customXml/item2.xml"/><Relationship Id="rId10" Type="http://schemas.openxmlformats.org/officeDocument/2006/relationships/hyperlink" Target="https://www.fedlex.admin.ch/eli/cc/1999/404/en" TargetMode="External"/><Relationship Id="rId19" Type="http://schemas.openxmlformats.org/officeDocument/2006/relationships/hyperlink" Target="https://www.fedlex.admin.ch/eli/cc/1999/359/d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lex.admin.ch/eli/cc/1999/358/en" TargetMode="External"/><Relationship Id="rId14" Type="http://schemas.openxmlformats.org/officeDocument/2006/relationships/hyperlink" Target="https://www.fedlex.admin.ch/eli/cc/1999/358/en" TargetMode="External"/><Relationship Id="rId22" Type="http://schemas.openxmlformats.org/officeDocument/2006/relationships/hyperlink" Target="https://atlas-of-torture.org/en/entity/p3hbn312zdn?page=2" TargetMode="External"/><Relationship Id="rId27" Type="http://schemas.openxmlformats.org/officeDocument/2006/relationships/hyperlink" Target="https://www.fedlex.admin.ch/eli/cc/1999/404/f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asylex.c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fedlex.admin.ch/eli/cc/1999/358/en" TargetMode="External"/><Relationship Id="rId1" Type="http://schemas.openxmlformats.org/officeDocument/2006/relationships/hyperlink" Target="https://www.sem.admin.ch/dam/sem/fr/data/publiservice/statistik/asylstatistik/2021/stat-jahr-2021-kommentar.pdf.download.pdf/stat-jahr-2021-kommentar-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elle/Downloads/Submission%20regarding%20Switzerland%20by%20AsyLex_SM_JSP.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84BE407-FF60-45AB-9BD4-FF6EF2367872}">
  <ds:schemaRefs>
    <ds:schemaRef ds:uri="http://schemas.openxmlformats.org/officeDocument/2006/bibliography"/>
  </ds:schemaRefs>
</ds:datastoreItem>
</file>

<file path=customXml/itemProps2.xml><?xml version="1.0" encoding="utf-8"?>
<ds:datastoreItem xmlns:ds="http://schemas.openxmlformats.org/officeDocument/2006/customXml" ds:itemID="{57F5A307-0C82-4C7F-93F0-E58A947F9035}"/>
</file>

<file path=customXml/itemProps3.xml><?xml version="1.0" encoding="utf-8"?>
<ds:datastoreItem xmlns:ds="http://schemas.openxmlformats.org/officeDocument/2006/customXml" ds:itemID="{0C0C7579-FFEC-47C8-A595-5E98AAD1B33F}"/>
</file>

<file path=customXml/itemProps4.xml><?xml version="1.0" encoding="utf-8"?>
<ds:datastoreItem xmlns:ds="http://schemas.openxmlformats.org/officeDocument/2006/customXml" ds:itemID="{06E35AE2-59E2-4DC4-A9BA-A80F3F727B34}"/>
</file>

<file path=docProps/app.xml><?xml version="1.0" encoding="utf-8"?>
<Properties xmlns="http://schemas.openxmlformats.org/officeDocument/2006/extended-properties" xmlns:vt="http://schemas.openxmlformats.org/officeDocument/2006/docPropsVTypes">
  <Template>Submission regarding Switzerland by AsyLex_SM_JSP.dotx</Template>
  <TotalTime>0</TotalTime>
  <Pages>7</Pages>
  <Words>2646</Words>
  <Characters>16676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Joëlle Spahni</cp:lastModifiedBy>
  <cp:revision>4</cp:revision>
  <cp:lastPrinted>2022-02-25T09:51:00Z</cp:lastPrinted>
  <dcterms:created xsi:type="dcterms:W3CDTF">2022-02-25T10:26:00Z</dcterms:created>
  <dcterms:modified xsi:type="dcterms:W3CDTF">2022-02-25T10:31:00Z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Reference">
    <vt:lpwstr>Desktop\Sardar\Vorlage AsyLex.docx</vt:lpwstr>
  </property>
  <property fmtid="{D5CDD505-2E9C-101B-9397-08002B2CF9AE}" pid="3" name="dmDocType">
    <vt:lpwstr>DOCUMENT</vt:lpwstr>
  </property>
  <property fmtid="{D5CDD505-2E9C-101B-9397-08002B2CF9AE}" pid="4" name="dmClient">
    <vt:lpwstr>USER</vt:lpwstr>
  </property>
  <property fmtid="{D5CDD505-2E9C-101B-9397-08002B2CF9AE}" pid="5" name="dmMatter">
    <vt:lpwstr>HUNL</vt:lpwstr>
  </property>
  <property fmtid="{D5CDD505-2E9C-101B-9397-08002B2CF9AE}" pid="6" name="dmCaseName">
    <vt:lpwstr>Home folder</vt:lpwstr>
  </property>
  <property fmtid="{D5CDD505-2E9C-101B-9397-08002B2CF9AE}" pid="7" name="ContentTypeId">
    <vt:lpwstr>0x0101000BC99D48648DAA49B7B0BE8195B404DB</vt:lpwstr>
  </property>
</Properties>
</file>