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2186" w14:textId="60ABCE26" w:rsidR="00D41654" w:rsidRPr="00D31F56" w:rsidRDefault="00D41654" w:rsidP="00D31F56">
      <w:pPr>
        <w:spacing w:after="0" w:line="240" w:lineRule="auto"/>
        <w:jc w:val="center"/>
        <w:rPr>
          <w:b/>
          <w:bCs/>
          <w:u w:val="single"/>
          <w:lang w:val="en-US"/>
        </w:rPr>
      </w:pPr>
      <w:r w:rsidRPr="00D31F56">
        <w:rPr>
          <w:b/>
          <w:bCs/>
          <w:u w:val="single"/>
          <w:lang w:val="en-US"/>
        </w:rPr>
        <w:t>S</w:t>
      </w:r>
      <w:r w:rsidR="000147D7" w:rsidRPr="00D31F56">
        <w:rPr>
          <w:b/>
          <w:bCs/>
          <w:u w:val="single"/>
          <w:lang w:val="en-US"/>
        </w:rPr>
        <w:t>ubmission to the UN Special Rapporteur on the human rights of migrants</w:t>
      </w:r>
    </w:p>
    <w:p w14:paraId="6AA88C7D" w14:textId="4AE04D92" w:rsidR="00D31F56" w:rsidRDefault="000147D7" w:rsidP="00D31F56">
      <w:pPr>
        <w:spacing w:after="0" w:line="240" w:lineRule="auto"/>
        <w:jc w:val="center"/>
        <w:rPr>
          <w:i/>
          <w:iCs/>
          <w:lang w:val="en-US"/>
        </w:rPr>
      </w:pPr>
      <w:r w:rsidRPr="00D31F56">
        <w:rPr>
          <w:i/>
          <w:iCs/>
          <w:lang w:val="en-US"/>
        </w:rPr>
        <w:t xml:space="preserve">Forthcoming report to Human Rights Council </w:t>
      </w:r>
      <w:r w:rsidR="00D31F56">
        <w:rPr>
          <w:i/>
          <w:iCs/>
          <w:lang w:val="en-US"/>
        </w:rPr>
        <w:t>–</w:t>
      </w:r>
      <w:r w:rsidRPr="00D31F56">
        <w:rPr>
          <w:i/>
          <w:iCs/>
          <w:lang w:val="en-US"/>
        </w:rPr>
        <w:t xml:space="preserve"> </w:t>
      </w:r>
    </w:p>
    <w:p w14:paraId="3A10731A" w14:textId="431A7FE0" w:rsidR="000147D7" w:rsidRPr="00D31F56" w:rsidRDefault="000147D7" w:rsidP="00D31F56">
      <w:pPr>
        <w:spacing w:after="0" w:line="240" w:lineRule="auto"/>
        <w:jc w:val="center"/>
        <w:rPr>
          <w:i/>
          <w:iCs/>
          <w:lang w:val="en-US"/>
        </w:rPr>
      </w:pPr>
      <w:r w:rsidRPr="00D31F56">
        <w:rPr>
          <w:i/>
          <w:iCs/>
          <w:lang w:val="en-US"/>
        </w:rPr>
        <w:t xml:space="preserve">Human </w:t>
      </w:r>
      <w:r w:rsidR="00D31F56">
        <w:rPr>
          <w:i/>
          <w:iCs/>
          <w:lang w:val="en-US"/>
        </w:rPr>
        <w:t>r</w:t>
      </w:r>
      <w:r w:rsidRPr="00D31F56">
        <w:rPr>
          <w:i/>
          <w:iCs/>
          <w:lang w:val="en-US"/>
        </w:rPr>
        <w:t xml:space="preserve">ights </w:t>
      </w:r>
      <w:r w:rsidR="00D31F56">
        <w:rPr>
          <w:i/>
          <w:iCs/>
          <w:lang w:val="en-US"/>
        </w:rPr>
        <w:t>v</w:t>
      </w:r>
      <w:r w:rsidRPr="00D31F56">
        <w:rPr>
          <w:i/>
          <w:iCs/>
          <w:lang w:val="en-US"/>
        </w:rPr>
        <w:t xml:space="preserve">iolations at international borders: trends, </w:t>
      </w:r>
      <w:proofErr w:type="gramStart"/>
      <w:r w:rsidRPr="00D31F56">
        <w:rPr>
          <w:i/>
          <w:iCs/>
          <w:lang w:val="en-US"/>
        </w:rPr>
        <w:t>prevention</w:t>
      </w:r>
      <w:proofErr w:type="gramEnd"/>
      <w:r w:rsidRPr="00D31F56">
        <w:rPr>
          <w:i/>
          <w:iCs/>
          <w:lang w:val="en-US"/>
        </w:rPr>
        <w:t xml:space="preserve"> and accountability </w:t>
      </w:r>
    </w:p>
    <w:p w14:paraId="3A755246" w14:textId="27F6E2F0" w:rsidR="00333D63" w:rsidRPr="00D31F56" w:rsidRDefault="00D41654" w:rsidP="00D31F56">
      <w:pPr>
        <w:spacing w:after="0" w:line="240" w:lineRule="auto"/>
        <w:jc w:val="center"/>
        <w:rPr>
          <w:b/>
          <w:bCs/>
          <w:lang w:val="en-US"/>
        </w:rPr>
      </w:pPr>
      <w:r w:rsidRPr="00D31F56">
        <w:rPr>
          <w:b/>
          <w:bCs/>
          <w:lang w:val="en-US"/>
        </w:rPr>
        <w:t>Inputs</w:t>
      </w:r>
      <w:r w:rsidR="000147D7" w:rsidRPr="00D31F56">
        <w:rPr>
          <w:b/>
          <w:bCs/>
          <w:lang w:val="en-US"/>
        </w:rPr>
        <w:t xml:space="preserve"> from </w:t>
      </w:r>
      <w:r w:rsidR="00D31F56">
        <w:rPr>
          <w:b/>
          <w:bCs/>
          <w:lang w:val="en-US"/>
        </w:rPr>
        <w:t xml:space="preserve">DRC &amp; MMC </w:t>
      </w:r>
      <w:r w:rsidRPr="00D31F56">
        <w:rPr>
          <w:b/>
          <w:bCs/>
          <w:lang w:val="en-US"/>
        </w:rPr>
        <w:t>Latin America and the Caribbean</w:t>
      </w:r>
    </w:p>
    <w:p w14:paraId="1918F406" w14:textId="6D564E36" w:rsidR="005F3CEF" w:rsidRPr="00D41654" w:rsidRDefault="005F3CEF" w:rsidP="00A87FBC">
      <w:pPr>
        <w:rPr>
          <w:lang w:val="en-US"/>
        </w:rPr>
      </w:pPr>
    </w:p>
    <w:p w14:paraId="27BBA947" w14:textId="55F27FC4" w:rsidR="006A4EB3" w:rsidRDefault="006A4EB3" w:rsidP="005C194E">
      <w:pPr>
        <w:jc w:val="both"/>
        <w:rPr>
          <w:u w:val="single"/>
          <w:lang w:val="en-US"/>
        </w:rPr>
      </w:pPr>
      <w:r>
        <w:rPr>
          <w:lang w:val="en-US"/>
        </w:rPr>
        <w:t>Numerous measures affecting access to territory and international protection have been documented in Latin America and the Caribbean in recent months.</w:t>
      </w:r>
      <w:r w:rsidR="008C21E7">
        <w:rPr>
          <w:lang w:val="en-US"/>
        </w:rPr>
        <w:t xml:space="preserve"> Below is </w:t>
      </w:r>
      <w:proofErr w:type="gramStart"/>
      <w:r w:rsidR="008C21E7">
        <w:rPr>
          <w:lang w:val="en-US"/>
        </w:rPr>
        <w:t>a brief summary</w:t>
      </w:r>
      <w:proofErr w:type="gramEnd"/>
      <w:r w:rsidR="008C21E7">
        <w:rPr>
          <w:lang w:val="en-US"/>
        </w:rPr>
        <w:t xml:space="preserve"> </w:t>
      </w:r>
      <w:r w:rsidR="00833684">
        <w:rPr>
          <w:lang w:val="en-US"/>
        </w:rPr>
        <w:t>with respect to two different migratory flows in the region: the situation of those fl</w:t>
      </w:r>
      <w:r w:rsidR="00F735DB">
        <w:rPr>
          <w:lang w:val="en-US"/>
        </w:rPr>
        <w:t>eeing Venezuela and that of northward movements through Central America and Mexico.</w:t>
      </w:r>
      <w:r w:rsidR="003F7DC8">
        <w:rPr>
          <w:lang w:val="en-US"/>
        </w:rPr>
        <w:t xml:space="preserve"> Information is based on field activities carried out in Peru, </w:t>
      </w:r>
      <w:r w:rsidR="005060EE">
        <w:rPr>
          <w:lang w:val="en-US"/>
        </w:rPr>
        <w:t xml:space="preserve">Colombia, Venezuela, </w:t>
      </w:r>
      <w:proofErr w:type="gramStart"/>
      <w:r w:rsidR="005060EE">
        <w:rPr>
          <w:lang w:val="en-US"/>
        </w:rPr>
        <w:t>Guatemala</w:t>
      </w:r>
      <w:proofErr w:type="gramEnd"/>
      <w:r w:rsidR="005060EE">
        <w:rPr>
          <w:lang w:val="en-US"/>
        </w:rPr>
        <w:t xml:space="preserve"> and Mexico.</w:t>
      </w:r>
      <w:r w:rsidR="00520AEE">
        <w:rPr>
          <w:lang w:val="en-US"/>
        </w:rPr>
        <w:t xml:space="preserve"> </w:t>
      </w:r>
    </w:p>
    <w:p w14:paraId="55A56062" w14:textId="529B37E2" w:rsidR="00090B37" w:rsidRPr="003F7DC8" w:rsidRDefault="00090B37" w:rsidP="005C194E">
      <w:pPr>
        <w:jc w:val="both"/>
        <w:rPr>
          <w:u w:val="single"/>
          <w:lang w:val="en-US"/>
        </w:rPr>
      </w:pPr>
      <w:r w:rsidRPr="003F7DC8">
        <w:rPr>
          <w:u w:val="single"/>
          <w:lang w:val="en-US"/>
        </w:rPr>
        <w:t>Venezuela Situation</w:t>
      </w:r>
    </w:p>
    <w:p w14:paraId="178D9846" w14:textId="054368E1" w:rsidR="00C44B0F" w:rsidRDefault="00D41A50" w:rsidP="00295A65">
      <w:pPr>
        <w:jc w:val="both"/>
        <w:rPr>
          <w:lang w:val="en-US"/>
        </w:rPr>
      </w:pPr>
      <w:r>
        <w:rPr>
          <w:lang w:val="en-US"/>
        </w:rPr>
        <w:t xml:space="preserve">The closure of the land borders between Venezuela and </w:t>
      </w:r>
      <w:r w:rsidRPr="00CC331C">
        <w:rPr>
          <w:b/>
          <w:bCs/>
          <w:lang w:val="en-US"/>
        </w:rPr>
        <w:t>Colombia</w:t>
      </w:r>
      <w:r w:rsidR="00CC331C">
        <w:rPr>
          <w:lang w:val="en-US"/>
        </w:rPr>
        <w:t xml:space="preserve"> continued until October 2021</w:t>
      </w:r>
      <w:r w:rsidR="00DC5672">
        <w:rPr>
          <w:lang w:val="en-US"/>
        </w:rPr>
        <w:t xml:space="preserve"> without stemming</w:t>
      </w:r>
      <w:r w:rsidR="00CC331C">
        <w:rPr>
          <w:lang w:val="en-US"/>
        </w:rPr>
        <w:t xml:space="preserve"> the entry of significant numbers of Venezuelans</w:t>
      </w:r>
      <w:r w:rsidR="00DC5672">
        <w:rPr>
          <w:lang w:val="en-US"/>
        </w:rPr>
        <w:t xml:space="preserve"> into Colombia</w:t>
      </w:r>
      <w:r w:rsidR="003C165C">
        <w:rPr>
          <w:lang w:val="en-US"/>
        </w:rPr>
        <w:t xml:space="preserve">. </w:t>
      </w:r>
      <w:r w:rsidR="003463DA">
        <w:rPr>
          <w:lang w:val="en-US"/>
        </w:rPr>
        <w:t>In May, the Colombia</w:t>
      </w:r>
      <w:r>
        <w:rPr>
          <w:lang w:val="en-US"/>
        </w:rPr>
        <w:t>n</w:t>
      </w:r>
      <w:r w:rsidR="003463DA">
        <w:rPr>
          <w:lang w:val="en-US"/>
        </w:rPr>
        <w:t xml:space="preserve"> government began to implement the </w:t>
      </w:r>
      <w:hyperlink r:id="rId8" w:history="1">
        <w:r w:rsidR="003463DA" w:rsidRPr="00F871BD">
          <w:rPr>
            <w:rStyle w:val="Hipervnculo"/>
            <w:lang w:val="en-US"/>
          </w:rPr>
          <w:t>Temporary Protection Status for Venezuelan</w:t>
        </w:r>
        <w:r w:rsidR="00F871BD" w:rsidRPr="00F871BD">
          <w:rPr>
            <w:rStyle w:val="Hipervnculo"/>
            <w:lang w:val="en-US"/>
          </w:rPr>
          <w:t xml:space="preserve"> Migrants</w:t>
        </w:r>
      </w:hyperlink>
      <w:r w:rsidR="00F871BD">
        <w:rPr>
          <w:lang w:val="en-US"/>
        </w:rPr>
        <w:t xml:space="preserve"> which has been criticized for </w:t>
      </w:r>
      <w:r w:rsidR="00365B7D">
        <w:rPr>
          <w:lang w:val="en-US"/>
        </w:rPr>
        <w:t xml:space="preserve">undermining the </w:t>
      </w:r>
      <w:r w:rsidR="00C44B0F">
        <w:rPr>
          <w:lang w:val="en-US"/>
        </w:rPr>
        <w:t>right to refugee protection among eligible</w:t>
      </w:r>
      <w:r w:rsidR="00365B7D">
        <w:rPr>
          <w:lang w:val="en-US"/>
        </w:rPr>
        <w:t xml:space="preserve"> Venezuelan nationals</w:t>
      </w:r>
      <w:r w:rsidR="00231D95">
        <w:rPr>
          <w:lang w:val="en-US"/>
        </w:rPr>
        <w:t xml:space="preserve"> </w:t>
      </w:r>
      <w:r w:rsidR="0084048B">
        <w:rPr>
          <w:lang w:val="en-US"/>
        </w:rPr>
        <w:t>despite offering</w:t>
      </w:r>
      <w:r w:rsidR="00231D95">
        <w:rPr>
          <w:lang w:val="en-US"/>
        </w:rPr>
        <w:t xml:space="preserve"> the possibility to regularize</w:t>
      </w:r>
      <w:r w:rsidR="0084048B">
        <w:rPr>
          <w:lang w:val="en-US"/>
        </w:rPr>
        <w:t xml:space="preserve"> </w:t>
      </w:r>
      <w:r w:rsidR="00231D95">
        <w:rPr>
          <w:lang w:val="en-US"/>
        </w:rPr>
        <w:t xml:space="preserve">migratory status in Colombia and facilitating </w:t>
      </w:r>
      <w:r w:rsidR="00625020">
        <w:rPr>
          <w:lang w:val="en-US"/>
        </w:rPr>
        <w:t xml:space="preserve">their </w:t>
      </w:r>
      <w:r w:rsidR="00231D95">
        <w:rPr>
          <w:lang w:val="en-US"/>
        </w:rPr>
        <w:t xml:space="preserve">access to rights, such as </w:t>
      </w:r>
      <w:hyperlink r:id="rId9" w:history="1">
        <w:r w:rsidR="00231D95" w:rsidRPr="00625020">
          <w:rPr>
            <w:rStyle w:val="Hipervnculo"/>
            <w:lang w:val="en-US"/>
          </w:rPr>
          <w:t>health</w:t>
        </w:r>
      </w:hyperlink>
      <w:r w:rsidR="0084048B">
        <w:rPr>
          <w:lang w:val="en-US"/>
        </w:rPr>
        <w:t xml:space="preserve"> </w:t>
      </w:r>
      <w:r w:rsidR="00231D95">
        <w:rPr>
          <w:lang w:val="en-US"/>
        </w:rPr>
        <w:t>and work</w:t>
      </w:r>
      <w:r w:rsidR="00F85E75">
        <w:rPr>
          <w:lang w:val="en-US"/>
        </w:rPr>
        <w:t xml:space="preserve">. </w:t>
      </w:r>
      <w:r w:rsidR="00C44B0F">
        <w:rPr>
          <w:lang w:val="en-US"/>
        </w:rPr>
        <w:t xml:space="preserve">The adoption </w:t>
      </w:r>
      <w:r w:rsidR="008643C8">
        <w:rPr>
          <w:lang w:val="en-US"/>
        </w:rPr>
        <w:t xml:space="preserve">in February 2022 </w:t>
      </w:r>
      <w:r w:rsidR="00C44B0F">
        <w:rPr>
          <w:lang w:val="en-US"/>
        </w:rPr>
        <w:t xml:space="preserve">of </w:t>
      </w:r>
      <w:hyperlink r:id="rId10" w:history="1">
        <w:r w:rsidR="00C44B0F" w:rsidRPr="006B627E">
          <w:rPr>
            <w:rStyle w:val="Hipervnculo"/>
            <w:lang w:val="en-US"/>
          </w:rPr>
          <w:t>regulations</w:t>
        </w:r>
      </w:hyperlink>
      <w:r w:rsidR="00C44B0F">
        <w:rPr>
          <w:lang w:val="en-US"/>
        </w:rPr>
        <w:t xml:space="preserve"> </w:t>
      </w:r>
      <w:r w:rsidR="008643C8">
        <w:rPr>
          <w:lang w:val="en-US"/>
        </w:rPr>
        <w:t xml:space="preserve">to </w:t>
      </w:r>
      <w:r w:rsidR="008643C8" w:rsidRPr="008643C8">
        <w:rPr>
          <w:b/>
          <w:bCs/>
          <w:lang w:val="en-US"/>
        </w:rPr>
        <w:t>Chile</w:t>
      </w:r>
      <w:r w:rsidR="008643C8">
        <w:rPr>
          <w:lang w:val="en-US"/>
        </w:rPr>
        <w:t>’s</w:t>
      </w:r>
      <w:r w:rsidR="00C9227B">
        <w:rPr>
          <w:lang w:val="en-US"/>
        </w:rPr>
        <w:t xml:space="preserve"> </w:t>
      </w:r>
      <w:hyperlink r:id="rId11" w:history="1">
        <w:r w:rsidR="00C9227B" w:rsidRPr="00C9227B">
          <w:rPr>
            <w:rStyle w:val="Hipervnculo"/>
            <w:lang w:val="en-US"/>
          </w:rPr>
          <w:t>2021</w:t>
        </w:r>
        <w:r w:rsidR="008643C8" w:rsidRPr="00C9227B">
          <w:rPr>
            <w:rStyle w:val="Hipervnculo"/>
            <w:lang w:val="en-US"/>
          </w:rPr>
          <w:t xml:space="preserve"> Migration Law</w:t>
        </w:r>
      </w:hyperlink>
      <w:r w:rsidR="008643C8">
        <w:rPr>
          <w:lang w:val="en-US"/>
        </w:rPr>
        <w:t xml:space="preserve"> prompted its entry </w:t>
      </w:r>
      <w:r w:rsidR="00636815">
        <w:rPr>
          <w:lang w:val="en-US"/>
        </w:rPr>
        <w:t xml:space="preserve">into force, </w:t>
      </w:r>
      <w:r w:rsidR="00C9227B">
        <w:rPr>
          <w:lang w:val="en-US"/>
        </w:rPr>
        <w:t>raising concerns about expedited deportation procedure</w:t>
      </w:r>
      <w:r w:rsidR="00CD1A1E">
        <w:rPr>
          <w:lang w:val="en-US"/>
        </w:rPr>
        <w:t xml:space="preserve">s and widespread detention authority. </w:t>
      </w:r>
    </w:p>
    <w:p w14:paraId="02C1ED25" w14:textId="49FBEC01" w:rsidR="001A2811" w:rsidRDefault="00DC5672" w:rsidP="00295A65">
      <w:pPr>
        <w:jc w:val="both"/>
        <w:rPr>
          <w:lang w:val="en-US"/>
        </w:rPr>
      </w:pPr>
      <w:r>
        <w:rPr>
          <w:lang w:val="en-US"/>
        </w:rPr>
        <w:t>Some positive measures can be high</w:t>
      </w:r>
      <w:r w:rsidR="00C44B0F">
        <w:rPr>
          <w:lang w:val="en-US"/>
        </w:rPr>
        <w:t xml:space="preserve">lighted. </w:t>
      </w:r>
      <w:r w:rsidR="00EE24ED">
        <w:rPr>
          <w:lang w:val="en-US"/>
        </w:rPr>
        <w:t xml:space="preserve">Through executive action, </w:t>
      </w:r>
      <w:r w:rsidR="00CE04F9" w:rsidRPr="009E50FD">
        <w:rPr>
          <w:b/>
          <w:bCs/>
          <w:lang w:val="en-US"/>
        </w:rPr>
        <w:t>Peru</w:t>
      </w:r>
      <w:r w:rsidR="00CE04F9" w:rsidRPr="001C43D6">
        <w:rPr>
          <w:lang w:val="en-US"/>
        </w:rPr>
        <w:t xml:space="preserve"> adopted </w:t>
      </w:r>
      <w:r w:rsidR="001C43D6" w:rsidRPr="001C43D6">
        <w:rPr>
          <w:lang w:val="en-US"/>
        </w:rPr>
        <w:t xml:space="preserve">guidelines </w:t>
      </w:r>
      <w:r w:rsidR="007A7550">
        <w:rPr>
          <w:lang w:val="en-US"/>
        </w:rPr>
        <w:t xml:space="preserve">in June 2021 </w:t>
      </w:r>
      <w:r w:rsidR="001C43D6" w:rsidRPr="001C43D6">
        <w:rPr>
          <w:lang w:val="en-US"/>
        </w:rPr>
        <w:t xml:space="preserve">for the issuance and extension of the </w:t>
      </w:r>
      <w:hyperlink r:id="rId12" w:history="1">
        <w:r w:rsidR="0084048B" w:rsidRPr="001C43D6">
          <w:rPr>
            <w:rStyle w:val="Hipervnculo"/>
            <w:lang w:val="en-US"/>
          </w:rPr>
          <w:t>humanitarian migratory status</w:t>
        </w:r>
      </w:hyperlink>
      <w:r w:rsidR="0084048B">
        <w:rPr>
          <w:rStyle w:val="Hipervnculo"/>
          <w:lang w:val="en-US"/>
        </w:rPr>
        <w:t xml:space="preserve"> </w:t>
      </w:r>
      <w:r w:rsidR="001C43D6" w:rsidRPr="001C43D6">
        <w:rPr>
          <w:lang w:val="en-US"/>
        </w:rPr>
        <w:t xml:space="preserve">for </w:t>
      </w:r>
      <w:r w:rsidR="00FA78E9">
        <w:rPr>
          <w:lang w:val="en-US"/>
        </w:rPr>
        <w:t>asylum-seekers</w:t>
      </w:r>
      <w:r w:rsidR="009816D9">
        <w:rPr>
          <w:lang w:val="en-US"/>
        </w:rPr>
        <w:t xml:space="preserve"> and </w:t>
      </w:r>
      <w:r w:rsidR="00C04639">
        <w:rPr>
          <w:lang w:val="en-US"/>
        </w:rPr>
        <w:t>those entitled to complementary protection</w:t>
      </w:r>
      <w:r w:rsidR="00FA78E9">
        <w:rPr>
          <w:lang w:val="en-US"/>
        </w:rPr>
        <w:t xml:space="preserve">, </w:t>
      </w:r>
      <w:hyperlink r:id="rId13" w:history="1">
        <w:r w:rsidR="00BD583A" w:rsidRPr="001904B4">
          <w:rPr>
            <w:rStyle w:val="Hipervnculo"/>
            <w:lang w:val="en-US"/>
          </w:rPr>
          <w:t>benefiting large numbers</w:t>
        </w:r>
      </w:hyperlink>
      <w:r w:rsidR="00BD583A">
        <w:rPr>
          <w:lang w:val="en-US"/>
        </w:rPr>
        <w:t xml:space="preserve"> of </w:t>
      </w:r>
      <w:r w:rsidR="00FA78E9">
        <w:rPr>
          <w:lang w:val="en-US"/>
        </w:rPr>
        <w:t>Venezuelans who have requested re</w:t>
      </w:r>
      <w:r w:rsidR="007E0FC0">
        <w:rPr>
          <w:lang w:val="en-US"/>
        </w:rPr>
        <w:t>cognition of refugee status</w:t>
      </w:r>
      <w:r w:rsidR="00BD583A">
        <w:rPr>
          <w:lang w:val="en-US"/>
        </w:rPr>
        <w:t xml:space="preserve"> in the country</w:t>
      </w:r>
      <w:r w:rsidR="0084048B">
        <w:rPr>
          <w:lang w:val="en-US"/>
        </w:rPr>
        <w:t xml:space="preserve"> (Peru has received the largest number of Venezuelan asylum applications).</w:t>
      </w:r>
      <w:r w:rsidR="001C43D6">
        <w:rPr>
          <w:lang w:val="en-US"/>
        </w:rPr>
        <w:t xml:space="preserve"> </w:t>
      </w:r>
      <w:r w:rsidR="001C43D6" w:rsidRPr="007E0FC0">
        <w:rPr>
          <w:lang w:val="en-US"/>
        </w:rPr>
        <w:t>This form</w:t>
      </w:r>
      <w:r w:rsidR="00A056F6" w:rsidRPr="007E0FC0">
        <w:rPr>
          <w:lang w:val="en-US"/>
        </w:rPr>
        <w:t xml:space="preserve"> of</w:t>
      </w:r>
      <w:r w:rsidR="001C43D6" w:rsidRPr="007E0FC0">
        <w:rPr>
          <w:lang w:val="en-US"/>
        </w:rPr>
        <w:t xml:space="preserve"> migratory </w:t>
      </w:r>
      <w:r w:rsidR="00A056F6" w:rsidRPr="007E0FC0">
        <w:rPr>
          <w:lang w:val="en-US"/>
        </w:rPr>
        <w:t>regularization permits asylum</w:t>
      </w:r>
      <w:r w:rsidR="009C7DBD">
        <w:rPr>
          <w:lang w:val="en-US"/>
        </w:rPr>
        <w:t>-</w:t>
      </w:r>
      <w:r w:rsidR="00A056F6" w:rsidRPr="007E0FC0">
        <w:rPr>
          <w:lang w:val="en-US"/>
        </w:rPr>
        <w:t xml:space="preserve">seekers to </w:t>
      </w:r>
      <w:r w:rsidR="00211A94">
        <w:rPr>
          <w:lang w:val="en-US"/>
        </w:rPr>
        <w:t xml:space="preserve">receive </w:t>
      </w:r>
      <w:r w:rsidR="007E0FC0" w:rsidRPr="007E0FC0">
        <w:rPr>
          <w:lang w:val="en-US"/>
        </w:rPr>
        <w:t>documentation, although it does not guarantee</w:t>
      </w:r>
      <w:r w:rsidR="00C04639">
        <w:rPr>
          <w:lang w:val="en-US"/>
        </w:rPr>
        <w:t xml:space="preserve"> subsequent</w:t>
      </w:r>
      <w:r w:rsidR="00BD583A">
        <w:rPr>
          <w:lang w:val="en-US"/>
        </w:rPr>
        <w:t xml:space="preserve"> </w:t>
      </w:r>
      <w:r w:rsidR="007E0FC0" w:rsidRPr="007E0FC0">
        <w:rPr>
          <w:lang w:val="en-US"/>
        </w:rPr>
        <w:t>recogniti</w:t>
      </w:r>
      <w:r w:rsidR="007E0FC0">
        <w:rPr>
          <w:lang w:val="en-US"/>
        </w:rPr>
        <w:t>on</w:t>
      </w:r>
      <w:r w:rsidR="007E0FC0" w:rsidRPr="007E0FC0">
        <w:rPr>
          <w:lang w:val="en-US"/>
        </w:rPr>
        <w:t xml:space="preserve"> of refugee status. </w:t>
      </w:r>
      <w:r w:rsidR="001A2811">
        <w:rPr>
          <w:lang w:val="en-US"/>
        </w:rPr>
        <w:t xml:space="preserve">Moreover, </w:t>
      </w:r>
      <w:r w:rsidR="00775C81">
        <w:rPr>
          <w:lang w:val="en-US"/>
        </w:rPr>
        <w:t xml:space="preserve">as of February 2022, </w:t>
      </w:r>
      <w:r w:rsidR="00775C81" w:rsidRPr="0084048B">
        <w:rPr>
          <w:lang w:val="en-US"/>
        </w:rPr>
        <w:t xml:space="preserve">Peru </w:t>
      </w:r>
      <w:hyperlink r:id="rId14" w:history="1">
        <w:r w:rsidR="00775C81">
          <w:rPr>
            <w:rStyle w:val="Hipervnculo"/>
            <w:lang w:val="en-US"/>
          </w:rPr>
          <w:t>began</w:t>
        </w:r>
        <w:r w:rsidR="00775C81" w:rsidRPr="00775C81">
          <w:rPr>
            <w:rStyle w:val="Hipervnculo"/>
            <w:lang w:val="en-US"/>
          </w:rPr>
          <w:t xml:space="preserve"> to re-open its land borders</w:t>
        </w:r>
      </w:hyperlink>
      <w:r w:rsidR="00775C81">
        <w:rPr>
          <w:lang w:val="en-US"/>
        </w:rPr>
        <w:t xml:space="preserve"> with neighboring countries Bolivia and Ecuador.</w:t>
      </w:r>
      <w:r w:rsidR="001211A1">
        <w:rPr>
          <w:lang w:val="en-US"/>
        </w:rPr>
        <w:t xml:space="preserve"> Still, land borders between Peru and Chile remain closed as the latter has </w:t>
      </w:r>
      <w:hyperlink r:id="rId15" w:history="1">
        <w:r w:rsidR="001211A1" w:rsidRPr="001D0AA9">
          <w:rPr>
            <w:rStyle w:val="Hipervnculo"/>
            <w:lang w:val="en-US"/>
          </w:rPr>
          <w:t>declared a State of Emergency</w:t>
        </w:r>
      </w:hyperlink>
      <w:r w:rsidR="001211A1">
        <w:rPr>
          <w:lang w:val="en-US"/>
        </w:rPr>
        <w:t xml:space="preserve"> </w:t>
      </w:r>
      <w:r w:rsidR="008F11F6">
        <w:rPr>
          <w:lang w:val="en-US"/>
        </w:rPr>
        <w:t>and</w:t>
      </w:r>
      <w:r w:rsidR="001211A1">
        <w:rPr>
          <w:lang w:val="en-US"/>
        </w:rPr>
        <w:t xml:space="preserve"> subsequent</w:t>
      </w:r>
      <w:r w:rsidR="008F11F6">
        <w:rPr>
          <w:lang w:val="en-US"/>
        </w:rPr>
        <w:t>ly</w:t>
      </w:r>
      <w:r w:rsidR="001211A1">
        <w:rPr>
          <w:lang w:val="en-US"/>
        </w:rPr>
        <w:t xml:space="preserve"> militariz</w:t>
      </w:r>
      <w:r w:rsidR="008F11F6">
        <w:rPr>
          <w:lang w:val="en-US"/>
        </w:rPr>
        <w:t xml:space="preserve">ed parts of </w:t>
      </w:r>
      <w:r w:rsidR="001211A1">
        <w:rPr>
          <w:lang w:val="en-US"/>
        </w:rPr>
        <w:t xml:space="preserve">its northern region. </w:t>
      </w:r>
      <w:r w:rsidR="00231D95">
        <w:rPr>
          <w:lang w:val="en-US"/>
        </w:rPr>
        <w:t xml:space="preserve">These new dynamics combined with Chile’s new migratory law </w:t>
      </w:r>
      <w:r w:rsidR="0084048B">
        <w:rPr>
          <w:lang w:val="en-US"/>
        </w:rPr>
        <w:t>increase exposure</w:t>
      </w:r>
      <w:r w:rsidR="00231D95">
        <w:rPr>
          <w:lang w:val="en-US"/>
        </w:rPr>
        <w:t xml:space="preserve"> to </w:t>
      </w:r>
      <w:hyperlink r:id="rId16" w:history="1">
        <w:r w:rsidR="00625020" w:rsidRPr="00625020">
          <w:rPr>
            <w:rStyle w:val="Hipervnculo"/>
            <w:lang w:val="en-US"/>
          </w:rPr>
          <w:t xml:space="preserve">the </w:t>
        </w:r>
        <w:r w:rsidR="00231D95" w:rsidRPr="00625020">
          <w:rPr>
            <w:rStyle w:val="Hipervnculo"/>
            <w:lang w:val="en-US"/>
          </w:rPr>
          <w:t>risk of refoulement, human trafficking, and xenophobia</w:t>
        </w:r>
      </w:hyperlink>
      <w:r w:rsidR="00231D95">
        <w:rPr>
          <w:lang w:val="en-US"/>
        </w:rPr>
        <w:t xml:space="preserve"> in the Peru-Chile-Bolivia border region.</w:t>
      </w:r>
    </w:p>
    <w:p w14:paraId="4A8A2282" w14:textId="529D974B" w:rsidR="00295A65" w:rsidRPr="00295A65" w:rsidRDefault="007D5AD7" w:rsidP="00295A65">
      <w:pPr>
        <w:jc w:val="both"/>
        <w:rPr>
          <w:lang w:val="en-US"/>
        </w:rPr>
      </w:pPr>
      <w:r>
        <w:rPr>
          <w:lang w:val="en-US"/>
        </w:rPr>
        <w:t xml:space="preserve">In August, </w:t>
      </w:r>
      <w:hyperlink r:id="rId17" w:history="1">
        <w:r w:rsidRPr="006E48FE">
          <w:rPr>
            <w:rStyle w:val="Hipervnculo"/>
            <w:lang w:val="en-US"/>
          </w:rPr>
          <w:t>migration authorities announce</w:t>
        </w:r>
      </w:hyperlink>
      <w:hyperlink r:id="rId18" w:history="1">
        <w:r w:rsidRPr="006E48FE">
          <w:rPr>
            <w:rStyle w:val="Hipervnculo"/>
            <w:lang w:val="en-US"/>
          </w:rPr>
          <w:t>d</w:t>
        </w:r>
      </w:hyperlink>
      <w:r>
        <w:rPr>
          <w:lang w:val="en-US"/>
        </w:rPr>
        <w:t xml:space="preserve"> that they would</w:t>
      </w:r>
      <w:r w:rsidR="009E50FD">
        <w:rPr>
          <w:lang w:val="en-US"/>
        </w:rPr>
        <w:t xml:space="preserve"> adjust requirements to accommodate Venezuelans who face difficulties obtaining documents from their countries of origin.</w:t>
      </w:r>
      <w:r w:rsidR="002D4C98">
        <w:rPr>
          <w:lang w:val="en-US"/>
        </w:rPr>
        <w:t xml:space="preserve"> </w:t>
      </w:r>
      <w:r w:rsidR="00DC5672">
        <w:rPr>
          <w:lang w:val="en-US"/>
        </w:rPr>
        <w:t xml:space="preserve">In August, </w:t>
      </w:r>
      <w:r w:rsidR="00295A65">
        <w:rPr>
          <w:b/>
          <w:bCs/>
          <w:lang w:val="en-US"/>
        </w:rPr>
        <w:t xml:space="preserve">Brazil </w:t>
      </w:r>
      <w:r w:rsidR="00295A65">
        <w:rPr>
          <w:lang w:val="en-US"/>
        </w:rPr>
        <w:t xml:space="preserve">extended the application of </w:t>
      </w:r>
      <w:hyperlink r:id="rId19" w:history="1">
        <w:r w:rsidR="00295A65" w:rsidRPr="00831BCC">
          <w:rPr>
            <w:rStyle w:val="Hipervnculo"/>
            <w:lang w:val="en-US"/>
          </w:rPr>
          <w:t xml:space="preserve">simplified </w:t>
        </w:r>
        <w:r w:rsidR="00831BCC" w:rsidRPr="00831BCC">
          <w:rPr>
            <w:rStyle w:val="Hipervnculo"/>
            <w:lang w:val="en-US"/>
          </w:rPr>
          <w:t>asylum process for Venezuelan asylum seekers</w:t>
        </w:r>
      </w:hyperlink>
      <w:r w:rsidR="00831BCC">
        <w:rPr>
          <w:lang w:val="en-US"/>
        </w:rPr>
        <w:t xml:space="preserve"> through the end of December.</w:t>
      </w:r>
    </w:p>
    <w:p w14:paraId="2EE60CE9" w14:textId="62E7C3B2" w:rsidR="00295A65" w:rsidRPr="00090B37" w:rsidRDefault="00090B37" w:rsidP="005C194E">
      <w:pPr>
        <w:jc w:val="both"/>
        <w:rPr>
          <w:u w:val="single"/>
          <w:lang w:val="en-US"/>
        </w:rPr>
      </w:pPr>
      <w:r>
        <w:rPr>
          <w:u w:val="single"/>
          <w:lang w:val="en-US"/>
        </w:rPr>
        <w:t>Central America</w:t>
      </w:r>
      <w:r w:rsidR="00F735DB">
        <w:rPr>
          <w:u w:val="single"/>
          <w:lang w:val="en-US"/>
        </w:rPr>
        <w:t xml:space="preserve"> and Mexico</w:t>
      </w:r>
    </w:p>
    <w:p w14:paraId="13484537" w14:textId="3EE65D8B" w:rsidR="006E48FE" w:rsidRPr="00621AC1" w:rsidRDefault="00D82DCC" w:rsidP="004149C8">
      <w:pPr>
        <w:jc w:val="both"/>
        <w:rPr>
          <w:lang w:val="en-US"/>
        </w:rPr>
      </w:pPr>
      <w:r>
        <w:rPr>
          <w:lang w:val="en-US"/>
        </w:rPr>
        <w:t>Increased militarization</w:t>
      </w:r>
      <w:r w:rsidR="00583181">
        <w:rPr>
          <w:lang w:val="en-US"/>
        </w:rPr>
        <w:t xml:space="preserve"> throughout 2021 has impeded</w:t>
      </w:r>
      <w:r w:rsidR="00D654BE">
        <w:rPr>
          <w:lang w:val="en-US"/>
        </w:rPr>
        <w:t xml:space="preserve"> access to territory and onward movements</w:t>
      </w:r>
      <w:r w:rsidR="00901CA6">
        <w:rPr>
          <w:lang w:val="en-US"/>
        </w:rPr>
        <w:t xml:space="preserve">, as evidenced in </w:t>
      </w:r>
      <w:r w:rsidR="008121D9">
        <w:rPr>
          <w:lang w:val="en-US"/>
        </w:rPr>
        <w:t xml:space="preserve">harsh </w:t>
      </w:r>
      <w:r w:rsidR="00901CA6">
        <w:rPr>
          <w:lang w:val="en-US"/>
        </w:rPr>
        <w:t>responses to collective movements known as caravans</w:t>
      </w:r>
      <w:r w:rsidR="008121D9">
        <w:rPr>
          <w:lang w:val="en-US"/>
        </w:rPr>
        <w:t xml:space="preserve"> as well as the proliferation of check points where migrants report frequent abuses of authority</w:t>
      </w:r>
      <w:r w:rsidR="00D654BE">
        <w:rPr>
          <w:lang w:val="en-US"/>
        </w:rPr>
        <w:t>.</w:t>
      </w:r>
      <w:r w:rsidR="00867071">
        <w:rPr>
          <w:lang w:val="en-US"/>
        </w:rPr>
        <w:t xml:space="preserve"> Arbitrary detention in </w:t>
      </w:r>
      <w:r w:rsidR="00867071">
        <w:rPr>
          <w:b/>
          <w:bCs/>
          <w:lang w:val="en-US"/>
        </w:rPr>
        <w:t xml:space="preserve">Mexico </w:t>
      </w:r>
      <w:r w:rsidR="00867071">
        <w:rPr>
          <w:lang w:val="en-US"/>
        </w:rPr>
        <w:t xml:space="preserve">continues to be used </w:t>
      </w:r>
      <w:r w:rsidR="0051006B">
        <w:rPr>
          <w:lang w:val="en-US"/>
        </w:rPr>
        <w:t xml:space="preserve">against irregular entrants and asylum-seekers alike, sometimes leading to </w:t>
      </w:r>
      <w:r w:rsidR="00C16284">
        <w:rPr>
          <w:lang w:val="en-US"/>
        </w:rPr>
        <w:t>refoulement.</w:t>
      </w:r>
      <w:r w:rsidR="00867071">
        <w:rPr>
          <w:lang w:val="en-US"/>
        </w:rPr>
        <w:t xml:space="preserve"> </w:t>
      </w:r>
      <w:r w:rsidR="00D654BE">
        <w:rPr>
          <w:lang w:val="en-US"/>
        </w:rPr>
        <w:t xml:space="preserve"> </w:t>
      </w:r>
      <w:r w:rsidR="00583181">
        <w:rPr>
          <w:lang w:val="en-US"/>
        </w:rPr>
        <w:t xml:space="preserve">Multiple formal restrictions have made it difficult for individuals to regularly transit through the region. </w:t>
      </w:r>
      <w:r w:rsidR="007A7550" w:rsidRPr="00867071">
        <w:rPr>
          <w:lang w:val="en-US"/>
        </w:rPr>
        <w:t>Mexico</w:t>
      </w:r>
      <w:r w:rsidR="007A7550" w:rsidRPr="00621AC1">
        <w:rPr>
          <w:lang w:val="en-US"/>
        </w:rPr>
        <w:t xml:space="preserve"> </w:t>
      </w:r>
      <w:r w:rsidR="00621AC1" w:rsidRPr="00621AC1">
        <w:rPr>
          <w:lang w:val="en-US"/>
        </w:rPr>
        <w:t>introduced visa requirements for</w:t>
      </w:r>
      <w:r w:rsidR="00C813C4">
        <w:rPr>
          <w:lang w:val="en-US"/>
        </w:rPr>
        <w:t xml:space="preserve"> </w:t>
      </w:r>
      <w:r w:rsidR="0084048B">
        <w:rPr>
          <w:lang w:val="en-US"/>
        </w:rPr>
        <w:t>Ecuadorian (</w:t>
      </w:r>
      <w:hyperlink r:id="rId20" w:history="1">
        <w:r w:rsidR="0084048B" w:rsidRPr="00C813C4">
          <w:rPr>
            <w:rStyle w:val="Hipervnculo"/>
            <w:lang w:val="en-US"/>
          </w:rPr>
          <w:t xml:space="preserve">August </w:t>
        </w:r>
        <w:r w:rsidR="0084048B" w:rsidRPr="00C813C4">
          <w:rPr>
            <w:rStyle w:val="Hipervnculo"/>
            <w:lang w:val="en-US"/>
          </w:rPr>
          <w:lastRenderedPageBreak/>
          <w:t>2021</w:t>
        </w:r>
      </w:hyperlink>
      <w:r w:rsidR="0084048B">
        <w:rPr>
          <w:lang w:val="en-US"/>
        </w:rPr>
        <w:t>),</w:t>
      </w:r>
      <w:r w:rsidR="0084048B" w:rsidRPr="00621AC1">
        <w:rPr>
          <w:lang w:val="en-US"/>
        </w:rPr>
        <w:t xml:space="preserve"> Brazilian (</w:t>
      </w:r>
      <w:hyperlink r:id="rId21" w:history="1">
        <w:r w:rsidR="0084048B" w:rsidRPr="00D46CCF">
          <w:rPr>
            <w:rStyle w:val="Hipervnculo"/>
            <w:lang w:val="en-US"/>
          </w:rPr>
          <w:t>December 2021</w:t>
        </w:r>
      </w:hyperlink>
      <w:r w:rsidR="0084048B">
        <w:rPr>
          <w:lang w:val="en-US"/>
        </w:rPr>
        <w:t>) and Venezuelan nationals (</w:t>
      </w:r>
      <w:hyperlink r:id="rId22" w:history="1">
        <w:r w:rsidR="0084048B" w:rsidRPr="00411BBF">
          <w:rPr>
            <w:rStyle w:val="Hipervnculo"/>
            <w:lang w:val="en-US"/>
          </w:rPr>
          <w:t>January 2022</w:t>
        </w:r>
      </w:hyperlink>
      <w:r w:rsidR="0084048B">
        <w:rPr>
          <w:lang w:val="en-US"/>
        </w:rPr>
        <w:t xml:space="preserve">), </w:t>
      </w:r>
      <w:r w:rsidR="00411BBF">
        <w:rPr>
          <w:lang w:val="en-US"/>
        </w:rPr>
        <w:t xml:space="preserve">thus complicating </w:t>
      </w:r>
      <w:r w:rsidR="00C16284">
        <w:rPr>
          <w:lang w:val="en-US"/>
        </w:rPr>
        <w:t xml:space="preserve">safe and regular </w:t>
      </w:r>
      <w:r w:rsidR="00411BBF">
        <w:rPr>
          <w:lang w:val="en-US"/>
        </w:rPr>
        <w:t xml:space="preserve">entry </w:t>
      </w:r>
      <w:r w:rsidR="00526BD7">
        <w:rPr>
          <w:lang w:val="en-US"/>
        </w:rPr>
        <w:t xml:space="preserve">to the territory. </w:t>
      </w:r>
      <w:r w:rsidR="00D654BE">
        <w:rPr>
          <w:lang w:val="en-US"/>
        </w:rPr>
        <w:t xml:space="preserve">Additionally, </w:t>
      </w:r>
      <w:hyperlink r:id="rId23" w:history="1">
        <w:r w:rsidR="000A64C8" w:rsidRPr="000A64C8">
          <w:rPr>
            <w:rStyle w:val="Hipervnculo"/>
            <w:lang w:val="en-US"/>
          </w:rPr>
          <w:t>repeated</w:t>
        </w:r>
        <w:r w:rsidR="00D654BE" w:rsidRPr="000A64C8">
          <w:rPr>
            <w:rStyle w:val="Hipervnculo"/>
            <w:lang w:val="en-US"/>
          </w:rPr>
          <w:t xml:space="preserve"> changes</w:t>
        </w:r>
      </w:hyperlink>
      <w:r w:rsidR="000A64C8">
        <w:rPr>
          <w:lang w:val="en-US"/>
        </w:rPr>
        <w:t xml:space="preserve"> in 2021</w:t>
      </w:r>
      <w:r w:rsidR="00D654BE">
        <w:rPr>
          <w:lang w:val="en-US"/>
        </w:rPr>
        <w:t xml:space="preserve"> to asylum procedures </w:t>
      </w:r>
      <w:r w:rsidR="000A64C8">
        <w:rPr>
          <w:lang w:val="en-US"/>
        </w:rPr>
        <w:t>along the southern border</w:t>
      </w:r>
      <w:r w:rsidR="00D654BE">
        <w:rPr>
          <w:lang w:val="en-US"/>
        </w:rPr>
        <w:t xml:space="preserve"> </w:t>
      </w:r>
      <w:r w:rsidR="000A64C8">
        <w:rPr>
          <w:lang w:val="en-US"/>
        </w:rPr>
        <w:t>prevented many from obtaining necessary international protection</w:t>
      </w:r>
      <w:r w:rsidR="00C16284">
        <w:rPr>
          <w:lang w:val="en-US"/>
        </w:rPr>
        <w:t xml:space="preserve">. </w:t>
      </w:r>
      <w:r w:rsidR="000E6CAF" w:rsidRPr="00CD1A1E">
        <w:rPr>
          <w:b/>
          <w:bCs/>
          <w:lang w:val="en-US"/>
        </w:rPr>
        <w:t>Guatemala</w:t>
      </w:r>
      <w:r w:rsidR="000E6CAF">
        <w:rPr>
          <w:lang w:val="en-US"/>
        </w:rPr>
        <w:t xml:space="preserve"> </w:t>
      </w:r>
      <w:r w:rsidR="00CD1A1E">
        <w:rPr>
          <w:lang w:val="en-US"/>
        </w:rPr>
        <w:t>maintained</w:t>
      </w:r>
      <w:r w:rsidR="007A559E">
        <w:rPr>
          <w:lang w:val="en-US"/>
        </w:rPr>
        <w:t xml:space="preserve"> requirements for </w:t>
      </w:r>
      <w:r w:rsidR="004149C8">
        <w:rPr>
          <w:lang w:val="en-US"/>
        </w:rPr>
        <w:t xml:space="preserve">negative Covid-19 test results, which effectively impede </w:t>
      </w:r>
      <w:r w:rsidR="00520AEE">
        <w:rPr>
          <w:lang w:val="en-US"/>
        </w:rPr>
        <w:t xml:space="preserve">those from neighboring Honduras, </w:t>
      </w:r>
      <w:proofErr w:type="gramStart"/>
      <w:r w:rsidR="00520AEE">
        <w:rPr>
          <w:lang w:val="en-US"/>
        </w:rPr>
        <w:t>El Salvador</w:t>
      </w:r>
      <w:proofErr w:type="gramEnd"/>
      <w:r w:rsidR="00520AEE">
        <w:rPr>
          <w:lang w:val="en-US"/>
        </w:rPr>
        <w:t xml:space="preserve"> and Nicaragua from enjoying </w:t>
      </w:r>
      <w:r w:rsidR="000A64C8">
        <w:rPr>
          <w:lang w:val="en-US"/>
        </w:rPr>
        <w:t xml:space="preserve">Central American </w:t>
      </w:r>
      <w:r w:rsidR="00901CA6">
        <w:rPr>
          <w:lang w:val="en-US"/>
        </w:rPr>
        <w:t>transit privileges</w:t>
      </w:r>
      <w:r w:rsidR="003C31EA">
        <w:rPr>
          <w:lang w:val="en-US"/>
        </w:rPr>
        <w:t xml:space="preserve"> and encourage irregular movements. </w:t>
      </w:r>
    </w:p>
    <w:p w14:paraId="1AB5A43B" w14:textId="150A9713" w:rsidR="005F3CEF" w:rsidRDefault="005F01F0" w:rsidP="004149C8">
      <w:pPr>
        <w:jc w:val="both"/>
        <w:rPr>
          <w:lang w:val="en-US"/>
        </w:rPr>
      </w:pPr>
      <w:r>
        <w:rPr>
          <w:lang w:val="en-US"/>
        </w:rPr>
        <w:t xml:space="preserve">Many of the control measures in the region are </w:t>
      </w:r>
      <w:r w:rsidR="00194181">
        <w:rPr>
          <w:lang w:val="en-US"/>
        </w:rPr>
        <w:t xml:space="preserve">promoted by the </w:t>
      </w:r>
      <w:r w:rsidR="00194181" w:rsidRPr="006B3FBD">
        <w:rPr>
          <w:b/>
          <w:bCs/>
          <w:lang w:val="en-US"/>
        </w:rPr>
        <w:t>U</w:t>
      </w:r>
      <w:r w:rsidR="006B3FBD" w:rsidRPr="006B3FBD">
        <w:rPr>
          <w:b/>
          <w:bCs/>
          <w:lang w:val="en-US"/>
        </w:rPr>
        <w:t>nited States</w:t>
      </w:r>
      <w:r w:rsidR="00194181">
        <w:rPr>
          <w:lang w:val="en-US"/>
        </w:rPr>
        <w:t xml:space="preserve"> </w:t>
      </w:r>
      <w:proofErr w:type="gramStart"/>
      <w:r w:rsidR="00194181">
        <w:rPr>
          <w:lang w:val="en-US"/>
        </w:rPr>
        <w:t>in an attempt to</w:t>
      </w:r>
      <w:proofErr w:type="gramEnd"/>
      <w:r w:rsidR="00194181">
        <w:rPr>
          <w:lang w:val="en-US"/>
        </w:rPr>
        <w:t xml:space="preserve"> prevent migrants from accessing its territory. </w:t>
      </w:r>
      <w:r w:rsidR="002A27D8">
        <w:rPr>
          <w:lang w:val="en-US"/>
        </w:rPr>
        <w:t>While t</w:t>
      </w:r>
      <w:r>
        <w:rPr>
          <w:lang w:val="en-US"/>
        </w:rPr>
        <w:t>he U.S.</w:t>
      </w:r>
      <w:r w:rsidR="00336A42">
        <w:rPr>
          <w:lang w:val="en-US"/>
        </w:rPr>
        <w:t xml:space="preserve"> applies the safe third country concept through bilateral agreements (currently only with Canada),</w:t>
      </w:r>
      <w:r w:rsidR="004149C8">
        <w:rPr>
          <w:lang w:val="en-US"/>
        </w:rPr>
        <w:t xml:space="preserve"> </w:t>
      </w:r>
      <w:r w:rsidR="00A26FA8">
        <w:rPr>
          <w:lang w:val="en-US"/>
        </w:rPr>
        <w:t xml:space="preserve">in recent years </w:t>
      </w:r>
      <w:r w:rsidR="002A27D8">
        <w:rPr>
          <w:lang w:val="en-US"/>
        </w:rPr>
        <w:t xml:space="preserve">it </w:t>
      </w:r>
      <w:r w:rsidR="00A26FA8">
        <w:rPr>
          <w:lang w:val="en-US"/>
        </w:rPr>
        <w:t xml:space="preserve">has advanced in frameworks to classify Honduras, El Salvador and Guatemala as safe third countries </w:t>
      </w:r>
      <w:proofErr w:type="gramStart"/>
      <w:r w:rsidR="00D4588E">
        <w:rPr>
          <w:lang w:val="en-US"/>
        </w:rPr>
        <w:t>as a way to</w:t>
      </w:r>
      <w:proofErr w:type="gramEnd"/>
      <w:r w:rsidR="00D4588E">
        <w:rPr>
          <w:lang w:val="en-US"/>
        </w:rPr>
        <w:t xml:space="preserve"> impede access to international protection in the U.S. While a ch</w:t>
      </w:r>
      <w:r w:rsidR="00492418">
        <w:rPr>
          <w:lang w:val="en-US"/>
        </w:rPr>
        <w:t xml:space="preserve">ange in government at the beginning of 2021 led to the </w:t>
      </w:r>
      <w:hyperlink r:id="rId24" w:history="1">
        <w:r w:rsidR="0084048B" w:rsidRPr="00492418">
          <w:rPr>
            <w:rStyle w:val="Hipervnculo"/>
            <w:lang w:val="en-US"/>
          </w:rPr>
          <w:t>suspension of these agreements,</w:t>
        </w:r>
      </w:hyperlink>
      <w:r w:rsidR="00492418">
        <w:rPr>
          <w:lang w:val="en-US"/>
        </w:rPr>
        <w:t xml:space="preserve"> the permissive legal framework governing </w:t>
      </w:r>
      <w:r w:rsidR="004E593E">
        <w:rPr>
          <w:lang w:val="en-US"/>
        </w:rPr>
        <w:t xml:space="preserve">the safe third country concept would </w:t>
      </w:r>
      <w:r w:rsidR="004B1A2F">
        <w:rPr>
          <w:lang w:val="en-US"/>
        </w:rPr>
        <w:t xml:space="preserve">allow for it to be easily invoked </w:t>
      </w:r>
      <w:r w:rsidR="001518F8">
        <w:rPr>
          <w:lang w:val="en-US"/>
        </w:rPr>
        <w:t>to deny meaningful protection. Separately, U.S.</w:t>
      </w:r>
      <w:r w:rsidR="00336A42">
        <w:rPr>
          <w:lang w:val="en-US"/>
        </w:rPr>
        <w:t xml:space="preserve"> </w:t>
      </w:r>
      <w:r w:rsidR="008120C6">
        <w:rPr>
          <w:lang w:val="en-US"/>
        </w:rPr>
        <w:t xml:space="preserve">domestic legislation (Section 235 of the Immigration and Nationality Act) </w:t>
      </w:r>
      <w:r w:rsidR="00251DA1">
        <w:rPr>
          <w:lang w:val="en-US"/>
        </w:rPr>
        <w:t>contemplates the return of individuals who arrive by land from contiguous territories to those r</w:t>
      </w:r>
      <w:r w:rsidR="00836286">
        <w:rPr>
          <w:lang w:val="en-US"/>
        </w:rPr>
        <w:t xml:space="preserve">espective territories until immigration proceedings have been carried out. </w:t>
      </w:r>
      <w:r w:rsidR="001518F8">
        <w:rPr>
          <w:lang w:val="en-US"/>
        </w:rPr>
        <w:t>Under this authority, the Migrant Protection Protocols</w:t>
      </w:r>
      <w:r w:rsidR="0031516D">
        <w:rPr>
          <w:lang w:val="en-US"/>
        </w:rPr>
        <w:t xml:space="preserve"> (MPP)</w:t>
      </w:r>
      <w:r w:rsidR="001518F8">
        <w:rPr>
          <w:lang w:val="en-US"/>
        </w:rPr>
        <w:t xml:space="preserve"> – initially adopted in early 2019 before being suspended in January 202</w:t>
      </w:r>
      <w:r w:rsidR="00F6587E">
        <w:rPr>
          <w:lang w:val="en-US"/>
        </w:rPr>
        <w:t xml:space="preserve">1 and subsequently reinitiated in </w:t>
      </w:r>
      <w:hyperlink r:id="rId25" w:history="1">
        <w:r w:rsidR="00F6587E" w:rsidRPr="00BE4FCE">
          <w:rPr>
            <w:rStyle w:val="Hipervnculo"/>
            <w:lang w:val="en-US"/>
          </w:rPr>
          <w:t>December 2021</w:t>
        </w:r>
      </w:hyperlink>
      <w:r w:rsidR="00F6587E">
        <w:rPr>
          <w:lang w:val="en-US"/>
        </w:rPr>
        <w:t xml:space="preserve"> – </w:t>
      </w:r>
      <w:r w:rsidR="00383B95">
        <w:rPr>
          <w:lang w:val="en-US"/>
        </w:rPr>
        <w:t xml:space="preserve">require those who request asylum at the U.S. border to remain in Mexico while they await their hearings and the resolution of their claims. </w:t>
      </w:r>
      <w:r w:rsidR="009128D3">
        <w:rPr>
          <w:lang w:val="en-US"/>
        </w:rPr>
        <w:t xml:space="preserve">While the MPP is facially neutral with respect the nationality, it is currently applied only to individuals who are not amenable to automatic expulsion from the U.S. under the </w:t>
      </w:r>
      <w:r w:rsidR="00910BAD">
        <w:rPr>
          <w:lang w:val="en-US"/>
        </w:rPr>
        <w:t>public health authority Title 42 – initially invoked in March 2020 and still in effect -</w:t>
      </w:r>
      <w:r w:rsidR="00C9022E">
        <w:rPr>
          <w:lang w:val="en-US"/>
        </w:rPr>
        <w:t xml:space="preserve">. Title 42 is currently applied </w:t>
      </w:r>
      <w:r w:rsidR="00DF4C53">
        <w:rPr>
          <w:lang w:val="en-US"/>
        </w:rPr>
        <w:t xml:space="preserve">to individuals that can either be returned to their countries of origin or those that Mexico has agreed to accept in its territory. This notably includes nationals of Guatemala, </w:t>
      </w:r>
      <w:proofErr w:type="gramStart"/>
      <w:r w:rsidR="00DF4C53">
        <w:rPr>
          <w:lang w:val="en-US"/>
        </w:rPr>
        <w:t>Honduras</w:t>
      </w:r>
      <w:proofErr w:type="gramEnd"/>
      <w:r w:rsidR="00DF4C53">
        <w:rPr>
          <w:lang w:val="en-US"/>
        </w:rPr>
        <w:t xml:space="preserve"> and El Salvador, among others, leading to their automatic expulsion from the U.S. to Mexico, even in the event that they attempt to seek asylum in the U.S.</w:t>
      </w:r>
      <w:r w:rsidR="006579C3">
        <w:rPr>
          <w:lang w:val="en-US"/>
        </w:rPr>
        <w:t xml:space="preserve"> Field activities confirm that the U.S. has used flights to expel individuals to southern Mexico so as to prevent attempts at re-entry or laterally, to other border crossing points, in order to interrupt </w:t>
      </w:r>
      <w:r w:rsidR="003F7DC8">
        <w:rPr>
          <w:lang w:val="en-US"/>
        </w:rPr>
        <w:t xml:space="preserve">contact with </w:t>
      </w:r>
      <w:r w:rsidR="00C0034E">
        <w:rPr>
          <w:lang w:val="en-US"/>
        </w:rPr>
        <w:t>smugglers.</w:t>
      </w:r>
      <w:r w:rsidR="003F7DC8">
        <w:rPr>
          <w:lang w:val="en-US"/>
        </w:rPr>
        <w:t xml:space="preserve"> </w:t>
      </w:r>
      <w:r w:rsidR="00DF4C53">
        <w:rPr>
          <w:lang w:val="en-US"/>
        </w:rPr>
        <w:t xml:space="preserve">In this context, MPP has been applied to individuals </w:t>
      </w:r>
      <w:hyperlink r:id="rId26" w:history="1">
        <w:r w:rsidR="00DF4C53" w:rsidRPr="00F75512">
          <w:rPr>
            <w:rStyle w:val="Hipervnculo"/>
            <w:lang w:val="en-US"/>
          </w:rPr>
          <w:t>not amenable to Title 42</w:t>
        </w:r>
      </w:hyperlink>
      <w:r w:rsidR="00DF4C53">
        <w:rPr>
          <w:lang w:val="en-US"/>
        </w:rPr>
        <w:t>, including Nicaraguans, Venezuelans</w:t>
      </w:r>
      <w:r w:rsidR="00F75512">
        <w:rPr>
          <w:lang w:val="en-US"/>
        </w:rPr>
        <w:t xml:space="preserve"> and Cubans. With respect to Mexican nationals attempting to flee Mexico into the United States, </w:t>
      </w:r>
      <w:r w:rsidR="00735EFE">
        <w:rPr>
          <w:lang w:val="en-US"/>
        </w:rPr>
        <w:t xml:space="preserve">the lack of an asylum-seeker exception to Title 42 leads to their automatic expulsion to Mexico. </w:t>
      </w:r>
    </w:p>
    <w:p w14:paraId="2BFC6F40" w14:textId="0E44C06C" w:rsidR="00216E2E" w:rsidRDefault="00216E2E" w:rsidP="004149C8">
      <w:pPr>
        <w:jc w:val="both"/>
        <w:rPr>
          <w:lang w:val="en-US"/>
        </w:rPr>
      </w:pPr>
    </w:p>
    <w:p w14:paraId="7E969E5C" w14:textId="36084078" w:rsidR="00216E2E" w:rsidRDefault="00216E2E" w:rsidP="00216E2E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February 2022</w:t>
      </w:r>
    </w:p>
    <w:p w14:paraId="759E0997" w14:textId="1B2C3D5F" w:rsidR="00216E2E" w:rsidRPr="00714A51" w:rsidRDefault="00216E2E" w:rsidP="00216E2E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DRC &amp; MMC Latin America and the Caribbean</w:t>
      </w:r>
    </w:p>
    <w:p w14:paraId="6404DBC7" w14:textId="77777777" w:rsidR="005F3CEF" w:rsidRPr="003F7DC8" w:rsidRDefault="005F3CEF" w:rsidP="003F7DC8">
      <w:pPr>
        <w:jc w:val="both"/>
        <w:rPr>
          <w:lang w:val="en-US"/>
        </w:rPr>
      </w:pPr>
    </w:p>
    <w:p w14:paraId="23036B20" w14:textId="77777777" w:rsidR="005F3CEF" w:rsidRPr="005F3CEF" w:rsidRDefault="005F3CEF" w:rsidP="00735EFE">
      <w:pPr>
        <w:rPr>
          <w:lang w:val="en-US"/>
        </w:rPr>
      </w:pPr>
    </w:p>
    <w:sectPr w:rsidR="005F3CEF" w:rsidRPr="005F3C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FE14A" w14:textId="77777777" w:rsidR="00F0628C" w:rsidRDefault="00F0628C" w:rsidP="005F3CEF">
      <w:pPr>
        <w:spacing w:after="0" w:line="240" w:lineRule="auto"/>
      </w:pPr>
      <w:r>
        <w:separator/>
      </w:r>
    </w:p>
  </w:endnote>
  <w:endnote w:type="continuationSeparator" w:id="0">
    <w:p w14:paraId="4E9E8C3A" w14:textId="77777777" w:rsidR="00F0628C" w:rsidRDefault="00F0628C" w:rsidP="005F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CDDF7" w14:textId="77777777" w:rsidR="00F0628C" w:rsidRDefault="00F0628C" w:rsidP="005F3CEF">
      <w:pPr>
        <w:spacing w:after="0" w:line="240" w:lineRule="auto"/>
      </w:pPr>
      <w:r>
        <w:separator/>
      </w:r>
    </w:p>
  </w:footnote>
  <w:footnote w:type="continuationSeparator" w:id="0">
    <w:p w14:paraId="7CEB6D42" w14:textId="77777777" w:rsidR="00F0628C" w:rsidRDefault="00F0628C" w:rsidP="005F3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71CC"/>
    <w:multiLevelType w:val="hybridMultilevel"/>
    <w:tmpl w:val="F9EA12CC"/>
    <w:lvl w:ilvl="0" w:tplc="88B05CA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C663A9"/>
    <w:multiLevelType w:val="multilevel"/>
    <w:tmpl w:val="1264F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DC"/>
    <w:rsid w:val="000147D7"/>
    <w:rsid w:val="00090B37"/>
    <w:rsid w:val="000A64C8"/>
    <w:rsid w:val="000E6CAF"/>
    <w:rsid w:val="001211A1"/>
    <w:rsid w:val="001518F8"/>
    <w:rsid w:val="001904B4"/>
    <w:rsid w:val="00194181"/>
    <w:rsid w:val="001A2811"/>
    <w:rsid w:val="001A30B3"/>
    <w:rsid w:val="001B0AF9"/>
    <w:rsid w:val="001C43D6"/>
    <w:rsid w:val="001D0AA9"/>
    <w:rsid w:val="00211A94"/>
    <w:rsid w:val="00216E2E"/>
    <w:rsid w:val="00231D95"/>
    <w:rsid w:val="00251DA1"/>
    <w:rsid w:val="00295A65"/>
    <w:rsid w:val="002A27D8"/>
    <w:rsid w:val="002D4C98"/>
    <w:rsid w:val="002F134C"/>
    <w:rsid w:val="0031516D"/>
    <w:rsid w:val="00333D63"/>
    <w:rsid w:val="00336A42"/>
    <w:rsid w:val="003463DA"/>
    <w:rsid w:val="00365B7D"/>
    <w:rsid w:val="00383B95"/>
    <w:rsid w:val="003C165C"/>
    <w:rsid w:val="003C31EA"/>
    <w:rsid w:val="003F7DC8"/>
    <w:rsid w:val="00411BBF"/>
    <w:rsid w:val="004149C8"/>
    <w:rsid w:val="00492418"/>
    <w:rsid w:val="004B1A2F"/>
    <w:rsid w:val="004C092A"/>
    <w:rsid w:val="004E593E"/>
    <w:rsid w:val="005060EE"/>
    <w:rsid w:val="0051006B"/>
    <w:rsid w:val="00511CBB"/>
    <w:rsid w:val="00520AEE"/>
    <w:rsid w:val="00526BD7"/>
    <w:rsid w:val="00583181"/>
    <w:rsid w:val="005C194E"/>
    <w:rsid w:val="005F01F0"/>
    <w:rsid w:val="005F3CEF"/>
    <w:rsid w:val="00621AC1"/>
    <w:rsid w:val="00625020"/>
    <w:rsid w:val="00636815"/>
    <w:rsid w:val="006579C3"/>
    <w:rsid w:val="006A4EB3"/>
    <w:rsid w:val="006B3FBD"/>
    <w:rsid w:val="006B58AA"/>
    <w:rsid w:val="006B627E"/>
    <w:rsid w:val="006E48FE"/>
    <w:rsid w:val="007057B9"/>
    <w:rsid w:val="00735EFE"/>
    <w:rsid w:val="00775C81"/>
    <w:rsid w:val="007A559E"/>
    <w:rsid w:val="007A7550"/>
    <w:rsid w:val="007D5AD7"/>
    <w:rsid w:val="007E0FC0"/>
    <w:rsid w:val="008120C6"/>
    <w:rsid w:val="008121D9"/>
    <w:rsid w:val="00831BCC"/>
    <w:rsid w:val="00833684"/>
    <w:rsid w:val="00836286"/>
    <w:rsid w:val="0084048B"/>
    <w:rsid w:val="008643C8"/>
    <w:rsid w:val="00867071"/>
    <w:rsid w:val="008C21E7"/>
    <w:rsid w:val="008F11F6"/>
    <w:rsid w:val="00901CA6"/>
    <w:rsid w:val="00910BAD"/>
    <w:rsid w:val="009128D3"/>
    <w:rsid w:val="009816D9"/>
    <w:rsid w:val="009B6AD8"/>
    <w:rsid w:val="009C7DBD"/>
    <w:rsid w:val="009E50FD"/>
    <w:rsid w:val="00A056F6"/>
    <w:rsid w:val="00A26FA8"/>
    <w:rsid w:val="00A66449"/>
    <w:rsid w:val="00A87FBC"/>
    <w:rsid w:val="00A96834"/>
    <w:rsid w:val="00AB530F"/>
    <w:rsid w:val="00BD583A"/>
    <w:rsid w:val="00BE4FCE"/>
    <w:rsid w:val="00C0034E"/>
    <w:rsid w:val="00C04639"/>
    <w:rsid w:val="00C16284"/>
    <w:rsid w:val="00C44B0F"/>
    <w:rsid w:val="00C770DC"/>
    <w:rsid w:val="00C813C4"/>
    <w:rsid w:val="00C9022E"/>
    <w:rsid w:val="00C9227B"/>
    <w:rsid w:val="00CC331C"/>
    <w:rsid w:val="00CD1A1E"/>
    <w:rsid w:val="00CE04F9"/>
    <w:rsid w:val="00D31F56"/>
    <w:rsid w:val="00D41654"/>
    <w:rsid w:val="00D41A50"/>
    <w:rsid w:val="00D4588E"/>
    <w:rsid w:val="00D46CCF"/>
    <w:rsid w:val="00D654BE"/>
    <w:rsid w:val="00D82DCC"/>
    <w:rsid w:val="00DC5672"/>
    <w:rsid w:val="00DE0BA9"/>
    <w:rsid w:val="00DF4C53"/>
    <w:rsid w:val="00E7114F"/>
    <w:rsid w:val="00E7639F"/>
    <w:rsid w:val="00ED2CC8"/>
    <w:rsid w:val="00EE24ED"/>
    <w:rsid w:val="00F0628C"/>
    <w:rsid w:val="00F6587E"/>
    <w:rsid w:val="00F735DB"/>
    <w:rsid w:val="00F75512"/>
    <w:rsid w:val="00F850C6"/>
    <w:rsid w:val="00F85E75"/>
    <w:rsid w:val="00F871BD"/>
    <w:rsid w:val="00FA78E9"/>
    <w:rsid w:val="00FE106B"/>
    <w:rsid w:val="00FF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D33B2"/>
  <w15:chartTrackingRefBased/>
  <w15:docId w15:val="{194DB66C-EDF0-4ED2-BFDC-EDC48123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3CE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F3CE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F3CE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F3CE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F3CE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E04F9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C43D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1904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04B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04B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04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04B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1A28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3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cilleria.gov.co/estatuto-temporal-proteccion-migrantes-venezolanos" TargetMode="External"/><Relationship Id="rId13" Type="http://schemas.openxmlformats.org/officeDocument/2006/relationships/hyperlink" Target="https://www.r4v.info/es/solicitudes" TargetMode="External"/><Relationship Id="rId18" Type="http://schemas.openxmlformats.org/officeDocument/2006/relationships/hyperlink" Target="https://t.co/OFWTcZB4oJ" TargetMode="External"/><Relationship Id="rId26" Type="http://schemas.openxmlformats.org/officeDocument/2006/relationships/hyperlink" Target="https://www.dhs.gov/sites/default/files/2022-02/22_0215_plcy_mpp_cohort_report_feb2022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b.mx/sre/prensa/gobierno-de-mexico-suspende-temporalmente-el-acuerdo-de-exencion-de-visas-para-nacionales-brasilenos?state=publishe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b.pe/institucion/rree/normas-legales/2007440-0207-2021-re" TargetMode="External"/><Relationship Id="rId17" Type="http://schemas.openxmlformats.org/officeDocument/2006/relationships/hyperlink" Target="https://t.co/OFWTcZB4oJ" TargetMode="External"/><Relationship Id="rId25" Type="http://schemas.openxmlformats.org/officeDocument/2006/relationships/hyperlink" Target="https://www.dhs.gov/publication/court-ordered-reimplementation-mpp-policy-guidan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fi.fr/es/programas/noticias-de-am%C3%A9rica/20220215-se-agudiza-la-crisis-migratoria-en-chile-mientras-entra-en-vigor-la-nueva-ley-de-migraci%C3%B3n" TargetMode="External"/><Relationship Id="rId20" Type="http://schemas.openxmlformats.org/officeDocument/2006/relationships/hyperlink" Target="https://dof.gob.mx/nota_detalle.php?codigo=5640345&amp;fecha=06/01/2022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ileatiende.gob.cl/fichas/91505-nueva-ley-de-migraciones" TargetMode="External"/><Relationship Id="rId24" Type="http://schemas.openxmlformats.org/officeDocument/2006/relationships/hyperlink" Target="https://www.state.gov/suspending-and-terminating-the-asylum-cooperative-agreements-with-the-governments-el-salvador-guatemala-and-hondura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b.cl/noticias/presidente-pinera-da-inicio-a-estado-de-excepcion-en-la-zona-norte-estamos-usando-todos-los-instrumentos-que-la-ley-nos-otorga-para-poder-poner-orden-en-nuestra-casa/" TargetMode="External"/><Relationship Id="rId23" Type="http://schemas.openxmlformats.org/officeDocument/2006/relationships/hyperlink" Target="https://reliefweb.int/report/mexico/challenges-refugee-protection-and-nonrefoulement-tapachula-mexico-due-process-analysi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diariooficial.interior.gob.cl/publicaciones/2022/02/12/43177/01/2086865.pdf" TargetMode="External"/><Relationship Id="rId19" Type="http://schemas.openxmlformats.org/officeDocument/2006/relationships/hyperlink" Target="https://help.unhcr.org/brazil/es/solicitando-la-condicion-de-refugiado-residente-o-la-naturalizacion/condicion-de-refugiado-processo-simplificado-para-personas-venezoelanas/" TargetMode="External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minsalud.gov.co/Normatividad_Nuevo/Resoluci%C3%B3n%20No.%201178%20de%202021.pdf" TargetMode="External"/><Relationship Id="rId14" Type="http://schemas.openxmlformats.org/officeDocument/2006/relationships/hyperlink" Target="https://cdn.www.gob.pe/uploads/document/file/2825995/Decreto%20Supremo%20N%C2%B0015-2022-PCM.pdf" TargetMode="External"/><Relationship Id="rId22" Type="http://schemas.openxmlformats.org/officeDocument/2006/relationships/hyperlink" Target="https://dof.gob.mx/nota_detalle.php?codigo=5640345&amp;fecha=06/01/2022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99D48648DAA49B7B0BE8195B404DB" ma:contentTypeVersion="8" ma:contentTypeDescription="Create a new document." ma:contentTypeScope="" ma:versionID="e388a32eb802aea3ef367bd3082efbdd">
  <xsd:schema xmlns:xsd="http://www.w3.org/2001/XMLSchema" xmlns:xs="http://www.w3.org/2001/XMLSchema" xmlns:p="http://schemas.microsoft.com/office/2006/metadata/properties" xmlns:ns1="89040124-3724-453e-9e0f-d53a96d17322" targetNamespace="http://schemas.microsoft.com/office/2006/metadata/properties" ma:root="true" ma:fieldsID="f8ebd51b802d205cb1eb43c02f5adc1f" ns1:_="">
    <xsd:import namespace="89040124-3724-453e-9e0f-d53a96d17322"/>
    <xsd:element name="properties">
      <xsd:complexType>
        <xsd:sequence>
          <xsd:element name="documentManagement">
            <xsd:complexType>
              <xsd:all>
                <xsd:element ref="ns1:Document_x0020_Type" minOccurs="0"/>
                <xsd:element ref="ns1:Status" minOccurs="0"/>
                <xsd:element ref="ns1:Content_x0020_Strategist" minOccurs="0"/>
                <xsd:element ref="ns1:s3qm" minOccurs="0"/>
                <xsd:element ref="ns1:_x0072_wl8" minOccurs="0"/>
                <xsd:element ref="ns1:kibs" minOccurs="0"/>
                <xsd:element ref="ns1:ouua" minOccurs="0"/>
                <xsd:element ref="ns1:nh2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0124-3724-453e-9e0f-d53a96d1732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nillable="true" ma:displayName="Document Type" ma:format="Dropdown" ma:indexed="true" ma:internalName="Document_x0020_Type">
      <xsd:simpleType>
        <xsd:restriction base="dms:Choice">
          <xsd:enumeration value="Audit summary"/>
          <xsd:enumeration value="Audit details"/>
          <xsd:enumeration value="Folder"/>
          <xsd:enumeration value="Guideline"/>
          <xsd:enumeration value="Instructions"/>
          <xsd:enumeration value="Reference doc"/>
          <xsd:enumeration value="NA"/>
          <xsd:enumeration value="Notes"/>
          <xsd:enumeration value="Web page content"/>
        </xsd:restriction>
      </xsd:simpleType>
    </xsd:element>
    <xsd:element name="Status" ma:index="3" nillable="true" ma:displayName="Status" ma:format="Dropdown" ma:internalName="Status">
      <xsd:simpleType>
        <xsd:restriction base="dms:Choice">
          <xsd:enumeration value="NA"/>
          <xsd:enumeration value="Draft"/>
          <xsd:enumeration value="Final"/>
          <xsd:enumeration value="Ready for approval"/>
          <xsd:enumeration value="Approved"/>
        </xsd:restriction>
      </xsd:simpleType>
    </xsd:element>
    <xsd:element name="Content_x0020_Strategist" ma:index="4" nillable="true" ma:displayName="Content Strategist" ma:format="Dropdown" ma:internalName="Content_x0020_Strategist">
      <xsd:simpleType>
        <xsd:restriction base="dms:Choice">
          <xsd:enumeration value="Beth Williams"/>
          <xsd:enumeration value="Gaby Turner"/>
          <xsd:enumeration value="Lise Bissonnette"/>
          <xsd:enumeration value="Mary Adams"/>
        </xsd:restriction>
      </xsd:simpleType>
    </xsd:element>
    <xsd:element name="s3qm" ma:index="5" nillable="true" ma:displayName="Note / Drupal node" ma:internalName="s3qm">
      <xsd:simpleType>
        <xsd:restriction base="dms:Text"/>
      </xsd:simpleType>
    </xsd:element>
    <xsd:element name="_x0072_wl8" ma:index="6" nillable="true" ma:displayName="Priority" ma:internalName="_x0072_wl8">
      <xsd:simpleType>
        <xsd:restriction base="dms:Text"/>
      </xsd:simpleType>
    </xsd:element>
    <xsd:element name="kibs" ma:index="13" nillable="true" ma:displayName="Status" ma:internalName="kibs">
      <xsd:simpleType>
        <xsd:restriction base="dms:Text"/>
      </xsd:simpleType>
    </xsd:element>
    <xsd:element name="ouua" ma:index="14" nillable="true" ma:displayName="Page title" ma:internalName="ouua">
      <xsd:simpleType>
        <xsd:restriction base="dms:Text"/>
      </xsd:simpleType>
    </xsd:element>
    <xsd:element name="nh2c" ma:index="15" nillable="true" ma:displayName="Text" ma:internalName="nh2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ua xmlns="89040124-3724-453e-9e0f-d53a96d17322" xsi:nil="true"/>
    <Status xmlns="89040124-3724-453e-9e0f-d53a96d17322" xsi:nil="true"/>
    <nh2c xmlns="89040124-3724-453e-9e0f-d53a96d17322" xsi:nil="true"/>
    <Content_x0020_Strategist xmlns="89040124-3724-453e-9e0f-d53a96d17322" xsi:nil="true"/>
    <Document_x0020_Type xmlns="89040124-3724-453e-9e0f-d53a96d17322" xsi:nil="true"/>
    <s3qm xmlns="89040124-3724-453e-9e0f-d53a96d17322" xsi:nil="true"/>
    <_x0072_wl8 xmlns="89040124-3724-453e-9e0f-d53a96d17322" xsi:nil="true"/>
    <kibs xmlns="89040124-3724-453e-9e0f-d53a96d17322" xsi:nil="true"/>
  </documentManagement>
</p:properties>
</file>

<file path=customXml/itemProps1.xml><?xml version="1.0" encoding="utf-8"?>
<ds:datastoreItem xmlns:ds="http://schemas.openxmlformats.org/officeDocument/2006/customXml" ds:itemID="{9DFF20D4-8550-48D6-B94F-4293943B00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905FE8-AD34-487C-A757-FD586230F9EC}"/>
</file>

<file path=customXml/itemProps3.xml><?xml version="1.0" encoding="utf-8"?>
<ds:datastoreItem xmlns:ds="http://schemas.openxmlformats.org/officeDocument/2006/customXml" ds:itemID="{6305B194-ADB9-4156-B810-B499B3F52B7E}"/>
</file>

<file path=customXml/itemProps4.xml><?xml version="1.0" encoding="utf-8"?>
<ds:datastoreItem xmlns:ds="http://schemas.openxmlformats.org/officeDocument/2006/customXml" ds:itemID="{F5823B14-A50C-4D18-9D99-042AC35F28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1319</Words>
  <Characters>7258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Kavita Kapur</dc:creator>
  <cp:keywords/>
  <dc:description/>
  <cp:lastModifiedBy>Yann Cornic</cp:lastModifiedBy>
  <cp:revision>2</cp:revision>
  <dcterms:created xsi:type="dcterms:W3CDTF">2022-02-22T18:51:00Z</dcterms:created>
  <dcterms:modified xsi:type="dcterms:W3CDTF">2022-02-22T18:51:00Z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0x0101000BC99D48648DAA49B7B0BE8195B404DB</vt:lpwstr>
  </property>
</Properties>
</file>