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B79D" w14:textId="51803A99" w:rsidR="00872220" w:rsidRPr="00683D83" w:rsidRDefault="00683D83" w:rsidP="00683D83">
      <w:pPr>
        <w:spacing w:line="360" w:lineRule="auto"/>
        <w:rPr>
          <w:rFonts w:cstheme="minorHAnsi"/>
          <w:b/>
          <w:bCs/>
        </w:rPr>
      </w:pPr>
      <w:r w:rsidRPr="00683D83">
        <w:rPr>
          <w:rFonts w:cstheme="minorHAnsi"/>
          <w:b/>
          <w:bCs/>
          <w:noProof/>
        </w:rPr>
        <w:drawing>
          <wp:anchor distT="0" distB="0" distL="114300" distR="114300" simplePos="0" relativeHeight="251658240" behindDoc="0" locked="0" layoutInCell="1" allowOverlap="1" wp14:anchorId="79625950" wp14:editId="3DB12FB6">
            <wp:simplePos x="0" y="0"/>
            <wp:positionH relativeFrom="column">
              <wp:posOffset>123825</wp:posOffset>
            </wp:positionH>
            <wp:positionV relativeFrom="paragraph">
              <wp:posOffset>0</wp:posOffset>
            </wp:positionV>
            <wp:extent cx="809625" cy="107950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1079500"/>
                    </a:xfrm>
                    <a:prstGeom prst="rect">
                      <a:avLst/>
                    </a:prstGeom>
                  </pic:spPr>
                </pic:pic>
              </a:graphicData>
            </a:graphic>
            <wp14:sizeRelH relativeFrom="margin">
              <wp14:pctWidth>0</wp14:pctWidth>
            </wp14:sizeRelH>
            <wp14:sizeRelV relativeFrom="margin">
              <wp14:pctHeight>0</wp14:pctHeight>
            </wp14:sizeRelV>
          </wp:anchor>
        </w:drawing>
      </w:r>
      <w:r w:rsidR="00872220" w:rsidRPr="00683D83">
        <w:rPr>
          <w:rFonts w:cstheme="minorHAnsi"/>
          <w:b/>
          <w:bCs/>
        </w:rPr>
        <w:t>Input by the International Rescue Committee for the</w:t>
      </w:r>
    </w:p>
    <w:p w14:paraId="2AF286F4" w14:textId="77777777" w:rsidR="00872220" w:rsidRPr="00683D83" w:rsidRDefault="00872220" w:rsidP="00683D83">
      <w:pPr>
        <w:spacing w:line="360" w:lineRule="auto"/>
        <w:rPr>
          <w:rFonts w:cstheme="minorHAnsi"/>
          <w:b/>
          <w:bCs/>
        </w:rPr>
      </w:pPr>
      <w:r w:rsidRPr="00683D83">
        <w:rPr>
          <w:rFonts w:cstheme="minorHAnsi"/>
          <w:b/>
          <w:bCs/>
        </w:rPr>
        <w:t xml:space="preserve">Report of the Special Rapporteur on the human rights of migrants </w:t>
      </w:r>
    </w:p>
    <w:p w14:paraId="00421FDF" w14:textId="29EE02EA" w:rsidR="00FF4B3C" w:rsidRPr="00683D83" w:rsidRDefault="00872220" w:rsidP="00683D83">
      <w:pPr>
        <w:spacing w:line="360" w:lineRule="auto"/>
        <w:rPr>
          <w:rFonts w:cstheme="minorHAnsi"/>
          <w:b/>
          <w:bCs/>
        </w:rPr>
      </w:pPr>
      <w:r w:rsidRPr="00683D83">
        <w:rPr>
          <w:rFonts w:cstheme="minorHAnsi"/>
          <w:b/>
          <w:bCs/>
        </w:rPr>
        <w:t xml:space="preserve">Human rights violations at international borders: trends, </w:t>
      </w:r>
      <w:proofErr w:type="gramStart"/>
      <w:r w:rsidRPr="00683D83">
        <w:rPr>
          <w:rFonts w:cstheme="minorHAnsi"/>
          <w:b/>
          <w:bCs/>
        </w:rPr>
        <w:t>prevention</w:t>
      </w:r>
      <w:proofErr w:type="gramEnd"/>
      <w:r w:rsidRPr="00683D83">
        <w:rPr>
          <w:rFonts w:cstheme="minorHAnsi"/>
          <w:b/>
          <w:bCs/>
        </w:rPr>
        <w:t xml:space="preserve"> and accountability</w:t>
      </w:r>
    </w:p>
    <w:p w14:paraId="73E49CD1" w14:textId="2460FEF4" w:rsidR="00872220" w:rsidRPr="00A81BAA" w:rsidRDefault="00872220" w:rsidP="00683D83">
      <w:pPr>
        <w:jc w:val="center"/>
        <w:rPr>
          <w:rFonts w:cstheme="minorHAnsi"/>
          <w:b/>
          <w:bCs/>
          <w:sz w:val="22"/>
          <w:szCs w:val="22"/>
        </w:rPr>
      </w:pPr>
    </w:p>
    <w:p w14:paraId="543CF61F" w14:textId="77777777" w:rsidR="00683D83" w:rsidRDefault="00683D83" w:rsidP="00872220">
      <w:pPr>
        <w:jc w:val="center"/>
        <w:rPr>
          <w:rFonts w:cstheme="minorHAnsi"/>
          <w:b/>
          <w:bCs/>
          <w:sz w:val="22"/>
          <w:szCs w:val="22"/>
        </w:rPr>
      </w:pPr>
    </w:p>
    <w:p w14:paraId="3A6A6CFA" w14:textId="77777777" w:rsidR="00683D83" w:rsidRDefault="00683D83" w:rsidP="00872220">
      <w:pPr>
        <w:jc w:val="center"/>
        <w:rPr>
          <w:rFonts w:cstheme="minorHAnsi"/>
          <w:b/>
          <w:bCs/>
          <w:sz w:val="22"/>
          <w:szCs w:val="22"/>
        </w:rPr>
      </w:pPr>
    </w:p>
    <w:p w14:paraId="3821A863" w14:textId="41BAE831" w:rsidR="00872220" w:rsidRPr="00A81BAA" w:rsidRDefault="00872220" w:rsidP="00872220">
      <w:pPr>
        <w:jc w:val="center"/>
        <w:rPr>
          <w:rFonts w:cstheme="minorHAnsi"/>
          <w:b/>
          <w:bCs/>
          <w:sz w:val="22"/>
          <w:szCs w:val="22"/>
        </w:rPr>
      </w:pPr>
      <w:r w:rsidRPr="00A81BAA">
        <w:rPr>
          <w:rFonts w:cstheme="minorHAnsi"/>
          <w:b/>
          <w:bCs/>
          <w:sz w:val="22"/>
          <w:szCs w:val="22"/>
        </w:rPr>
        <w:t>Input on Greece</w:t>
      </w:r>
    </w:p>
    <w:p w14:paraId="300098F1" w14:textId="21F81D69" w:rsidR="00872220" w:rsidRPr="00A81BAA" w:rsidRDefault="00872220" w:rsidP="00872220">
      <w:pPr>
        <w:jc w:val="center"/>
        <w:rPr>
          <w:rFonts w:cstheme="minorHAnsi"/>
          <w:b/>
          <w:bCs/>
          <w:sz w:val="22"/>
          <w:szCs w:val="22"/>
        </w:rPr>
      </w:pPr>
    </w:p>
    <w:p w14:paraId="468D000A" w14:textId="2A4750A2" w:rsidR="00872220" w:rsidRPr="00A81BAA" w:rsidRDefault="00872220" w:rsidP="00872220">
      <w:pPr>
        <w:jc w:val="center"/>
        <w:rPr>
          <w:rFonts w:cstheme="minorHAnsi"/>
          <w:b/>
          <w:bCs/>
          <w:sz w:val="22"/>
          <w:szCs w:val="22"/>
        </w:rPr>
      </w:pPr>
    </w:p>
    <w:p w14:paraId="6E2B218A" w14:textId="134F5EEB" w:rsidR="00872220" w:rsidRPr="00A81BAA" w:rsidRDefault="00872220" w:rsidP="00872220">
      <w:pPr>
        <w:rPr>
          <w:b/>
          <w:bCs/>
          <w:sz w:val="22"/>
          <w:szCs w:val="22"/>
        </w:rPr>
      </w:pPr>
      <w:r w:rsidRPr="00A81BAA">
        <w:rPr>
          <w:b/>
          <w:bCs/>
          <w:sz w:val="22"/>
          <w:szCs w:val="22"/>
        </w:rPr>
        <w:t xml:space="preserve">1. Please provide information on any recently adopted domestic legislation amending border entry, </w:t>
      </w:r>
      <w:proofErr w:type="gramStart"/>
      <w:r w:rsidRPr="00A81BAA">
        <w:rPr>
          <w:b/>
          <w:bCs/>
          <w:sz w:val="22"/>
          <w:szCs w:val="22"/>
        </w:rPr>
        <w:t>asylum</w:t>
      </w:r>
      <w:proofErr w:type="gramEnd"/>
      <w:r w:rsidRPr="00A81BAA">
        <w:rPr>
          <w:b/>
          <w:bCs/>
          <w:sz w:val="22"/>
          <w:szCs w:val="22"/>
        </w:rPr>
        <w:t xml:space="preserve"> and other international protection procedures for non-nationals since May 2021. Grateful if you could kindly submit the original text of the relevant provisions of the legislation or policy(</w:t>
      </w:r>
      <w:proofErr w:type="spellStart"/>
      <w:r w:rsidRPr="00A81BAA">
        <w:rPr>
          <w:b/>
          <w:bCs/>
          <w:sz w:val="22"/>
          <w:szCs w:val="22"/>
        </w:rPr>
        <w:t>ies</w:t>
      </w:r>
      <w:proofErr w:type="spellEnd"/>
      <w:r w:rsidRPr="00A81BAA">
        <w:rPr>
          <w:b/>
          <w:bCs/>
          <w:sz w:val="22"/>
          <w:szCs w:val="22"/>
        </w:rPr>
        <w:t xml:space="preserve">), accompanied by an English translation if it is in a language other than English, French or Spanish. </w:t>
      </w:r>
    </w:p>
    <w:p w14:paraId="66F90861" w14:textId="77777777" w:rsidR="00872220" w:rsidRPr="00A81BAA" w:rsidRDefault="00872220" w:rsidP="00872220">
      <w:pPr>
        <w:rPr>
          <w:sz w:val="22"/>
          <w:szCs w:val="22"/>
        </w:rPr>
      </w:pPr>
    </w:p>
    <w:p w14:paraId="0C81C6FF" w14:textId="5B1E9907" w:rsidR="00872220" w:rsidRPr="00A81BAA" w:rsidRDefault="00872220" w:rsidP="002B0458">
      <w:pPr>
        <w:pStyle w:val="ListParagraph"/>
        <w:numPr>
          <w:ilvl w:val="0"/>
          <w:numId w:val="22"/>
        </w:numPr>
        <w:rPr>
          <w:rFonts w:eastAsia="Times New Roman"/>
          <w:sz w:val="22"/>
          <w:szCs w:val="22"/>
          <w:lang w:eastAsia="en-GB"/>
        </w:rPr>
      </w:pPr>
      <w:r w:rsidRPr="00A81BAA">
        <w:rPr>
          <w:sz w:val="22"/>
          <w:szCs w:val="22"/>
        </w:rPr>
        <w:t>On 7 June</w:t>
      </w:r>
      <w:r w:rsidR="002B0458" w:rsidRPr="00A81BAA">
        <w:rPr>
          <w:sz w:val="22"/>
          <w:szCs w:val="22"/>
          <w:lang w:val="en-GB"/>
        </w:rPr>
        <w:t xml:space="preserve"> 2021</w:t>
      </w:r>
      <w:r w:rsidRPr="00A81BAA">
        <w:rPr>
          <w:sz w:val="22"/>
          <w:szCs w:val="22"/>
        </w:rPr>
        <w:t xml:space="preserve">, </w:t>
      </w:r>
      <w:r w:rsidRPr="00A81BAA">
        <w:rPr>
          <w:rFonts w:eastAsia="Times New Roman"/>
          <w:sz w:val="22"/>
          <w:szCs w:val="22"/>
          <w:lang w:eastAsia="en-GB"/>
        </w:rPr>
        <w:t xml:space="preserve">Greece issued a </w:t>
      </w:r>
      <w:hyperlink r:id="rId9">
        <w:r w:rsidRPr="00A81BAA">
          <w:rPr>
            <w:rStyle w:val="Hyperlink"/>
            <w:rFonts w:eastAsia="Times New Roman"/>
            <w:sz w:val="22"/>
            <w:szCs w:val="22"/>
            <w:lang w:eastAsia="en-GB"/>
          </w:rPr>
          <w:t>Joint Ministerial De</w:t>
        </w:r>
        <w:r w:rsidR="002B0458" w:rsidRPr="00A81BAA">
          <w:rPr>
            <w:rStyle w:val="Hyperlink"/>
            <w:rFonts w:eastAsia="Times New Roman"/>
            <w:sz w:val="22"/>
            <w:szCs w:val="22"/>
            <w:lang w:eastAsia="en-GB"/>
          </w:rPr>
          <w:t>cision</w:t>
        </w:r>
        <w:r w:rsidRPr="00A81BAA">
          <w:rPr>
            <w:rStyle w:val="Hyperlink"/>
            <w:rFonts w:eastAsia="Times New Roman"/>
            <w:sz w:val="22"/>
            <w:szCs w:val="22"/>
            <w:lang w:eastAsia="en-GB"/>
          </w:rPr>
          <w:t xml:space="preserve"> (JM</w:t>
        </w:r>
        <w:r w:rsidRPr="00A81BAA">
          <w:rPr>
            <w:rStyle w:val="Hyperlink"/>
            <w:rFonts w:eastAsia="Times New Roman" w:cstheme="minorHAnsi"/>
            <w:color w:val="0070C0"/>
            <w:sz w:val="22"/>
            <w:szCs w:val="22"/>
            <w:lang w:eastAsia="en-GB"/>
          </w:rPr>
          <w:t>D</w:t>
        </w:r>
        <w:r w:rsidR="00E32B3B" w:rsidRPr="00A81BAA">
          <w:rPr>
            <w:rFonts w:cstheme="minorHAnsi"/>
            <w:color w:val="0070C0"/>
            <w:sz w:val="22"/>
            <w:szCs w:val="22"/>
            <w:u w:val="single"/>
          </w:rPr>
          <w:t xml:space="preserve"> 42799/2021</w:t>
        </w:r>
        <w:r w:rsidRPr="00A81BAA">
          <w:rPr>
            <w:rStyle w:val="Hyperlink"/>
            <w:rFonts w:eastAsia="Times New Roman" w:cstheme="minorHAnsi"/>
            <w:color w:val="0070C0"/>
            <w:sz w:val="22"/>
            <w:szCs w:val="22"/>
            <w:lang w:eastAsia="en-GB"/>
          </w:rPr>
          <w:t>)</w:t>
        </w:r>
      </w:hyperlink>
      <w:r w:rsidRPr="00A81BAA">
        <w:rPr>
          <w:rFonts w:eastAsia="Times New Roman"/>
          <w:sz w:val="22"/>
          <w:szCs w:val="22"/>
          <w:lang w:eastAsia="en-GB"/>
        </w:rPr>
        <w:t xml:space="preserve">, </w:t>
      </w:r>
      <w:r w:rsidR="002B0458" w:rsidRPr="00A81BAA">
        <w:rPr>
          <w:rFonts w:eastAsia="Times New Roman"/>
          <w:sz w:val="22"/>
          <w:szCs w:val="22"/>
          <w:lang w:eastAsia="en-GB"/>
        </w:rPr>
        <w:t xml:space="preserve">unilaterally </w:t>
      </w:r>
      <w:r w:rsidRPr="00A81BAA">
        <w:rPr>
          <w:rFonts w:eastAsia="Times New Roman"/>
          <w:sz w:val="22"/>
          <w:szCs w:val="22"/>
          <w:lang w:eastAsia="en-GB"/>
        </w:rPr>
        <w:t>designat</w:t>
      </w:r>
      <w:r w:rsidR="002B0458" w:rsidRPr="00A81BAA">
        <w:rPr>
          <w:rFonts w:eastAsia="Times New Roman"/>
          <w:sz w:val="22"/>
          <w:szCs w:val="22"/>
          <w:lang w:eastAsia="en-GB"/>
        </w:rPr>
        <w:t>ing</w:t>
      </w:r>
      <w:r w:rsidRPr="00A81BAA">
        <w:rPr>
          <w:rFonts w:eastAsia="Times New Roman"/>
          <w:sz w:val="22"/>
          <w:szCs w:val="22"/>
          <w:lang w:eastAsia="en-GB"/>
        </w:rPr>
        <w:t xml:space="preserve"> Turkey as a ‘safe third country’ for nationals from Syria, Afghanistan, Somalia, Pakistan and Bangladesh.</w:t>
      </w:r>
      <w:r w:rsidR="00703513">
        <w:rPr>
          <w:rStyle w:val="FootnoteReference"/>
          <w:rFonts w:eastAsia="Times New Roman"/>
          <w:sz w:val="22"/>
          <w:szCs w:val="22"/>
          <w:lang w:eastAsia="en-GB"/>
        </w:rPr>
        <w:footnoteReference w:id="1"/>
      </w:r>
    </w:p>
    <w:p w14:paraId="1EAB1266" w14:textId="1FE3901C" w:rsidR="002B0458" w:rsidRPr="00A81BAA" w:rsidRDefault="002B0458" w:rsidP="002B0458">
      <w:pPr>
        <w:pStyle w:val="ListParagraph"/>
        <w:numPr>
          <w:ilvl w:val="0"/>
          <w:numId w:val="22"/>
        </w:numPr>
        <w:rPr>
          <w:rFonts w:eastAsia="Times New Roman"/>
          <w:sz w:val="22"/>
          <w:szCs w:val="22"/>
          <w:lang w:val="en-GB" w:eastAsia="en-GB"/>
        </w:rPr>
      </w:pPr>
      <w:r w:rsidRPr="00A81BAA">
        <w:rPr>
          <w:rFonts w:eastAsia="Times New Roman"/>
          <w:sz w:val="22"/>
          <w:szCs w:val="22"/>
          <w:lang w:val="en-GB" w:eastAsia="en-GB"/>
        </w:rPr>
        <w:t xml:space="preserve">On 20 December 2021, </w:t>
      </w:r>
      <w:hyperlink r:id="rId10" w:history="1">
        <w:r w:rsidRPr="00A81BAA">
          <w:rPr>
            <w:rStyle w:val="Hyperlink"/>
            <w:rFonts w:eastAsia="Times New Roman"/>
            <w:sz w:val="22"/>
            <w:szCs w:val="22"/>
            <w:lang w:val="en-GB" w:eastAsia="en-GB"/>
          </w:rPr>
          <w:t>Greece added Albania and North Macedonia in the list of safe third countries</w:t>
        </w:r>
      </w:hyperlink>
      <w:r w:rsidRPr="00A81BAA">
        <w:rPr>
          <w:rFonts w:eastAsia="Times New Roman"/>
          <w:sz w:val="22"/>
          <w:szCs w:val="22"/>
          <w:lang w:val="en-GB" w:eastAsia="en-GB"/>
        </w:rPr>
        <w:t xml:space="preserve"> for people coming irregularly to Greece, seeking protection.</w:t>
      </w:r>
      <w:r w:rsidR="0084436B">
        <w:rPr>
          <w:rStyle w:val="FootnoteReference"/>
          <w:rFonts w:eastAsia="Times New Roman"/>
          <w:sz w:val="22"/>
          <w:szCs w:val="22"/>
          <w:lang w:val="en-GB" w:eastAsia="en-GB"/>
        </w:rPr>
        <w:footnoteReference w:id="2"/>
      </w:r>
    </w:p>
    <w:p w14:paraId="6E996EAB" w14:textId="1B57F27E" w:rsidR="002B0458" w:rsidRPr="00A81BAA" w:rsidRDefault="002B0458" w:rsidP="002B0458">
      <w:pPr>
        <w:pStyle w:val="xmsonormal"/>
        <w:numPr>
          <w:ilvl w:val="0"/>
          <w:numId w:val="22"/>
        </w:numPr>
        <w:jc w:val="both"/>
        <w:rPr>
          <w:lang w:val="en-GB"/>
        </w:rPr>
      </w:pPr>
      <w:r w:rsidRPr="00A81BAA">
        <w:rPr>
          <w:rFonts w:eastAsia="Times New Roman"/>
          <w:lang w:val="en-GB" w:eastAsia="en-GB"/>
        </w:rPr>
        <w:t xml:space="preserve">On 21 February 2022, </w:t>
      </w:r>
      <w:r w:rsidRPr="00A81BAA">
        <w:rPr>
          <w:lang w:val="en-GB"/>
        </w:rPr>
        <w:t xml:space="preserve">the list of safe countries of origin </w:t>
      </w:r>
      <w:hyperlink r:id="rId11" w:history="1">
        <w:r w:rsidRPr="00A81BAA">
          <w:rPr>
            <w:rStyle w:val="Hyperlink"/>
            <w:lang w:val="en-GB"/>
          </w:rPr>
          <w:t>was updated</w:t>
        </w:r>
      </w:hyperlink>
      <w:r w:rsidRPr="00A81BAA">
        <w:rPr>
          <w:lang w:val="en-GB"/>
        </w:rPr>
        <w:t xml:space="preserve"> by a Joint Ministerial Decision. Egypt, </w:t>
      </w:r>
      <w:proofErr w:type="gramStart"/>
      <w:r w:rsidRPr="00A81BAA">
        <w:rPr>
          <w:lang w:val="en-GB"/>
        </w:rPr>
        <w:t>Nepal</w:t>
      </w:r>
      <w:proofErr w:type="gramEnd"/>
      <w:r w:rsidRPr="00A81BAA">
        <w:rPr>
          <w:lang w:val="en-GB"/>
        </w:rPr>
        <w:t xml:space="preserve"> and Benin were added to the list that previously included Ghana, Senegal, Togo, Gambia, Morocco, Algeria, Tunisia, Albania, Georgia, Ukraine, India, Armenia, Pakistan, and Bangladesh maintain their status as safe countries of origin. The total number of safe countries of origin included in the list now stands at seventeen (17).</w:t>
      </w:r>
      <w:r w:rsidR="0084436B">
        <w:rPr>
          <w:rStyle w:val="FootnoteReference"/>
          <w:lang w:val="en-GB"/>
        </w:rPr>
        <w:footnoteReference w:id="3"/>
      </w:r>
    </w:p>
    <w:p w14:paraId="7CF18342" w14:textId="6A901DEA" w:rsidR="00A06F28" w:rsidRPr="00A81BAA" w:rsidRDefault="00A06F28" w:rsidP="00A06F28">
      <w:pPr>
        <w:pStyle w:val="xmsonormal"/>
        <w:jc w:val="both"/>
        <w:rPr>
          <w:lang w:val="en-GB"/>
        </w:rPr>
      </w:pPr>
      <w:r w:rsidRPr="00A81BAA">
        <w:rPr>
          <w:lang w:val="en-GB"/>
        </w:rPr>
        <w:t>(Apologies, we do not have the relevant decisions in English)</w:t>
      </w:r>
    </w:p>
    <w:p w14:paraId="7977439C" w14:textId="77777777" w:rsidR="002B0458" w:rsidRPr="00A81BAA" w:rsidRDefault="002B0458" w:rsidP="00872220">
      <w:pPr>
        <w:rPr>
          <w:b/>
          <w:bCs/>
          <w:sz w:val="22"/>
          <w:szCs w:val="22"/>
        </w:rPr>
      </w:pPr>
    </w:p>
    <w:p w14:paraId="6AE8650F" w14:textId="1A2300B7" w:rsidR="00872220" w:rsidRDefault="00872220" w:rsidP="00872220">
      <w:pPr>
        <w:rPr>
          <w:b/>
          <w:bCs/>
          <w:sz w:val="22"/>
          <w:szCs w:val="22"/>
        </w:rPr>
      </w:pPr>
      <w:r w:rsidRPr="00A81BAA">
        <w:rPr>
          <w:b/>
          <w:bCs/>
          <w:sz w:val="22"/>
          <w:szCs w:val="22"/>
        </w:rPr>
        <w:t xml:space="preserve">2. Please provide information on recent or current border management legislation/policies/measures, (including those temporary measures as part of a state of emergency), with the view to control, reduce or prevent migrant arrivals in your country. </w:t>
      </w:r>
    </w:p>
    <w:p w14:paraId="4BDF1EFB" w14:textId="49808CA8" w:rsidR="00D1667A" w:rsidRPr="00D1667A" w:rsidRDefault="00D1667A" w:rsidP="00872220">
      <w:pPr>
        <w:rPr>
          <w:sz w:val="22"/>
          <w:szCs w:val="22"/>
        </w:rPr>
      </w:pPr>
      <w:r w:rsidRPr="00D1667A">
        <w:rPr>
          <w:sz w:val="22"/>
          <w:szCs w:val="22"/>
        </w:rPr>
        <w:t>No further input</w:t>
      </w:r>
    </w:p>
    <w:p w14:paraId="0D54D38F" w14:textId="77777777" w:rsidR="00872220" w:rsidRPr="00A81BAA" w:rsidRDefault="00872220" w:rsidP="00872220">
      <w:pPr>
        <w:rPr>
          <w:b/>
          <w:bCs/>
          <w:sz w:val="22"/>
          <w:szCs w:val="22"/>
        </w:rPr>
      </w:pPr>
    </w:p>
    <w:p w14:paraId="09499E73" w14:textId="10C43D04" w:rsidR="00872220" w:rsidRPr="00A81BAA" w:rsidRDefault="00872220" w:rsidP="00872220">
      <w:pPr>
        <w:rPr>
          <w:b/>
          <w:bCs/>
          <w:sz w:val="22"/>
          <w:szCs w:val="22"/>
        </w:rPr>
      </w:pPr>
      <w:r w:rsidRPr="00A81BAA">
        <w:rPr>
          <w:b/>
          <w:bCs/>
          <w:sz w:val="22"/>
          <w:szCs w:val="22"/>
        </w:rPr>
        <w:t xml:space="preserve">3. Please provide information on how the “safe third country” concept is applied and if there is any “safe third country” list in your country with the view to expedite border immigration and asylum procedures, as well as on any bilateral and multilateral agreement on collective/automatic re-admission of migrants of specific nationalities. </w:t>
      </w:r>
    </w:p>
    <w:p w14:paraId="536582F7" w14:textId="785E26A1" w:rsidR="00872220" w:rsidRPr="00A81BAA" w:rsidRDefault="00872220" w:rsidP="00872220">
      <w:pPr>
        <w:rPr>
          <w:b/>
          <w:bCs/>
          <w:sz w:val="22"/>
          <w:szCs w:val="22"/>
        </w:rPr>
      </w:pPr>
    </w:p>
    <w:p w14:paraId="20B9B5AE" w14:textId="4CE46601" w:rsidR="00E32B3B" w:rsidRPr="00A81BAA" w:rsidRDefault="00872220" w:rsidP="00872220">
      <w:pPr>
        <w:shd w:val="clear" w:color="auto" w:fill="FFFFFF" w:themeFill="background1"/>
        <w:jc w:val="both"/>
        <w:textAlignment w:val="baseline"/>
        <w:rPr>
          <w:rFonts w:eastAsia="Times New Roman"/>
          <w:sz w:val="22"/>
          <w:szCs w:val="22"/>
          <w:lang w:eastAsia="en-GB"/>
        </w:rPr>
      </w:pPr>
      <w:r w:rsidRPr="00A81BAA">
        <w:rPr>
          <w:rFonts w:eastAsia="Times New Roman"/>
          <w:sz w:val="22"/>
          <w:szCs w:val="22"/>
          <w:lang w:val="en-GB" w:eastAsia="en-GB"/>
        </w:rPr>
        <w:lastRenderedPageBreak/>
        <w:t xml:space="preserve">March 2022 marks six years since the signing of the EU-Turkey Statement, and two years since </w:t>
      </w:r>
      <w:r w:rsidRPr="00A81BAA">
        <w:rPr>
          <w:rFonts w:eastAsia="Times New Roman"/>
          <w:sz w:val="22"/>
          <w:szCs w:val="22"/>
          <w:lang w:eastAsia="en-GB"/>
        </w:rPr>
        <w:t xml:space="preserve">Turkey stopped accepting returns of people from the Greek Islands. Despite this, the </w:t>
      </w:r>
      <w:r w:rsidR="009766F9" w:rsidRPr="00A81BAA">
        <w:rPr>
          <w:rFonts w:eastAsia="Times New Roman"/>
          <w:sz w:val="22"/>
          <w:szCs w:val="22"/>
          <w:lang w:eastAsia="en-GB"/>
        </w:rPr>
        <w:t xml:space="preserve">Greek </w:t>
      </w:r>
      <w:r w:rsidRPr="00CB3A08">
        <w:rPr>
          <w:rFonts w:eastAsia="Times New Roman"/>
          <w:sz w:val="22"/>
          <w:szCs w:val="22"/>
          <w:lang w:eastAsia="en-GB"/>
        </w:rPr>
        <w:t>Joint Ministerial Declaration (JMD)</w:t>
      </w:r>
      <w:r w:rsidRPr="00A81BAA">
        <w:rPr>
          <w:rFonts w:eastAsia="Times New Roman"/>
          <w:sz w:val="22"/>
          <w:szCs w:val="22"/>
          <w:lang w:eastAsia="en-GB"/>
        </w:rPr>
        <w:t xml:space="preserve"> </w:t>
      </w:r>
      <w:r w:rsidR="009766F9" w:rsidRPr="00A81BAA">
        <w:rPr>
          <w:rFonts w:eastAsia="Times New Roman"/>
          <w:sz w:val="22"/>
          <w:szCs w:val="22"/>
          <w:lang w:eastAsia="en-GB"/>
        </w:rPr>
        <w:t xml:space="preserve">of </w:t>
      </w:r>
      <w:r w:rsidRPr="00A81BAA">
        <w:rPr>
          <w:rFonts w:eastAsia="Times New Roman"/>
          <w:sz w:val="22"/>
          <w:szCs w:val="22"/>
          <w:lang w:eastAsia="en-GB"/>
        </w:rPr>
        <w:t xml:space="preserve">7 June 2021, designated Turkey as a ‘safe third country’ for nationals from Syria, Afghanistan, Somalia, </w:t>
      </w:r>
      <w:proofErr w:type="gramStart"/>
      <w:r w:rsidRPr="00A81BAA">
        <w:rPr>
          <w:rFonts w:eastAsia="Times New Roman"/>
          <w:sz w:val="22"/>
          <w:szCs w:val="22"/>
          <w:lang w:eastAsia="en-GB"/>
        </w:rPr>
        <w:t>Pakistan</w:t>
      </w:r>
      <w:proofErr w:type="gramEnd"/>
      <w:r w:rsidRPr="00A81BAA">
        <w:rPr>
          <w:rFonts w:eastAsia="Times New Roman"/>
          <w:sz w:val="22"/>
          <w:szCs w:val="22"/>
          <w:lang w:eastAsia="en-GB"/>
        </w:rPr>
        <w:t xml:space="preserve"> and Bangladesh.</w:t>
      </w:r>
      <w:r w:rsidR="00E32B3B" w:rsidRPr="00A81BAA">
        <w:rPr>
          <w:rFonts w:eastAsia="Times New Roman"/>
          <w:sz w:val="22"/>
          <w:szCs w:val="22"/>
          <w:lang w:eastAsia="en-GB"/>
        </w:rPr>
        <w:t xml:space="preserve"> This has forced thousands of people in legal limbo, as their claims are not examined in Greece, but they cannot be returned to Turkey.</w:t>
      </w:r>
      <w:r w:rsidR="00CB3A08">
        <w:rPr>
          <w:rStyle w:val="FootnoteReference"/>
          <w:rFonts w:eastAsia="Times New Roman"/>
          <w:sz w:val="22"/>
          <w:szCs w:val="22"/>
          <w:lang w:eastAsia="en-GB"/>
        </w:rPr>
        <w:footnoteReference w:id="4"/>
      </w:r>
    </w:p>
    <w:p w14:paraId="13DA1C8A" w14:textId="77777777" w:rsidR="00E32B3B" w:rsidRPr="00A81BAA" w:rsidRDefault="00E32B3B" w:rsidP="00872220">
      <w:pPr>
        <w:shd w:val="clear" w:color="auto" w:fill="FFFFFF" w:themeFill="background1"/>
        <w:jc w:val="both"/>
        <w:textAlignment w:val="baseline"/>
        <w:rPr>
          <w:rFonts w:eastAsia="Times New Roman"/>
          <w:sz w:val="22"/>
          <w:szCs w:val="22"/>
          <w:lang w:eastAsia="en-GB"/>
        </w:rPr>
      </w:pPr>
    </w:p>
    <w:p w14:paraId="5452FC9B" w14:textId="69BA63C7" w:rsidR="00872220" w:rsidRPr="00A81BAA" w:rsidRDefault="00A06F28" w:rsidP="00872220">
      <w:pPr>
        <w:shd w:val="clear" w:color="auto" w:fill="FFFFFF" w:themeFill="background1"/>
        <w:jc w:val="both"/>
        <w:textAlignment w:val="baseline"/>
        <w:rPr>
          <w:rFonts w:eastAsia="Times New Roman"/>
          <w:sz w:val="22"/>
          <w:szCs w:val="22"/>
          <w:lang w:eastAsia="en-GB"/>
        </w:rPr>
      </w:pPr>
      <w:r w:rsidRPr="00A81BAA">
        <w:rPr>
          <w:rFonts w:eastAsia="Times New Roman"/>
          <w:sz w:val="22"/>
          <w:szCs w:val="22"/>
          <w:lang w:eastAsia="en-GB"/>
        </w:rPr>
        <w:t xml:space="preserve">Extending </w:t>
      </w:r>
      <w:r w:rsidR="00872220" w:rsidRPr="00A81BAA">
        <w:rPr>
          <w:rFonts w:eastAsia="Times New Roman"/>
          <w:sz w:val="22"/>
          <w:szCs w:val="22"/>
          <w:lang w:eastAsia="en-GB"/>
        </w:rPr>
        <w:t xml:space="preserve">the impact of the EU-Turkey Statement, which was confined to the Greek islands, the June JMD applies to people across the </w:t>
      </w:r>
      <w:r w:rsidR="009766F9" w:rsidRPr="00A81BAA">
        <w:rPr>
          <w:rFonts w:eastAsia="Times New Roman"/>
          <w:sz w:val="22"/>
          <w:szCs w:val="22"/>
          <w:lang w:eastAsia="en-GB"/>
        </w:rPr>
        <w:t xml:space="preserve">Greek </w:t>
      </w:r>
      <w:r w:rsidR="00872220" w:rsidRPr="00A81BAA">
        <w:rPr>
          <w:rFonts w:eastAsia="Times New Roman"/>
          <w:sz w:val="22"/>
          <w:szCs w:val="22"/>
          <w:lang w:eastAsia="en-GB"/>
        </w:rPr>
        <w:t xml:space="preserve">territory. The JMD is clearly an attempt to limit the right to seek asylum, as it targets the 5 nationalities </w:t>
      </w:r>
      <w:r w:rsidR="00FB07FA">
        <w:rPr>
          <w:rFonts w:eastAsia="Times New Roman"/>
          <w:sz w:val="22"/>
          <w:szCs w:val="22"/>
          <w:lang w:val="en-GB" w:eastAsia="en-GB"/>
        </w:rPr>
        <w:t xml:space="preserve">that made up </w:t>
      </w:r>
      <w:r w:rsidR="00872220" w:rsidRPr="00A81BAA">
        <w:rPr>
          <w:rFonts w:eastAsia="Times New Roman"/>
          <w:sz w:val="22"/>
          <w:szCs w:val="22"/>
          <w:lang w:eastAsia="en-GB"/>
        </w:rPr>
        <w:t>67% of asylum applicants in Greece in 2020. This</w:t>
      </w:r>
      <w:r w:rsidRPr="00A81BAA">
        <w:rPr>
          <w:rFonts w:eastAsia="Times New Roman"/>
          <w:sz w:val="22"/>
          <w:szCs w:val="22"/>
          <w:lang w:eastAsia="en-GB"/>
        </w:rPr>
        <w:t>,</w:t>
      </w:r>
      <w:r w:rsidR="00872220" w:rsidRPr="00A81BAA">
        <w:rPr>
          <w:rFonts w:eastAsia="Times New Roman"/>
          <w:sz w:val="22"/>
          <w:szCs w:val="22"/>
          <w:lang w:eastAsia="en-GB"/>
        </w:rPr>
        <w:t xml:space="preserve"> </w:t>
      </w:r>
      <w:proofErr w:type="gramStart"/>
      <w:r w:rsidR="00872220" w:rsidRPr="00A81BAA">
        <w:rPr>
          <w:rFonts w:eastAsia="Times New Roman"/>
          <w:sz w:val="22"/>
          <w:szCs w:val="22"/>
          <w:lang w:eastAsia="en-GB"/>
        </w:rPr>
        <w:t>despite the fact that</w:t>
      </w:r>
      <w:proofErr w:type="gramEnd"/>
      <w:r w:rsidR="00872220" w:rsidRPr="00A81BAA">
        <w:rPr>
          <w:rFonts w:eastAsia="Times New Roman"/>
          <w:sz w:val="22"/>
          <w:szCs w:val="22"/>
          <w:lang w:eastAsia="en-GB"/>
        </w:rPr>
        <w:t xml:space="preserve"> in</w:t>
      </w:r>
      <w:r w:rsidR="00E32B3B" w:rsidRPr="00A81BAA">
        <w:rPr>
          <w:rFonts w:eastAsia="Times New Roman"/>
          <w:sz w:val="22"/>
          <w:szCs w:val="22"/>
          <w:lang w:eastAsia="en-GB"/>
        </w:rPr>
        <w:t xml:space="preserve"> </w:t>
      </w:r>
      <w:r w:rsidR="00872220" w:rsidRPr="00A81BAA">
        <w:rPr>
          <w:rFonts w:eastAsia="Times New Roman"/>
          <w:sz w:val="22"/>
          <w:szCs w:val="22"/>
          <w:lang w:eastAsia="en-GB"/>
        </w:rPr>
        <w:t xml:space="preserve">2020, 92% of Syrians, 94% of Somalis and 66% of Afghans (even before the latest humanitarian crisis), received refugee or subsidiary status </w:t>
      </w:r>
      <w:r w:rsidR="00FB07FA">
        <w:rPr>
          <w:rFonts w:eastAsia="Times New Roman"/>
          <w:sz w:val="22"/>
          <w:szCs w:val="22"/>
          <w:lang w:eastAsia="en-GB"/>
        </w:rPr>
        <w:t xml:space="preserve">at first instance </w:t>
      </w:r>
      <w:r w:rsidR="00872220" w:rsidRPr="00A81BAA">
        <w:rPr>
          <w:rFonts w:eastAsia="Times New Roman"/>
          <w:sz w:val="22"/>
          <w:szCs w:val="22"/>
          <w:lang w:eastAsia="en-GB"/>
        </w:rPr>
        <w:t xml:space="preserve">when </w:t>
      </w:r>
      <w:r w:rsidR="00FB07FA">
        <w:rPr>
          <w:rFonts w:eastAsia="Times New Roman"/>
          <w:sz w:val="22"/>
          <w:szCs w:val="22"/>
          <w:lang w:eastAsia="en-GB"/>
        </w:rPr>
        <w:t xml:space="preserve">their applications were </w:t>
      </w:r>
      <w:r w:rsidR="00872220" w:rsidRPr="00A81BAA">
        <w:rPr>
          <w:rFonts w:eastAsia="Times New Roman"/>
          <w:sz w:val="22"/>
          <w:szCs w:val="22"/>
          <w:lang w:eastAsia="en-GB"/>
        </w:rPr>
        <w:t>examined on merits – a clear indicator of their protection needs.</w:t>
      </w:r>
      <w:r w:rsidR="00E32B3B" w:rsidRPr="00A81BAA">
        <w:rPr>
          <w:rStyle w:val="FootnoteReference"/>
          <w:rFonts w:eastAsia="Times New Roman"/>
          <w:sz w:val="22"/>
          <w:szCs w:val="22"/>
          <w:lang w:eastAsia="en-GB"/>
        </w:rPr>
        <w:footnoteReference w:id="5"/>
      </w:r>
    </w:p>
    <w:p w14:paraId="0EB19A15" w14:textId="77777777" w:rsidR="00872220" w:rsidRPr="00A81BAA" w:rsidRDefault="00872220" w:rsidP="00872220">
      <w:pPr>
        <w:shd w:val="clear" w:color="auto" w:fill="FFFFFF" w:themeFill="background1"/>
        <w:jc w:val="both"/>
        <w:textAlignment w:val="baseline"/>
        <w:rPr>
          <w:rFonts w:eastAsia="Times New Roman" w:cstheme="minorHAnsi"/>
          <w:sz w:val="22"/>
          <w:szCs w:val="22"/>
          <w:lang w:eastAsia="en-GB"/>
        </w:rPr>
      </w:pPr>
    </w:p>
    <w:p w14:paraId="4A56A4DD" w14:textId="4416BEE3" w:rsidR="003C32E5" w:rsidRDefault="00872220" w:rsidP="00872220">
      <w:pPr>
        <w:shd w:val="clear" w:color="auto" w:fill="FFFFFF" w:themeFill="background1"/>
        <w:jc w:val="both"/>
        <w:textAlignment w:val="baseline"/>
        <w:rPr>
          <w:rFonts w:eastAsia="Century Gothic"/>
          <w:sz w:val="22"/>
          <w:szCs w:val="22"/>
          <w:lang w:val="en-GB"/>
        </w:rPr>
      </w:pPr>
      <w:r w:rsidRPr="00A81BAA">
        <w:rPr>
          <w:sz w:val="22"/>
          <w:szCs w:val="22"/>
        </w:rPr>
        <w:t>Following the JMD, rejections on the grounds of inadmissibility have risen sharply.  I</w:t>
      </w:r>
      <w:r w:rsidRPr="00A81BAA">
        <w:rPr>
          <w:rStyle w:val="normaltextrun"/>
          <w:rFonts w:eastAsia="Calibri"/>
          <w:sz w:val="22"/>
          <w:szCs w:val="22"/>
          <w:lang w:val="en-GB"/>
        </w:rPr>
        <w:t xml:space="preserve">n 2021, there were 6,424 inadmissibility decisions at first instance – this is an </w:t>
      </w:r>
      <w:r w:rsidRPr="00A81BAA">
        <w:rPr>
          <w:rFonts w:eastAsia="Calibri"/>
          <w:sz w:val="22"/>
          <w:szCs w:val="22"/>
          <w:lang w:val="en-GB"/>
        </w:rPr>
        <w:t xml:space="preserve">126% increase on 2020. </w:t>
      </w:r>
      <w:r w:rsidR="00083573" w:rsidRPr="00A81BAA">
        <w:rPr>
          <w:rFonts w:eastAsia="Calibri"/>
          <w:sz w:val="22"/>
          <w:szCs w:val="22"/>
          <w:lang w:val="en-GB"/>
        </w:rPr>
        <w:t xml:space="preserve">Out of </w:t>
      </w:r>
      <w:r w:rsidR="003C32E5" w:rsidRPr="00A81BAA">
        <w:rPr>
          <w:rFonts w:eastAsia="Calibri"/>
          <w:sz w:val="22"/>
          <w:szCs w:val="22"/>
          <w:lang w:val="en-GB"/>
        </w:rPr>
        <w:t xml:space="preserve">the </w:t>
      </w:r>
      <w:r w:rsidR="00083573" w:rsidRPr="00A81BAA">
        <w:rPr>
          <w:rFonts w:eastAsia="Calibri"/>
          <w:sz w:val="22"/>
          <w:szCs w:val="22"/>
          <w:lang w:val="en-GB"/>
        </w:rPr>
        <w:t xml:space="preserve">12,570 decisions of admissibility </w:t>
      </w:r>
      <w:proofErr w:type="gramStart"/>
      <w:r w:rsidR="00083573" w:rsidRPr="00A81BAA">
        <w:rPr>
          <w:rFonts w:eastAsia="Calibri"/>
          <w:sz w:val="22"/>
          <w:szCs w:val="22"/>
          <w:lang w:val="en-GB"/>
        </w:rPr>
        <w:t>on the basis of</w:t>
      </w:r>
      <w:proofErr w:type="gramEnd"/>
      <w:r w:rsidR="00083573" w:rsidRPr="00A81BAA">
        <w:rPr>
          <w:rFonts w:eastAsia="Calibri"/>
          <w:sz w:val="22"/>
          <w:szCs w:val="22"/>
          <w:lang w:val="en-GB"/>
        </w:rPr>
        <w:t xml:space="preserve"> the JMD</w:t>
      </w:r>
      <w:r w:rsidR="003C32E5" w:rsidRPr="00A81BAA">
        <w:rPr>
          <w:rFonts w:eastAsia="Calibri"/>
          <w:sz w:val="22"/>
          <w:szCs w:val="22"/>
          <w:lang w:val="en-GB"/>
        </w:rPr>
        <w:t xml:space="preserve"> in 2021 (from 7 June to 31 December 2021)</w:t>
      </w:r>
      <w:r w:rsidR="00083573" w:rsidRPr="00A81BAA">
        <w:rPr>
          <w:rFonts w:eastAsia="Calibri"/>
          <w:sz w:val="22"/>
          <w:szCs w:val="22"/>
          <w:lang w:val="en-GB"/>
        </w:rPr>
        <w:t xml:space="preserve"> </w:t>
      </w:r>
      <w:r w:rsidR="00FB07FA">
        <w:rPr>
          <w:rFonts w:eastAsia="Calibri"/>
          <w:sz w:val="22"/>
          <w:szCs w:val="22"/>
          <w:lang w:val="en-GB"/>
        </w:rPr>
        <w:t xml:space="preserve">of </w:t>
      </w:r>
      <w:r w:rsidR="00083573" w:rsidRPr="00A81BAA">
        <w:rPr>
          <w:rFonts w:eastAsia="Calibri"/>
          <w:sz w:val="22"/>
          <w:szCs w:val="22"/>
          <w:lang w:val="en-GB"/>
        </w:rPr>
        <w:t xml:space="preserve">the five nationalities, </w:t>
      </w:r>
      <w:r w:rsidR="003C32E5" w:rsidRPr="00A81BAA">
        <w:rPr>
          <w:rFonts w:eastAsia="Calibri"/>
          <w:sz w:val="22"/>
          <w:szCs w:val="22"/>
          <w:lang w:val="en-GB"/>
        </w:rPr>
        <w:t>47%</w:t>
      </w:r>
      <w:r w:rsidR="00083573" w:rsidRPr="00A81BAA">
        <w:rPr>
          <w:rFonts w:eastAsia="Calibri"/>
          <w:sz w:val="22"/>
          <w:szCs w:val="22"/>
          <w:lang w:val="en-GB"/>
        </w:rPr>
        <w:t xml:space="preserve"> </w:t>
      </w:r>
      <w:r w:rsidR="003C32E5" w:rsidRPr="00A81BAA">
        <w:rPr>
          <w:rFonts w:eastAsia="Calibri"/>
          <w:sz w:val="22"/>
          <w:szCs w:val="22"/>
          <w:lang w:val="en-GB"/>
        </w:rPr>
        <w:t>(</w:t>
      </w:r>
      <w:r w:rsidR="00083573" w:rsidRPr="00A81BAA">
        <w:rPr>
          <w:rFonts w:eastAsia="Calibri"/>
          <w:sz w:val="22"/>
          <w:szCs w:val="22"/>
          <w:lang w:val="en-GB"/>
        </w:rPr>
        <w:t>5,907</w:t>
      </w:r>
      <w:r w:rsidR="003C32E5" w:rsidRPr="00A81BAA">
        <w:rPr>
          <w:rFonts w:eastAsia="Calibri"/>
          <w:sz w:val="22"/>
          <w:szCs w:val="22"/>
          <w:lang w:val="en-GB"/>
        </w:rPr>
        <w:t>)</w:t>
      </w:r>
      <w:r w:rsidR="00083573" w:rsidRPr="00A81BAA">
        <w:rPr>
          <w:rFonts w:eastAsia="Calibri"/>
          <w:sz w:val="22"/>
          <w:szCs w:val="22"/>
          <w:lang w:val="en-GB"/>
        </w:rPr>
        <w:t xml:space="preserve"> were found inadmissible</w:t>
      </w:r>
      <w:r w:rsidR="00FB07FA">
        <w:rPr>
          <w:rFonts w:eastAsia="Calibri"/>
          <w:sz w:val="22"/>
          <w:szCs w:val="22"/>
          <w:lang w:val="en-GB"/>
        </w:rPr>
        <w:t xml:space="preserve"> (see table 1 below)</w:t>
      </w:r>
      <w:r w:rsidRPr="00A81BAA">
        <w:rPr>
          <w:rFonts w:eastAsia="Century Gothic"/>
          <w:sz w:val="22"/>
          <w:szCs w:val="22"/>
          <w:lang w:val="en-GB"/>
        </w:rPr>
        <w:t>.</w:t>
      </w:r>
      <w:r w:rsidRPr="00A81BAA">
        <w:rPr>
          <w:rStyle w:val="FootnoteReference"/>
          <w:sz w:val="22"/>
          <w:szCs w:val="22"/>
        </w:rPr>
        <w:footnoteReference w:id="6"/>
      </w:r>
      <w:r w:rsidR="00083573" w:rsidRPr="00A81BAA">
        <w:rPr>
          <w:rFonts w:eastAsia="Century Gothic"/>
          <w:sz w:val="22"/>
          <w:szCs w:val="22"/>
          <w:lang w:val="en-GB"/>
        </w:rPr>
        <w:t xml:space="preserve"> </w:t>
      </w:r>
    </w:p>
    <w:p w14:paraId="37A5F2C4" w14:textId="5A64AFD3" w:rsidR="00FB07FA" w:rsidRDefault="00FB07FA" w:rsidP="00872220">
      <w:pPr>
        <w:shd w:val="clear" w:color="auto" w:fill="FFFFFF" w:themeFill="background1"/>
        <w:jc w:val="both"/>
        <w:textAlignment w:val="baseline"/>
        <w:rPr>
          <w:rFonts w:eastAsia="Century Gothic"/>
          <w:sz w:val="22"/>
          <w:szCs w:val="22"/>
          <w:lang w:val="en-GB"/>
        </w:rPr>
      </w:pPr>
    </w:p>
    <w:p w14:paraId="63BA2231" w14:textId="364CAC71" w:rsidR="00FB07FA" w:rsidRPr="00FB07FA" w:rsidRDefault="00FB07FA" w:rsidP="00872220">
      <w:pPr>
        <w:shd w:val="clear" w:color="auto" w:fill="FFFFFF" w:themeFill="background1"/>
        <w:jc w:val="both"/>
        <w:textAlignment w:val="baseline"/>
        <w:rPr>
          <w:rFonts w:eastAsia="Century Gothic" w:cstheme="minorHAnsi"/>
          <w:sz w:val="22"/>
          <w:szCs w:val="22"/>
          <w:lang w:val="en-GB"/>
        </w:rPr>
      </w:pPr>
      <w:r w:rsidRPr="00FB07FA">
        <w:rPr>
          <w:rFonts w:eastAsia="Century Gothic" w:cstheme="minorHAnsi"/>
          <w:sz w:val="22"/>
          <w:szCs w:val="22"/>
          <w:lang w:val="en-GB"/>
        </w:rPr>
        <w:t>Table 1</w:t>
      </w:r>
    </w:p>
    <w:tbl>
      <w:tblPr>
        <w:tblStyle w:val="TableGrid"/>
        <w:tblW w:w="0" w:type="auto"/>
        <w:tblInd w:w="0" w:type="dxa"/>
        <w:tblLook w:val="04A0" w:firstRow="1" w:lastRow="0" w:firstColumn="1" w:lastColumn="0" w:noHBand="0" w:noVBand="1"/>
      </w:tblPr>
      <w:tblGrid>
        <w:gridCol w:w="2378"/>
        <w:gridCol w:w="2022"/>
        <w:gridCol w:w="2433"/>
        <w:gridCol w:w="2183"/>
      </w:tblGrid>
      <w:tr w:rsidR="00FB07FA" w:rsidRPr="00FB07FA" w14:paraId="4E58C7F4" w14:textId="77777777" w:rsidTr="00FB07FA">
        <w:tc>
          <w:tcPr>
            <w:tcW w:w="9016" w:type="dxa"/>
            <w:gridSpan w:val="4"/>
            <w:tcBorders>
              <w:top w:val="single" w:sz="4" w:space="0" w:color="auto"/>
              <w:left w:val="single" w:sz="4" w:space="0" w:color="auto"/>
              <w:bottom w:val="single" w:sz="4" w:space="0" w:color="auto"/>
              <w:right w:val="single" w:sz="4" w:space="0" w:color="auto"/>
            </w:tcBorders>
            <w:shd w:val="clear" w:color="auto" w:fill="31849B"/>
            <w:hideMark/>
          </w:tcPr>
          <w:p w14:paraId="6E8DBB56" w14:textId="77777777" w:rsidR="00FB07FA" w:rsidRPr="00FB07FA" w:rsidRDefault="00FB07FA">
            <w:pPr>
              <w:spacing w:line="276" w:lineRule="auto"/>
              <w:jc w:val="center"/>
              <w:rPr>
                <w:rFonts w:cstheme="minorHAnsi"/>
                <w:b/>
                <w:bCs/>
                <w:color w:val="FFFFFF" w:themeColor="background1"/>
              </w:rPr>
            </w:pPr>
            <w:r w:rsidRPr="00FB07FA">
              <w:rPr>
                <w:rFonts w:cstheme="minorHAnsi"/>
                <w:b/>
                <w:bCs/>
                <w:color w:val="FFFFFF" w:themeColor="background1"/>
              </w:rPr>
              <w:t>Application of JMD 42799/2021 at first instance: 7 Jun – 31 Dec 2021</w:t>
            </w:r>
          </w:p>
        </w:tc>
      </w:tr>
      <w:tr w:rsidR="00FB07FA" w:rsidRPr="00FB07FA" w14:paraId="0A52C104" w14:textId="77777777" w:rsidTr="00FB07FA">
        <w:tc>
          <w:tcPr>
            <w:tcW w:w="2378" w:type="dxa"/>
            <w:tcBorders>
              <w:top w:val="single" w:sz="4" w:space="0" w:color="auto"/>
              <w:left w:val="single" w:sz="4" w:space="0" w:color="auto"/>
              <w:bottom w:val="single" w:sz="4" w:space="0" w:color="auto"/>
              <w:right w:val="single" w:sz="4" w:space="0" w:color="auto"/>
            </w:tcBorders>
            <w:hideMark/>
          </w:tcPr>
          <w:p w14:paraId="3EFBC344" w14:textId="77777777" w:rsidR="00FB07FA" w:rsidRPr="00FB07FA" w:rsidRDefault="00FB07FA">
            <w:pPr>
              <w:spacing w:line="276" w:lineRule="auto"/>
              <w:jc w:val="center"/>
              <w:rPr>
                <w:rFonts w:cstheme="minorHAnsi"/>
              </w:rPr>
            </w:pPr>
            <w:r w:rsidRPr="00FB07FA">
              <w:rPr>
                <w:rFonts w:cstheme="minorHAnsi"/>
              </w:rPr>
              <w:t>Nationality</w:t>
            </w:r>
          </w:p>
        </w:tc>
        <w:tc>
          <w:tcPr>
            <w:tcW w:w="2022" w:type="dxa"/>
            <w:tcBorders>
              <w:top w:val="single" w:sz="4" w:space="0" w:color="auto"/>
              <w:left w:val="single" w:sz="4" w:space="0" w:color="auto"/>
              <w:bottom w:val="single" w:sz="4" w:space="0" w:color="auto"/>
              <w:right w:val="single" w:sz="4" w:space="0" w:color="auto"/>
            </w:tcBorders>
            <w:hideMark/>
          </w:tcPr>
          <w:p w14:paraId="5B7EE98F" w14:textId="77777777" w:rsidR="00FB07FA" w:rsidRPr="00FB07FA" w:rsidRDefault="00FB07FA">
            <w:pPr>
              <w:spacing w:line="276" w:lineRule="auto"/>
              <w:jc w:val="center"/>
              <w:rPr>
                <w:rFonts w:cstheme="minorHAnsi"/>
              </w:rPr>
            </w:pPr>
            <w:r w:rsidRPr="00FB07FA">
              <w:rPr>
                <w:rFonts w:cstheme="minorHAnsi"/>
              </w:rPr>
              <w:t>Admissible</w:t>
            </w:r>
          </w:p>
        </w:tc>
        <w:tc>
          <w:tcPr>
            <w:tcW w:w="2433" w:type="dxa"/>
            <w:tcBorders>
              <w:top w:val="single" w:sz="4" w:space="0" w:color="auto"/>
              <w:left w:val="single" w:sz="4" w:space="0" w:color="auto"/>
              <w:bottom w:val="single" w:sz="4" w:space="0" w:color="auto"/>
              <w:right w:val="single" w:sz="4" w:space="0" w:color="auto"/>
            </w:tcBorders>
            <w:hideMark/>
          </w:tcPr>
          <w:p w14:paraId="2ED2F555" w14:textId="77777777" w:rsidR="00FB07FA" w:rsidRPr="00FB07FA" w:rsidRDefault="00FB07FA">
            <w:pPr>
              <w:spacing w:line="276" w:lineRule="auto"/>
              <w:jc w:val="center"/>
              <w:rPr>
                <w:rFonts w:cstheme="minorHAnsi"/>
              </w:rPr>
            </w:pPr>
            <w:r w:rsidRPr="00FB07FA">
              <w:rPr>
                <w:rFonts w:cstheme="minorHAnsi"/>
              </w:rPr>
              <w:t>Inadmissible</w:t>
            </w:r>
          </w:p>
        </w:tc>
        <w:tc>
          <w:tcPr>
            <w:tcW w:w="2183" w:type="dxa"/>
            <w:tcBorders>
              <w:top w:val="single" w:sz="4" w:space="0" w:color="auto"/>
              <w:left w:val="single" w:sz="4" w:space="0" w:color="auto"/>
              <w:bottom w:val="single" w:sz="4" w:space="0" w:color="auto"/>
              <w:right w:val="single" w:sz="4" w:space="0" w:color="auto"/>
            </w:tcBorders>
            <w:hideMark/>
          </w:tcPr>
          <w:p w14:paraId="6E1A844F" w14:textId="77777777" w:rsidR="00FB07FA" w:rsidRPr="00FB07FA" w:rsidRDefault="00FB07FA">
            <w:pPr>
              <w:spacing w:line="276" w:lineRule="auto"/>
              <w:jc w:val="center"/>
              <w:rPr>
                <w:rFonts w:cstheme="minorHAnsi"/>
              </w:rPr>
            </w:pPr>
            <w:r w:rsidRPr="00FB07FA">
              <w:rPr>
                <w:rFonts w:cstheme="minorHAnsi"/>
              </w:rPr>
              <w:t>Total</w:t>
            </w:r>
          </w:p>
        </w:tc>
      </w:tr>
      <w:tr w:rsidR="00FB07FA" w:rsidRPr="00FB07FA" w14:paraId="7AEBC893" w14:textId="77777777" w:rsidTr="00FB07FA">
        <w:tc>
          <w:tcPr>
            <w:tcW w:w="2378" w:type="dxa"/>
            <w:tcBorders>
              <w:top w:val="single" w:sz="4" w:space="0" w:color="auto"/>
              <w:left w:val="single" w:sz="4" w:space="0" w:color="auto"/>
              <w:bottom w:val="single" w:sz="4" w:space="0" w:color="auto"/>
              <w:right w:val="single" w:sz="4" w:space="0" w:color="auto"/>
            </w:tcBorders>
            <w:hideMark/>
          </w:tcPr>
          <w:p w14:paraId="23C362BD" w14:textId="77777777" w:rsidR="00FB07FA" w:rsidRPr="00FB07FA" w:rsidRDefault="00FB07FA">
            <w:pPr>
              <w:spacing w:line="276" w:lineRule="auto"/>
              <w:jc w:val="center"/>
              <w:rPr>
                <w:rFonts w:cstheme="minorHAnsi"/>
              </w:rPr>
            </w:pPr>
            <w:r w:rsidRPr="00FB07FA">
              <w:rPr>
                <w:rFonts w:cstheme="minorHAnsi"/>
              </w:rPr>
              <w:t>Syria</w:t>
            </w:r>
          </w:p>
        </w:tc>
        <w:tc>
          <w:tcPr>
            <w:tcW w:w="2022" w:type="dxa"/>
            <w:tcBorders>
              <w:top w:val="single" w:sz="4" w:space="0" w:color="auto"/>
              <w:left w:val="single" w:sz="4" w:space="0" w:color="auto"/>
              <w:bottom w:val="single" w:sz="4" w:space="0" w:color="auto"/>
              <w:right w:val="single" w:sz="4" w:space="0" w:color="auto"/>
            </w:tcBorders>
            <w:hideMark/>
          </w:tcPr>
          <w:p w14:paraId="19AFAD8D" w14:textId="77777777" w:rsidR="00FB07FA" w:rsidRPr="00FB07FA" w:rsidRDefault="00FB07FA">
            <w:pPr>
              <w:spacing w:line="276" w:lineRule="auto"/>
              <w:jc w:val="center"/>
              <w:rPr>
                <w:rFonts w:cstheme="minorHAnsi"/>
              </w:rPr>
            </w:pPr>
            <w:r w:rsidRPr="00FB07FA">
              <w:rPr>
                <w:rFonts w:cstheme="minorHAnsi"/>
              </w:rPr>
              <w:t>1,604</w:t>
            </w:r>
          </w:p>
        </w:tc>
        <w:tc>
          <w:tcPr>
            <w:tcW w:w="2433" w:type="dxa"/>
            <w:tcBorders>
              <w:top w:val="single" w:sz="4" w:space="0" w:color="auto"/>
              <w:left w:val="single" w:sz="4" w:space="0" w:color="auto"/>
              <w:bottom w:val="single" w:sz="4" w:space="0" w:color="auto"/>
              <w:right w:val="single" w:sz="4" w:space="0" w:color="auto"/>
            </w:tcBorders>
            <w:hideMark/>
          </w:tcPr>
          <w:p w14:paraId="03A1B93E" w14:textId="77777777" w:rsidR="00FB07FA" w:rsidRPr="00FB07FA" w:rsidRDefault="00FB07FA">
            <w:pPr>
              <w:spacing w:line="276" w:lineRule="auto"/>
              <w:jc w:val="center"/>
              <w:rPr>
                <w:rFonts w:cstheme="minorHAnsi"/>
              </w:rPr>
            </w:pPr>
            <w:r w:rsidRPr="00FB07FA">
              <w:rPr>
                <w:rFonts w:cstheme="minorHAnsi"/>
              </w:rPr>
              <w:t>902</w:t>
            </w:r>
          </w:p>
        </w:tc>
        <w:tc>
          <w:tcPr>
            <w:tcW w:w="2183" w:type="dxa"/>
            <w:tcBorders>
              <w:top w:val="single" w:sz="4" w:space="0" w:color="auto"/>
              <w:left w:val="single" w:sz="4" w:space="0" w:color="auto"/>
              <w:bottom w:val="single" w:sz="4" w:space="0" w:color="auto"/>
              <w:right w:val="single" w:sz="4" w:space="0" w:color="auto"/>
            </w:tcBorders>
            <w:hideMark/>
          </w:tcPr>
          <w:p w14:paraId="6E4C29C8" w14:textId="77777777" w:rsidR="00FB07FA" w:rsidRPr="00FB07FA" w:rsidRDefault="00FB07FA">
            <w:pPr>
              <w:spacing w:line="276" w:lineRule="auto"/>
              <w:jc w:val="center"/>
              <w:rPr>
                <w:rFonts w:cstheme="minorHAnsi"/>
              </w:rPr>
            </w:pPr>
            <w:r w:rsidRPr="00FB07FA">
              <w:rPr>
                <w:rFonts w:cstheme="minorHAnsi"/>
              </w:rPr>
              <w:t>2,506</w:t>
            </w:r>
          </w:p>
        </w:tc>
      </w:tr>
      <w:tr w:rsidR="00FB07FA" w:rsidRPr="00FB07FA" w14:paraId="40AE97A3" w14:textId="77777777" w:rsidTr="00FB07FA">
        <w:tc>
          <w:tcPr>
            <w:tcW w:w="2378" w:type="dxa"/>
            <w:tcBorders>
              <w:top w:val="single" w:sz="4" w:space="0" w:color="auto"/>
              <w:left w:val="single" w:sz="4" w:space="0" w:color="auto"/>
              <w:bottom w:val="single" w:sz="4" w:space="0" w:color="auto"/>
              <w:right w:val="single" w:sz="4" w:space="0" w:color="auto"/>
            </w:tcBorders>
            <w:hideMark/>
          </w:tcPr>
          <w:p w14:paraId="427AB766" w14:textId="77777777" w:rsidR="00FB07FA" w:rsidRPr="00FB07FA" w:rsidRDefault="00FB07FA">
            <w:pPr>
              <w:spacing w:line="276" w:lineRule="auto"/>
              <w:jc w:val="center"/>
              <w:rPr>
                <w:rFonts w:cstheme="minorHAnsi"/>
              </w:rPr>
            </w:pPr>
            <w:r w:rsidRPr="00FB07FA">
              <w:rPr>
                <w:rFonts w:cstheme="minorHAnsi"/>
              </w:rPr>
              <w:t>Afghanistan</w:t>
            </w:r>
          </w:p>
        </w:tc>
        <w:tc>
          <w:tcPr>
            <w:tcW w:w="2022" w:type="dxa"/>
            <w:tcBorders>
              <w:top w:val="single" w:sz="4" w:space="0" w:color="auto"/>
              <w:left w:val="single" w:sz="4" w:space="0" w:color="auto"/>
              <w:bottom w:val="single" w:sz="4" w:space="0" w:color="auto"/>
              <w:right w:val="single" w:sz="4" w:space="0" w:color="auto"/>
            </w:tcBorders>
            <w:hideMark/>
          </w:tcPr>
          <w:p w14:paraId="78DA919A" w14:textId="77777777" w:rsidR="00FB07FA" w:rsidRPr="00FB07FA" w:rsidRDefault="00FB07FA">
            <w:pPr>
              <w:spacing w:line="276" w:lineRule="auto"/>
              <w:jc w:val="center"/>
              <w:rPr>
                <w:rFonts w:cstheme="minorHAnsi"/>
              </w:rPr>
            </w:pPr>
            <w:r w:rsidRPr="00FB07FA">
              <w:rPr>
                <w:rFonts w:cstheme="minorHAnsi"/>
              </w:rPr>
              <w:t>3,006</w:t>
            </w:r>
          </w:p>
        </w:tc>
        <w:tc>
          <w:tcPr>
            <w:tcW w:w="2433" w:type="dxa"/>
            <w:tcBorders>
              <w:top w:val="single" w:sz="4" w:space="0" w:color="auto"/>
              <w:left w:val="single" w:sz="4" w:space="0" w:color="auto"/>
              <w:bottom w:val="single" w:sz="4" w:space="0" w:color="auto"/>
              <w:right w:val="single" w:sz="4" w:space="0" w:color="auto"/>
            </w:tcBorders>
            <w:hideMark/>
          </w:tcPr>
          <w:p w14:paraId="7410C112" w14:textId="77777777" w:rsidR="00FB07FA" w:rsidRPr="00FB07FA" w:rsidRDefault="00FB07FA">
            <w:pPr>
              <w:spacing w:line="276" w:lineRule="auto"/>
              <w:jc w:val="center"/>
              <w:rPr>
                <w:rFonts w:cstheme="minorHAnsi"/>
              </w:rPr>
            </w:pPr>
            <w:r w:rsidRPr="00FB07FA">
              <w:rPr>
                <w:rFonts w:cstheme="minorHAnsi"/>
              </w:rPr>
              <w:t>2,167</w:t>
            </w:r>
          </w:p>
        </w:tc>
        <w:tc>
          <w:tcPr>
            <w:tcW w:w="2183" w:type="dxa"/>
            <w:tcBorders>
              <w:top w:val="single" w:sz="4" w:space="0" w:color="auto"/>
              <w:left w:val="single" w:sz="4" w:space="0" w:color="auto"/>
              <w:bottom w:val="single" w:sz="4" w:space="0" w:color="auto"/>
              <w:right w:val="single" w:sz="4" w:space="0" w:color="auto"/>
            </w:tcBorders>
            <w:hideMark/>
          </w:tcPr>
          <w:p w14:paraId="41CBC0C2" w14:textId="77777777" w:rsidR="00FB07FA" w:rsidRPr="00FB07FA" w:rsidRDefault="00FB07FA">
            <w:pPr>
              <w:spacing w:line="276" w:lineRule="auto"/>
              <w:jc w:val="center"/>
              <w:rPr>
                <w:rFonts w:cstheme="minorHAnsi"/>
              </w:rPr>
            </w:pPr>
            <w:r w:rsidRPr="00FB07FA">
              <w:rPr>
                <w:rFonts w:cstheme="minorHAnsi"/>
              </w:rPr>
              <w:t>5,173</w:t>
            </w:r>
          </w:p>
        </w:tc>
      </w:tr>
      <w:tr w:rsidR="00FB07FA" w:rsidRPr="00FB07FA" w14:paraId="276AD5D1" w14:textId="77777777" w:rsidTr="00FB07FA">
        <w:tc>
          <w:tcPr>
            <w:tcW w:w="2378" w:type="dxa"/>
            <w:tcBorders>
              <w:top w:val="single" w:sz="4" w:space="0" w:color="auto"/>
              <w:left w:val="single" w:sz="4" w:space="0" w:color="auto"/>
              <w:bottom w:val="single" w:sz="4" w:space="0" w:color="auto"/>
              <w:right w:val="single" w:sz="4" w:space="0" w:color="auto"/>
            </w:tcBorders>
            <w:hideMark/>
          </w:tcPr>
          <w:p w14:paraId="04FC14CC" w14:textId="77777777" w:rsidR="00FB07FA" w:rsidRPr="00FB07FA" w:rsidRDefault="00FB07FA">
            <w:pPr>
              <w:spacing w:line="276" w:lineRule="auto"/>
              <w:jc w:val="center"/>
              <w:rPr>
                <w:rFonts w:cstheme="minorHAnsi"/>
              </w:rPr>
            </w:pPr>
            <w:r w:rsidRPr="00FB07FA">
              <w:rPr>
                <w:rFonts w:cstheme="minorHAnsi"/>
              </w:rPr>
              <w:t>Somalia</w:t>
            </w:r>
          </w:p>
        </w:tc>
        <w:tc>
          <w:tcPr>
            <w:tcW w:w="2022" w:type="dxa"/>
            <w:tcBorders>
              <w:top w:val="single" w:sz="4" w:space="0" w:color="auto"/>
              <w:left w:val="single" w:sz="4" w:space="0" w:color="auto"/>
              <w:bottom w:val="single" w:sz="4" w:space="0" w:color="auto"/>
              <w:right w:val="single" w:sz="4" w:space="0" w:color="auto"/>
            </w:tcBorders>
            <w:hideMark/>
          </w:tcPr>
          <w:p w14:paraId="55B67BA6" w14:textId="77777777" w:rsidR="00FB07FA" w:rsidRPr="00FB07FA" w:rsidRDefault="00FB07FA">
            <w:pPr>
              <w:spacing w:line="276" w:lineRule="auto"/>
              <w:jc w:val="center"/>
              <w:rPr>
                <w:rFonts w:cstheme="minorHAnsi"/>
              </w:rPr>
            </w:pPr>
            <w:r w:rsidRPr="00FB07FA">
              <w:rPr>
                <w:rFonts w:cstheme="minorHAnsi"/>
              </w:rPr>
              <w:t>340</w:t>
            </w:r>
          </w:p>
        </w:tc>
        <w:tc>
          <w:tcPr>
            <w:tcW w:w="2433" w:type="dxa"/>
            <w:tcBorders>
              <w:top w:val="single" w:sz="4" w:space="0" w:color="auto"/>
              <w:left w:val="single" w:sz="4" w:space="0" w:color="auto"/>
              <w:bottom w:val="single" w:sz="4" w:space="0" w:color="auto"/>
              <w:right w:val="single" w:sz="4" w:space="0" w:color="auto"/>
            </w:tcBorders>
            <w:hideMark/>
          </w:tcPr>
          <w:p w14:paraId="54B26938" w14:textId="77777777" w:rsidR="00FB07FA" w:rsidRPr="00FB07FA" w:rsidRDefault="00FB07FA">
            <w:pPr>
              <w:spacing w:line="276" w:lineRule="auto"/>
              <w:jc w:val="center"/>
              <w:rPr>
                <w:rFonts w:cstheme="minorHAnsi"/>
              </w:rPr>
            </w:pPr>
            <w:r w:rsidRPr="00FB07FA">
              <w:rPr>
                <w:rFonts w:cstheme="minorHAnsi"/>
              </w:rPr>
              <w:t>256</w:t>
            </w:r>
          </w:p>
        </w:tc>
        <w:tc>
          <w:tcPr>
            <w:tcW w:w="2183" w:type="dxa"/>
            <w:tcBorders>
              <w:top w:val="single" w:sz="4" w:space="0" w:color="auto"/>
              <w:left w:val="single" w:sz="4" w:space="0" w:color="auto"/>
              <w:bottom w:val="single" w:sz="4" w:space="0" w:color="auto"/>
              <w:right w:val="single" w:sz="4" w:space="0" w:color="auto"/>
            </w:tcBorders>
            <w:hideMark/>
          </w:tcPr>
          <w:p w14:paraId="5B7B61FC" w14:textId="77777777" w:rsidR="00FB07FA" w:rsidRPr="00FB07FA" w:rsidRDefault="00FB07FA">
            <w:pPr>
              <w:spacing w:line="276" w:lineRule="auto"/>
              <w:jc w:val="center"/>
              <w:rPr>
                <w:rFonts w:cstheme="minorHAnsi"/>
              </w:rPr>
            </w:pPr>
            <w:r w:rsidRPr="00FB07FA">
              <w:rPr>
                <w:rFonts w:cstheme="minorHAnsi"/>
              </w:rPr>
              <w:t>596</w:t>
            </w:r>
          </w:p>
        </w:tc>
      </w:tr>
      <w:tr w:rsidR="00FB07FA" w:rsidRPr="00FB07FA" w14:paraId="2594E584" w14:textId="77777777" w:rsidTr="00FB07FA">
        <w:tc>
          <w:tcPr>
            <w:tcW w:w="2378" w:type="dxa"/>
            <w:tcBorders>
              <w:top w:val="single" w:sz="4" w:space="0" w:color="auto"/>
              <w:left w:val="single" w:sz="4" w:space="0" w:color="auto"/>
              <w:bottom w:val="single" w:sz="4" w:space="0" w:color="auto"/>
              <w:right w:val="single" w:sz="4" w:space="0" w:color="auto"/>
            </w:tcBorders>
            <w:hideMark/>
          </w:tcPr>
          <w:p w14:paraId="48998186" w14:textId="77777777" w:rsidR="00FB07FA" w:rsidRPr="00FB07FA" w:rsidRDefault="00FB07FA">
            <w:pPr>
              <w:spacing w:line="276" w:lineRule="auto"/>
              <w:jc w:val="center"/>
              <w:rPr>
                <w:rFonts w:cstheme="minorHAnsi"/>
              </w:rPr>
            </w:pPr>
            <w:r w:rsidRPr="00FB07FA">
              <w:rPr>
                <w:rFonts w:cstheme="minorHAnsi"/>
              </w:rPr>
              <w:t>Pakistan</w:t>
            </w:r>
          </w:p>
        </w:tc>
        <w:tc>
          <w:tcPr>
            <w:tcW w:w="2022" w:type="dxa"/>
            <w:tcBorders>
              <w:top w:val="single" w:sz="4" w:space="0" w:color="auto"/>
              <w:left w:val="single" w:sz="4" w:space="0" w:color="auto"/>
              <w:bottom w:val="single" w:sz="4" w:space="0" w:color="auto"/>
              <w:right w:val="single" w:sz="4" w:space="0" w:color="auto"/>
            </w:tcBorders>
            <w:hideMark/>
          </w:tcPr>
          <w:p w14:paraId="440AE046" w14:textId="77777777" w:rsidR="00FB07FA" w:rsidRPr="00FB07FA" w:rsidRDefault="00FB07FA">
            <w:pPr>
              <w:spacing w:line="276" w:lineRule="auto"/>
              <w:jc w:val="center"/>
              <w:rPr>
                <w:rFonts w:cstheme="minorHAnsi"/>
              </w:rPr>
            </w:pPr>
            <w:r w:rsidRPr="00FB07FA">
              <w:rPr>
                <w:rFonts w:cstheme="minorHAnsi"/>
              </w:rPr>
              <w:t>909</w:t>
            </w:r>
          </w:p>
        </w:tc>
        <w:tc>
          <w:tcPr>
            <w:tcW w:w="2433" w:type="dxa"/>
            <w:tcBorders>
              <w:top w:val="single" w:sz="4" w:space="0" w:color="auto"/>
              <w:left w:val="single" w:sz="4" w:space="0" w:color="auto"/>
              <w:bottom w:val="single" w:sz="4" w:space="0" w:color="auto"/>
              <w:right w:val="single" w:sz="4" w:space="0" w:color="auto"/>
            </w:tcBorders>
            <w:hideMark/>
          </w:tcPr>
          <w:p w14:paraId="704ABB2A" w14:textId="77777777" w:rsidR="00FB07FA" w:rsidRPr="00FB07FA" w:rsidRDefault="00FB07FA">
            <w:pPr>
              <w:spacing w:line="276" w:lineRule="auto"/>
              <w:jc w:val="center"/>
              <w:rPr>
                <w:rFonts w:cstheme="minorHAnsi"/>
              </w:rPr>
            </w:pPr>
            <w:r w:rsidRPr="00FB07FA">
              <w:rPr>
                <w:rFonts w:cstheme="minorHAnsi"/>
              </w:rPr>
              <w:t>1,847</w:t>
            </w:r>
          </w:p>
        </w:tc>
        <w:tc>
          <w:tcPr>
            <w:tcW w:w="2183" w:type="dxa"/>
            <w:tcBorders>
              <w:top w:val="single" w:sz="4" w:space="0" w:color="auto"/>
              <w:left w:val="single" w:sz="4" w:space="0" w:color="auto"/>
              <w:bottom w:val="single" w:sz="4" w:space="0" w:color="auto"/>
              <w:right w:val="single" w:sz="4" w:space="0" w:color="auto"/>
            </w:tcBorders>
            <w:hideMark/>
          </w:tcPr>
          <w:p w14:paraId="7DFB1D03" w14:textId="77777777" w:rsidR="00FB07FA" w:rsidRPr="00FB07FA" w:rsidRDefault="00FB07FA">
            <w:pPr>
              <w:spacing w:line="276" w:lineRule="auto"/>
              <w:jc w:val="center"/>
              <w:rPr>
                <w:rFonts w:cstheme="minorHAnsi"/>
              </w:rPr>
            </w:pPr>
            <w:r w:rsidRPr="00FB07FA">
              <w:rPr>
                <w:rFonts w:cstheme="minorHAnsi"/>
              </w:rPr>
              <w:t>2,756</w:t>
            </w:r>
          </w:p>
        </w:tc>
      </w:tr>
      <w:tr w:rsidR="00FB07FA" w:rsidRPr="00FB07FA" w14:paraId="24BBFE40" w14:textId="77777777" w:rsidTr="00FB07FA">
        <w:tc>
          <w:tcPr>
            <w:tcW w:w="2378" w:type="dxa"/>
            <w:tcBorders>
              <w:top w:val="single" w:sz="4" w:space="0" w:color="auto"/>
              <w:left w:val="single" w:sz="4" w:space="0" w:color="auto"/>
              <w:bottom w:val="single" w:sz="4" w:space="0" w:color="auto"/>
              <w:right w:val="single" w:sz="4" w:space="0" w:color="auto"/>
            </w:tcBorders>
            <w:hideMark/>
          </w:tcPr>
          <w:p w14:paraId="5C35C24E" w14:textId="77777777" w:rsidR="00FB07FA" w:rsidRPr="00FB07FA" w:rsidRDefault="00FB07FA">
            <w:pPr>
              <w:spacing w:line="276" w:lineRule="auto"/>
              <w:jc w:val="center"/>
              <w:rPr>
                <w:rFonts w:cstheme="minorHAnsi"/>
              </w:rPr>
            </w:pPr>
            <w:r w:rsidRPr="00FB07FA">
              <w:rPr>
                <w:rFonts w:cstheme="minorHAnsi"/>
              </w:rPr>
              <w:t>Bangladesh</w:t>
            </w:r>
          </w:p>
        </w:tc>
        <w:tc>
          <w:tcPr>
            <w:tcW w:w="2022" w:type="dxa"/>
            <w:tcBorders>
              <w:top w:val="single" w:sz="4" w:space="0" w:color="auto"/>
              <w:left w:val="single" w:sz="4" w:space="0" w:color="auto"/>
              <w:bottom w:val="single" w:sz="4" w:space="0" w:color="auto"/>
              <w:right w:val="single" w:sz="4" w:space="0" w:color="auto"/>
            </w:tcBorders>
            <w:hideMark/>
          </w:tcPr>
          <w:p w14:paraId="156C23DF" w14:textId="77777777" w:rsidR="00FB07FA" w:rsidRPr="00FB07FA" w:rsidRDefault="00FB07FA">
            <w:pPr>
              <w:spacing w:line="276" w:lineRule="auto"/>
              <w:jc w:val="center"/>
              <w:rPr>
                <w:rFonts w:cstheme="minorHAnsi"/>
              </w:rPr>
            </w:pPr>
            <w:r w:rsidRPr="00FB07FA">
              <w:rPr>
                <w:rFonts w:cstheme="minorHAnsi"/>
              </w:rPr>
              <w:t>804</w:t>
            </w:r>
          </w:p>
        </w:tc>
        <w:tc>
          <w:tcPr>
            <w:tcW w:w="2433" w:type="dxa"/>
            <w:tcBorders>
              <w:top w:val="single" w:sz="4" w:space="0" w:color="auto"/>
              <w:left w:val="single" w:sz="4" w:space="0" w:color="auto"/>
              <w:bottom w:val="single" w:sz="4" w:space="0" w:color="auto"/>
              <w:right w:val="single" w:sz="4" w:space="0" w:color="auto"/>
            </w:tcBorders>
            <w:hideMark/>
          </w:tcPr>
          <w:p w14:paraId="70A8ED50" w14:textId="77777777" w:rsidR="00FB07FA" w:rsidRPr="00FB07FA" w:rsidRDefault="00FB07FA">
            <w:pPr>
              <w:spacing w:line="276" w:lineRule="auto"/>
              <w:jc w:val="center"/>
              <w:rPr>
                <w:rFonts w:cstheme="minorHAnsi"/>
              </w:rPr>
            </w:pPr>
            <w:r w:rsidRPr="00FB07FA">
              <w:rPr>
                <w:rFonts w:cstheme="minorHAnsi"/>
              </w:rPr>
              <w:t>735</w:t>
            </w:r>
          </w:p>
        </w:tc>
        <w:tc>
          <w:tcPr>
            <w:tcW w:w="2183" w:type="dxa"/>
            <w:tcBorders>
              <w:top w:val="single" w:sz="4" w:space="0" w:color="auto"/>
              <w:left w:val="single" w:sz="4" w:space="0" w:color="auto"/>
              <w:bottom w:val="single" w:sz="4" w:space="0" w:color="auto"/>
              <w:right w:val="single" w:sz="4" w:space="0" w:color="auto"/>
            </w:tcBorders>
            <w:hideMark/>
          </w:tcPr>
          <w:p w14:paraId="1BA504F5" w14:textId="77777777" w:rsidR="00FB07FA" w:rsidRPr="00FB07FA" w:rsidRDefault="00FB07FA">
            <w:pPr>
              <w:spacing w:line="276" w:lineRule="auto"/>
              <w:jc w:val="center"/>
              <w:rPr>
                <w:rFonts w:cstheme="minorHAnsi"/>
              </w:rPr>
            </w:pPr>
            <w:r w:rsidRPr="00FB07FA">
              <w:rPr>
                <w:rFonts w:cstheme="minorHAnsi"/>
              </w:rPr>
              <w:t>1,539</w:t>
            </w:r>
          </w:p>
        </w:tc>
      </w:tr>
      <w:tr w:rsidR="00FB07FA" w:rsidRPr="00FB07FA" w14:paraId="7D59F9CB" w14:textId="77777777" w:rsidTr="00FB07FA">
        <w:tc>
          <w:tcPr>
            <w:tcW w:w="2378" w:type="dxa"/>
            <w:tcBorders>
              <w:top w:val="single" w:sz="4" w:space="0" w:color="auto"/>
              <w:left w:val="single" w:sz="4" w:space="0" w:color="auto"/>
              <w:bottom w:val="single" w:sz="4" w:space="0" w:color="auto"/>
              <w:right w:val="single" w:sz="4" w:space="0" w:color="auto"/>
            </w:tcBorders>
            <w:hideMark/>
          </w:tcPr>
          <w:p w14:paraId="5B37D39E" w14:textId="77777777" w:rsidR="00FB07FA" w:rsidRPr="00FB07FA" w:rsidRDefault="00FB07FA">
            <w:pPr>
              <w:spacing w:line="276" w:lineRule="auto"/>
              <w:jc w:val="center"/>
              <w:rPr>
                <w:rFonts w:cstheme="minorHAnsi"/>
                <w:b/>
                <w:bCs/>
              </w:rPr>
            </w:pPr>
            <w:r w:rsidRPr="00FB07FA">
              <w:rPr>
                <w:rFonts w:cstheme="minorHAnsi"/>
                <w:b/>
                <w:bCs/>
              </w:rPr>
              <w:t>Total</w:t>
            </w:r>
          </w:p>
        </w:tc>
        <w:tc>
          <w:tcPr>
            <w:tcW w:w="2022" w:type="dxa"/>
            <w:tcBorders>
              <w:top w:val="single" w:sz="4" w:space="0" w:color="auto"/>
              <w:left w:val="single" w:sz="4" w:space="0" w:color="auto"/>
              <w:bottom w:val="single" w:sz="4" w:space="0" w:color="auto"/>
              <w:right w:val="single" w:sz="4" w:space="0" w:color="auto"/>
            </w:tcBorders>
            <w:hideMark/>
          </w:tcPr>
          <w:p w14:paraId="07BE33C9" w14:textId="68733DB4" w:rsidR="00FB07FA" w:rsidRPr="00FB07FA" w:rsidRDefault="00FB07FA">
            <w:pPr>
              <w:spacing w:line="276" w:lineRule="auto"/>
              <w:jc w:val="center"/>
              <w:rPr>
                <w:rFonts w:cstheme="minorHAnsi"/>
                <w:b/>
                <w:bCs/>
              </w:rPr>
            </w:pPr>
            <w:r w:rsidRPr="00FB07FA">
              <w:rPr>
                <w:rFonts w:cstheme="minorHAnsi"/>
                <w:b/>
                <w:bCs/>
              </w:rPr>
              <w:t>6,663</w:t>
            </w:r>
          </w:p>
        </w:tc>
        <w:tc>
          <w:tcPr>
            <w:tcW w:w="2433" w:type="dxa"/>
            <w:tcBorders>
              <w:top w:val="single" w:sz="4" w:space="0" w:color="auto"/>
              <w:left w:val="single" w:sz="4" w:space="0" w:color="auto"/>
              <w:bottom w:val="single" w:sz="4" w:space="0" w:color="auto"/>
              <w:right w:val="single" w:sz="4" w:space="0" w:color="auto"/>
            </w:tcBorders>
            <w:hideMark/>
          </w:tcPr>
          <w:p w14:paraId="26D56244" w14:textId="325AC903" w:rsidR="00FB07FA" w:rsidRPr="00FB07FA" w:rsidRDefault="00FB07FA">
            <w:pPr>
              <w:spacing w:line="276" w:lineRule="auto"/>
              <w:jc w:val="center"/>
              <w:rPr>
                <w:rFonts w:cstheme="minorHAnsi"/>
                <w:b/>
                <w:bCs/>
              </w:rPr>
            </w:pPr>
            <w:r w:rsidRPr="00FB07FA">
              <w:rPr>
                <w:rFonts w:cstheme="minorHAnsi"/>
                <w:b/>
                <w:bCs/>
              </w:rPr>
              <w:t>5,907</w:t>
            </w:r>
          </w:p>
        </w:tc>
        <w:tc>
          <w:tcPr>
            <w:tcW w:w="2183" w:type="dxa"/>
            <w:tcBorders>
              <w:top w:val="single" w:sz="4" w:space="0" w:color="auto"/>
              <w:left w:val="single" w:sz="4" w:space="0" w:color="auto"/>
              <w:bottom w:val="single" w:sz="4" w:space="0" w:color="auto"/>
              <w:right w:val="single" w:sz="4" w:space="0" w:color="auto"/>
            </w:tcBorders>
            <w:hideMark/>
          </w:tcPr>
          <w:p w14:paraId="63277FAD" w14:textId="36B35FC0" w:rsidR="00FB07FA" w:rsidRPr="00FB07FA" w:rsidRDefault="00FB07FA">
            <w:pPr>
              <w:spacing w:line="276" w:lineRule="auto"/>
              <w:jc w:val="center"/>
              <w:rPr>
                <w:rFonts w:cstheme="minorHAnsi"/>
                <w:b/>
                <w:bCs/>
              </w:rPr>
            </w:pPr>
            <w:r w:rsidRPr="00FB07FA">
              <w:rPr>
                <w:rFonts w:cstheme="minorHAnsi"/>
                <w:b/>
                <w:bCs/>
              </w:rPr>
              <w:t>12,570</w:t>
            </w:r>
          </w:p>
        </w:tc>
      </w:tr>
    </w:tbl>
    <w:p w14:paraId="02122030" w14:textId="45230D89" w:rsidR="00FB07FA" w:rsidRPr="00FB07FA" w:rsidRDefault="00FB07FA" w:rsidP="00872220">
      <w:pPr>
        <w:shd w:val="clear" w:color="auto" w:fill="FFFFFF" w:themeFill="background1"/>
        <w:jc w:val="both"/>
        <w:textAlignment w:val="baseline"/>
        <w:rPr>
          <w:rFonts w:eastAsia="Century Gothic" w:cstheme="minorHAnsi"/>
          <w:sz w:val="18"/>
          <w:szCs w:val="18"/>
          <w:lang w:val="en-GB"/>
        </w:rPr>
      </w:pPr>
      <w:r w:rsidRPr="00FB07FA">
        <w:rPr>
          <w:rFonts w:eastAsia="Century Gothic" w:cstheme="minorHAnsi"/>
          <w:sz w:val="18"/>
          <w:szCs w:val="18"/>
          <w:lang w:val="en-GB"/>
        </w:rPr>
        <w:t xml:space="preserve">Source: </w:t>
      </w:r>
      <w:r w:rsidRPr="00FB07FA">
        <w:rPr>
          <w:rFonts w:cstheme="minorHAnsi"/>
          <w:sz w:val="18"/>
          <w:szCs w:val="18"/>
        </w:rPr>
        <w:t>Ministry of Migration and Asylum reply to Parliamentary question 2608/24-1-2022, 17 February 2021 (in Greek)</w:t>
      </w:r>
    </w:p>
    <w:p w14:paraId="008CA3D5" w14:textId="77777777" w:rsidR="003C32E5" w:rsidRPr="00A81BAA" w:rsidRDefault="003C32E5" w:rsidP="00872220">
      <w:pPr>
        <w:shd w:val="clear" w:color="auto" w:fill="FFFFFF" w:themeFill="background1"/>
        <w:jc w:val="both"/>
        <w:textAlignment w:val="baseline"/>
        <w:rPr>
          <w:rFonts w:eastAsia="Century Gothic"/>
          <w:sz w:val="22"/>
          <w:szCs w:val="22"/>
          <w:lang w:val="en-GB"/>
        </w:rPr>
      </w:pPr>
    </w:p>
    <w:p w14:paraId="4E70CDF4" w14:textId="757F70A3" w:rsidR="00872220" w:rsidRPr="00A81BAA" w:rsidRDefault="00872220" w:rsidP="00872220">
      <w:pPr>
        <w:shd w:val="clear" w:color="auto" w:fill="FFFFFF" w:themeFill="background1"/>
        <w:jc w:val="both"/>
        <w:textAlignment w:val="baseline"/>
        <w:rPr>
          <w:sz w:val="22"/>
          <w:szCs w:val="22"/>
          <w:lang w:val="en-GB"/>
        </w:rPr>
      </w:pPr>
      <w:r w:rsidRPr="00A81BAA">
        <w:rPr>
          <w:sz w:val="22"/>
          <w:szCs w:val="22"/>
          <w:lang w:val="en-GB"/>
        </w:rPr>
        <w:t>On 25 January,</w:t>
      </w:r>
      <w:r w:rsidRPr="00A81BAA">
        <w:rPr>
          <w:rFonts w:eastAsia="Times New Roman"/>
          <w:sz w:val="22"/>
          <w:szCs w:val="22"/>
          <w:lang w:eastAsia="en-GB"/>
        </w:rPr>
        <w:t xml:space="preserve"> </w:t>
      </w:r>
      <w:hyperlink r:id="rId12" w:history="1">
        <w:r w:rsidRPr="00A81BAA">
          <w:rPr>
            <w:rStyle w:val="Hyperlink"/>
            <w:rFonts w:eastAsia="Times New Roman"/>
            <w:sz w:val="22"/>
            <w:szCs w:val="22"/>
            <w:lang w:eastAsia="en-GB"/>
          </w:rPr>
          <w:t>in response</w:t>
        </w:r>
      </w:hyperlink>
      <w:r w:rsidRPr="00A81BAA">
        <w:rPr>
          <w:sz w:val="22"/>
          <w:szCs w:val="22"/>
          <w:lang w:val="en-GB"/>
        </w:rPr>
        <w:t xml:space="preserve"> to Green MEP Erik Marquardt,</w:t>
      </w:r>
      <w:r w:rsidRPr="00A81BAA">
        <w:rPr>
          <w:rFonts w:eastAsia="Times New Roman"/>
          <w:sz w:val="22"/>
          <w:szCs w:val="22"/>
          <w:lang w:eastAsia="en-GB"/>
        </w:rPr>
        <w:t xml:space="preserve"> Commissioner </w:t>
      </w:r>
      <w:proofErr w:type="spellStart"/>
      <w:r w:rsidRPr="00A81BAA">
        <w:rPr>
          <w:rFonts w:eastAsia="Times New Roman"/>
          <w:sz w:val="22"/>
          <w:szCs w:val="22"/>
          <w:lang w:eastAsia="en-GB"/>
        </w:rPr>
        <w:t>Ylva</w:t>
      </w:r>
      <w:proofErr w:type="spellEnd"/>
      <w:r w:rsidRPr="00A81BAA">
        <w:rPr>
          <w:rFonts w:eastAsia="Times New Roman"/>
          <w:sz w:val="22"/>
          <w:szCs w:val="22"/>
          <w:lang w:eastAsia="en-GB"/>
        </w:rPr>
        <w:t xml:space="preserve"> Johansson stated that the </w:t>
      </w:r>
      <w:r w:rsidRPr="00A81BAA">
        <w:rPr>
          <w:sz w:val="22"/>
          <w:szCs w:val="22"/>
          <w:lang w:val="en-GB"/>
        </w:rPr>
        <w:t xml:space="preserve">asylum applications rejected as inadmissible in Greece must be examined on their merits, in accordance with Article 38(4) of the Asylum Procedures Directive. Greek asylum law likewise states that applications rejected as inadmissible must be examined on merits when a safe third country refuses to accept returns. This makes the JMD incompatible with EU as well as national law. </w:t>
      </w:r>
    </w:p>
    <w:p w14:paraId="5899D791" w14:textId="77777777" w:rsidR="00872220" w:rsidRPr="00A81BAA" w:rsidRDefault="00872220" w:rsidP="00872220">
      <w:pPr>
        <w:shd w:val="clear" w:color="auto" w:fill="FFFFFF" w:themeFill="background1"/>
        <w:jc w:val="both"/>
        <w:textAlignment w:val="baseline"/>
        <w:rPr>
          <w:rFonts w:cstheme="minorHAnsi"/>
          <w:sz w:val="22"/>
          <w:szCs w:val="22"/>
          <w:lang w:val="en-GB"/>
        </w:rPr>
      </w:pPr>
    </w:p>
    <w:p w14:paraId="4EE73A94" w14:textId="597BAB89" w:rsidR="006261D4" w:rsidRPr="00A81BAA" w:rsidRDefault="00872220" w:rsidP="006261D4">
      <w:pPr>
        <w:jc w:val="both"/>
        <w:rPr>
          <w:sz w:val="22"/>
          <w:szCs w:val="22"/>
        </w:rPr>
      </w:pPr>
      <w:r w:rsidRPr="00A81BAA">
        <w:rPr>
          <w:rFonts w:eastAsia="Times New Roman"/>
          <w:sz w:val="22"/>
          <w:szCs w:val="22"/>
          <w:lang w:eastAsia="en-GB"/>
        </w:rPr>
        <w:t xml:space="preserve">The JMD reinforces the EU policy of </w:t>
      </w:r>
      <w:proofErr w:type="spellStart"/>
      <w:r w:rsidRPr="00A81BAA">
        <w:rPr>
          <w:rFonts w:eastAsia="Times New Roman"/>
          <w:sz w:val="22"/>
          <w:szCs w:val="22"/>
          <w:lang w:eastAsia="en-GB"/>
        </w:rPr>
        <w:t>externalisation</w:t>
      </w:r>
      <w:proofErr w:type="spellEnd"/>
      <w:r w:rsidRPr="00A81BAA">
        <w:rPr>
          <w:rFonts w:eastAsia="Times New Roman"/>
          <w:sz w:val="22"/>
          <w:szCs w:val="22"/>
          <w:lang w:eastAsia="en-GB"/>
        </w:rPr>
        <w:t xml:space="preserve"> first established six years ago with the EU-Turkey Statement. It is part of a larger, Europe-wide drive to </w:t>
      </w:r>
      <w:hyperlink r:id="rId13">
        <w:r w:rsidRPr="00A81BAA">
          <w:rPr>
            <w:rFonts w:eastAsia="Times New Roman"/>
            <w:color w:val="0563C1"/>
            <w:sz w:val="22"/>
            <w:szCs w:val="22"/>
            <w:u w:val="single"/>
            <w:lang w:eastAsia="en-GB"/>
          </w:rPr>
          <w:t>shift the responsibility to protect refugees</w:t>
        </w:r>
      </w:hyperlink>
      <w:r w:rsidR="008E0672" w:rsidRPr="00A81BAA">
        <w:rPr>
          <w:rFonts w:eastAsia="Times New Roman"/>
          <w:sz w:val="22"/>
          <w:szCs w:val="22"/>
          <w:lang w:eastAsia="en-GB"/>
        </w:rPr>
        <w:t xml:space="preserve"> </w:t>
      </w:r>
      <w:r w:rsidRPr="00A81BAA">
        <w:rPr>
          <w:rFonts w:eastAsia="Times New Roman"/>
          <w:sz w:val="22"/>
          <w:szCs w:val="22"/>
          <w:lang w:eastAsia="en-GB"/>
        </w:rPr>
        <w:t>in Europe to third countries</w:t>
      </w:r>
      <w:r w:rsidR="008E0672" w:rsidRPr="00A81BAA">
        <w:rPr>
          <w:rFonts w:eastAsia="Times New Roman"/>
          <w:sz w:val="22"/>
          <w:szCs w:val="22"/>
          <w:lang w:eastAsia="en-GB"/>
        </w:rPr>
        <w:t>,</w:t>
      </w:r>
      <w:r w:rsidRPr="00A81BAA">
        <w:rPr>
          <w:rFonts w:eastAsia="Times New Roman"/>
          <w:sz w:val="22"/>
          <w:szCs w:val="22"/>
          <w:lang w:eastAsia="en-GB"/>
        </w:rPr>
        <w:t xml:space="preserve"> such as Turkey. </w:t>
      </w:r>
      <w:r w:rsidR="006261D4" w:rsidRPr="00A81BAA">
        <w:rPr>
          <w:rFonts w:eastAsia="Times New Roman"/>
          <w:sz w:val="22"/>
          <w:szCs w:val="22"/>
          <w:lang w:eastAsia="en-GB"/>
        </w:rPr>
        <w:t xml:space="preserve">Moreover, </w:t>
      </w:r>
      <w:r w:rsidR="006261D4" w:rsidRPr="00A81BAA">
        <w:rPr>
          <w:sz w:val="22"/>
          <w:szCs w:val="22"/>
        </w:rPr>
        <w:t xml:space="preserve">the practice exposes applicants for international protection to a legal limbo whereby they are never granted access to an examination of their applications on their merits, contrary to the purpose of the Geneva Convention and of the Asylum Procedures Directive. It also leads to exclusion of people from reception conditions, resulting in inability to have access to dignified living standards and to cater for their basic subsistence needs, including health care and </w:t>
      </w:r>
      <w:hyperlink r:id="rId14" w:history="1">
        <w:r w:rsidR="006261D4" w:rsidRPr="005F5A83">
          <w:rPr>
            <w:rStyle w:val="Hyperlink"/>
            <w:sz w:val="22"/>
            <w:szCs w:val="22"/>
          </w:rPr>
          <w:t>food</w:t>
        </w:r>
      </w:hyperlink>
      <w:r w:rsidR="006261D4" w:rsidRPr="00A81BAA">
        <w:rPr>
          <w:sz w:val="22"/>
          <w:szCs w:val="22"/>
        </w:rPr>
        <w:t>.</w:t>
      </w:r>
    </w:p>
    <w:p w14:paraId="20EFABEC" w14:textId="17BF1569" w:rsidR="00872220" w:rsidRPr="00A81BAA" w:rsidRDefault="00872220" w:rsidP="00872220">
      <w:pPr>
        <w:shd w:val="clear" w:color="auto" w:fill="FFFFFF" w:themeFill="background1"/>
        <w:jc w:val="both"/>
        <w:textAlignment w:val="baseline"/>
        <w:rPr>
          <w:rFonts w:eastAsia="Times New Roman"/>
          <w:sz w:val="22"/>
          <w:szCs w:val="22"/>
          <w:lang w:eastAsia="en-GB"/>
        </w:rPr>
      </w:pPr>
    </w:p>
    <w:p w14:paraId="31E2785D" w14:textId="77777777" w:rsidR="00872220" w:rsidRPr="00A81BAA" w:rsidRDefault="00872220" w:rsidP="00872220">
      <w:pPr>
        <w:rPr>
          <w:b/>
          <w:bCs/>
          <w:sz w:val="22"/>
          <w:szCs w:val="22"/>
        </w:rPr>
      </w:pPr>
    </w:p>
    <w:p w14:paraId="0CED17E5" w14:textId="2AACF4C6" w:rsidR="00872220" w:rsidRPr="00A81BAA" w:rsidRDefault="00872220" w:rsidP="00872220">
      <w:pPr>
        <w:rPr>
          <w:b/>
          <w:bCs/>
          <w:sz w:val="22"/>
          <w:szCs w:val="22"/>
        </w:rPr>
      </w:pPr>
      <w:r w:rsidRPr="00A81BAA">
        <w:rPr>
          <w:b/>
          <w:bCs/>
          <w:sz w:val="22"/>
          <w:szCs w:val="22"/>
        </w:rPr>
        <w:t>4. Please provide information on any progress made in developing independent border monitoring mechanism(s) at the national level.</w:t>
      </w:r>
    </w:p>
    <w:p w14:paraId="48372905" w14:textId="072D7D89" w:rsidR="00872220" w:rsidRPr="00A81BAA" w:rsidRDefault="00872220" w:rsidP="00872220">
      <w:pPr>
        <w:rPr>
          <w:b/>
          <w:bCs/>
          <w:sz w:val="22"/>
          <w:szCs w:val="22"/>
        </w:rPr>
      </w:pPr>
    </w:p>
    <w:p w14:paraId="4162D2AE" w14:textId="26742E51" w:rsidR="00A81BAA" w:rsidRPr="00A81BAA" w:rsidRDefault="00872220" w:rsidP="00872220">
      <w:pPr>
        <w:jc w:val="both"/>
        <w:rPr>
          <w:rFonts w:eastAsia="Times New Roman"/>
          <w:sz w:val="22"/>
          <w:szCs w:val="22"/>
          <w:lang w:val="en-GB"/>
        </w:rPr>
      </w:pPr>
      <w:r w:rsidRPr="00A81BAA">
        <w:rPr>
          <w:rFonts w:eastAsia="Times New Roman"/>
          <w:sz w:val="22"/>
          <w:szCs w:val="22"/>
          <w:lang w:val="en-GB"/>
        </w:rPr>
        <w:t xml:space="preserve">While the </w:t>
      </w:r>
      <w:hyperlink r:id="rId15" w:history="1">
        <w:r w:rsidRPr="00A81BAA">
          <w:rPr>
            <w:rStyle w:val="Hyperlink"/>
            <w:rFonts w:eastAsia="Times New Roman"/>
            <w:sz w:val="22"/>
            <w:szCs w:val="22"/>
            <w:lang w:val="en-GB"/>
          </w:rPr>
          <w:t>UNHCR</w:t>
        </w:r>
      </w:hyperlink>
      <w:r w:rsidRPr="00A81BAA">
        <w:rPr>
          <w:rFonts w:eastAsia="Times New Roman"/>
          <w:sz w:val="22"/>
          <w:szCs w:val="22"/>
          <w:lang w:val="en-GB"/>
        </w:rPr>
        <w:t xml:space="preserve"> </w:t>
      </w:r>
      <w:r w:rsidRPr="00A81BAA">
        <w:rPr>
          <w:rFonts w:eastAsia="Times New Roman"/>
          <w:sz w:val="22"/>
          <w:szCs w:val="22"/>
        </w:rPr>
        <w:t xml:space="preserve">has recorded almost 540 reported incidents of </w:t>
      </w:r>
      <w:r w:rsidR="00635188">
        <w:rPr>
          <w:rFonts w:eastAsia="Times New Roman"/>
          <w:sz w:val="22"/>
          <w:szCs w:val="22"/>
        </w:rPr>
        <w:t>‘</w:t>
      </w:r>
      <w:r w:rsidRPr="00A81BAA">
        <w:rPr>
          <w:rFonts w:eastAsia="Times New Roman"/>
          <w:sz w:val="22"/>
          <w:szCs w:val="22"/>
        </w:rPr>
        <w:t>informal returns</w:t>
      </w:r>
      <w:r w:rsidR="00635188">
        <w:rPr>
          <w:rFonts w:eastAsia="Times New Roman"/>
          <w:sz w:val="22"/>
          <w:szCs w:val="22"/>
        </w:rPr>
        <w:t>’</w:t>
      </w:r>
      <w:r w:rsidRPr="00A81BAA">
        <w:rPr>
          <w:rFonts w:eastAsia="Times New Roman"/>
          <w:sz w:val="22"/>
          <w:szCs w:val="22"/>
        </w:rPr>
        <w:t xml:space="preserve"> by Greece since the beginning of 2020, the </w:t>
      </w:r>
      <w:hyperlink r:id="rId16" w:history="1">
        <w:r w:rsidRPr="00A81BAA">
          <w:rPr>
            <w:rStyle w:val="Hyperlink"/>
            <w:rFonts w:eastAsia="Times New Roman"/>
            <w:sz w:val="22"/>
            <w:szCs w:val="22"/>
          </w:rPr>
          <w:t>Greek Ministry of Migration and Asylum</w:t>
        </w:r>
      </w:hyperlink>
      <w:r w:rsidRPr="00A81BAA">
        <w:rPr>
          <w:rFonts w:eastAsia="Times New Roman"/>
          <w:sz w:val="22"/>
          <w:szCs w:val="22"/>
        </w:rPr>
        <w:t xml:space="preserve"> is denying the</w:t>
      </w:r>
      <w:r w:rsidR="00A81BAA" w:rsidRPr="00A81BAA">
        <w:rPr>
          <w:rFonts w:eastAsia="Times New Roman"/>
          <w:sz w:val="22"/>
          <w:szCs w:val="22"/>
        </w:rPr>
        <w:t xml:space="preserve"> allegations</w:t>
      </w:r>
      <w:r w:rsidRPr="00A81BAA">
        <w:rPr>
          <w:rFonts w:eastAsia="Times New Roman"/>
          <w:sz w:val="22"/>
          <w:szCs w:val="22"/>
          <w:lang w:val="en-GB"/>
        </w:rPr>
        <w:t xml:space="preserve">. According to </w:t>
      </w:r>
      <w:hyperlink r:id="rId17" w:history="1">
        <w:r w:rsidRPr="00A81BAA">
          <w:rPr>
            <w:rStyle w:val="Hyperlink"/>
            <w:rFonts w:eastAsia="Times New Roman"/>
            <w:sz w:val="22"/>
            <w:szCs w:val="22"/>
            <w:lang w:val="en-GB"/>
          </w:rPr>
          <w:t>statistics</w:t>
        </w:r>
      </w:hyperlink>
      <w:r w:rsidRPr="00A81BAA">
        <w:rPr>
          <w:rFonts w:eastAsia="Times New Roman"/>
          <w:sz w:val="22"/>
          <w:szCs w:val="22"/>
          <w:lang w:val="en-GB"/>
        </w:rPr>
        <w:t xml:space="preserve"> released by the UNHCR, there were 4,331 sea arrivals in 2021, yet the </w:t>
      </w:r>
      <w:r w:rsidR="00A81BAA" w:rsidRPr="00A81BAA">
        <w:rPr>
          <w:rFonts w:eastAsia="Times New Roman"/>
          <w:sz w:val="22"/>
          <w:szCs w:val="22"/>
          <w:lang w:val="en-GB"/>
        </w:rPr>
        <w:t xml:space="preserve">Greek </w:t>
      </w:r>
      <w:r w:rsidRPr="00A81BAA">
        <w:rPr>
          <w:rFonts w:eastAsia="Times New Roman"/>
          <w:sz w:val="22"/>
          <w:szCs w:val="22"/>
          <w:lang w:val="en-GB"/>
        </w:rPr>
        <w:t xml:space="preserve">Ministry for Maritime Affairs </w:t>
      </w:r>
      <w:hyperlink r:id="rId18" w:history="1">
        <w:r w:rsidRPr="00A81BAA">
          <w:rPr>
            <w:rStyle w:val="Hyperlink"/>
            <w:rFonts w:eastAsia="Times New Roman"/>
            <w:sz w:val="22"/>
            <w:szCs w:val="22"/>
            <w:lang w:val="en-GB"/>
          </w:rPr>
          <w:t>reported</w:t>
        </w:r>
      </w:hyperlink>
      <w:r w:rsidRPr="00A81BAA">
        <w:rPr>
          <w:rFonts w:eastAsia="Times New Roman"/>
          <w:sz w:val="22"/>
          <w:szCs w:val="22"/>
          <w:lang w:val="en-GB"/>
        </w:rPr>
        <w:t xml:space="preserve"> more than 29,000 rescues by the Hellenic Coast Guard</w:t>
      </w:r>
      <w:r w:rsidR="00A81BAA" w:rsidRPr="00A81BAA">
        <w:rPr>
          <w:rFonts w:eastAsia="Times New Roman"/>
          <w:sz w:val="22"/>
          <w:szCs w:val="22"/>
          <w:lang w:val="en-GB"/>
        </w:rPr>
        <w:t xml:space="preserve"> in Eastern Mediterranean</w:t>
      </w:r>
      <w:r w:rsidRPr="00A81BAA">
        <w:rPr>
          <w:rFonts w:eastAsia="Times New Roman"/>
          <w:sz w:val="22"/>
          <w:szCs w:val="22"/>
          <w:lang w:val="en-GB"/>
        </w:rPr>
        <w:t xml:space="preserve"> in the same period. This leaves </w:t>
      </w:r>
      <w:r w:rsidR="00A81BAA" w:rsidRPr="00A81BAA">
        <w:rPr>
          <w:rFonts w:eastAsia="Times New Roman"/>
          <w:sz w:val="22"/>
          <w:szCs w:val="22"/>
          <w:lang w:val="en-GB"/>
        </w:rPr>
        <w:t xml:space="preserve">at least </w:t>
      </w:r>
      <w:r w:rsidRPr="00A81BAA">
        <w:rPr>
          <w:rFonts w:eastAsia="Times New Roman"/>
          <w:sz w:val="22"/>
          <w:szCs w:val="22"/>
          <w:lang w:val="en-GB"/>
        </w:rPr>
        <w:t xml:space="preserve">25,000 people unaccounted </w:t>
      </w:r>
      <w:r w:rsidR="00A81BAA" w:rsidRPr="00A81BAA">
        <w:rPr>
          <w:rFonts w:eastAsia="Times New Roman"/>
          <w:sz w:val="22"/>
          <w:szCs w:val="22"/>
          <w:lang w:val="en-GB"/>
        </w:rPr>
        <w:t xml:space="preserve">for </w:t>
      </w:r>
      <w:r w:rsidRPr="00A81BAA">
        <w:rPr>
          <w:rFonts w:eastAsia="Times New Roman"/>
          <w:sz w:val="22"/>
          <w:szCs w:val="22"/>
          <w:lang w:val="en-GB"/>
        </w:rPr>
        <w:t xml:space="preserve">and </w:t>
      </w:r>
      <w:r w:rsidR="00635188">
        <w:rPr>
          <w:rFonts w:eastAsia="Times New Roman"/>
          <w:sz w:val="22"/>
          <w:szCs w:val="22"/>
          <w:lang w:val="en-GB"/>
        </w:rPr>
        <w:t xml:space="preserve">gives further evidence to </w:t>
      </w:r>
      <w:r w:rsidRPr="00A81BAA">
        <w:rPr>
          <w:rFonts w:eastAsia="Times New Roman"/>
          <w:sz w:val="22"/>
          <w:szCs w:val="22"/>
          <w:lang w:val="en-GB"/>
        </w:rPr>
        <w:t xml:space="preserve">long-standing concerns that systematic pushbacks are taking place. </w:t>
      </w:r>
    </w:p>
    <w:p w14:paraId="37301459" w14:textId="77777777" w:rsidR="00A81BAA" w:rsidRPr="00A81BAA" w:rsidRDefault="00A81BAA" w:rsidP="00872220">
      <w:pPr>
        <w:jc w:val="both"/>
        <w:rPr>
          <w:rFonts w:eastAsia="Times New Roman"/>
          <w:sz w:val="22"/>
          <w:szCs w:val="22"/>
          <w:lang w:val="en-GB"/>
        </w:rPr>
      </w:pPr>
    </w:p>
    <w:p w14:paraId="7D64DB4B" w14:textId="77777777" w:rsidR="00635188" w:rsidRDefault="00872220" w:rsidP="00872220">
      <w:pPr>
        <w:spacing w:after="160" w:line="259" w:lineRule="auto"/>
        <w:jc w:val="both"/>
        <w:rPr>
          <w:rFonts w:eastAsia="Times New Roman"/>
          <w:sz w:val="22"/>
          <w:szCs w:val="22"/>
          <w:lang w:val="en-GB"/>
        </w:rPr>
      </w:pPr>
      <w:r w:rsidRPr="00A81BAA">
        <w:rPr>
          <w:rFonts w:eastAsia="Times New Roman"/>
          <w:sz w:val="22"/>
          <w:szCs w:val="22"/>
          <w:lang w:val="en-GB"/>
        </w:rPr>
        <w:t xml:space="preserve">Following pressure from the </w:t>
      </w:r>
      <w:r w:rsidR="00635188">
        <w:rPr>
          <w:rFonts w:eastAsia="Times New Roman"/>
          <w:sz w:val="22"/>
          <w:szCs w:val="22"/>
          <w:lang w:val="en-GB"/>
        </w:rPr>
        <w:t xml:space="preserve">European </w:t>
      </w:r>
      <w:r w:rsidRPr="00A81BAA">
        <w:rPr>
          <w:rFonts w:eastAsia="Times New Roman"/>
          <w:sz w:val="22"/>
          <w:szCs w:val="22"/>
          <w:lang w:val="en-GB"/>
        </w:rPr>
        <w:t>Commission, in September 2021</w:t>
      </w:r>
      <w:r w:rsidR="00635188">
        <w:rPr>
          <w:rFonts w:eastAsia="Times New Roman"/>
          <w:sz w:val="22"/>
          <w:szCs w:val="22"/>
          <w:lang w:val="en-GB"/>
        </w:rPr>
        <w:t>,</w:t>
      </w:r>
      <w:r w:rsidRPr="00A81BAA">
        <w:rPr>
          <w:rFonts w:eastAsia="Times New Roman"/>
          <w:sz w:val="22"/>
          <w:szCs w:val="22"/>
          <w:lang w:val="en-GB"/>
        </w:rPr>
        <w:t xml:space="preserve"> </w:t>
      </w:r>
      <w:hyperlink r:id="rId19">
        <w:r w:rsidRPr="00A81BAA">
          <w:rPr>
            <w:rStyle w:val="Hyperlink"/>
            <w:rFonts w:eastAsia="Times New Roman"/>
            <w:sz w:val="22"/>
            <w:szCs w:val="22"/>
            <w:lang w:val="en-GB"/>
          </w:rPr>
          <w:t>Greece</w:t>
        </w:r>
      </w:hyperlink>
      <w:r w:rsidRPr="00A81BAA">
        <w:rPr>
          <w:rFonts w:eastAsia="Times New Roman"/>
          <w:sz w:val="22"/>
          <w:szCs w:val="22"/>
          <w:lang w:val="en-GB"/>
        </w:rPr>
        <w:t xml:space="preserve"> agreed to task the National Transparency Authority (EAD) with investigating pushback allegations. Almost </w:t>
      </w:r>
      <w:hyperlink r:id="rId20" w:history="1">
        <w:r w:rsidRPr="00A81BAA">
          <w:rPr>
            <w:rStyle w:val="Hyperlink"/>
            <w:rFonts w:eastAsia="Times New Roman"/>
            <w:sz w:val="22"/>
            <w:szCs w:val="22"/>
            <w:lang w:val="en-GB"/>
          </w:rPr>
          <w:t>half a year</w:t>
        </w:r>
      </w:hyperlink>
      <w:r w:rsidRPr="00A81BAA">
        <w:rPr>
          <w:rFonts w:eastAsia="Times New Roman"/>
          <w:sz w:val="22"/>
          <w:szCs w:val="22"/>
          <w:lang w:val="en-GB"/>
        </w:rPr>
        <w:t xml:space="preserve"> later, </w:t>
      </w:r>
      <w:r w:rsidR="00635188">
        <w:rPr>
          <w:rFonts w:eastAsia="Times New Roman"/>
          <w:sz w:val="22"/>
          <w:szCs w:val="22"/>
          <w:lang w:val="en-GB"/>
        </w:rPr>
        <w:t>no progress reports or findings have been published</w:t>
      </w:r>
      <w:r w:rsidRPr="00A81BAA">
        <w:rPr>
          <w:rFonts w:eastAsia="Times New Roman"/>
          <w:sz w:val="22"/>
          <w:szCs w:val="22"/>
          <w:lang w:val="en-GB"/>
        </w:rPr>
        <w:t xml:space="preserve">. </w:t>
      </w:r>
    </w:p>
    <w:p w14:paraId="53D644BD" w14:textId="344287A2" w:rsidR="00872220" w:rsidRPr="00A81BAA" w:rsidRDefault="00872220" w:rsidP="00872220">
      <w:pPr>
        <w:spacing w:after="160" w:line="259" w:lineRule="auto"/>
        <w:jc w:val="both"/>
        <w:rPr>
          <w:rFonts w:eastAsia="Times New Roman"/>
          <w:sz w:val="22"/>
          <w:szCs w:val="22"/>
          <w:lang w:val="en-GB"/>
        </w:rPr>
      </w:pPr>
      <w:r w:rsidRPr="00A81BAA">
        <w:rPr>
          <w:rFonts w:eastAsia="Times New Roman"/>
          <w:sz w:val="22"/>
          <w:szCs w:val="22"/>
          <w:lang w:val="en-GB"/>
        </w:rPr>
        <w:t xml:space="preserve">The IRC </w:t>
      </w:r>
      <w:r w:rsidR="00635188">
        <w:rPr>
          <w:rFonts w:eastAsia="Times New Roman"/>
          <w:sz w:val="22"/>
          <w:szCs w:val="22"/>
          <w:lang w:val="en-GB"/>
        </w:rPr>
        <w:t xml:space="preserve">does not believe that </w:t>
      </w:r>
      <w:r w:rsidRPr="00A81BAA">
        <w:rPr>
          <w:rFonts w:eastAsia="Times New Roman"/>
          <w:sz w:val="22"/>
          <w:szCs w:val="22"/>
          <w:lang w:val="en-GB"/>
        </w:rPr>
        <w:t>EAD</w:t>
      </w:r>
      <w:r w:rsidR="00635188">
        <w:rPr>
          <w:rFonts w:eastAsia="Times New Roman"/>
          <w:sz w:val="22"/>
          <w:szCs w:val="22"/>
          <w:lang w:val="en-GB"/>
        </w:rPr>
        <w:t xml:space="preserve"> is the best-placed entity to</w:t>
      </w:r>
      <w:r w:rsidRPr="00A81BAA">
        <w:rPr>
          <w:rFonts w:eastAsia="Times New Roman"/>
          <w:sz w:val="22"/>
          <w:szCs w:val="22"/>
          <w:lang w:val="en-GB"/>
        </w:rPr>
        <w:t xml:space="preserve"> tak</w:t>
      </w:r>
      <w:r w:rsidR="00635188">
        <w:rPr>
          <w:rFonts w:eastAsia="Times New Roman"/>
          <w:sz w:val="22"/>
          <w:szCs w:val="22"/>
          <w:lang w:val="en-GB"/>
        </w:rPr>
        <w:t>e</w:t>
      </w:r>
      <w:r w:rsidRPr="00A81BAA">
        <w:rPr>
          <w:rFonts w:eastAsia="Times New Roman"/>
          <w:sz w:val="22"/>
          <w:szCs w:val="22"/>
          <w:lang w:val="en-GB"/>
        </w:rPr>
        <w:t xml:space="preserve"> on the role of</w:t>
      </w:r>
      <w:r w:rsidR="00635188">
        <w:rPr>
          <w:rFonts w:eastAsia="Times New Roman"/>
          <w:sz w:val="22"/>
          <w:szCs w:val="22"/>
          <w:lang w:val="en-GB"/>
        </w:rPr>
        <w:t xml:space="preserve"> an Independent Border Monitoring Mechanism (IBMM). </w:t>
      </w:r>
      <w:r w:rsidRPr="00A81BAA">
        <w:rPr>
          <w:rFonts w:eastAsia="Times New Roman"/>
          <w:sz w:val="22"/>
          <w:szCs w:val="22"/>
          <w:lang w:val="en-GB"/>
        </w:rPr>
        <w:t>As a public authority, the EAD is not sufficiently independent. Furthermore, according</w:t>
      </w:r>
      <w:hyperlink r:id="rId21">
        <w:r w:rsidRPr="00A81BAA">
          <w:rPr>
            <w:rStyle w:val="Hyperlink"/>
            <w:rFonts w:eastAsia="Times New Roman"/>
            <w:sz w:val="22"/>
            <w:szCs w:val="22"/>
            <w:lang w:val="en-GB"/>
          </w:rPr>
          <w:t xml:space="preserve"> to media reports</w:t>
        </w:r>
      </w:hyperlink>
      <w:r w:rsidRPr="00A81BAA">
        <w:rPr>
          <w:rFonts w:eastAsia="Times New Roman"/>
          <w:sz w:val="22"/>
          <w:szCs w:val="22"/>
          <w:lang w:val="en-GB"/>
        </w:rPr>
        <w:t>,</w:t>
      </w:r>
      <w:r w:rsidRPr="00A81BAA">
        <w:rPr>
          <w:rFonts w:eastAsiaTheme="minorEastAsia"/>
          <w:sz w:val="22"/>
          <w:szCs w:val="22"/>
          <w:lang w:val="en-GB"/>
        </w:rPr>
        <w:t xml:space="preserve"> an IBMM under the EAD</w:t>
      </w:r>
      <w:r w:rsidRPr="00A81BAA">
        <w:rPr>
          <w:rFonts w:eastAsia="Times New Roman"/>
          <w:sz w:val="22"/>
          <w:szCs w:val="22"/>
          <w:lang w:val="en-GB"/>
        </w:rPr>
        <w:t xml:space="preserve"> would be staffed by representatives of the Ministry</w:t>
      </w:r>
      <w:r w:rsidR="00635188">
        <w:rPr>
          <w:rFonts w:eastAsia="Times New Roman"/>
          <w:sz w:val="22"/>
          <w:szCs w:val="22"/>
          <w:lang w:val="en-GB"/>
        </w:rPr>
        <w:t xml:space="preserve"> on Migration and Asylum</w:t>
      </w:r>
      <w:r w:rsidRPr="00A81BAA">
        <w:rPr>
          <w:rFonts w:eastAsia="Times New Roman"/>
          <w:sz w:val="22"/>
          <w:szCs w:val="22"/>
          <w:lang w:val="en-GB"/>
        </w:rPr>
        <w:t xml:space="preserve">, court officials and academics, but would not include UNHCR or civil society representatives. </w:t>
      </w:r>
      <w:r w:rsidR="00635188">
        <w:rPr>
          <w:rFonts w:eastAsia="Times New Roman"/>
          <w:sz w:val="22"/>
          <w:szCs w:val="22"/>
          <w:lang w:val="en-GB"/>
        </w:rPr>
        <w:t>Moreover, t</w:t>
      </w:r>
      <w:r w:rsidRPr="00A81BAA">
        <w:rPr>
          <w:rFonts w:eastAsia="Times New Roman"/>
          <w:sz w:val="22"/>
          <w:szCs w:val="22"/>
          <w:lang w:val="en-GB"/>
        </w:rPr>
        <w:t xml:space="preserve">he EAD does not have in-house expertise or previous experience </w:t>
      </w:r>
      <w:r w:rsidR="00635188">
        <w:rPr>
          <w:rFonts w:eastAsia="Times New Roman"/>
          <w:sz w:val="22"/>
          <w:szCs w:val="22"/>
          <w:lang w:val="en-GB"/>
        </w:rPr>
        <w:t xml:space="preserve">in the areas </w:t>
      </w:r>
      <w:r w:rsidRPr="00A81BAA">
        <w:rPr>
          <w:rFonts w:eastAsia="Times New Roman"/>
          <w:sz w:val="22"/>
          <w:szCs w:val="22"/>
          <w:lang w:val="en-GB"/>
        </w:rPr>
        <w:t>of asylum, migration, and monitoring violations at the border</w:t>
      </w:r>
      <w:r w:rsidR="00635188">
        <w:rPr>
          <w:rFonts w:eastAsia="Times New Roman"/>
          <w:sz w:val="22"/>
          <w:szCs w:val="22"/>
          <w:lang w:val="en-GB"/>
        </w:rPr>
        <w:t xml:space="preserve">s. Finally, </w:t>
      </w:r>
      <w:r w:rsidRPr="00A81BAA">
        <w:rPr>
          <w:rFonts w:eastAsia="Times New Roman"/>
          <w:sz w:val="22"/>
          <w:szCs w:val="22"/>
          <w:lang w:val="en-GB"/>
        </w:rPr>
        <w:t xml:space="preserve">it is not sufficiently transparent, with its track record including participating in </w:t>
      </w:r>
      <w:r w:rsidRPr="00A81BAA">
        <w:rPr>
          <w:rStyle w:val="normaltextrun"/>
          <w:sz w:val="22"/>
          <w:szCs w:val="22"/>
          <w:lang w:val="en-GB"/>
        </w:rPr>
        <w:t>inspections of NGOs supporting migrants, without ever publicly communicating its findings.</w:t>
      </w:r>
      <w:r w:rsidRPr="00A81BAA">
        <w:rPr>
          <w:rFonts w:eastAsia="Times New Roman"/>
          <w:sz w:val="22"/>
          <w:szCs w:val="22"/>
          <w:lang w:val="en-GB"/>
        </w:rPr>
        <w:t xml:space="preserve"> </w:t>
      </w:r>
    </w:p>
    <w:p w14:paraId="5E17F614" w14:textId="7D82CEC7" w:rsidR="00872220" w:rsidRDefault="00872220" w:rsidP="00872220">
      <w:pPr>
        <w:spacing w:after="160" w:line="259" w:lineRule="auto"/>
        <w:jc w:val="both"/>
        <w:rPr>
          <w:rFonts w:eastAsia="Times New Roman"/>
          <w:sz w:val="22"/>
          <w:szCs w:val="22"/>
          <w:lang w:val="en-GB"/>
        </w:rPr>
      </w:pPr>
      <w:r w:rsidRPr="00A81BAA">
        <w:rPr>
          <w:rFonts w:eastAsia="Times New Roman"/>
          <w:sz w:val="22"/>
          <w:szCs w:val="22"/>
          <w:lang w:val="en-GB"/>
        </w:rPr>
        <w:t xml:space="preserve">Following an extensive mapping of available actors to take on the role, the IRC firmly believes that the Greek Ombudsman would be the most competent authority to carry out the duties of an </w:t>
      </w:r>
      <w:r w:rsidR="00635188">
        <w:rPr>
          <w:rFonts w:eastAsia="Times New Roman"/>
          <w:sz w:val="22"/>
          <w:szCs w:val="22"/>
          <w:lang w:val="en-GB"/>
        </w:rPr>
        <w:t xml:space="preserve">IBMM </w:t>
      </w:r>
      <w:r w:rsidRPr="00A81BAA">
        <w:rPr>
          <w:rFonts w:eastAsia="Times New Roman"/>
          <w:sz w:val="22"/>
          <w:szCs w:val="22"/>
          <w:lang w:val="en-GB"/>
        </w:rPr>
        <w:t>in Greece (</w:t>
      </w:r>
      <w:r w:rsidRPr="003579AA">
        <w:rPr>
          <w:rFonts w:eastAsia="Times New Roman"/>
          <w:sz w:val="22"/>
          <w:szCs w:val="22"/>
          <w:lang w:val="en-GB"/>
        </w:rPr>
        <w:t>Please see Annex for full report</w:t>
      </w:r>
      <w:r w:rsidRPr="00A81BAA">
        <w:rPr>
          <w:rFonts w:eastAsia="Times New Roman"/>
          <w:sz w:val="22"/>
          <w:szCs w:val="22"/>
          <w:lang w:val="en-GB"/>
        </w:rPr>
        <w:t>). The Ombudsman is an Independent Authority as safeguarded by the Greek Constitution; it already holds a broad legal mandate with few geographical or procedural limitations to what it can investigate</w:t>
      </w:r>
      <w:r w:rsidRPr="00A81BAA">
        <w:rPr>
          <w:rStyle w:val="FootnoteReference"/>
          <w:rFonts w:eastAsia="Times New Roman"/>
          <w:sz w:val="22"/>
          <w:szCs w:val="22"/>
          <w:lang w:val="en-GB"/>
        </w:rPr>
        <w:footnoteReference w:id="7"/>
      </w:r>
      <w:r w:rsidRPr="00A81BAA">
        <w:rPr>
          <w:rFonts w:eastAsia="Times New Roman"/>
          <w:sz w:val="22"/>
          <w:szCs w:val="22"/>
          <w:lang w:val="en-GB"/>
        </w:rPr>
        <w:t xml:space="preserve">; its officials have extensive prior experience in the field; and the Ombudsman has already launched several investigations into pushbacks – </w:t>
      </w:r>
      <w:hyperlink r:id="rId22">
        <w:r w:rsidRPr="00A81BAA">
          <w:rPr>
            <w:rStyle w:val="Hyperlink"/>
            <w:rFonts w:eastAsia="Times New Roman"/>
            <w:sz w:val="22"/>
            <w:szCs w:val="22"/>
            <w:lang w:val="en-GB"/>
          </w:rPr>
          <w:t>most recently</w:t>
        </w:r>
      </w:hyperlink>
      <w:r w:rsidRPr="00A81BAA">
        <w:rPr>
          <w:rFonts w:eastAsia="Times New Roman"/>
          <w:sz w:val="22"/>
          <w:szCs w:val="22"/>
          <w:lang w:val="en-GB"/>
        </w:rPr>
        <w:t xml:space="preserve"> on the complaint of a</w:t>
      </w:r>
      <w:r w:rsidR="00635188">
        <w:rPr>
          <w:rFonts w:eastAsia="Times New Roman"/>
          <w:sz w:val="22"/>
          <w:szCs w:val="22"/>
          <w:lang w:val="en-GB"/>
        </w:rPr>
        <w:t xml:space="preserve"> reported</w:t>
      </w:r>
      <w:r w:rsidRPr="00A81BAA">
        <w:rPr>
          <w:rFonts w:eastAsia="Times New Roman"/>
          <w:sz w:val="22"/>
          <w:szCs w:val="22"/>
          <w:lang w:val="en-GB"/>
        </w:rPr>
        <w:t xml:space="preserve"> violent pushback by Greek border guards of a Frontex interpreter.</w:t>
      </w:r>
    </w:p>
    <w:p w14:paraId="6959E618" w14:textId="13882FE6" w:rsidR="00635188" w:rsidRPr="00A81BAA" w:rsidRDefault="00635188" w:rsidP="00635188">
      <w:pPr>
        <w:jc w:val="both"/>
        <w:rPr>
          <w:rFonts w:eastAsia="Times New Roman"/>
          <w:sz w:val="22"/>
          <w:szCs w:val="22"/>
          <w:lang w:val="en-GB"/>
        </w:rPr>
      </w:pPr>
      <w:r w:rsidRPr="00A81BAA">
        <w:rPr>
          <w:rFonts w:eastAsia="Times New Roman"/>
          <w:sz w:val="22"/>
          <w:szCs w:val="22"/>
          <w:lang w:val="en-GB"/>
        </w:rPr>
        <w:t xml:space="preserve">While Greece continues to </w:t>
      </w:r>
      <w:hyperlink r:id="rId23" w:history="1">
        <w:r w:rsidRPr="00A81BAA">
          <w:rPr>
            <w:rStyle w:val="Hyperlink"/>
            <w:rFonts w:eastAsia="Times New Roman"/>
            <w:sz w:val="22"/>
            <w:szCs w:val="22"/>
            <w:lang w:val="en-GB"/>
          </w:rPr>
          <w:t>dismiss allegations</w:t>
        </w:r>
      </w:hyperlink>
      <w:r w:rsidRPr="00A81BAA">
        <w:rPr>
          <w:rFonts w:eastAsia="Times New Roman"/>
          <w:sz w:val="22"/>
          <w:szCs w:val="22"/>
          <w:lang w:val="en-GB"/>
        </w:rPr>
        <w:t xml:space="preserve"> as Turkish propaganda and fake news, and while the Commission continues to ‘express concern’ over the situation, people are dying at EU borders. The only way to stop the violence and hold those committing these crimes accountable, is to put in place a truly independent border monitoring mechanism</w:t>
      </w:r>
      <w:r w:rsidR="0084436B">
        <w:rPr>
          <w:rFonts w:eastAsia="Times New Roman"/>
          <w:sz w:val="22"/>
          <w:szCs w:val="22"/>
          <w:lang w:val="en-GB"/>
        </w:rPr>
        <w:t xml:space="preserve"> </w:t>
      </w:r>
      <w:r w:rsidRPr="00A81BAA">
        <w:rPr>
          <w:rFonts w:eastAsia="Times New Roman"/>
          <w:sz w:val="22"/>
          <w:szCs w:val="22"/>
          <w:lang w:val="en-GB"/>
        </w:rPr>
        <w:t xml:space="preserve">– as repeatedly stressed by </w:t>
      </w:r>
      <w:hyperlink r:id="rId24">
        <w:r w:rsidRPr="00A81BAA">
          <w:rPr>
            <w:rFonts w:eastAsia="Times New Roman"/>
            <w:color w:val="0563C1"/>
            <w:sz w:val="22"/>
            <w:szCs w:val="22"/>
            <w:u w:val="single"/>
            <w:lang w:val="en-GB"/>
          </w:rPr>
          <w:t>UNHCR</w:t>
        </w:r>
      </w:hyperlink>
      <w:r w:rsidRPr="00A81BAA">
        <w:rPr>
          <w:rFonts w:eastAsia="Times New Roman"/>
          <w:sz w:val="22"/>
          <w:szCs w:val="22"/>
          <w:lang w:val="en-GB"/>
        </w:rPr>
        <w:t xml:space="preserve">, the </w:t>
      </w:r>
      <w:hyperlink r:id="rId25">
        <w:r w:rsidRPr="00A81BAA">
          <w:rPr>
            <w:rFonts w:eastAsia="Times New Roman"/>
            <w:color w:val="0563C1"/>
            <w:sz w:val="22"/>
            <w:szCs w:val="22"/>
            <w:u w:val="single"/>
            <w:lang w:val="en-GB"/>
          </w:rPr>
          <w:t>European Commission</w:t>
        </w:r>
      </w:hyperlink>
      <w:r w:rsidRPr="00A81BAA">
        <w:rPr>
          <w:rFonts w:eastAsia="Times New Roman"/>
          <w:sz w:val="22"/>
          <w:szCs w:val="22"/>
          <w:lang w:val="en-GB"/>
        </w:rPr>
        <w:t xml:space="preserve">, </w:t>
      </w:r>
      <w:hyperlink r:id="rId26">
        <w:r w:rsidRPr="00A81BAA">
          <w:rPr>
            <w:rFonts w:eastAsia="Times New Roman"/>
            <w:color w:val="0563C1"/>
            <w:sz w:val="22"/>
            <w:szCs w:val="22"/>
            <w:u w:val="single"/>
            <w:lang w:val="en-GB"/>
          </w:rPr>
          <w:t>the Council of Europe</w:t>
        </w:r>
      </w:hyperlink>
      <w:r w:rsidRPr="00A81BAA">
        <w:rPr>
          <w:rFonts w:eastAsia="Times New Roman"/>
          <w:sz w:val="22"/>
          <w:szCs w:val="22"/>
          <w:lang w:val="en-GB"/>
        </w:rPr>
        <w:t xml:space="preserve">, and </w:t>
      </w:r>
      <w:hyperlink r:id="rId27" w:history="1">
        <w:r w:rsidRPr="0084436B">
          <w:rPr>
            <w:rStyle w:val="Hyperlink"/>
            <w:rFonts w:eastAsia="Times New Roman"/>
            <w:sz w:val="22"/>
            <w:szCs w:val="22"/>
            <w:lang w:val="en-GB"/>
          </w:rPr>
          <w:t>NGOs</w:t>
        </w:r>
      </w:hyperlink>
      <w:r w:rsidRPr="00A81BAA">
        <w:rPr>
          <w:rFonts w:eastAsia="Times New Roman"/>
          <w:sz w:val="22"/>
          <w:szCs w:val="22"/>
          <w:lang w:val="en-GB"/>
        </w:rPr>
        <w:t>.</w:t>
      </w:r>
      <w:r w:rsidR="0084436B">
        <w:rPr>
          <w:rFonts w:eastAsia="Times New Roman"/>
          <w:sz w:val="22"/>
          <w:szCs w:val="22"/>
          <w:lang w:val="en-GB"/>
        </w:rPr>
        <w:t xml:space="preserve"> </w:t>
      </w:r>
      <w:r w:rsidR="0084436B" w:rsidRPr="7D7694A4">
        <w:rPr>
          <w:sz w:val="22"/>
          <w:szCs w:val="22"/>
          <w:lang w:val="en-GB"/>
        </w:rPr>
        <w:t>Failure to do so undermines refugee protection, the right to asylum and the rule of law across Europe, with repercussions far beyond Greece as other countries commit similar abuses and evade accountability.</w:t>
      </w:r>
    </w:p>
    <w:p w14:paraId="66DA0C8A" w14:textId="77777777" w:rsidR="00635188" w:rsidRPr="00A81BAA" w:rsidRDefault="00635188" w:rsidP="00872220">
      <w:pPr>
        <w:spacing w:after="160" w:line="259" w:lineRule="auto"/>
        <w:jc w:val="both"/>
        <w:rPr>
          <w:rFonts w:eastAsia="Times New Roman"/>
          <w:sz w:val="22"/>
          <w:szCs w:val="22"/>
          <w:lang w:val="en-GB"/>
        </w:rPr>
      </w:pPr>
    </w:p>
    <w:p w14:paraId="0F99B895" w14:textId="3D6FDC4D" w:rsidR="003954AA" w:rsidRPr="00872220" w:rsidRDefault="003954AA" w:rsidP="00872220">
      <w:pPr>
        <w:spacing w:after="160" w:line="259" w:lineRule="auto"/>
        <w:jc w:val="both"/>
        <w:rPr>
          <w:rFonts w:cstheme="minorHAnsi"/>
          <w:sz w:val="22"/>
          <w:szCs w:val="22"/>
        </w:rPr>
      </w:pPr>
    </w:p>
    <w:sectPr w:rsidR="003954AA" w:rsidRPr="00872220" w:rsidSect="00EE6E42">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FF9AB" w14:textId="77777777" w:rsidR="00D77A6E" w:rsidRDefault="00D77A6E" w:rsidP="00A5579C">
      <w:r>
        <w:separator/>
      </w:r>
    </w:p>
  </w:endnote>
  <w:endnote w:type="continuationSeparator" w:id="0">
    <w:p w14:paraId="198CB0D4" w14:textId="77777777" w:rsidR="00D77A6E" w:rsidRDefault="00D77A6E" w:rsidP="00A5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197866"/>
      <w:docPartObj>
        <w:docPartGallery w:val="Page Numbers (Bottom of Page)"/>
        <w:docPartUnique/>
      </w:docPartObj>
    </w:sdtPr>
    <w:sdtEndPr>
      <w:rPr>
        <w:noProof/>
      </w:rPr>
    </w:sdtEndPr>
    <w:sdtContent>
      <w:p w14:paraId="64B13553" w14:textId="226AC4B9" w:rsidR="0048170D" w:rsidRDefault="004817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3240D5" w14:textId="77777777" w:rsidR="0048170D" w:rsidRDefault="00481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11862" w14:textId="77777777" w:rsidR="00D77A6E" w:rsidRDefault="00D77A6E" w:rsidP="00A5579C">
      <w:r>
        <w:separator/>
      </w:r>
    </w:p>
  </w:footnote>
  <w:footnote w:type="continuationSeparator" w:id="0">
    <w:p w14:paraId="2A0465E3" w14:textId="77777777" w:rsidR="00D77A6E" w:rsidRDefault="00D77A6E" w:rsidP="00A5579C">
      <w:r>
        <w:continuationSeparator/>
      </w:r>
    </w:p>
  </w:footnote>
  <w:footnote w:id="1">
    <w:p w14:paraId="0F828A73" w14:textId="5AF53C05" w:rsidR="00703513" w:rsidRPr="00703513" w:rsidRDefault="00703513">
      <w:pPr>
        <w:pStyle w:val="FootnoteText"/>
        <w:rPr>
          <w:sz w:val="16"/>
          <w:szCs w:val="16"/>
        </w:rPr>
      </w:pPr>
      <w:r w:rsidRPr="00703513">
        <w:rPr>
          <w:rStyle w:val="FootnoteReference"/>
          <w:sz w:val="16"/>
          <w:szCs w:val="16"/>
        </w:rPr>
        <w:footnoteRef/>
      </w:r>
      <w:r w:rsidRPr="00703513">
        <w:rPr>
          <w:sz w:val="16"/>
          <w:szCs w:val="16"/>
        </w:rPr>
        <w:t xml:space="preserve"> </w:t>
      </w:r>
      <w:hyperlink r:id="rId1" w:history="1">
        <w:r w:rsidRPr="00703513">
          <w:rPr>
            <w:rStyle w:val="Hyperlink"/>
            <w:sz w:val="16"/>
            <w:szCs w:val="16"/>
          </w:rPr>
          <w:t>https://migration.gov.gr/wp-content/uploads/2021/06/%CE%9A%CE%A5%CE%91-%CE%91%CE%A3%CE%A6%CE%91%CE%9B%CE%97%CE%A3-%CE%A4%CE%A1%CE%99%CE%A4%CE%97-%CE%A7%CE%A9%CE%A1%CE%91-1.pdf</w:t>
        </w:r>
      </w:hyperlink>
    </w:p>
  </w:footnote>
  <w:footnote w:id="2">
    <w:p w14:paraId="12E016BA" w14:textId="39C37B24" w:rsidR="0084436B" w:rsidRPr="0084436B" w:rsidRDefault="0084436B">
      <w:pPr>
        <w:pStyle w:val="FootnoteText"/>
        <w:rPr>
          <w:sz w:val="16"/>
          <w:szCs w:val="16"/>
        </w:rPr>
      </w:pPr>
      <w:r>
        <w:rPr>
          <w:rStyle w:val="FootnoteReference"/>
        </w:rPr>
        <w:footnoteRef/>
      </w:r>
      <w:r w:rsidRPr="0084436B">
        <w:rPr>
          <w:sz w:val="16"/>
          <w:szCs w:val="16"/>
        </w:rPr>
        <w:t xml:space="preserve"> </w:t>
      </w:r>
      <w:hyperlink r:id="rId2" w:history="1">
        <w:r w:rsidRPr="0084436B">
          <w:rPr>
            <w:rStyle w:val="Hyperlink"/>
            <w:sz w:val="16"/>
            <w:szCs w:val="16"/>
          </w:rPr>
          <w:t>http://www.et.gr/idocs-nph/search/pdfViewerForm.html?args=5C7QrtC22wEzH9d6xfVpRXdtvSoClrL8E87KtlIG1BVp6k5uE6xNduJInJ48_97uHrMts-zFzeyCiBSQOpYnTy36MacmUFCx2ppFvBej56Mmc8Qdb8ZfRJqZnsIAdk8Lv_e6czmhEembNmZCMxLMtV8guC63PXwReR9dEc4fNELyMzzFSXxpLIv9ZQRXG32r</w:t>
        </w:r>
      </w:hyperlink>
    </w:p>
  </w:footnote>
  <w:footnote w:id="3">
    <w:p w14:paraId="4AEB6EF6" w14:textId="0C58DAFE" w:rsidR="0084436B" w:rsidRDefault="0084436B">
      <w:pPr>
        <w:pStyle w:val="FootnoteText"/>
      </w:pPr>
      <w:r w:rsidRPr="0084436B">
        <w:rPr>
          <w:rStyle w:val="FootnoteReference"/>
          <w:sz w:val="16"/>
          <w:szCs w:val="16"/>
        </w:rPr>
        <w:footnoteRef/>
      </w:r>
      <w:r w:rsidRPr="0084436B">
        <w:rPr>
          <w:sz w:val="16"/>
          <w:szCs w:val="16"/>
        </w:rPr>
        <w:t xml:space="preserve"> </w:t>
      </w:r>
      <w:hyperlink r:id="rId3" w:history="1">
        <w:r w:rsidRPr="0084436B">
          <w:rPr>
            <w:rStyle w:val="Hyperlink"/>
            <w:sz w:val="16"/>
            <w:szCs w:val="16"/>
          </w:rPr>
          <w:t>http://www.et.gr/idocs-nph/search/pdfViewerForm.html?args=5C7QrtC22wGGrezhDLcpZ3dtvSoClrL8bBf5uDmwydd5MXD0LzQTLf7MGgcO23N88knBzLCmTXKaO6fpVZ6Lx3UnKl3nP8NxdnJ5r9cmWyJWelDvWS_18kAEhATUkJb0x1LIdQ163nV9K--td6SIuetkTc9O6ngNqhckGRii7E4-Ilah-yZRoxk3JQ47bLdA</w:t>
        </w:r>
      </w:hyperlink>
    </w:p>
  </w:footnote>
  <w:footnote w:id="4">
    <w:p w14:paraId="41FA7A20" w14:textId="3866F3FC" w:rsidR="00CB3A08" w:rsidRPr="0084436B" w:rsidRDefault="00CB3A08">
      <w:pPr>
        <w:pStyle w:val="FootnoteText"/>
      </w:pPr>
      <w:r w:rsidRPr="0084436B">
        <w:rPr>
          <w:rStyle w:val="FootnoteReference"/>
          <w:sz w:val="16"/>
          <w:szCs w:val="16"/>
        </w:rPr>
        <w:footnoteRef/>
      </w:r>
      <w:r w:rsidRPr="0084436B">
        <w:rPr>
          <w:sz w:val="16"/>
          <w:szCs w:val="16"/>
        </w:rPr>
        <w:t xml:space="preserve"> </w:t>
      </w:r>
      <w:hyperlink r:id="rId4" w:history="1">
        <w:r w:rsidRPr="0084436B">
          <w:rPr>
            <w:rStyle w:val="Hyperlink"/>
            <w:sz w:val="16"/>
            <w:szCs w:val="16"/>
          </w:rPr>
          <w:t>https://eu.rescue.org/press-release/joint-ngo-statement-greek-governments-decision-deem-turkey-safe-country</w:t>
        </w:r>
      </w:hyperlink>
    </w:p>
  </w:footnote>
  <w:footnote w:id="5">
    <w:p w14:paraId="5761A8C2" w14:textId="657CC7F7" w:rsidR="00E32B3B" w:rsidRPr="00D1667A" w:rsidRDefault="00E32B3B">
      <w:pPr>
        <w:pStyle w:val="FootnoteText"/>
        <w:rPr>
          <w:sz w:val="16"/>
          <w:szCs w:val="16"/>
        </w:rPr>
      </w:pPr>
      <w:r w:rsidRPr="00D1667A">
        <w:rPr>
          <w:rStyle w:val="FootnoteReference"/>
          <w:sz w:val="16"/>
          <w:szCs w:val="16"/>
        </w:rPr>
        <w:footnoteRef/>
      </w:r>
      <w:r w:rsidRPr="00D1667A">
        <w:rPr>
          <w:sz w:val="16"/>
          <w:szCs w:val="16"/>
        </w:rPr>
        <w:t xml:space="preserve"> </w:t>
      </w:r>
      <w:hyperlink r:id="rId5" w:history="1">
        <w:r w:rsidRPr="00D1667A">
          <w:rPr>
            <w:rStyle w:val="Hyperlink"/>
            <w:sz w:val="16"/>
            <w:szCs w:val="16"/>
          </w:rPr>
          <w:t>https://rsaegean.org/en/asylum-statistics-for-2020-a-need-for-regular-and-transparent-official-information/</w:t>
        </w:r>
      </w:hyperlink>
    </w:p>
  </w:footnote>
  <w:footnote w:id="6">
    <w:p w14:paraId="0B20A6E2" w14:textId="4B9B3A1F" w:rsidR="00E32B3B" w:rsidRDefault="00872220" w:rsidP="00872220">
      <w:pPr>
        <w:pStyle w:val="FootnoteText"/>
      </w:pPr>
      <w:r w:rsidRPr="00D1667A">
        <w:rPr>
          <w:rStyle w:val="FootnoteReference"/>
          <w:sz w:val="16"/>
          <w:szCs w:val="16"/>
        </w:rPr>
        <w:footnoteRef/>
      </w:r>
      <w:r w:rsidRPr="00D1667A">
        <w:rPr>
          <w:sz w:val="16"/>
          <w:szCs w:val="16"/>
        </w:rPr>
        <w:t xml:space="preserve"> Mini</w:t>
      </w:r>
      <w:r w:rsidR="00E32B3B" w:rsidRPr="00D1667A">
        <w:rPr>
          <w:sz w:val="16"/>
          <w:szCs w:val="16"/>
        </w:rPr>
        <w:t>s</w:t>
      </w:r>
      <w:r w:rsidRPr="00D1667A">
        <w:rPr>
          <w:sz w:val="16"/>
          <w:szCs w:val="16"/>
        </w:rPr>
        <w:t xml:space="preserve">try of Migration and Asylum reply to Parliamentary question, 17 February 2021 (in Greek): </w:t>
      </w:r>
      <w:hyperlink r:id="rId6" w:history="1">
        <w:r w:rsidR="00E32B3B" w:rsidRPr="00D1667A">
          <w:rPr>
            <w:rStyle w:val="Hyperlink"/>
            <w:sz w:val="16"/>
            <w:szCs w:val="16"/>
          </w:rPr>
          <w:t>https://www.hellenicparliament.gr/UserFiles/67715b2c-ec81-4f0c-ad6a-476a34d732bd/11873945.pdf</w:t>
        </w:r>
      </w:hyperlink>
    </w:p>
  </w:footnote>
  <w:footnote w:id="7">
    <w:p w14:paraId="1362D880" w14:textId="77777777" w:rsidR="00872220" w:rsidRPr="00D1667A" w:rsidRDefault="00872220" w:rsidP="00872220">
      <w:pPr>
        <w:pStyle w:val="FootnoteText"/>
        <w:rPr>
          <w:sz w:val="16"/>
          <w:szCs w:val="16"/>
        </w:rPr>
      </w:pPr>
      <w:r w:rsidRPr="00D1667A">
        <w:rPr>
          <w:rStyle w:val="FootnoteReference"/>
          <w:sz w:val="16"/>
          <w:szCs w:val="16"/>
        </w:rPr>
        <w:footnoteRef/>
      </w:r>
      <w:r w:rsidRPr="00D1667A">
        <w:rPr>
          <w:sz w:val="16"/>
          <w:szCs w:val="16"/>
        </w:rPr>
        <w:t xml:space="preserve"> It can be noted, however, that the Greek Ombudsman unsuccessfully requested an expanded mandate in 2020 to give him security clearance during monitoring missions. His position on the issue is that a functional IBMM should be empowered with a legal safeguard providing an adequate security clearance. This is considered necessary for the mechanism to be able to conduct effective monitoring, especially when police, coast guard and other national security officials may invoke “national security reasons” for denying access to sites or evidence.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F00"/>
    <w:multiLevelType w:val="hybridMultilevel"/>
    <w:tmpl w:val="E6A87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3E2006A"/>
    <w:multiLevelType w:val="hybridMultilevel"/>
    <w:tmpl w:val="19B6D83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7386A7F"/>
    <w:multiLevelType w:val="hybridMultilevel"/>
    <w:tmpl w:val="C2DE47A8"/>
    <w:lvl w:ilvl="0" w:tplc="FFFFFFFF">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6B6ECE"/>
    <w:multiLevelType w:val="hybridMultilevel"/>
    <w:tmpl w:val="56BAA784"/>
    <w:lvl w:ilvl="0" w:tplc="E076B6DC">
      <w:start w:val="1"/>
      <w:numFmt w:val="decimal"/>
      <w:lvlText w:val="%1."/>
      <w:lvlJc w:val="left"/>
      <w:pPr>
        <w:ind w:left="720" w:hanging="360"/>
      </w:pPr>
    </w:lvl>
    <w:lvl w:ilvl="1" w:tplc="B8BA2F80">
      <w:start w:val="1"/>
      <w:numFmt w:val="lowerLetter"/>
      <w:lvlText w:val="%2."/>
      <w:lvlJc w:val="left"/>
      <w:pPr>
        <w:ind w:left="1440" w:hanging="360"/>
      </w:pPr>
    </w:lvl>
    <w:lvl w:ilvl="2" w:tplc="94FE5E00">
      <w:start w:val="1"/>
      <w:numFmt w:val="lowerRoman"/>
      <w:lvlText w:val="%3."/>
      <w:lvlJc w:val="right"/>
      <w:pPr>
        <w:ind w:left="2160" w:hanging="180"/>
      </w:pPr>
    </w:lvl>
    <w:lvl w:ilvl="3" w:tplc="ABAC602A">
      <w:start w:val="1"/>
      <w:numFmt w:val="decimal"/>
      <w:lvlText w:val="%4."/>
      <w:lvlJc w:val="left"/>
      <w:pPr>
        <w:ind w:left="2880" w:hanging="360"/>
      </w:pPr>
    </w:lvl>
    <w:lvl w:ilvl="4" w:tplc="B2829E7C">
      <w:start w:val="1"/>
      <w:numFmt w:val="lowerLetter"/>
      <w:lvlText w:val="%5."/>
      <w:lvlJc w:val="left"/>
      <w:pPr>
        <w:ind w:left="3600" w:hanging="360"/>
      </w:pPr>
    </w:lvl>
    <w:lvl w:ilvl="5" w:tplc="8C566AC6">
      <w:start w:val="1"/>
      <w:numFmt w:val="lowerRoman"/>
      <w:lvlText w:val="%6."/>
      <w:lvlJc w:val="right"/>
      <w:pPr>
        <w:ind w:left="4320" w:hanging="180"/>
      </w:pPr>
    </w:lvl>
    <w:lvl w:ilvl="6" w:tplc="A95EFD62">
      <w:start w:val="1"/>
      <w:numFmt w:val="decimal"/>
      <w:lvlText w:val="%7."/>
      <w:lvlJc w:val="left"/>
      <w:pPr>
        <w:ind w:left="5040" w:hanging="360"/>
      </w:pPr>
    </w:lvl>
    <w:lvl w:ilvl="7" w:tplc="2A208576">
      <w:start w:val="1"/>
      <w:numFmt w:val="lowerLetter"/>
      <w:lvlText w:val="%8."/>
      <w:lvlJc w:val="left"/>
      <w:pPr>
        <w:ind w:left="5760" w:hanging="360"/>
      </w:pPr>
    </w:lvl>
    <w:lvl w:ilvl="8" w:tplc="725C8E52">
      <w:start w:val="1"/>
      <w:numFmt w:val="lowerRoman"/>
      <w:lvlText w:val="%9."/>
      <w:lvlJc w:val="right"/>
      <w:pPr>
        <w:ind w:left="6480" w:hanging="180"/>
      </w:pPr>
    </w:lvl>
  </w:abstractNum>
  <w:abstractNum w:abstractNumId="4" w15:restartNumberingAfterBreak="0">
    <w:nsid w:val="1C897233"/>
    <w:multiLevelType w:val="hybridMultilevel"/>
    <w:tmpl w:val="CE3EA3A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8CE11F1"/>
    <w:multiLevelType w:val="hybridMultilevel"/>
    <w:tmpl w:val="452AA8A6"/>
    <w:lvl w:ilvl="0" w:tplc="1BB0AB0A">
      <w:start w:val="2020"/>
      <w:numFmt w:val="bullet"/>
      <w:lvlText w:val="-"/>
      <w:lvlJc w:val="left"/>
      <w:pPr>
        <w:ind w:left="1440" w:hanging="360"/>
      </w:pPr>
      <w:rPr>
        <w:rFonts w:ascii="Calibri" w:eastAsiaTheme="minorHAnsi" w:hAnsi="Calibri" w:cs="Calibri"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2C1E69"/>
    <w:multiLevelType w:val="hybridMultilevel"/>
    <w:tmpl w:val="2A5A2A12"/>
    <w:lvl w:ilvl="0" w:tplc="FFFFFFFF">
      <w:start w:val="1"/>
      <w:numFmt w:val="bullet"/>
      <w:lvlText w:val="-"/>
      <w:lvlJc w:val="left"/>
      <w:pPr>
        <w:ind w:left="1800" w:hanging="360"/>
      </w:pPr>
      <w:rPr>
        <w:rFonts w:ascii="Calibri" w:hAnsi="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CD14D36"/>
    <w:multiLevelType w:val="hybridMultilevel"/>
    <w:tmpl w:val="6C38188A"/>
    <w:lvl w:ilvl="0" w:tplc="2A485AB0">
      <w:start w:val="1"/>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036156E"/>
    <w:multiLevelType w:val="hybridMultilevel"/>
    <w:tmpl w:val="9FE6B5F8"/>
    <w:lvl w:ilvl="0" w:tplc="1BB0AB0A">
      <w:start w:val="2020"/>
      <w:numFmt w:val="bullet"/>
      <w:lvlText w:val="-"/>
      <w:lvlJc w:val="left"/>
      <w:pPr>
        <w:ind w:left="1440" w:hanging="360"/>
      </w:pPr>
      <w:rPr>
        <w:rFonts w:ascii="Calibri" w:eastAsiaTheme="minorHAns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F0E0E"/>
    <w:multiLevelType w:val="hybridMultilevel"/>
    <w:tmpl w:val="6610D738"/>
    <w:lvl w:ilvl="0" w:tplc="FFFFFFFF">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DFEEECA">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25144A"/>
    <w:multiLevelType w:val="hybridMultilevel"/>
    <w:tmpl w:val="736C7526"/>
    <w:lvl w:ilvl="0" w:tplc="8DE29A8C">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7AD611D"/>
    <w:multiLevelType w:val="hybridMultilevel"/>
    <w:tmpl w:val="6F207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BA771CC"/>
    <w:multiLevelType w:val="hybridMultilevel"/>
    <w:tmpl w:val="C3760832"/>
    <w:lvl w:ilvl="0" w:tplc="2A485AB0">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3202BF"/>
    <w:multiLevelType w:val="hybridMultilevel"/>
    <w:tmpl w:val="19B6D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E36632"/>
    <w:multiLevelType w:val="hybridMultilevel"/>
    <w:tmpl w:val="F0881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A926B2"/>
    <w:multiLevelType w:val="hybridMultilevel"/>
    <w:tmpl w:val="0504C722"/>
    <w:lvl w:ilvl="0" w:tplc="F70409D2">
      <w:numFmt w:val="bullet"/>
      <w:lvlText w:val="-"/>
      <w:lvlJc w:val="left"/>
      <w:pPr>
        <w:ind w:left="1080" w:hanging="360"/>
      </w:pPr>
      <w:rPr>
        <w:rFonts w:ascii="Calibri" w:eastAsia="Times New Roman"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5A391B"/>
    <w:multiLevelType w:val="hybridMultilevel"/>
    <w:tmpl w:val="33968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129F7"/>
    <w:multiLevelType w:val="hybridMultilevel"/>
    <w:tmpl w:val="56BAA7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B460643"/>
    <w:multiLevelType w:val="hybridMultilevel"/>
    <w:tmpl w:val="B8726814"/>
    <w:lvl w:ilvl="0" w:tplc="04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7BA953FD"/>
    <w:multiLevelType w:val="hybridMultilevel"/>
    <w:tmpl w:val="C7B4DC5E"/>
    <w:lvl w:ilvl="0" w:tplc="B488424C">
      <w:start w:val="1"/>
      <w:numFmt w:val="bullet"/>
      <w:lvlText w:val="-"/>
      <w:lvlJc w:val="left"/>
      <w:pPr>
        <w:ind w:left="720" w:hanging="360"/>
      </w:pPr>
      <w:rPr>
        <w:rFonts w:ascii="Calibri" w:hAnsi="Calibri" w:hint="default"/>
      </w:rPr>
    </w:lvl>
    <w:lvl w:ilvl="1" w:tplc="B16A9B64">
      <w:start w:val="1"/>
      <w:numFmt w:val="bullet"/>
      <w:lvlText w:val="o"/>
      <w:lvlJc w:val="left"/>
      <w:pPr>
        <w:ind w:left="1440" w:hanging="360"/>
      </w:pPr>
      <w:rPr>
        <w:rFonts w:ascii="Courier New" w:hAnsi="Courier New" w:hint="default"/>
      </w:rPr>
    </w:lvl>
    <w:lvl w:ilvl="2" w:tplc="BE52E51C">
      <w:start w:val="1"/>
      <w:numFmt w:val="bullet"/>
      <w:lvlText w:val=""/>
      <w:lvlJc w:val="left"/>
      <w:pPr>
        <w:ind w:left="2160" w:hanging="360"/>
      </w:pPr>
      <w:rPr>
        <w:rFonts w:ascii="Wingdings" w:hAnsi="Wingdings" w:hint="default"/>
      </w:rPr>
    </w:lvl>
    <w:lvl w:ilvl="3" w:tplc="079E7DD0">
      <w:start w:val="1"/>
      <w:numFmt w:val="bullet"/>
      <w:lvlText w:val=""/>
      <w:lvlJc w:val="left"/>
      <w:pPr>
        <w:ind w:left="2880" w:hanging="360"/>
      </w:pPr>
      <w:rPr>
        <w:rFonts w:ascii="Symbol" w:hAnsi="Symbol" w:hint="default"/>
      </w:rPr>
    </w:lvl>
    <w:lvl w:ilvl="4" w:tplc="38D4ADEE">
      <w:start w:val="1"/>
      <w:numFmt w:val="bullet"/>
      <w:lvlText w:val="o"/>
      <w:lvlJc w:val="left"/>
      <w:pPr>
        <w:ind w:left="3600" w:hanging="360"/>
      </w:pPr>
      <w:rPr>
        <w:rFonts w:ascii="Courier New" w:hAnsi="Courier New" w:hint="default"/>
      </w:rPr>
    </w:lvl>
    <w:lvl w:ilvl="5" w:tplc="014AE5CC">
      <w:start w:val="1"/>
      <w:numFmt w:val="bullet"/>
      <w:lvlText w:val=""/>
      <w:lvlJc w:val="left"/>
      <w:pPr>
        <w:ind w:left="4320" w:hanging="360"/>
      </w:pPr>
      <w:rPr>
        <w:rFonts w:ascii="Wingdings" w:hAnsi="Wingdings" w:hint="default"/>
      </w:rPr>
    </w:lvl>
    <w:lvl w:ilvl="6" w:tplc="5B5AF656">
      <w:start w:val="1"/>
      <w:numFmt w:val="bullet"/>
      <w:lvlText w:val=""/>
      <w:lvlJc w:val="left"/>
      <w:pPr>
        <w:ind w:left="5040" w:hanging="360"/>
      </w:pPr>
      <w:rPr>
        <w:rFonts w:ascii="Symbol" w:hAnsi="Symbol" w:hint="default"/>
      </w:rPr>
    </w:lvl>
    <w:lvl w:ilvl="7" w:tplc="F5C06C24">
      <w:start w:val="1"/>
      <w:numFmt w:val="bullet"/>
      <w:lvlText w:val="o"/>
      <w:lvlJc w:val="left"/>
      <w:pPr>
        <w:ind w:left="5760" w:hanging="360"/>
      </w:pPr>
      <w:rPr>
        <w:rFonts w:ascii="Courier New" w:hAnsi="Courier New" w:hint="default"/>
      </w:rPr>
    </w:lvl>
    <w:lvl w:ilvl="8" w:tplc="2DEC0858">
      <w:start w:val="1"/>
      <w:numFmt w:val="bullet"/>
      <w:lvlText w:val=""/>
      <w:lvlJc w:val="left"/>
      <w:pPr>
        <w:ind w:left="6480" w:hanging="360"/>
      </w:pPr>
      <w:rPr>
        <w:rFonts w:ascii="Wingdings" w:hAnsi="Wingdings" w:hint="default"/>
      </w:rPr>
    </w:lvl>
  </w:abstractNum>
  <w:abstractNum w:abstractNumId="20" w15:restartNumberingAfterBreak="0">
    <w:nsid w:val="7C1D3786"/>
    <w:multiLevelType w:val="hybridMultilevel"/>
    <w:tmpl w:val="A18859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9"/>
  </w:num>
  <w:num w:numId="3">
    <w:abstractNumId w:val="9"/>
  </w:num>
  <w:num w:numId="4">
    <w:abstractNumId w:val="10"/>
  </w:num>
  <w:num w:numId="5">
    <w:abstractNumId w:val="7"/>
  </w:num>
  <w:num w:numId="6">
    <w:abstractNumId w:val="6"/>
  </w:num>
  <w:num w:numId="7">
    <w:abstractNumId w:val="2"/>
  </w:num>
  <w:num w:numId="8">
    <w:abstractNumId w:val="18"/>
  </w:num>
  <w:num w:numId="9">
    <w:abstractNumId w:val="14"/>
  </w:num>
  <w:num w:numId="10">
    <w:abstractNumId w:val="4"/>
  </w:num>
  <w:num w:numId="11">
    <w:abstractNumId w:val="12"/>
  </w:num>
  <w:num w:numId="12">
    <w:abstractNumId w:val="13"/>
  </w:num>
  <w:num w:numId="13">
    <w:abstractNumId w:val="20"/>
  </w:num>
  <w:num w:numId="14">
    <w:abstractNumId w:val="15"/>
  </w:num>
  <w:num w:numId="15">
    <w:abstractNumId w:val="5"/>
  </w:num>
  <w:num w:numId="16">
    <w:abstractNumId w:val="17"/>
  </w:num>
  <w:num w:numId="17">
    <w:abstractNumId w:val="0"/>
  </w:num>
  <w:num w:numId="18">
    <w:abstractNumId w:val="0"/>
  </w:num>
  <w:num w:numId="19">
    <w:abstractNumId w:val="8"/>
  </w:num>
  <w:num w:numId="20">
    <w:abstractNumId w:val="16"/>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16B21"/>
    <w:rsid w:val="0003142A"/>
    <w:rsid w:val="00040C76"/>
    <w:rsid w:val="00051614"/>
    <w:rsid w:val="0005630E"/>
    <w:rsid w:val="00064B50"/>
    <w:rsid w:val="00072E4A"/>
    <w:rsid w:val="00075DDA"/>
    <w:rsid w:val="00083573"/>
    <w:rsid w:val="00096E23"/>
    <w:rsid w:val="000978A4"/>
    <w:rsid w:val="000A1F48"/>
    <w:rsid w:val="000A781F"/>
    <w:rsid w:val="000B19FD"/>
    <w:rsid w:val="000C0A5E"/>
    <w:rsid w:val="000C5868"/>
    <w:rsid w:val="000E41F2"/>
    <w:rsid w:val="000F609F"/>
    <w:rsid w:val="00110D30"/>
    <w:rsid w:val="001133DB"/>
    <w:rsid w:val="00114A6C"/>
    <w:rsid w:val="0011567C"/>
    <w:rsid w:val="001260B2"/>
    <w:rsid w:val="00145D28"/>
    <w:rsid w:val="00152CC3"/>
    <w:rsid w:val="00153987"/>
    <w:rsid w:val="001550B2"/>
    <w:rsid w:val="00156DA3"/>
    <w:rsid w:val="0016163D"/>
    <w:rsid w:val="001724AB"/>
    <w:rsid w:val="00174A08"/>
    <w:rsid w:val="00176AF7"/>
    <w:rsid w:val="00182046"/>
    <w:rsid w:val="0018689F"/>
    <w:rsid w:val="001A5E4B"/>
    <w:rsid w:val="001C7F67"/>
    <w:rsid w:val="001D3C9D"/>
    <w:rsid w:val="001F07AF"/>
    <w:rsid w:val="00207A61"/>
    <w:rsid w:val="00207BF9"/>
    <w:rsid w:val="00221A88"/>
    <w:rsid w:val="002371CA"/>
    <w:rsid w:val="00242F1B"/>
    <w:rsid w:val="00253D26"/>
    <w:rsid w:val="0027357A"/>
    <w:rsid w:val="00277972"/>
    <w:rsid w:val="002946C1"/>
    <w:rsid w:val="002B0458"/>
    <w:rsid w:val="002C53F4"/>
    <w:rsid w:val="002C5BD7"/>
    <w:rsid w:val="002E2863"/>
    <w:rsid w:val="002E5F6D"/>
    <w:rsid w:val="002F2C89"/>
    <w:rsid w:val="0031403E"/>
    <w:rsid w:val="003151A1"/>
    <w:rsid w:val="003200A7"/>
    <w:rsid w:val="00335D78"/>
    <w:rsid w:val="0034175D"/>
    <w:rsid w:val="00346EA2"/>
    <w:rsid w:val="003579AA"/>
    <w:rsid w:val="00376148"/>
    <w:rsid w:val="00381537"/>
    <w:rsid w:val="00384F37"/>
    <w:rsid w:val="003855FB"/>
    <w:rsid w:val="003954AA"/>
    <w:rsid w:val="003A3C95"/>
    <w:rsid w:val="003B7E1E"/>
    <w:rsid w:val="003C32E5"/>
    <w:rsid w:val="003F4CBB"/>
    <w:rsid w:val="004054A2"/>
    <w:rsid w:val="004129D6"/>
    <w:rsid w:val="0041469B"/>
    <w:rsid w:val="00426C9D"/>
    <w:rsid w:val="0043188C"/>
    <w:rsid w:val="004642A3"/>
    <w:rsid w:val="0047224B"/>
    <w:rsid w:val="0048170D"/>
    <w:rsid w:val="00491738"/>
    <w:rsid w:val="004A630F"/>
    <w:rsid w:val="004A72C6"/>
    <w:rsid w:val="004C62F1"/>
    <w:rsid w:val="004D2C98"/>
    <w:rsid w:val="004F51C6"/>
    <w:rsid w:val="00502643"/>
    <w:rsid w:val="00537700"/>
    <w:rsid w:val="00541BE6"/>
    <w:rsid w:val="00544D4B"/>
    <w:rsid w:val="005574DB"/>
    <w:rsid w:val="00561597"/>
    <w:rsid w:val="00571BDA"/>
    <w:rsid w:val="00573D33"/>
    <w:rsid w:val="0057704E"/>
    <w:rsid w:val="005A0B60"/>
    <w:rsid w:val="005B36B5"/>
    <w:rsid w:val="005B7843"/>
    <w:rsid w:val="005C21D5"/>
    <w:rsid w:val="005C3EAA"/>
    <w:rsid w:val="005D2371"/>
    <w:rsid w:val="005E480F"/>
    <w:rsid w:val="005F038E"/>
    <w:rsid w:val="005F5A83"/>
    <w:rsid w:val="005F75A4"/>
    <w:rsid w:val="006006AA"/>
    <w:rsid w:val="0060074C"/>
    <w:rsid w:val="006045E6"/>
    <w:rsid w:val="00606B64"/>
    <w:rsid w:val="00612DB5"/>
    <w:rsid w:val="0062544B"/>
    <w:rsid w:val="006261D4"/>
    <w:rsid w:val="00635188"/>
    <w:rsid w:val="00640813"/>
    <w:rsid w:val="00653949"/>
    <w:rsid w:val="00660505"/>
    <w:rsid w:val="00660BEF"/>
    <w:rsid w:val="0066781E"/>
    <w:rsid w:val="0066C28F"/>
    <w:rsid w:val="006705D0"/>
    <w:rsid w:val="00670764"/>
    <w:rsid w:val="00683D83"/>
    <w:rsid w:val="006A10D8"/>
    <w:rsid w:val="006A5F16"/>
    <w:rsid w:val="006B4A9E"/>
    <w:rsid w:val="006B5D40"/>
    <w:rsid w:val="006D031D"/>
    <w:rsid w:val="006D0F53"/>
    <w:rsid w:val="006D59EA"/>
    <w:rsid w:val="006D6C54"/>
    <w:rsid w:val="006E4A48"/>
    <w:rsid w:val="006E66D6"/>
    <w:rsid w:val="007033E7"/>
    <w:rsid w:val="00703513"/>
    <w:rsid w:val="00705A10"/>
    <w:rsid w:val="007060F3"/>
    <w:rsid w:val="0070718E"/>
    <w:rsid w:val="00707E77"/>
    <w:rsid w:val="007100A8"/>
    <w:rsid w:val="00717E3D"/>
    <w:rsid w:val="00735BD1"/>
    <w:rsid w:val="007508FF"/>
    <w:rsid w:val="00775144"/>
    <w:rsid w:val="00785DB1"/>
    <w:rsid w:val="00786D04"/>
    <w:rsid w:val="00793248"/>
    <w:rsid w:val="007A5977"/>
    <w:rsid w:val="007A6FCF"/>
    <w:rsid w:val="007C0B94"/>
    <w:rsid w:val="007E1583"/>
    <w:rsid w:val="00802354"/>
    <w:rsid w:val="008060B9"/>
    <w:rsid w:val="00817A17"/>
    <w:rsid w:val="008268EB"/>
    <w:rsid w:val="00830278"/>
    <w:rsid w:val="0083068A"/>
    <w:rsid w:val="00841090"/>
    <w:rsid w:val="00843ACD"/>
    <w:rsid w:val="0084436B"/>
    <w:rsid w:val="0084726E"/>
    <w:rsid w:val="00856186"/>
    <w:rsid w:val="0086295A"/>
    <w:rsid w:val="008676EF"/>
    <w:rsid w:val="00872220"/>
    <w:rsid w:val="0088095F"/>
    <w:rsid w:val="00891470"/>
    <w:rsid w:val="00895C45"/>
    <w:rsid w:val="008A3636"/>
    <w:rsid w:val="008B6FC2"/>
    <w:rsid w:val="008B78A5"/>
    <w:rsid w:val="008C4B76"/>
    <w:rsid w:val="008E0672"/>
    <w:rsid w:val="00901A28"/>
    <w:rsid w:val="00916C25"/>
    <w:rsid w:val="00916C36"/>
    <w:rsid w:val="009270CC"/>
    <w:rsid w:val="009303A7"/>
    <w:rsid w:val="00931A79"/>
    <w:rsid w:val="009333C1"/>
    <w:rsid w:val="00941DA3"/>
    <w:rsid w:val="0095324E"/>
    <w:rsid w:val="00965A80"/>
    <w:rsid w:val="00970C7D"/>
    <w:rsid w:val="00974979"/>
    <w:rsid w:val="009766F9"/>
    <w:rsid w:val="00982E03"/>
    <w:rsid w:val="00985AAD"/>
    <w:rsid w:val="00987F2E"/>
    <w:rsid w:val="00993530"/>
    <w:rsid w:val="009975B0"/>
    <w:rsid w:val="009A0275"/>
    <w:rsid w:val="009A3EC5"/>
    <w:rsid w:val="009B2143"/>
    <w:rsid w:val="009C29A9"/>
    <w:rsid w:val="009E28B7"/>
    <w:rsid w:val="009E4658"/>
    <w:rsid w:val="009F21D7"/>
    <w:rsid w:val="009F30C2"/>
    <w:rsid w:val="009F5D90"/>
    <w:rsid w:val="009F633E"/>
    <w:rsid w:val="00A06F28"/>
    <w:rsid w:val="00A20ACD"/>
    <w:rsid w:val="00A246F1"/>
    <w:rsid w:val="00A473DC"/>
    <w:rsid w:val="00A5229D"/>
    <w:rsid w:val="00A5579C"/>
    <w:rsid w:val="00A71652"/>
    <w:rsid w:val="00A76E2A"/>
    <w:rsid w:val="00A81BAA"/>
    <w:rsid w:val="00A96DD2"/>
    <w:rsid w:val="00AA0655"/>
    <w:rsid w:val="00AC4013"/>
    <w:rsid w:val="00AD4F92"/>
    <w:rsid w:val="00AE7A90"/>
    <w:rsid w:val="00AF0BB2"/>
    <w:rsid w:val="00AF1B79"/>
    <w:rsid w:val="00AF3663"/>
    <w:rsid w:val="00B00ADF"/>
    <w:rsid w:val="00B11D29"/>
    <w:rsid w:val="00B15CD3"/>
    <w:rsid w:val="00B33099"/>
    <w:rsid w:val="00B44676"/>
    <w:rsid w:val="00B451CE"/>
    <w:rsid w:val="00B6207E"/>
    <w:rsid w:val="00B809A0"/>
    <w:rsid w:val="00B83CF7"/>
    <w:rsid w:val="00B853C7"/>
    <w:rsid w:val="00B92294"/>
    <w:rsid w:val="00BD10EE"/>
    <w:rsid w:val="00BD6314"/>
    <w:rsid w:val="00BE1CC0"/>
    <w:rsid w:val="00BE3711"/>
    <w:rsid w:val="00BE6C92"/>
    <w:rsid w:val="00C04FB4"/>
    <w:rsid w:val="00C06477"/>
    <w:rsid w:val="00C07897"/>
    <w:rsid w:val="00C12CDB"/>
    <w:rsid w:val="00C50468"/>
    <w:rsid w:val="00C614D1"/>
    <w:rsid w:val="00C6301E"/>
    <w:rsid w:val="00C652C0"/>
    <w:rsid w:val="00C663FD"/>
    <w:rsid w:val="00C72B53"/>
    <w:rsid w:val="00C80DB6"/>
    <w:rsid w:val="00C92140"/>
    <w:rsid w:val="00C92737"/>
    <w:rsid w:val="00C961B2"/>
    <w:rsid w:val="00CB3A08"/>
    <w:rsid w:val="00CD0199"/>
    <w:rsid w:val="00CE0949"/>
    <w:rsid w:val="00CE75E6"/>
    <w:rsid w:val="00D04D21"/>
    <w:rsid w:val="00D0534F"/>
    <w:rsid w:val="00D05AF7"/>
    <w:rsid w:val="00D1010D"/>
    <w:rsid w:val="00D13168"/>
    <w:rsid w:val="00D14190"/>
    <w:rsid w:val="00D151FE"/>
    <w:rsid w:val="00D1667A"/>
    <w:rsid w:val="00D179A2"/>
    <w:rsid w:val="00D20E42"/>
    <w:rsid w:val="00D31DD8"/>
    <w:rsid w:val="00D423B7"/>
    <w:rsid w:val="00D43D31"/>
    <w:rsid w:val="00D75029"/>
    <w:rsid w:val="00D77A6E"/>
    <w:rsid w:val="00D86CF4"/>
    <w:rsid w:val="00D914C7"/>
    <w:rsid w:val="00DA3F32"/>
    <w:rsid w:val="00DB6A27"/>
    <w:rsid w:val="00DB7C8F"/>
    <w:rsid w:val="00DD0889"/>
    <w:rsid w:val="00DD0A61"/>
    <w:rsid w:val="00DD1B09"/>
    <w:rsid w:val="00DE2A4A"/>
    <w:rsid w:val="00DE44D1"/>
    <w:rsid w:val="00DE4B2D"/>
    <w:rsid w:val="00DE6AC1"/>
    <w:rsid w:val="00DF7821"/>
    <w:rsid w:val="00E029D5"/>
    <w:rsid w:val="00E10171"/>
    <w:rsid w:val="00E26F85"/>
    <w:rsid w:val="00E27026"/>
    <w:rsid w:val="00E312EC"/>
    <w:rsid w:val="00E31A28"/>
    <w:rsid w:val="00E32B3B"/>
    <w:rsid w:val="00E33E60"/>
    <w:rsid w:val="00E4300C"/>
    <w:rsid w:val="00E4497A"/>
    <w:rsid w:val="00E47BCD"/>
    <w:rsid w:val="00E5021F"/>
    <w:rsid w:val="00E54912"/>
    <w:rsid w:val="00E55C23"/>
    <w:rsid w:val="00E764A1"/>
    <w:rsid w:val="00E813F1"/>
    <w:rsid w:val="00E8210F"/>
    <w:rsid w:val="00E87ECA"/>
    <w:rsid w:val="00EB05D2"/>
    <w:rsid w:val="00ED0FF7"/>
    <w:rsid w:val="00ED2620"/>
    <w:rsid w:val="00EE6DA0"/>
    <w:rsid w:val="00EE6E42"/>
    <w:rsid w:val="00EF2651"/>
    <w:rsid w:val="00F0337D"/>
    <w:rsid w:val="00F172A3"/>
    <w:rsid w:val="00F22453"/>
    <w:rsid w:val="00F27AAC"/>
    <w:rsid w:val="00F32409"/>
    <w:rsid w:val="00F33D2A"/>
    <w:rsid w:val="00F46577"/>
    <w:rsid w:val="00F50621"/>
    <w:rsid w:val="00F578D2"/>
    <w:rsid w:val="00F6016C"/>
    <w:rsid w:val="00F668F3"/>
    <w:rsid w:val="00F67C15"/>
    <w:rsid w:val="00F71AD1"/>
    <w:rsid w:val="00F752DC"/>
    <w:rsid w:val="00F77C20"/>
    <w:rsid w:val="00FB07FA"/>
    <w:rsid w:val="00FC2179"/>
    <w:rsid w:val="00FC5C20"/>
    <w:rsid w:val="00FD1D29"/>
    <w:rsid w:val="00FE45E1"/>
    <w:rsid w:val="00FE4604"/>
    <w:rsid w:val="00FF0A62"/>
    <w:rsid w:val="00FF36BC"/>
    <w:rsid w:val="00FF4B3C"/>
    <w:rsid w:val="1DCD4496"/>
    <w:rsid w:val="1FA418A6"/>
    <w:rsid w:val="21420548"/>
    <w:rsid w:val="24861EAB"/>
    <w:rsid w:val="314C0B62"/>
    <w:rsid w:val="35BB2B83"/>
    <w:rsid w:val="383933AC"/>
    <w:rsid w:val="3BF9598A"/>
    <w:rsid w:val="3C6D81E3"/>
    <w:rsid w:val="3D6E9101"/>
    <w:rsid w:val="42137517"/>
    <w:rsid w:val="44B453F9"/>
    <w:rsid w:val="4A31BF10"/>
    <w:rsid w:val="4D4A15B2"/>
    <w:rsid w:val="703CA33B"/>
    <w:rsid w:val="74CC5028"/>
    <w:rsid w:val="7BAA2801"/>
    <w:rsid w:val="7D769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B3C"/>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D43D31"/>
    <w:rPr>
      <w:color w:val="0563C1" w:themeColor="hyperlink"/>
      <w:u w:val="single"/>
    </w:rPr>
  </w:style>
  <w:style w:type="character" w:styleId="FollowedHyperlink">
    <w:name w:val="FollowedHyperlink"/>
    <w:basedOn w:val="DefaultParagraphFont"/>
    <w:uiPriority w:val="99"/>
    <w:semiHidden/>
    <w:unhideWhenUsed/>
    <w:rsid w:val="00D43D3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43D31"/>
    <w:rPr>
      <w:b/>
      <w:bCs/>
    </w:rPr>
  </w:style>
  <w:style w:type="character" w:customStyle="1" w:styleId="CommentSubjectChar">
    <w:name w:val="Comment Subject Char"/>
    <w:basedOn w:val="CommentTextChar"/>
    <w:link w:val="CommentSubject"/>
    <w:uiPriority w:val="99"/>
    <w:semiHidden/>
    <w:rsid w:val="00D43D31"/>
    <w:rPr>
      <w:b/>
      <w:bCs/>
      <w:sz w:val="20"/>
      <w:szCs w:val="20"/>
    </w:rPr>
  </w:style>
  <w:style w:type="paragraph" w:styleId="Revision">
    <w:name w:val="Revision"/>
    <w:hidden/>
    <w:uiPriority w:val="99"/>
    <w:semiHidden/>
    <w:rsid w:val="00891470"/>
  </w:style>
  <w:style w:type="character" w:styleId="UnresolvedMention">
    <w:name w:val="Unresolved Mention"/>
    <w:basedOn w:val="DefaultParagraphFont"/>
    <w:uiPriority w:val="99"/>
    <w:rsid w:val="00E87ECA"/>
    <w:rPr>
      <w:color w:val="605E5C"/>
      <w:shd w:val="clear" w:color="auto" w:fill="E1DFDD"/>
    </w:rPr>
  </w:style>
  <w:style w:type="character" w:customStyle="1" w:styleId="normaltextrun">
    <w:name w:val="normaltextrun"/>
    <w:basedOn w:val="DefaultParagraphFont"/>
    <w:rsid w:val="007C0B94"/>
  </w:style>
  <w:style w:type="character" w:customStyle="1" w:styleId="eop">
    <w:name w:val="eop"/>
    <w:basedOn w:val="DefaultParagraphFont"/>
    <w:rsid w:val="007C0B94"/>
  </w:style>
  <w:style w:type="paragraph" w:styleId="EndnoteText">
    <w:name w:val="endnote text"/>
    <w:basedOn w:val="Normal"/>
    <w:link w:val="EndnoteTextChar"/>
    <w:uiPriority w:val="99"/>
    <w:semiHidden/>
    <w:unhideWhenUsed/>
    <w:rsid w:val="00A5579C"/>
    <w:rPr>
      <w:sz w:val="20"/>
      <w:szCs w:val="20"/>
    </w:rPr>
  </w:style>
  <w:style w:type="character" w:customStyle="1" w:styleId="EndnoteTextChar">
    <w:name w:val="Endnote Text Char"/>
    <w:basedOn w:val="DefaultParagraphFont"/>
    <w:link w:val="EndnoteText"/>
    <w:uiPriority w:val="99"/>
    <w:semiHidden/>
    <w:rsid w:val="00A5579C"/>
    <w:rPr>
      <w:sz w:val="20"/>
      <w:szCs w:val="20"/>
    </w:rPr>
  </w:style>
  <w:style w:type="character" w:styleId="EndnoteReference">
    <w:name w:val="endnote reference"/>
    <w:basedOn w:val="DefaultParagraphFont"/>
    <w:uiPriority w:val="99"/>
    <w:semiHidden/>
    <w:unhideWhenUsed/>
    <w:rsid w:val="00A5579C"/>
    <w:rPr>
      <w:vertAlign w:val="superscript"/>
    </w:rPr>
  </w:style>
  <w:style w:type="paragraph" w:styleId="FootnoteText">
    <w:name w:val="footnote text"/>
    <w:basedOn w:val="Normal"/>
    <w:link w:val="FootnoteTextChar"/>
    <w:uiPriority w:val="99"/>
    <w:semiHidden/>
    <w:unhideWhenUsed/>
    <w:rsid w:val="00A5579C"/>
    <w:rPr>
      <w:sz w:val="20"/>
      <w:szCs w:val="20"/>
    </w:rPr>
  </w:style>
  <w:style w:type="character" w:customStyle="1" w:styleId="FootnoteTextChar">
    <w:name w:val="Footnote Text Char"/>
    <w:basedOn w:val="DefaultParagraphFont"/>
    <w:link w:val="FootnoteText"/>
    <w:uiPriority w:val="99"/>
    <w:semiHidden/>
    <w:rsid w:val="00A5579C"/>
    <w:rPr>
      <w:sz w:val="20"/>
      <w:szCs w:val="20"/>
    </w:rPr>
  </w:style>
  <w:style w:type="character" w:styleId="FootnoteReference">
    <w:name w:val="footnote reference"/>
    <w:basedOn w:val="DefaultParagraphFont"/>
    <w:uiPriority w:val="99"/>
    <w:semiHidden/>
    <w:unhideWhenUsed/>
    <w:rsid w:val="00A5579C"/>
    <w:rPr>
      <w:vertAlign w:val="superscript"/>
    </w:rPr>
  </w:style>
  <w:style w:type="paragraph" w:customStyle="1" w:styleId="xmsonormal">
    <w:name w:val="x_msonormal"/>
    <w:basedOn w:val="Normal"/>
    <w:rsid w:val="000F609F"/>
    <w:rPr>
      <w:rFonts w:ascii="Calibri" w:hAnsi="Calibri" w:cs="Calibri"/>
      <w:sz w:val="22"/>
      <w:szCs w:val="22"/>
    </w:rPr>
  </w:style>
  <w:style w:type="paragraph" w:styleId="Header">
    <w:name w:val="header"/>
    <w:basedOn w:val="Normal"/>
    <w:link w:val="HeaderChar"/>
    <w:uiPriority w:val="99"/>
    <w:unhideWhenUsed/>
    <w:rsid w:val="0048170D"/>
    <w:pPr>
      <w:tabs>
        <w:tab w:val="center" w:pos="4680"/>
        <w:tab w:val="right" w:pos="9360"/>
      </w:tabs>
    </w:pPr>
  </w:style>
  <w:style w:type="character" w:customStyle="1" w:styleId="HeaderChar">
    <w:name w:val="Header Char"/>
    <w:basedOn w:val="DefaultParagraphFont"/>
    <w:link w:val="Header"/>
    <w:uiPriority w:val="99"/>
    <w:rsid w:val="0048170D"/>
  </w:style>
  <w:style w:type="paragraph" w:styleId="Footer">
    <w:name w:val="footer"/>
    <w:basedOn w:val="Normal"/>
    <w:link w:val="FooterChar"/>
    <w:uiPriority w:val="99"/>
    <w:unhideWhenUsed/>
    <w:rsid w:val="0048170D"/>
    <w:pPr>
      <w:tabs>
        <w:tab w:val="center" w:pos="4680"/>
        <w:tab w:val="right" w:pos="9360"/>
      </w:tabs>
    </w:pPr>
  </w:style>
  <w:style w:type="character" w:customStyle="1" w:styleId="FooterChar">
    <w:name w:val="Footer Char"/>
    <w:basedOn w:val="DefaultParagraphFont"/>
    <w:link w:val="Footer"/>
    <w:uiPriority w:val="99"/>
    <w:rsid w:val="0048170D"/>
  </w:style>
  <w:style w:type="character" w:styleId="Emphasis">
    <w:name w:val="Emphasis"/>
    <w:basedOn w:val="DefaultParagraphFont"/>
    <w:uiPriority w:val="20"/>
    <w:qFormat/>
    <w:rsid w:val="00D914C7"/>
    <w:rPr>
      <w:i/>
      <w:iCs/>
    </w:rPr>
  </w:style>
  <w:style w:type="table" w:styleId="TableGrid">
    <w:name w:val="Table Grid"/>
    <w:basedOn w:val="TableNormal"/>
    <w:uiPriority w:val="39"/>
    <w:rsid w:val="00FB07FA"/>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9080">
      <w:bodyDiv w:val="1"/>
      <w:marLeft w:val="0"/>
      <w:marRight w:val="0"/>
      <w:marTop w:val="0"/>
      <w:marBottom w:val="0"/>
      <w:divBdr>
        <w:top w:val="none" w:sz="0" w:space="0" w:color="auto"/>
        <w:left w:val="none" w:sz="0" w:space="0" w:color="auto"/>
        <w:bottom w:val="none" w:sz="0" w:space="0" w:color="auto"/>
        <w:right w:val="none" w:sz="0" w:space="0" w:color="auto"/>
      </w:divBdr>
    </w:div>
    <w:div w:id="65883263">
      <w:bodyDiv w:val="1"/>
      <w:marLeft w:val="0"/>
      <w:marRight w:val="0"/>
      <w:marTop w:val="0"/>
      <w:marBottom w:val="0"/>
      <w:divBdr>
        <w:top w:val="none" w:sz="0" w:space="0" w:color="auto"/>
        <w:left w:val="none" w:sz="0" w:space="0" w:color="auto"/>
        <w:bottom w:val="none" w:sz="0" w:space="0" w:color="auto"/>
        <w:right w:val="none" w:sz="0" w:space="0" w:color="auto"/>
      </w:divBdr>
    </w:div>
    <w:div w:id="158663837">
      <w:bodyDiv w:val="1"/>
      <w:marLeft w:val="0"/>
      <w:marRight w:val="0"/>
      <w:marTop w:val="0"/>
      <w:marBottom w:val="0"/>
      <w:divBdr>
        <w:top w:val="none" w:sz="0" w:space="0" w:color="auto"/>
        <w:left w:val="none" w:sz="0" w:space="0" w:color="auto"/>
        <w:bottom w:val="none" w:sz="0" w:space="0" w:color="auto"/>
        <w:right w:val="none" w:sz="0" w:space="0" w:color="auto"/>
      </w:divBdr>
    </w:div>
    <w:div w:id="270358447">
      <w:bodyDiv w:val="1"/>
      <w:marLeft w:val="0"/>
      <w:marRight w:val="0"/>
      <w:marTop w:val="0"/>
      <w:marBottom w:val="0"/>
      <w:divBdr>
        <w:top w:val="none" w:sz="0" w:space="0" w:color="auto"/>
        <w:left w:val="none" w:sz="0" w:space="0" w:color="auto"/>
        <w:bottom w:val="none" w:sz="0" w:space="0" w:color="auto"/>
        <w:right w:val="none" w:sz="0" w:space="0" w:color="auto"/>
      </w:divBdr>
    </w:div>
    <w:div w:id="563374919">
      <w:bodyDiv w:val="1"/>
      <w:marLeft w:val="0"/>
      <w:marRight w:val="0"/>
      <w:marTop w:val="0"/>
      <w:marBottom w:val="0"/>
      <w:divBdr>
        <w:top w:val="none" w:sz="0" w:space="0" w:color="auto"/>
        <w:left w:val="none" w:sz="0" w:space="0" w:color="auto"/>
        <w:bottom w:val="none" w:sz="0" w:space="0" w:color="auto"/>
        <w:right w:val="none" w:sz="0" w:space="0" w:color="auto"/>
      </w:divBdr>
    </w:div>
    <w:div w:id="627125288">
      <w:bodyDiv w:val="1"/>
      <w:marLeft w:val="0"/>
      <w:marRight w:val="0"/>
      <w:marTop w:val="0"/>
      <w:marBottom w:val="0"/>
      <w:divBdr>
        <w:top w:val="none" w:sz="0" w:space="0" w:color="auto"/>
        <w:left w:val="none" w:sz="0" w:space="0" w:color="auto"/>
        <w:bottom w:val="none" w:sz="0" w:space="0" w:color="auto"/>
        <w:right w:val="none" w:sz="0" w:space="0" w:color="auto"/>
      </w:divBdr>
    </w:div>
    <w:div w:id="818691064">
      <w:bodyDiv w:val="1"/>
      <w:marLeft w:val="0"/>
      <w:marRight w:val="0"/>
      <w:marTop w:val="0"/>
      <w:marBottom w:val="0"/>
      <w:divBdr>
        <w:top w:val="none" w:sz="0" w:space="0" w:color="auto"/>
        <w:left w:val="none" w:sz="0" w:space="0" w:color="auto"/>
        <w:bottom w:val="none" w:sz="0" w:space="0" w:color="auto"/>
        <w:right w:val="none" w:sz="0" w:space="0" w:color="auto"/>
      </w:divBdr>
    </w:div>
    <w:div w:id="1035619758">
      <w:bodyDiv w:val="1"/>
      <w:marLeft w:val="0"/>
      <w:marRight w:val="0"/>
      <w:marTop w:val="0"/>
      <w:marBottom w:val="0"/>
      <w:divBdr>
        <w:top w:val="none" w:sz="0" w:space="0" w:color="auto"/>
        <w:left w:val="none" w:sz="0" w:space="0" w:color="auto"/>
        <w:bottom w:val="none" w:sz="0" w:space="0" w:color="auto"/>
        <w:right w:val="none" w:sz="0" w:space="0" w:color="auto"/>
      </w:divBdr>
    </w:div>
    <w:div w:id="1591936088">
      <w:bodyDiv w:val="1"/>
      <w:marLeft w:val="0"/>
      <w:marRight w:val="0"/>
      <w:marTop w:val="0"/>
      <w:marBottom w:val="0"/>
      <w:divBdr>
        <w:top w:val="none" w:sz="0" w:space="0" w:color="auto"/>
        <w:left w:val="none" w:sz="0" w:space="0" w:color="auto"/>
        <w:bottom w:val="none" w:sz="0" w:space="0" w:color="auto"/>
        <w:right w:val="none" w:sz="0" w:space="0" w:color="auto"/>
      </w:divBdr>
      <w:divsChild>
        <w:div w:id="972566253">
          <w:marLeft w:val="0"/>
          <w:marRight w:val="0"/>
          <w:marTop w:val="0"/>
          <w:marBottom w:val="0"/>
          <w:divBdr>
            <w:top w:val="none" w:sz="0" w:space="0" w:color="auto"/>
            <w:left w:val="none" w:sz="0" w:space="0" w:color="auto"/>
            <w:bottom w:val="none" w:sz="0" w:space="0" w:color="auto"/>
            <w:right w:val="none" w:sz="0" w:space="0" w:color="auto"/>
          </w:divBdr>
          <w:divsChild>
            <w:div w:id="546182467">
              <w:marLeft w:val="0"/>
              <w:marRight w:val="0"/>
              <w:marTop w:val="0"/>
              <w:marBottom w:val="0"/>
              <w:divBdr>
                <w:top w:val="none" w:sz="0" w:space="0" w:color="auto"/>
                <w:left w:val="none" w:sz="0" w:space="0" w:color="auto"/>
                <w:bottom w:val="none" w:sz="0" w:space="0" w:color="auto"/>
                <w:right w:val="none" w:sz="0" w:space="0" w:color="auto"/>
              </w:divBdr>
            </w:div>
          </w:divsChild>
        </w:div>
        <w:div w:id="612060348">
          <w:marLeft w:val="0"/>
          <w:marRight w:val="0"/>
          <w:marTop w:val="0"/>
          <w:marBottom w:val="0"/>
          <w:divBdr>
            <w:top w:val="none" w:sz="0" w:space="0" w:color="auto"/>
            <w:left w:val="none" w:sz="0" w:space="0" w:color="auto"/>
            <w:bottom w:val="none" w:sz="0" w:space="0" w:color="auto"/>
            <w:right w:val="none" w:sz="0" w:space="0" w:color="auto"/>
          </w:divBdr>
          <w:divsChild>
            <w:div w:id="16076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6592">
      <w:bodyDiv w:val="1"/>
      <w:marLeft w:val="0"/>
      <w:marRight w:val="0"/>
      <w:marTop w:val="0"/>
      <w:marBottom w:val="0"/>
      <w:divBdr>
        <w:top w:val="none" w:sz="0" w:space="0" w:color="auto"/>
        <w:left w:val="none" w:sz="0" w:space="0" w:color="auto"/>
        <w:bottom w:val="none" w:sz="0" w:space="0" w:color="auto"/>
        <w:right w:val="none" w:sz="0" w:space="0" w:color="auto"/>
      </w:divBdr>
    </w:div>
    <w:div w:id="1633905369">
      <w:bodyDiv w:val="1"/>
      <w:marLeft w:val="0"/>
      <w:marRight w:val="0"/>
      <w:marTop w:val="0"/>
      <w:marBottom w:val="0"/>
      <w:divBdr>
        <w:top w:val="none" w:sz="0" w:space="0" w:color="auto"/>
        <w:left w:val="none" w:sz="0" w:space="0" w:color="auto"/>
        <w:bottom w:val="none" w:sz="0" w:space="0" w:color="auto"/>
        <w:right w:val="none" w:sz="0" w:space="0" w:color="auto"/>
      </w:divBdr>
    </w:div>
    <w:div w:id="1740251095">
      <w:bodyDiv w:val="1"/>
      <w:marLeft w:val="0"/>
      <w:marRight w:val="0"/>
      <w:marTop w:val="0"/>
      <w:marBottom w:val="0"/>
      <w:divBdr>
        <w:top w:val="none" w:sz="0" w:space="0" w:color="auto"/>
        <w:left w:val="none" w:sz="0" w:space="0" w:color="auto"/>
        <w:bottom w:val="none" w:sz="0" w:space="0" w:color="auto"/>
        <w:right w:val="none" w:sz="0" w:space="0" w:color="auto"/>
      </w:divBdr>
    </w:div>
    <w:div w:id="1840653497">
      <w:bodyDiv w:val="1"/>
      <w:marLeft w:val="0"/>
      <w:marRight w:val="0"/>
      <w:marTop w:val="0"/>
      <w:marBottom w:val="0"/>
      <w:divBdr>
        <w:top w:val="none" w:sz="0" w:space="0" w:color="auto"/>
        <w:left w:val="none" w:sz="0" w:space="0" w:color="auto"/>
        <w:bottom w:val="none" w:sz="0" w:space="0" w:color="auto"/>
        <w:right w:val="none" w:sz="0" w:space="0" w:color="auto"/>
      </w:divBdr>
    </w:div>
    <w:div w:id="1999453747">
      <w:bodyDiv w:val="1"/>
      <w:marLeft w:val="0"/>
      <w:marRight w:val="0"/>
      <w:marTop w:val="0"/>
      <w:marBottom w:val="0"/>
      <w:divBdr>
        <w:top w:val="none" w:sz="0" w:space="0" w:color="auto"/>
        <w:left w:val="none" w:sz="0" w:space="0" w:color="auto"/>
        <w:bottom w:val="none" w:sz="0" w:space="0" w:color="auto"/>
        <w:right w:val="none" w:sz="0" w:space="0" w:color="auto"/>
      </w:divBdr>
    </w:div>
    <w:div w:id="2060130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escue.org/press-release/joint-ngo-statement-greek-governments-decision-deem-turkey-safe-country" TargetMode="External"/><Relationship Id="rId18" Type="http://schemas.openxmlformats.org/officeDocument/2006/relationships/hyperlink" Target="https://www.ynanp.gr/en/press-and-communications-office/minister-plakiotakis-greece-saves-lives-that-others-put-in-danger-in-the-aegean/" TargetMode="External"/><Relationship Id="rId26" Type="http://schemas.openxmlformats.org/officeDocument/2006/relationships/hyperlink" Target="https://www.coe.int/en/web/commissioner/-/european-states-must-stand-up-against-pushbacks-and-the-attempt-to-legalise-them" TargetMode="External"/><Relationship Id="rId3" Type="http://schemas.openxmlformats.org/officeDocument/2006/relationships/styles" Target="styles.xml"/><Relationship Id="rId21" Type="http://schemas.openxmlformats.org/officeDocument/2006/relationships/hyperlink" Target="https://www.ekathimerini.com/news/1169960/transparency-authority-may-probe-pushback-claims/" TargetMode="External"/><Relationship Id="rId7" Type="http://schemas.openxmlformats.org/officeDocument/2006/relationships/endnotes" Target="endnotes.xml"/><Relationship Id="rId12" Type="http://schemas.openxmlformats.org/officeDocument/2006/relationships/hyperlink" Target="https://www.europarl.europa.eu/doceo/document/E-9-2021-005103-ASW_EN.html" TargetMode="External"/><Relationship Id="rId17" Type="http://schemas.openxmlformats.org/officeDocument/2006/relationships/hyperlink" Target="https://data2.unhcr.org/en/situations/mediterranean/location/5179" TargetMode="External"/><Relationship Id="rId25" Type="http://schemas.openxmlformats.org/officeDocument/2006/relationships/hyperlink" Target="https://www.euractiv.com/section/justice-home-affairs/news/eu-commission-urges-probe-after-report-on-migrant-pushbacks-in-greece-croatia/"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migration.gov.gr/en/deltio-typoy-dilosi-toy-ypoyrgoy-metanasteysis-kai-asyloy-k-noti-mitaraki/" TargetMode="External"/><Relationship Id="rId20" Type="http://schemas.openxmlformats.org/officeDocument/2006/relationships/hyperlink" Target="https://www.efsyn.gr/ellada/dikaiomata/310350_anexartitos-mihanismos-gia-toys-prosfyges-en-krypt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eur02.safelinks.protection.outlook.com/?url=https*3A*2F*2Fmigration.gov.gr*2Fen*2Fasfaleis-chores-katagogis-i-aigyptos-to-nepal-kai-to-mpenin-17-oi-chores-toy-katalogoy-asfalon-choron-katagogis*2F&amp;data=04*7C01*7Cgreatpi*40unhcr.org*7C8dbf42a651f14af9616108d9f62c1f18*7Ce5c37981666441348a0c6543d2af80be*7C0*7C0*7C637811491634422721*7CUnknown*7CTWFpbGZsb3d8eyJWIjoiMC4wLjAwMDAiLCJQIjoiV2luMzIiLCJBTiI6Ik1haWwiLCJXVCI6Mn0*3D*7C3000&amp;sdata=Oyqg2KOA8cF4MVhBOmo0IGeqyqQStZNbA7sx80w9QS4*3D&amp;reserved=0__;JSUlJSUlJSUlJSUlJSUlJSUlJQ!!IDEMUsA!UgsVz3JvNxlkL9FxflKL6qPhKlzdRFY7oi990ZxJ5DQzBjemyipHu1VkzCvVAOR9Lb0$" TargetMode="External"/><Relationship Id="rId24" Type="http://schemas.openxmlformats.org/officeDocument/2006/relationships/hyperlink" Target="https://www.unhcr.org/gr/en/16207-unhcr-concerned-by-pushback-reports-calls-for-protection-of-refugees-and-asylum-seekers.html"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unhcr.org/news/press/2022/2/62137a284/news-comment-unhcr-warns-increasing-violence-human-rights-violations-european.html" TargetMode="External"/><Relationship Id="rId23" Type="http://schemas.openxmlformats.org/officeDocument/2006/relationships/hyperlink" Target="https://migration.gov.gr/en/deltio-typoy-dilosi-toy-ypoyrgoy-metanasteysis-kai-asyloy-k-noti-mitaraki/" TargetMode="External"/><Relationship Id="rId28" Type="http://schemas.openxmlformats.org/officeDocument/2006/relationships/footer" Target="footer1.xml"/><Relationship Id="rId10" Type="http://schemas.openxmlformats.org/officeDocument/2006/relationships/hyperlink" Target="https://migration.gov.gr/en/albania-north-macedonia-safe-countries/" TargetMode="External"/><Relationship Id="rId19" Type="http://schemas.openxmlformats.org/officeDocument/2006/relationships/hyperlink" Target="https://www.europarl.europa.eu/doceo/document/E-9-2021-004642-ASW_EN.pdf"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u.rescue.org/press-release/joint-ngo-statement-greek-governments-decision-deem-turkey-safe-country" TargetMode="External"/><Relationship Id="rId14" Type="http://schemas.openxmlformats.org/officeDocument/2006/relationships/hyperlink" Target="https://eu.rescue.org/press-release/people-greece-are-going-hungry-over-one-third-those-living-refugee-camps-are-denied" TargetMode="External"/><Relationship Id="rId22" Type="http://schemas.openxmlformats.org/officeDocument/2006/relationships/hyperlink" Target="https://www.synigoros.gr/resources/press-release-211201-pushback-frontex.pdf" TargetMode="External"/><Relationship Id="rId27" Type="http://schemas.openxmlformats.org/officeDocument/2006/relationships/hyperlink" Target="https://ecre.org/turning-rhetoric-into-reality-new-monitoring-mechanism-at-european-borders-should-ensure-fundamental-rights-and-accountability/" TargetMode="External"/><Relationship Id="rId30" Type="http://schemas.openxmlformats.org/officeDocument/2006/relationships/theme" Target="theme/theme1.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et.gr/idocs-nph/search/pdfViewerForm.html?args=5C7QrtC22wGGrezhDLcpZ3dtvSoClrL8bBf5uDmwydd5MXD0LzQTLf7MGgcO23N88knBzLCmTXKaO6fpVZ6Lx3UnKl3nP8NxdnJ5r9cmWyJWelDvWS_18kAEhATUkJb0x1LIdQ163nV9K--td6SIuetkTc9O6ngNqhckGRii7E4-Ilah-yZRoxk3JQ47bLdA" TargetMode="External"/><Relationship Id="rId2" Type="http://schemas.openxmlformats.org/officeDocument/2006/relationships/hyperlink" Target="http://www.et.gr/idocs-nph/search/pdfViewerForm.html?args=5C7QrtC22wEzH9d6xfVpRXdtvSoClrL8E87KtlIG1BVp6k5uE6xNduJInJ48_97uHrMts-zFzeyCiBSQOpYnTy36MacmUFCx2ppFvBej56Mmc8Qdb8ZfRJqZnsIAdk8Lv_e6czmhEembNmZCMxLMtV8guC63PXwReR9dEc4fNELyMzzFSXxpLIv9ZQRXG32r" TargetMode="External"/><Relationship Id="rId1" Type="http://schemas.openxmlformats.org/officeDocument/2006/relationships/hyperlink" Target="https://migration.gov.gr/wp-content/uploads/2021/06/%CE%9A%CE%A5%CE%91-%CE%91%CE%A3%CE%A6%CE%91%CE%9B%CE%97%CE%A3-%CE%A4%CE%A1%CE%99%CE%A4%CE%97-%CE%A7%CE%A9%CE%A1%CE%91-1.pdf" TargetMode="External"/><Relationship Id="rId6" Type="http://schemas.openxmlformats.org/officeDocument/2006/relationships/hyperlink" Target="https://www.hellenicparliament.gr/UserFiles/67715b2c-ec81-4f0c-ad6a-476a34d732bd/11873945.pdf" TargetMode="External"/><Relationship Id="rId5" Type="http://schemas.openxmlformats.org/officeDocument/2006/relationships/hyperlink" Target="https://rsaegean.org/en/asylum-statistics-for-2020-a-need-for-regular-and-transparent-official-information/" TargetMode="External"/><Relationship Id="rId4" Type="http://schemas.openxmlformats.org/officeDocument/2006/relationships/hyperlink" Target="https://eu.rescue.org/press-release/joint-ngo-statement-greek-governments-decision-deem-turkey-safe-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C76FC8F6-89E6-482E-9A30-F6A03D9FDF7B}">
  <ds:schemaRefs>
    <ds:schemaRef ds:uri="http://schemas.openxmlformats.org/officeDocument/2006/bibliography"/>
  </ds:schemaRefs>
</ds:datastoreItem>
</file>

<file path=customXml/itemProps2.xml><?xml version="1.0" encoding="utf-8"?>
<ds:datastoreItem xmlns:ds="http://schemas.openxmlformats.org/officeDocument/2006/customXml" ds:itemID="{E370507B-73F6-4534-BC0E-4C03701CB543}"/>
</file>

<file path=customXml/itemProps3.xml><?xml version="1.0" encoding="utf-8"?>
<ds:datastoreItem xmlns:ds="http://schemas.openxmlformats.org/officeDocument/2006/customXml" ds:itemID="{856D2DC3-C11A-4CF8-B9D2-CBBBF9588D77}"/>
</file>

<file path=customXml/itemProps4.xml><?xml version="1.0" encoding="utf-8"?>
<ds:datastoreItem xmlns:ds="http://schemas.openxmlformats.org/officeDocument/2006/customXml" ds:itemID="{6D3F1D8A-3E09-48FC-8BC0-EEBE17F93466}"/>
</file>

<file path=docProps/app.xml><?xml version="1.0" encoding="utf-8"?>
<Properties xmlns="http://schemas.openxmlformats.org/officeDocument/2006/extended-properties" xmlns:vt="http://schemas.openxmlformats.org/officeDocument/2006/docPropsVTypes">
  <Template>Normal</Template>
  <TotalTime>4</TotalTime>
  <Pages>3</Pages>
  <Words>1737</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Martha Roussou</cp:lastModifiedBy>
  <cp:revision>2</cp:revision>
  <dcterms:created xsi:type="dcterms:W3CDTF">2022-02-28T08:04:00Z</dcterms:created>
  <dcterms:modified xsi:type="dcterms:W3CDTF">2022-02-28T08:04:00Z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