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AB68" w14:textId="77777777" w:rsidR="00441037" w:rsidRPr="00441037" w:rsidRDefault="00441037" w:rsidP="00441037">
      <w:pPr>
        <w:spacing w:before="120" w:after="120" w:line="360" w:lineRule="auto"/>
        <w:jc w:val="right"/>
        <w:rPr>
          <w:rFonts w:ascii="Times New Roman" w:eastAsia="Calibri" w:hAnsi="Times New Roman"/>
          <w:lang w:val="tr-TR" w:eastAsia="en-US"/>
        </w:rPr>
      </w:pPr>
      <w:r w:rsidRPr="00441037">
        <w:rPr>
          <w:rFonts w:ascii="Times New Roman" w:eastAsia="Calibri" w:hAnsi="Times New Roman"/>
          <w:b/>
          <w:bCs/>
          <w:lang w:val="tr-TR" w:eastAsia="en-US"/>
        </w:rPr>
        <w:t>28.02.2022</w:t>
      </w:r>
    </w:p>
    <w:p w14:paraId="4FA9A420" w14:textId="77777777" w:rsidR="00441037" w:rsidRPr="00441037" w:rsidRDefault="00441037" w:rsidP="00441037">
      <w:p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</w:p>
    <w:p w14:paraId="3A0A3651" w14:textId="4F149F22" w:rsidR="00441037" w:rsidRPr="00441037" w:rsidRDefault="00441037" w:rsidP="00441037">
      <w:pPr>
        <w:spacing w:before="120" w:after="120" w:line="360" w:lineRule="auto"/>
        <w:jc w:val="center"/>
        <w:rPr>
          <w:rFonts w:ascii="Times New Roman" w:eastAsia="Calibri" w:hAnsi="Times New Roman"/>
          <w:lang w:val="tr-TR" w:eastAsia="en-US"/>
        </w:rPr>
      </w:pPr>
      <w:r w:rsidRPr="00441037">
        <w:rPr>
          <w:rFonts w:ascii="Times New Roman" w:eastAsia="Calibri" w:hAnsi="Times New Roman"/>
          <w:b/>
          <w:bCs/>
          <w:lang w:val="tr-TR" w:eastAsia="en-US"/>
        </w:rPr>
        <w:t xml:space="preserve">Report on Human </w:t>
      </w:r>
      <w:proofErr w:type="spellStart"/>
      <w:r w:rsidRPr="00441037">
        <w:rPr>
          <w:rFonts w:ascii="Times New Roman" w:eastAsia="Calibri" w:hAnsi="Times New Roman"/>
          <w:b/>
          <w:bCs/>
          <w:lang w:val="tr-TR" w:eastAsia="en-US"/>
        </w:rPr>
        <w:t>Rights</w:t>
      </w:r>
      <w:proofErr w:type="spellEnd"/>
      <w:r w:rsidRPr="00441037">
        <w:rPr>
          <w:rFonts w:ascii="Times New Roman" w:eastAsia="Calibri" w:hAnsi="Times New Roman"/>
          <w:b/>
          <w:bCs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b/>
          <w:bCs/>
          <w:lang w:val="tr-TR" w:eastAsia="en-US"/>
        </w:rPr>
        <w:t>Violations</w:t>
      </w:r>
      <w:proofErr w:type="spellEnd"/>
      <w:r w:rsidRPr="00441037">
        <w:rPr>
          <w:rFonts w:ascii="Times New Roman" w:eastAsia="Calibri" w:hAnsi="Times New Roman"/>
          <w:b/>
          <w:bCs/>
          <w:lang w:val="tr-TR" w:eastAsia="en-US"/>
        </w:rPr>
        <w:t xml:space="preserve"> at International </w:t>
      </w:r>
      <w:proofErr w:type="spellStart"/>
      <w:r w:rsidRPr="00441037">
        <w:rPr>
          <w:rFonts w:ascii="Times New Roman" w:eastAsia="Calibri" w:hAnsi="Times New Roman"/>
          <w:b/>
          <w:bCs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b/>
          <w:bCs/>
          <w:lang w:val="tr-TR" w:eastAsia="en-US"/>
        </w:rPr>
        <w:t>:</w:t>
      </w:r>
    </w:p>
    <w:p w14:paraId="34D2A156" w14:textId="77777777" w:rsidR="00441037" w:rsidRPr="00441037" w:rsidRDefault="00441037" w:rsidP="00441037">
      <w:pPr>
        <w:spacing w:before="120" w:after="120" w:line="360" w:lineRule="auto"/>
        <w:jc w:val="center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b/>
          <w:bCs/>
          <w:lang w:val="tr-TR" w:eastAsia="en-US"/>
        </w:rPr>
        <w:t>Trends</w:t>
      </w:r>
      <w:proofErr w:type="spellEnd"/>
      <w:r w:rsidRPr="00441037">
        <w:rPr>
          <w:rFonts w:ascii="Times New Roman" w:eastAsia="Calibri" w:hAnsi="Times New Roman"/>
          <w:b/>
          <w:bCs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b/>
          <w:bCs/>
          <w:lang w:val="tr-TR" w:eastAsia="en-US"/>
        </w:rPr>
        <w:t>Prevention</w:t>
      </w:r>
      <w:proofErr w:type="spellEnd"/>
      <w:r w:rsidRPr="00441037">
        <w:rPr>
          <w:rFonts w:ascii="Times New Roman" w:eastAsia="Calibri" w:hAnsi="Times New Roman"/>
          <w:b/>
          <w:bCs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b/>
          <w:bCs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b/>
          <w:bCs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b/>
          <w:bCs/>
          <w:lang w:val="tr-TR" w:eastAsia="en-US"/>
        </w:rPr>
        <w:t>Accountability</w:t>
      </w:r>
      <w:proofErr w:type="spellEnd"/>
    </w:p>
    <w:p w14:paraId="0F8426E7" w14:textId="77777777" w:rsidR="00441037" w:rsidRPr="00441037" w:rsidRDefault="00441037" w:rsidP="00441037">
      <w:p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</w:p>
    <w:p w14:paraId="5BD52A68" w14:textId="6529B8EF" w:rsidR="00441037" w:rsidRDefault="00441037" w:rsidP="00441037">
      <w:p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Special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Rapporteur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,</w:t>
      </w:r>
    </w:p>
    <w:p w14:paraId="0CA8A403" w14:textId="77777777" w:rsidR="00441037" w:rsidRPr="00441037" w:rsidRDefault="00441037" w:rsidP="00441037">
      <w:p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</w:p>
    <w:p w14:paraId="1BC8C45B" w14:textId="77777777" w:rsidR="00441037" w:rsidRPr="00441037" w:rsidRDefault="00441037" w:rsidP="00441037">
      <w:pPr>
        <w:spacing w:before="120" w:after="120" w:line="360" w:lineRule="auto"/>
        <w:ind w:firstLine="708"/>
        <w:jc w:val="both"/>
        <w:rPr>
          <w:rFonts w:ascii="Times New Roman" w:eastAsia="Calibri" w:hAnsi="Times New Roman"/>
          <w:lang w:val="tr-TR" w:eastAsia="en-US"/>
        </w:rPr>
      </w:pPr>
      <w:r w:rsidRPr="00441037">
        <w:rPr>
          <w:rFonts w:ascii="Times New Roman" w:eastAsia="Calibri" w:hAnsi="Times New Roman"/>
          <w:lang w:val="tr-TR" w:eastAsia="en-US"/>
        </w:rPr>
        <w:t xml:space="preserve">Migration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Research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Foundation (GAV),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Non-Governmental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Organization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operating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been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working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diaspora since 2010.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Thanks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academy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GAV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provides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training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train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experts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different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fields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diaspora,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while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aiming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solve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problem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competent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human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resources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fields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contribute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policy-making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processes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addition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various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sub-fields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diaspora, "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Turkey's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management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"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among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working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areas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GAV.</w:t>
      </w:r>
    </w:p>
    <w:p w14:paraId="0021921B" w14:textId="77777777" w:rsidR="00441037" w:rsidRPr="00441037" w:rsidRDefault="00441037" w:rsidP="00441037">
      <w:pPr>
        <w:spacing w:before="120" w:after="120" w:line="360" w:lineRule="auto"/>
        <w:ind w:firstLine="708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This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study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aims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contribute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report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human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violations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international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: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trends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prevention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accountability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specific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Among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questions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raised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it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planned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contribute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specifically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Turkey's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"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recent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current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management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legislation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/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policies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/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measures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(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including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temporary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measures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taken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part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state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emergency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)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control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reduce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prevent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inflows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".</w:t>
      </w:r>
    </w:p>
    <w:p w14:paraId="22EECE62" w14:textId="77777777" w:rsidR="00441037" w:rsidRPr="00441037" w:rsidRDefault="00441037" w:rsidP="00441037">
      <w:pPr>
        <w:spacing w:before="120" w:after="120" w:line="360" w:lineRule="auto"/>
        <w:ind w:firstLine="708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had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deep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memory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years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centrally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located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route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as a transit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destination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country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While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3.7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million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Syrians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under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temporary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protection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status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country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as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February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2022,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hosts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population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around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7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million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from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Afghanistan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Pakistan, Iran,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many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other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nationalities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entering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country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irregularly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This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location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makes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entry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exit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extremely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important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At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this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point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Turkey's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policies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Syria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Iraq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Iran,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Bulgaria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Greece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practices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countries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come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follows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security-oriented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policy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eastern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southeastern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especially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effects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terrorist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activities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mass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flows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Wall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constructions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military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equipment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personnel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shipments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surveillance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vehicles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equipped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high-level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technologies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draw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attention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policies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.</w:t>
      </w:r>
    </w:p>
    <w:p w14:paraId="3E703E66" w14:textId="77777777" w:rsidR="00441037" w:rsidRPr="00441037" w:rsidRDefault="00441037" w:rsidP="00441037">
      <w:pPr>
        <w:spacing w:before="120" w:after="120" w:line="360" w:lineRule="auto"/>
        <w:ind w:firstLine="708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lastRenderedPageBreak/>
        <w:t>Concrete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modular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walls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were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built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a 780-kilometer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section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911-kilometer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Syrian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walls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equipped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military-technological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surveillance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tools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this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while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trying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slow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down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mass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from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Syria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it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planned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prevent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control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irregular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entrances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borderline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Security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measures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were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taken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some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parts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Iraqi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patrols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were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increased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addition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construction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Turkish-Iranian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other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borderline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where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from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Afghanistan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Pakistan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have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entered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country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irregularly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through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Iran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years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While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irregular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crossings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have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continued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nearly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40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years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especially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since 2018,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more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irregular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from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Afghanistan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Pakistan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have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entered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Syrians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At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this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point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carried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policy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Syria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Iraq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Iranian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project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launched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2021;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continues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cities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as Van, Iğdır,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gramStart"/>
      <w:r w:rsidRPr="00441037">
        <w:rPr>
          <w:rFonts w:ascii="Times New Roman" w:eastAsia="Calibri" w:hAnsi="Times New Roman"/>
          <w:lang w:val="tr-TR" w:eastAsia="en-US"/>
        </w:rPr>
        <w:t>Hakkari</w:t>
      </w:r>
      <w:proofErr w:type="gram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-Iran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.</w:t>
      </w:r>
    </w:p>
    <w:p w14:paraId="7316AB24" w14:textId="77777777" w:rsidR="00441037" w:rsidRPr="00441037" w:rsidRDefault="00441037" w:rsidP="00441037">
      <w:pPr>
        <w:spacing w:before="120" w:after="120" w:line="360" w:lineRule="auto"/>
        <w:ind w:firstLine="708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Although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deep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memory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it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does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not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have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permanent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sustainable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policy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Finally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this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situation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been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observed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again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from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Syria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Afghanistan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Pakistan.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addition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capacity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it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been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tried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move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forward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project-oriented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approach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financing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provided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European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Union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support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European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Union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terms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equipment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financial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resources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also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question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applications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mentioned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above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EU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especially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in-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kind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support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built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along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Syrian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supports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mostly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provided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technological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layer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boundary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cameras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sound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sensors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seismic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radars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addition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EU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supported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purchase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use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armored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Cobra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II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type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military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vehicles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deployed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along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grant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given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Otokar,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Turkey's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private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sector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defense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companies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supply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vehicles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 total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value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47.4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million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Euros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approval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EU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member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states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75%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amount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question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covered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EU.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stated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total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number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military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vehicles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put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use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Turkey-Syria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82.</w:t>
      </w:r>
      <w:hyperlink w:anchor="_ftn1" w:tgtFrame="_blank" w:history="1">
        <w:r w:rsidRPr="00441037">
          <w:rPr>
            <w:rStyle w:val="Kpr"/>
            <w:rFonts w:ascii="Times New Roman" w:eastAsia="Calibri" w:hAnsi="Times New Roman"/>
            <w:lang w:val="tr-TR" w:eastAsia="en-US"/>
          </w:rPr>
          <w:t>[1]</w:t>
        </w:r>
      </w:hyperlink>
    </w:p>
    <w:p w14:paraId="47B066FC" w14:textId="77777777" w:rsidR="00441037" w:rsidRPr="00441037" w:rsidRDefault="00441037" w:rsidP="00441037">
      <w:p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  <w:r w:rsidRPr="00441037">
        <w:rPr>
          <w:rFonts w:ascii="Times New Roman" w:eastAsia="Calibri" w:hAnsi="Times New Roman"/>
          <w:lang w:val="tr-TR" w:eastAsia="en-US"/>
        </w:rPr>
        <w:t>           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debatable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policies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implemented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eastern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southeastern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can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prevent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irregular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Even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if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it is not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massive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entrances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from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continue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However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field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studies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carried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out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cities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Syria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Iran, it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observed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policies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question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make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conditions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difficult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change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their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routes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extend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their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routes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further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due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walls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exposed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harsh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conditions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lead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death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especially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winter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months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Likewise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measures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cause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wait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longer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other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side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lastRenderedPageBreak/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crossing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particular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trying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cross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-Iran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forced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cross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Iranian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guards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left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being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exposed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armed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attacks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interviews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it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also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learned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passed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were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sent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back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Iranian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side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developments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show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human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violated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.</w:t>
      </w:r>
    </w:p>
    <w:p w14:paraId="556BA265" w14:textId="77777777" w:rsidR="00441037" w:rsidRPr="00441037" w:rsidRDefault="00441037" w:rsidP="00441037">
      <w:pPr>
        <w:spacing w:before="120" w:after="120" w:line="360" w:lineRule="auto"/>
        <w:ind w:firstLine="708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It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known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addition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seeing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as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target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country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generally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aim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pass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Europe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via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have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cross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Turkey-Greece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this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faced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very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harsh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policies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Greece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which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built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walls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activated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floating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barriers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seas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addition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it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seen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international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public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Greece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which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made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pushback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policy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routine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left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openly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Greece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which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placed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national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patrols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Frontex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employees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affiliated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European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Union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Turkish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clearly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violates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basic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violence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pushback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shooting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plastic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bullets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At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this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point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it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necessary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mention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which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determined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international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agreements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violated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Greece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:</w:t>
      </w:r>
    </w:p>
    <w:p w14:paraId="1D41D629" w14:textId="77777777" w:rsidR="00441037" w:rsidRPr="00441037" w:rsidRDefault="00441037" w:rsidP="00441037">
      <w:p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</w:p>
    <w:p w14:paraId="01C191BB" w14:textId="77777777" w:rsidR="00441037" w:rsidRPr="00441037" w:rsidRDefault="00441037" w:rsidP="0044103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  <w:r w:rsidRPr="00441037">
        <w:rPr>
          <w:rFonts w:ascii="Times New Roman" w:eastAsia="Calibri" w:hAnsi="Times New Roman"/>
          <w:lang w:val="tr-TR" w:eastAsia="en-US"/>
        </w:rPr>
        <w:t xml:space="preserve">13th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article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universal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declaration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human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“(1)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everyone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freedom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movement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residence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each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state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(2)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everyone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leave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country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including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own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return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country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”,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while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14.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article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states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“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everyone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seek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enjoy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other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countries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asylum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from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persecution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”. </w:t>
      </w:r>
    </w:p>
    <w:p w14:paraId="7A005433" w14:textId="77777777" w:rsidR="00441037" w:rsidRPr="00441037" w:rsidRDefault="00441037" w:rsidP="0044103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first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article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European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Convention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Human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states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“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High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Contracting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Parties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shall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secure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everyone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their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jurisdiction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freedoms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defined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Section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this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Convention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.”, 3rd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Article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“No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shall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be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subjected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torture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inhuman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degrading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treatment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punishment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”. </w:t>
      </w:r>
    </w:p>
    <w:p w14:paraId="79AB1B3E" w14:textId="77777777" w:rsidR="00441037" w:rsidRPr="00441037" w:rsidRDefault="00441037" w:rsidP="0044103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reference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definition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refugees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31st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article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Geneva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Convention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even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illegal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crossing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should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not be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penalized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follows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: “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Contracting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States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shall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not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impose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penalties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account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their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illegal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entry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presence,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refugees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coming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directly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from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territory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where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their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life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freedom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was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threatened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sense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Article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1,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enter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present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their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territory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without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authorization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.” </w:t>
      </w:r>
    </w:p>
    <w:p w14:paraId="34410DE3" w14:textId="77777777" w:rsidR="00441037" w:rsidRPr="00441037" w:rsidRDefault="00441037" w:rsidP="0044103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lastRenderedPageBreak/>
        <w:t>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33rd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article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Geneva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Convention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principle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non-refoulement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clearly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stated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it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forbidden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return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refugees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asylum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seekers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places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where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danger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persecution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 </w:t>
      </w:r>
    </w:p>
    <w:p w14:paraId="3EBE9AC0" w14:textId="77777777" w:rsidR="00441037" w:rsidRPr="00441037" w:rsidRDefault="00441037" w:rsidP="0044103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According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first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article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Charter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Fundamental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European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“Human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dignity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inviolable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must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be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respected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protected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Human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dignity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inviolable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must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be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respected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protected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.”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2nd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article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“(1)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everyone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has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life, (2) No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shall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be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condemned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death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penalty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executed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”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4th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article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“No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one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shall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be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subjected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torture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inhuman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degrading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treatment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punishment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.” </w:t>
      </w:r>
    </w:p>
    <w:p w14:paraId="3143970F" w14:textId="77777777" w:rsidR="00441037" w:rsidRPr="00441037" w:rsidRDefault="00441037" w:rsidP="00441037">
      <w:pPr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Article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7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Schengen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Code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states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"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guards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shall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performance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their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duties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fully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respect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human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dignity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While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carrying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out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checks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guards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shall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not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discriminate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against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persons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grounds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sex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racial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ethnic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origin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religion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belief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disability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age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sexual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orientation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,".</w:t>
      </w:r>
    </w:p>
    <w:p w14:paraId="0906F617" w14:textId="77777777" w:rsidR="00441037" w:rsidRPr="00441037" w:rsidRDefault="00441037" w:rsidP="00441037">
      <w:pPr>
        <w:spacing w:before="120" w:after="120" w:line="360" w:lineRule="auto"/>
        <w:ind w:firstLine="708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Greece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clear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persistent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violation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above-mentioned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articles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most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recent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example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19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were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pushed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back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Greece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froze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death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February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2, 2022,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Mandakoru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locality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Paşaköy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Village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Edirne's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İpsala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District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is not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difficult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predict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Greece's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deadly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applications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human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violations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continue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unless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necessary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international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reaction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sanctions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brought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.</w:t>
      </w:r>
    </w:p>
    <w:p w14:paraId="6B1B8973" w14:textId="77777777" w:rsidR="00441037" w:rsidRPr="00441037" w:rsidRDefault="00441037" w:rsidP="00441037">
      <w:pPr>
        <w:spacing w:before="120" w:after="120" w:line="360" w:lineRule="auto"/>
        <w:ind w:firstLine="708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We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hope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continue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our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joint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work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world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where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removed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as a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source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problems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are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used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only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rule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rather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prevent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your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report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which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focuses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human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international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,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tried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to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convey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developments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in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Turkey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much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as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possible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.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hope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your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report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raise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awareness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about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rights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violations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of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immigrants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at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international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borders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and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that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these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violations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will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be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eliminated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.</w:t>
      </w:r>
    </w:p>
    <w:p w14:paraId="1A74EA5B" w14:textId="77777777" w:rsidR="00441037" w:rsidRPr="00441037" w:rsidRDefault="00441037" w:rsidP="00441037">
      <w:p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</w:p>
    <w:p w14:paraId="124F55FD" w14:textId="77777777" w:rsidR="00441037" w:rsidRPr="00441037" w:rsidRDefault="00441037" w:rsidP="00441037">
      <w:p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  <w:proofErr w:type="spellStart"/>
      <w:r w:rsidRPr="00441037">
        <w:rPr>
          <w:rFonts w:ascii="Times New Roman" w:eastAsia="Calibri" w:hAnsi="Times New Roman"/>
          <w:lang w:val="tr-TR" w:eastAsia="en-US"/>
        </w:rPr>
        <w:t>Regards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>,</w:t>
      </w:r>
    </w:p>
    <w:p w14:paraId="08A295D8" w14:textId="77777777" w:rsidR="00441037" w:rsidRPr="00441037" w:rsidRDefault="00441037" w:rsidP="00441037">
      <w:p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</w:p>
    <w:p w14:paraId="605B2528" w14:textId="77777777" w:rsidR="00441037" w:rsidRPr="00441037" w:rsidRDefault="00441037" w:rsidP="00441037">
      <w:p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  <w:r w:rsidRPr="00441037">
        <w:rPr>
          <w:rFonts w:ascii="Times New Roman" w:eastAsia="Calibri" w:hAnsi="Times New Roman"/>
          <w:lang w:val="tr-TR" w:eastAsia="en-US"/>
        </w:rPr>
        <w:t xml:space="preserve">Migration </w:t>
      </w:r>
      <w:proofErr w:type="spellStart"/>
      <w:r w:rsidRPr="00441037">
        <w:rPr>
          <w:rFonts w:ascii="Times New Roman" w:eastAsia="Calibri" w:hAnsi="Times New Roman"/>
          <w:lang w:val="tr-TR" w:eastAsia="en-US"/>
        </w:rPr>
        <w:t>Research</w:t>
      </w:r>
      <w:proofErr w:type="spellEnd"/>
      <w:r w:rsidRPr="00441037">
        <w:rPr>
          <w:rFonts w:ascii="Times New Roman" w:eastAsia="Calibri" w:hAnsi="Times New Roman"/>
          <w:lang w:val="tr-TR" w:eastAsia="en-US"/>
        </w:rPr>
        <w:t xml:space="preserve"> Foundation (Göç Araştırmaları Vakfı)</w:t>
      </w:r>
    </w:p>
    <w:p w14:paraId="1F50FE96" w14:textId="42E51CD4" w:rsidR="00F5315A" w:rsidRPr="00317AD3" w:rsidRDefault="00F5315A" w:rsidP="00441037">
      <w:pPr>
        <w:spacing w:before="120" w:after="120" w:line="360" w:lineRule="auto"/>
        <w:jc w:val="both"/>
        <w:rPr>
          <w:rFonts w:ascii="Times New Roman" w:eastAsia="Calibri" w:hAnsi="Times New Roman"/>
          <w:lang w:val="tr-TR" w:eastAsia="en-US"/>
        </w:rPr>
      </w:pPr>
    </w:p>
    <w:sectPr w:rsidR="00F5315A" w:rsidRPr="00317AD3" w:rsidSect="002A58A4">
      <w:headerReference w:type="even" r:id="rId8"/>
      <w:headerReference w:type="default" r:id="rId9"/>
      <w:headerReference w:type="first" r:id="rId10"/>
      <w:pgSz w:w="11900" w:h="16840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2755" w14:textId="77777777" w:rsidR="00DB40F9" w:rsidRDefault="00DB40F9" w:rsidP="00740DC9">
      <w:r>
        <w:separator/>
      </w:r>
    </w:p>
  </w:endnote>
  <w:endnote w:type="continuationSeparator" w:id="0">
    <w:p w14:paraId="3904EE43" w14:textId="77777777" w:rsidR="00DB40F9" w:rsidRDefault="00DB40F9" w:rsidP="0074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2DFA" w14:textId="77777777" w:rsidR="00DB40F9" w:rsidRDefault="00DB40F9" w:rsidP="00740DC9">
      <w:r>
        <w:separator/>
      </w:r>
    </w:p>
  </w:footnote>
  <w:footnote w:type="continuationSeparator" w:id="0">
    <w:p w14:paraId="5C015215" w14:textId="77777777" w:rsidR="00DB40F9" w:rsidRDefault="00DB40F9" w:rsidP="0074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33CC" w14:textId="77777777" w:rsidR="00740DC9" w:rsidRDefault="00DB40F9">
    <w:pPr>
      <w:pStyle w:val="stBilgi"/>
    </w:pPr>
    <w:r>
      <w:rPr>
        <w:noProof/>
      </w:rPr>
      <w:pict w14:anchorId="65589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408" o:spid="_x0000_s1027" type="#_x0000_t75" alt="/Users/gocarastirmalari/Desktop/Çalışmalar/OneDrive - Göç Araştırmaları Vakfı/DİĞER/Kurumsal Kimlik/ANTET iç_Çalışma Yüzeyi 1 kopya.png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 iç_Çalışma Yüzeyi 1 kopy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F747" w14:textId="77777777" w:rsidR="00740DC9" w:rsidRDefault="00DB40F9">
    <w:pPr>
      <w:pStyle w:val="stBilgi"/>
    </w:pPr>
    <w:r>
      <w:rPr>
        <w:noProof/>
      </w:rPr>
      <w:pict w14:anchorId="13969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409" o:spid="_x0000_s1026" type="#_x0000_t75" alt="/Users/gocarastirmalari/Desktop/Çalışmalar/OneDrive - Göç Araştırmaları Vakfı/DİĞER/Kurumsal Kimlik/ANTET iç_Çalışma Yüzeyi 1 kopya.png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 iç_Çalışma Yüzeyi 1 kopy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D72D" w14:textId="77777777" w:rsidR="00740DC9" w:rsidRDefault="00DB40F9">
    <w:pPr>
      <w:pStyle w:val="stBilgi"/>
    </w:pPr>
    <w:r>
      <w:rPr>
        <w:noProof/>
      </w:rPr>
      <w:pict w14:anchorId="12D14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407" o:spid="_x0000_s1025" type="#_x0000_t75" alt="/Users/gocarastirmalari/Desktop/Çalışmalar/OneDrive - Göç Araştırmaları Vakfı/DİĞER/Kurumsal Kimlik/ANTET iç_Çalışma Yüzeyi 1 kopya.png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 iç_Çalışma Yüzeyi 1 kopy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90A"/>
    <w:multiLevelType w:val="hybridMultilevel"/>
    <w:tmpl w:val="0AF80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5A8A"/>
    <w:multiLevelType w:val="hybridMultilevel"/>
    <w:tmpl w:val="2D2C5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1A6D"/>
    <w:multiLevelType w:val="hybridMultilevel"/>
    <w:tmpl w:val="5114F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618E7"/>
    <w:multiLevelType w:val="hybridMultilevel"/>
    <w:tmpl w:val="E8801D5E"/>
    <w:lvl w:ilvl="0" w:tplc="CA5E2C24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57F0A"/>
    <w:multiLevelType w:val="multilevel"/>
    <w:tmpl w:val="D994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C16F3"/>
    <w:multiLevelType w:val="multilevel"/>
    <w:tmpl w:val="1C4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0732F"/>
    <w:multiLevelType w:val="multilevel"/>
    <w:tmpl w:val="349A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C9"/>
    <w:rsid w:val="00031E3A"/>
    <w:rsid w:val="000F6596"/>
    <w:rsid w:val="00145F2E"/>
    <w:rsid w:val="001A43D5"/>
    <w:rsid w:val="002A58A4"/>
    <w:rsid w:val="00317AD3"/>
    <w:rsid w:val="00373E26"/>
    <w:rsid w:val="00384BAC"/>
    <w:rsid w:val="003E4937"/>
    <w:rsid w:val="00425EF6"/>
    <w:rsid w:val="00435F96"/>
    <w:rsid w:val="00440FAB"/>
    <w:rsid w:val="00441037"/>
    <w:rsid w:val="004F00A4"/>
    <w:rsid w:val="00510120"/>
    <w:rsid w:val="005418B4"/>
    <w:rsid w:val="00641B02"/>
    <w:rsid w:val="00697D2D"/>
    <w:rsid w:val="006C6303"/>
    <w:rsid w:val="00740DC9"/>
    <w:rsid w:val="007E08DD"/>
    <w:rsid w:val="00862757"/>
    <w:rsid w:val="008D49DF"/>
    <w:rsid w:val="009E0976"/>
    <w:rsid w:val="00AE438F"/>
    <w:rsid w:val="00AE5E10"/>
    <w:rsid w:val="00B14502"/>
    <w:rsid w:val="00B509BF"/>
    <w:rsid w:val="00BB5C7E"/>
    <w:rsid w:val="00C25604"/>
    <w:rsid w:val="00CE35E0"/>
    <w:rsid w:val="00CF2235"/>
    <w:rsid w:val="00D931FA"/>
    <w:rsid w:val="00DB40F9"/>
    <w:rsid w:val="00EA0331"/>
    <w:rsid w:val="00EF65FB"/>
    <w:rsid w:val="00F5315A"/>
    <w:rsid w:val="00F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102AE"/>
  <w14:defaultImageDpi w14:val="32767"/>
  <w15:chartTrackingRefBased/>
  <w15:docId w15:val="{077785C6-184B-304D-B7B3-0E3DD6D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0976"/>
    <w:rPr>
      <w:rFonts w:ascii="Arial" w:eastAsia="Times New Roman" w:hAnsi="Arial" w:cs="Times New Roman"/>
      <w:lang w:val="en-GB" w:eastAsia="fr-F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5C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0D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0DC9"/>
  </w:style>
  <w:style w:type="paragraph" w:styleId="AltBilgi">
    <w:name w:val="footer"/>
    <w:basedOn w:val="Normal"/>
    <w:link w:val="AltBilgiChar"/>
    <w:uiPriority w:val="99"/>
    <w:unhideWhenUsed/>
    <w:rsid w:val="00740D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0DC9"/>
  </w:style>
  <w:style w:type="paragraph" w:customStyle="1" w:styleId="DipnotMetni1">
    <w:name w:val="Dipnot Metni1"/>
    <w:basedOn w:val="Normal"/>
    <w:next w:val="DipnotMetni"/>
    <w:link w:val="DipnotMetniChar"/>
    <w:uiPriority w:val="99"/>
    <w:semiHidden/>
    <w:unhideWhenUsed/>
    <w:rsid w:val="002A58A4"/>
    <w:rPr>
      <w:rFonts w:asciiTheme="minorHAnsi" w:eastAsiaTheme="minorHAnsi" w:hAnsiTheme="minorHAnsi" w:cstheme="minorBidi"/>
      <w:lang w:val="tr-TR" w:eastAsia="en-US"/>
    </w:rPr>
  </w:style>
  <w:style w:type="character" w:customStyle="1" w:styleId="DipnotMetniChar">
    <w:name w:val="Dipnot Metni Char"/>
    <w:basedOn w:val="VarsaylanParagrafYazTipi"/>
    <w:link w:val="DipnotMetni1"/>
    <w:uiPriority w:val="99"/>
    <w:semiHidden/>
    <w:rsid w:val="002A58A4"/>
  </w:style>
  <w:style w:type="character" w:styleId="DipnotBavurusu">
    <w:name w:val="footnote reference"/>
    <w:basedOn w:val="VarsaylanParagrafYazTipi"/>
    <w:uiPriority w:val="99"/>
    <w:semiHidden/>
    <w:unhideWhenUsed/>
    <w:rsid w:val="002A58A4"/>
    <w:rPr>
      <w:vertAlign w:val="superscript"/>
    </w:rPr>
  </w:style>
  <w:style w:type="character" w:customStyle="1" w:styleId="Kpr1">
    <w:name w:val="Köprü1"/>
    <w:basedOn w:val="VarsaylanParagrafYazTipi"/>
    <w:uiPriority w:val="99"/>
    <w:unhideWhenUsed/>
    <w:rsid w:val="002A58A4"/>
    <w:rPr>
      <w:color w:val="0563C1"/>
      <w:u w:val="single"/>
    </w:rPr>
  </w:style>
  <w:style w:type="paragraph" w:styleId="DipnotMetni">
    <w:name w:val="footnote text"/>
    <w:basedOn w:val="Normal"/>
    <w:link w:val="DipnotMetniChar1"/>
    <w:uiPriority w:val="99"/>
    <w:semiHidden/>
    <w:unhideWhenUsed/>
    <w:rsid w:val="002A58A4"/>
    <w:rPr>
      <w:sz w:val="20"/>
      <w:szCs w:val="20"/>
    </w:rPr>
  </w:style>
  <w:style w:type="character" w:customStyle="1" w:styleId="DipnotMetniChar1">
    <w:name w:val="Dipnot Metni Char1"/>
    <w:basedOn w:val="VarsaylanParagrafYazTipi"/>
    <w:link w:val="DipnotMetni"/>
    <w:uiPriority w:val="99"/>
    <w:semiHidden/>
    <w:rsid w:val="002A58A4"/>
    <w:rPr>
      <w:rFonts w:ascii="Arial" w:eastAsia="Times New Roman" w:hAnsi="Arial" w:cs="Times New Roman"/>
      <w:sz w:val="20"/>
      <w:szCs w:val="20"/>
      <w:lang w:val="en-GB" w:eastAsia="fr-FR"/>
    </w:rPr>
  </w:style>
  <w:style w:type="character" w:styleId="Kpr">
    <w:name w:val="Hyperlink"/>
    <w:basedOn w:val="VarsaylanParagrafYazTipi"/>
    <w:uiPriority w:val="99"/>
    <w:unhideWhenUsed/>
    <w:rsid w:val="002A58A4"/>
    <w:rPr>
      <w:color w:val="0563C1" w:themeColor="hyperlink"/>
      <w:u w:val="single"/>
    </w:rPr>
  </w:style>
  <w:style w:type="character" w:styleId="SonNotBavurusu">
    <w:name w:val="endnote reference"/>
    <w:basedOn w:val="VarsaylanParagrafYazTipi"/>
    <w:uiPriority w:val="99"/>
    <w:semiHidden/>
    <w:unhideWhenUsed/>
    <w:rsid w:val="00145F2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5C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fr-FR"/>
    </w:rPr>
  </w:style>
  <w:style w:type="paragraph" w:styleId="ListeParagraf">
    <w:name w:val="List Paragraph"/>
    <w:basedOn w:val="Normal"/>
    <w:uiPriority w:val="34"/>
    <w:qFormat/>
    <w:rsid w:val="00F823E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rsid w:val="003E4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AAA76CE6-3F51-41DE-9FC9-13348E7E1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64AEE-6874-4D8F-9839-AEF61E9B3504}"/>
</file>

<file path=customXml/itemProps3.xml><?xml version="1.0" encoding="utf-8"?>
<ds:datastoreItem xmlns:ds="http://schemas.openxmlformats.org/officeDocument/2006/customXml" ds:itemID="{549861D5-F0D0-427F-A7B3-96827FD43638}"/>
</file>

<file path=customXml/itemProps4.xml><?xml version="1.0" encoding="utf-8"?>
<ds:datastoreItem xmlns:ds="http://schemas.openxmlformats.org/officeDocument/2006/customXml" ds:itemID="{D2FDB5B9-20ED-497C-BAA0-3B4F8EC71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göç araştırmaları</dc:creator>
  <cp:keywords/>
  <dc:description/>
  <cp:lastModifiedBy>Hakan Ünay</cp:lastModifiedBy>
  <cp:revision>18</cp:revision>
  <cp:lastPrinted>2021-08-18T12:39:00Z</cp:lastPrinted>
  <dcterms:created xsi:type="dcterms:W3CDTF">2022-02-27T23:17:00Z</dcterms:created>
  <dcterms:modified xsi:type="dcterms:W3CDTF">2022-03-01T07:54:00Z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