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129D" w:rsidRPr="00A4129D" w14:paraId="7BC8446F" w14:textId="77777777" w:rsidTr="00C01462">
        <w:trPr>
          <w:cantSplit/>
          <w:trHeight w:hRule="exact" w:val="851"/>
        </w:trPr>
        <w:tc>
          <w:tcPr>
            <w:tcW w:w="1276" w:type="dxa"/>
            <w:tcBorders>
              <w:bottom w:val="single" w:sz="4" w:space="0" w:color="auto"/>
            </w:tcBorders>
            <w:vAlign w:val="bottom"/>
          </w:tcPr>
          <w:p w14:paraId="2278F33D" w14:textId="77777777" w:rsidR="00307688" w:rsidRPr="00A4129D" w:rsidRDefault="00307688" w:rsidP="00C01462">
            <w:pPr>
              <w:pStyle w:val="SingleTxtG"/>
              <w:rPr>
                <w:lang w:val="en-US"/>
              </w:rPr>
            </w:pPr>
          </w:p>
        </w:tc>
        <w:tc>
          <w:tcPr>
            <w:tcW w:w="2268" w:type="dxa"/>
            <w:tcBorders>
              <w:bottom w:val="single" w:sz="4" w:space="0" w:color="auto"/>
            </w:tcBorders>
            <w:vAlign w:val="bottom"/>
          </w:tcPr>
          <w:p w14:paraId="15182934" w14:textId="77777777" w:rsidR="00307688" w:rsidRPr="00A4129D" w:rsidRDefault="00307688" w:rsidP="00C01462">
            <w:pPr>
              <w:spacing w:after="80" w:line="300" w:lineRule="exact"/>
              <w:rPr>
                <w:b/>
                <w:sz w:val="24"/>
                <w:szCs w:val="24"/>
              </w:rPr>
            </w:pPr>
            <w:r w:rsidRPr="00A4129D">
              <w:rPr>
                <w:sz w:val="28"/>
                <w:szCs w:val="28"/>
              </w:rPr>
              <w:t>United Nations</w:t>
            </w:r>
          </w:p>
        </w:tc>
        <w:tc>
          <w:tcPr>
            <w:tcW w:w="6095" w:type="dxa"/>
            <w:gridSpan w:val="2"/>
            <w:tcBorders>
              <w:bottom w:val="single" w:sz="4" w:space="0" w:color="auto"/>
            </w:tcBorders>
            <w:vAlign w:val="bottom"/>
          </w:tcPr>
          <w:p w14:paraId="5AF172A7" w14:textId="7A610C03" w:rsidR="00307688" w:rsidRPr="00A4129D" w:rsidRDefault="0021116C" w:rsidP="00E01464">
            <w:pPr>
              <w:suppressAutoHyphens w:val="0"/>
              <w:spacing w:after="20"/>
              <w:jc w:val="right"/>
            </w:pPr>
            <w:r w:rsidRPr="00A4129D">
              <w:rPr>
                <w:sz w:val="40"/>
              </w:rPr>
              <w:t>CERD</w:t>
            </w:r>
          </w:p>
        </w:tc>
      </w:tr>
      <w:tr w:rsidR="00A4129D" w:rsidRPr="00A4129D" w14:paraId="30C15AB7" w14:textId="77777777" w:rsidTr="00C01462">
        <w:trPr>
          <w:cantSplit/>
          <w:trHeight w:hRule="exact" w:val="2835"/>
        </w:trPr>
        <w:tc>
          <w:tcPr>
            <w:tcW w:w="1276" w:type="dxa"/>
            <w:tcBorders>
              <w:top w:val="single" w:sz="4" w:space="0" w:color="auto"/>
              <w:bottom w:val="single" w:sz="12" w:space="0" w:color="auto"/>
            </w:tcBorders>
          </w:tcPr>
          <w:p w14:paraId="4CF65960" w14:textId="248D2C36" w:rsidR="00307688" w:rsidRPr="00A4129D" w:rsidRDefault="00307688" w:rsidP="00C01462">
            <w:pPr>
              <w:spacing w:before="120"/>
              <w:jc w:val="center"/>
            </w:pPr>
          </w:p>
        </w:tc>
        <w:tc>
          <w:tcPr>
            <w:tcW w:w="5528" w:type="dxa"/>
            <w:gridSpan w:val="2"/>
            <w:tcBorders>
              <w:top w:val="single" w:sz="4" w:space="0" w:color="auto"/>
              <w:bottom w:val="single" w:sz="12" w:space="0" w:color="auto"/>
            </w:tcBorders>
          </w:tcPr>
          <w:p w14:paraId="21CF85E1" w14:textId="011A0D47" w:rsidR="00307688" w:rsidRPr="00A4129D" w:rsidRDefault="00E01464" w:rsidP="00362F9A">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314FBF96" w14:textId="79E0A94C" w:rsidR="00307688" w:rsidRPr="00A4129D" w:rsidRDefault="0021116C" w:rsidP="0021116C">
            <w:pPr>
              <w:suppressAutoHyphens w:val="0"/>
              <w:spacing w:before="240" w:line="240" w:lineRule="exact"/>
            </w:pPr>
            <w:r w:rsidRPr="00A4129D">
              <w:t xml:space="preserve">Distr.: </w:t>
            </w:r>
            <w:r w:rsidR="002B353C">
              <w:t>General</w:t>
            </w:r>
          </w:p>
          <w:p w14:paraId="5B75B5D5" w14:textId="0006A051" w:rsidR="0021116C" w:rsidRPr="00A4129D" w:rsidRDefault="002B353C" w:rsidP="0021116C">
            <w:pPr>
              <w:suppressAutoHyphens w:val="0"/>
            </w:pPr>
            <w:r>
              <w:t>25 April 2022</w:t>
            </w:r>
          </w:p>
          <w:p w14:paraId="4DCD8C23" w14:textId="77777777" w:rsidR="0093667F" w:rsidRPr="00A4129D" w:rsidRDefault="0093667F" w:rsidP="003A45C1">
            <w:pPr>
              <w:suppressAutoHyphens w:val="0"/>
            </w:pPr>
          </w:p>
          <w:p w14:paraId="6185F9CC" w14:textId="77777777" w:rsidR="0021116C" w:rsidRPr="00A4129D" w:rsidRDefault="0093667F" w:rsidP="003A45C1">
            <w:pPr>
              <w:suppressAutoHyphens w:val="0"/>
            </w:pPr>
            <w:r w:rsidRPr="00A4129D">
              <w:t xml:space="preserve">Original: </w:t>
            </w:r>
            <w:r w:rsidR="0021116C" w:rsidRPr="00A4129D">
              <w:t>English</w:t>
            </w:r>
          </w:p>
          <w:p w14:paraId="6BCCF434" w14:textId="1940EDFD" w:rsidR="001E0BD4" w:rsidRPr="00A4129D" w:rsidRDefault="001E0BD4" w:rsidP="003A45C1">
            <w:pPr>
              <w:suppressAutoHyphens w:val="0"/>
            </w:pPr>
          </w:p>
        </w:tc>
      </w:tr>
    </w:tbl>
    <w:p w14:paraId="04C1E0A5" w14:textId="634E1E78" w:rsidR="00F06DAB" w:rsidRDefault="00F06DAB" w:rsidP="00F06DAB">
      <w:pPr>
        <w:spacing w:before="120"/>
        <w:rPr>
          <w:b/>
          <w:bCs/>
          <w:sz w:val="24"/>
          <w:szCs w:val="24"/>
        </w:rPr>
      </w:pPr>
      <w:r w:rsidRPr="00A4129D">
        <w:rPr>
          <w:b/>
          <w:bCs/>
          <w:sz w:val="24"/>
          <w:szCs w:val="24"/>
        </w:rPr>
        <w:t xml:space="preserve">Committee on the Elimination of Racial Discrimination </w:t>
      </w:r>
    </w:p>
    <w:p w14:paraId="46F3BFDA" w14:textId="0A0160C7" w:rsidR="002B353C" w:rsidRPr="00A4129D" w:rsidRDefault="002B353C" w:rsidP="002B353C">
      <w:pPr>
        <w:pStyle w:val="HChG"/>
      </w:pPr>
      <w:r>
        <w:tab/>
      </w:r>
      <w:r>
        <w:tab/>
      </w:r>
      <w:r w:rsidRPr="002B353C">
        <w:t>Rules of Procedure of the ad hoc Conciliation Commission on the interstate communication submitted by the State of Palestine against Israel under article 11 of the International Convention on the Elimination of All Forms of Racial Discrimination</w:t>
      </w:r>
    </w:p>
    <w:p w14:paraId="0CD06720" w14:textId="59E7E43D" w:rsidR="002B353C" w:rsidRDefault="002B353C">
      <w:pPr>
        <w:suppressAutoHyphens w:val="0"/>
        <w:spacing w:after="200" w:line="276" w:lineRule="auto"/>
        <w:rPr>
          <w:rFonts w:eastAsia="MS Mincho"/>
          <w:u w:val="single"/>
          <w:lang w:eastAsia="zh-CN"/>
        </w:rPr>
      </w:pPr>
      <w:r>
        <w:rPr>
          <w:rFonts w:eastAsia="MS Mincho"/>
          <w:u w:val="single"/>
        </w:rPr>
        <w:br w:type="page"/>
      </w:r>
    </w:p>
    <w:p w14:paraId="2FD815B2" w14:textId="77777777" w:rsidR="002B353C" w:rsidRPr="00662035" w:rsidRDefault="002B353C" w:rsidP="002B353C">
      <w:pPr>
        <w:pStyle w:val="HChG"/>
        <w:rPr>
          <w:sz w:val="24"/>
          <w:szCs w:val="24"/>
          <w:u w:val="single"/>
        </w:rPr>
      </w:pPr>
      <w:r w:rsidRPr="00662035">
        <w:rPr>
          <w:sz w:val="24"/>
          <w:szCs w:val="24"/>
          <w:u w:val="single"/>
        </w:rPr>
        <w:lastRenderedPageBreak/>
        <w:t xml:space="preserve">Contents </w:t>
      </w:r>
    </w:p>
    <w:p w14:paraId="0FC50F74" w14:textId="77777777" w:rsidR="002B353C" w:rsidRDefault="002B353C" w:rsidP="002B353C">
      <w:pPr>
        <w:rPr>
          <w:b/>
        </w:rPr>
      </w:pPr>
      <w:r>
        <w:tab/>
      </w:r>
      <w:r>
        <w:tab/>
      </w:r>
      <w:r w:rsidRPr="00662035">
        <w:rPr>
          <w:b/>
        </w:rPr>
        <w:t>Preamble</w:t>
      </w:r>
    </w:p>
    <w:p w14:paraId="15EE9B0D" w14:textId="77777777" w:rsidR="002B353C" w:rsidRPr="00662035" w:rsidRDefault="002B353C" w:rsidP="002B353C">
      <w:pPr>
        <w:rPr>
          <w:b/>
        </w:rPr>
      </w:pPr>
    </w:p>
    <w:p w14:paraId="7DBF0741"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1: Application of the Rules</w:t>
      </w:r>
    </w:p>
    <w:p w14:paraId="24863809" w14:textId="77777777" w:rsidR="002B353C" w:rsidRPr="00875BC8" w:rsidRDefault="002B353C" w:rsidP="002B353C">
      <w:pPr>
        <w:tabs>
          <w:tab w:val="left" w:pos="1701"/>
          <w:tab w:val="left" w:pos="2268"/>
        </w:tabs>
        <w:spacing w:after="120"/>
        <w:ind w:left="1134" w:right="1134"/>
        <w:jc w:val="both"/>
        <w:rPr>
          <w:rFonts w:eastAsia="SimSun"/>
          <w:sz w:val="22"/>
          <w:szCs w:val="22"/>
          <w:lang w:eastAsia="zh-CN"/>
        </w:rPr>
      </w:pPr>
      <w:r w:rsidRPr="00875BC8">
        <w:rPr>
          <w:rFonts w:eastAsia="SimSun"/>
          <w:b/>
          <w:sz w:val="22"/>
          <w:szCs w:val="22"/>
          <w:lang w:eastAsia="zh-CN"/>
        </w:rPr>
        <w:t>Rule 2: Role of the Commission</w:t>
      </w:r>
      <w:r w:rsidRPr="00875BC8">
        <w:rPr>
          <w:rFonts w:eastAsia="SimSun"/>
          <w:sz w:val="22"/>
          <w:szCs w:val="22"/>
          <w:lang w:eastAsia="zh-CN"/>
        </w:rPr>
        <w:t xml:space="preserve"> </w:t>
      </w:r>
    </w:p>
    <w:p w14:paraId="4C2068A4" w14:textId="77777777" w:rsidR="002B353C" w:rsidRPr="00875BC8" w:rsidRDefault="002B353C" w:rsidP="002B353C">
      <w:pPr>
        <w:tabs>
          <w:tab w:val="left" w:pos="1701"/>
          <w:tab w:val="left" w:pos="2268"/>
        </w:tabs>
        <w:spacing w:after="120"/>
        <w:ind w:left="1134" w:right="1134"/>
        <w:jc w:val="both"/>
        <w:rPr>
          <w:rFonts w:eastAsia="SimSun"/>
          <w:sz w:val="22"/>
          <w:szCs w:val="22"/>
          <w:lang w:eastAsia="zh-CN"/>
        </w:rPr>
      </w:pPr>
      <w:r w:rsidRPr="00875BC8">
        <w:rPr>
          <w:rFonts w:eastAsia="SimSun"/>
          <w:b/>
          <w:sz w:val="22"/>
          <w:szCs w:val="22"/>
          <w:lang w:eastAsia="zh-CN"/>
        </w:rPr>
        <w:t>Rule 3 Membership of the Commission and filling of vacancies</w:t>
      </w:r>
    </w:p>
    <w:p w14:paraId="125B3E56"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4: Chairpersonship </w:t>
      </w:r>
    </w:p>
    <w:p w14:paraId="51732C27"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5: Solemn declaration </w:t>
      </w:r>
    </w:p>
    <w:p w14:paraId="4A71B5E0"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6: Place and format of the meetings</w:t>
      </w:r>
    </w:p>
    <w:p w14:paraId="075B26D3"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7: Languages</w:t>
      </w:r>
    </w:p>
    <w:p w14:paraId="4EED14F7"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8: Secretariat </w:t>
      </w:r>
    </w:p>
    <w:p w14:paraId="784A16ED"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9</w:t>
      </w:r>
      <w:r w:rsidRPr="00875BC8">
        <w:rPr>
          <w:rFonts w:eastAsia="SimSun"/>
          <w:lang w:eastAsia="zh-CN"/>
        </w:rPr>
        <w:t xml:space="preserve">: </w:t>
      </w:r>
      <w:r w:rsidRPr="00875BC8">
        <w:rPr>
          <w:rFonts w:eastAsia="SimSun"/>
          <w:b/>
          <w:sz w:val="22"/>
          <w:szCs w:val="22"/>
          <w:lang w:eastAsia="zh-CN"/>
        </w:rPr>
        <w:t xml:space="preserve">Distribution of official documents </w:t>
      </w:r>
    </w:p>
    <w:p w14:paraId="4D5E8213"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10: Transmission of information to members of the Commission </w:t>
      </w:r>
    </w:p>
    <w:p w14:paraId="3DB0F608"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11: Disclosure of information </w:t>
      </w:r>
    </w:p>
    <w:p w14:paraId="48DB76A9"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12: Meetings of the Commission </w:t>
      </w:r>
    </w:p>
    <w:p w14:paraId="2663FE7F"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13: Communication with the States Parties</w:t>
      </w:r>
    </w:p>
    <w:p w14:paraId="65272474"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14: Interlocutory matters </w:t>
      </w:r>
    </w:p>
    <w:p w14:paraId="29AE5992"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15: Co-operation of parties with the Commission</w:t>
      </w:r>
    </w:p>
    <w:p w14:paraId="20AF114E"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16: Confidentiality</w:t>
      </w:r>
    </w:p>
    <w:p w14:paraId="773799F3" w14:textId="77777777" w:rsidR="002B353C" w:rsidRPr="00875BC8" w:rsidRDefault="002B353C" w:rsidP="002B353C">
      <w:pPr>
        <w:tabs>
          <w:tab w:val="left" w:pos="1701"/>
          <w:tab w:val="left" w:pos="2268"/>
        </w:tabs>
        <w:spacing w:after="120"/>
        <w:ind w:left="1134" w:right="1134"/>
        <w:jc w:val="both"/>
        <w:rPr>
          <w:rFonts w:eastAsia="SimSun"/>
          <w:lang w:eastAsia="zh-CN"/>
        </w:rPr>
      </w:pPr>
      <w:r w:rsidRPr="00875BC8">
        <w:rPr>
          <w:rFonts w:eastAsia="SimSun"/>
          <w:b/>
          <w:sz w:val="22"/>
          <w:szCs w:val="22"/>
          <w:lang w:eastAsia="zh-CN"/>
        </w:rPr>
        <w:t xml:space="preserve">Rule 17: Decisions  </w:t>
      </w:r>
    </w:p>
    <w:p w14:paraId="2B19FD75"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18: Report of the Commission </w:t>
      </w:r>
    </w:p>
    <w:p w14:paraId="1F1D46D9" w14:textId="77777777"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 xml:space="preserve">Rule 19: Content of the report </w:t>
      </w:r>
    </w:p>
    <w:p w14:paraId="4133C867" w14:textId="7526A9AE" w:rsidR="002B353C" w:rsidRDefault="002B353C" w:rsidP="002B353C">
      <w:pPr>
        <w:tabs>
          <w:tab w:val="left" w:pos="1701"/>
          <w:tab w:val="left" w:pos="2268"/>
        </w:tabs>
        <w:spacing w:after="120"/>
        <w:ind w:left="1134" w:right="1134"/>
        <w:jc w:val="both"/>
        <w:rPr>
          <w:rFonts w:eastAsia="SimSun"/>
          <w:b/>
          <w:sz w:val="22"/>
          <w:szCs w:val="22"/>
          <w:lang w:eastAsia="zh-CN"/>
        </w:rPr>
      </w:pPr>
      <w:r w:rsidRPr="00875BC8">
        <w:rPr>
          <w:rFonts w:eastAsia="SimSun"/>
          <w:b/>
          <w:sz w:val="22"/>
          <w:szCs w:val="22"/>
          <w:lang w:eastAsia="zh-CN"/>
        </w:rPr>
        <w:t>Rule 20: Final provisions</w:t>
      </w:r>
    </w:p>
    <w:p w14:paraId="67487E41" w14:textId="77777777" w:rsidR="002B353C" w:rsidRDefault="002B353C">
      <w:pPr>
        <w:suppressAutoHyphens w:val="0"/>
        <w:spacing w:after="200" w:line="276" w:lineRule="auto"/>
        <w:rPr>
          <w:rFonts w:eastAsia="SimSun"/>
          <w:b/>
          <w:sz w:val="22"/>
          <w:szCs w:val="22"/>
          <w:lang w:eastAsia="zh-CN"/>
        </w:rPr>
      </w:pPr>
      <w:r>
        <w:rPr>
          <w:rFonts w:eastAsia="SimSun"/>
          <w:b/>
          <w:sz w:val="22"/>
          <w:szCs w:val="22"/>
          <w:lang w:eastAsia="zh-CN"/>
        </w:rPr>
        <w:br w:type="page"/>
      </w:r>
    </w:p>
    <w:p w14:paraId="07C98639" w14:textId="34C86657" w:rsidR="002B353C" w:rsidRPr="006F5DDA" w:rsidRDefault="002B353C" w:rsidP="002B353C">
      <w:pPr>
        <w:pStyle w:val="HChG"/>
        <w:rPr>
          <w:sz w:val="22"/>
          <w:szCs w:val="22"/>
        </w:rPr>
      </w:pPr>
      <w:r>
        <w:rPr>
          <w:sz w:val="22"/>
          <w:szCs w:val="22"/>
        </w:rPr>
        <w:lastRenderedPageBreak/>
        <w:tab/>
      </w:r>
      <w:r>
        <w:rPr>
          <w:sz w:val="22"/>
          <w:szCs w:val="22"/>
        </w:rPr>
        <w:tab/>
      </w:r>
      <w:r w:rsidRPr="006F5DDA">
        <w:rPr>
          <w:sz w:val="22"/>
          <w:szCs w:val="22"/>
        </w:rPr>
        <w:t>Preamble</w:t>
      </w:r>
    </w:p>
    <w:p w14:paraId="592EF792" w14:textId="77777777" w:rsidR="002B353C" w:rsidRDefault="002B353C" w:rsidP="002B353C">
      <w:pPr>
        <w:pStyle w:val="SingleTxtG"/>
      </w:pPr>
      <w:r>
        <w:tab/>
        <w:t>The ad hoc Conciliation Commission (the Commission), established pursuant to article 12 of the Convention on the Elimination of All Forms of Racial Discrimination (the Convention), following the inter-state communication submitted by the State of Palestine against Israel to the Committee on the Elimination of Racial Discrimination (the Committee) under article 11 of the Convention;</w:t>
      </w:r>
    </w:p>
    <w:p w14:paraId="79DC8516" w14:textId="77777777" w:rsidR="002B353C" w:rsidRDefault="002B353C" w:rsidP="002B353C">
      <w:pPr>
        <w:pStyle w:val="SingleTxtG"/>
      </w:pPr>
      <w:r>
        <w:t>Having regard to:</w:t>
      </w:r>
    </w:p>
    <w:p w14:paraId="1BEA9029" w14:textId="77777777" w:rsidR="002B353C" w:rsidRDefault="002B353C" w:rsidP="002B353C">
      <w:pPr>
        <w:pStyle w:val="SingleTxtG"/>
        <w:ind w:left="1701"/>
      </w:pPr>
      <w:r>
        <w:t>‒ articles 11, 12 and 13 of the Convention; rules 21, 23, 25, 26, 35, 61, 72, 73, 74, 75, 76, 77, 78 and 79 of the Rules of Procedure of the Committee;</w:t>
      </w:r>
    </w:p>
    <w:p w14:paraId="10A92F6B" w14:textId="77777777" w:rsidR="002B353C" w:rsidRDefault="002B353C" w:rsidP="002B353C">
      <w:pPr>
        <w:pStyle w:val="SingleTxtG"/>
        <w:ind w:left="1701"/>
      </w:pPr>
      <w:r>
        <w:t>‒ the decision on jurisdiction in the inter-state communication</w:t>
      </w:r>
      <w:r w:rsidRPr="00EC0124">
        <w:t xml:space="preserve"> </w:t>
      </w:r>
      <w:r>
        <w:t>submitted by the State of Palestine against Israel, adopted by the Committee on 12 December 2019, during its 100</w:t>
      </w:r>
      <w:r w:rsidRPr="00D860FE">
        <w:rPr>
          <w:vertAlign w:val="superscript"/>
        </w:rPr>
        <w:t>th</w:t>
      </w:r>
      <w:r>
        <w:t xml:space="preserve"> session;</w:t>
      </w:r>
    </w:p>
    <w:p w14:paraId="458CCA07" w14:textId="77777777" w:rsidR="002B353C" w:rsidRDefault="002B353C" w:rsidP="002B353C">
      <w:pPr>
        <w:pStyle w:val="SingleTxtG"/>
        <w:ind w:left="1701"/>
      </w:pPr>
      <w:r>
        <w:t>‒ the decision on the admissibility of the inter-State communication submitted by the State of Palestine against Israel, adopted by the Committee on 30 April 2021 at its 103</w:t>
      </w:r>
      <w:r w:rsidRPr="00D860FE">
        <w:rPr>
          <w:vertAlign w:val="superscript"/>
        </w:rPr>
        <w:t>rd</w:t>
      </w:r>
      <w:r>
        <w:t xml:space="preserve"> session, requesting the Chair to carry out consultations with the States parties concerned on the composition of the Commission; </w:t>
      </w:r>
    </w:p>
    <w:p w14:paraId="452F4430" w14:textId="77777777" w:rsidR="002B353C" w:rsidRDefault="002B353C" w:rsidP="002B353C">
      <w:pPr>
        <w:pStyle w:val="SingleTxtG"/>
        <w:ind w:left="1701"/>
      </w:pPr>
      <w:r>
        <w:t xml:space="preserve">‒ </w:t>
      </w:r>
      <w:proofErr w:type="gramStart"/>
      <w:r>
        <w:t>the</w:t>
      </w:r>
      <w:proofErr w:type="gramEnd"/>
      <w:r>
        <w:t xml:space="preserve"> decision on the election of the Commission among the Committee’s members, pursuant to article 12 (1)(b) of the Convention, adopted by the Committee on 30 November 2021, during its 105</w:t>
      </w:r>
      <w:r w:rsidRPr="00D860FE">
        <w:rPr>
          <w:vertAlign w:val="superscript"/>
        </w:rPr>
        <w:t>th</w:t>
      </w:r>
      <w:r>
        <w:t xml:space="preserve"> session, </w:t>
      </w:r>
    </w:p>
    <w:p w14:paraId="679C6048" w14:textId="4157B084" w:rsidR="002B353C" w:rsidRPr="00875BC8" w:rsidRDefault="002B353C" w:rsidP="002B353C">
      <w:pPr>
        <w:tabs>
          <w:tab w:val="left" w:pos="1701"/>
          <w:tab w:val="left" w:pos="2268"/>
        </w:tabs>
        <w:spacing w:after="120"/>
        <w:ind w:left="1134" w:right="1134"/>
        <w:jc w:val="both"/>
        <w:rPr>
          <w:rFonts w:eastAsia="SimSun"/>
          <w:b/>
          <w:sz w:val="22"/>
          <w:szCs w:val="22"/>
          <w:lang w:eastAsia="zh-CN"/>
        </w:rPr>
      </w:pPr>
      <w:r>
        <w:t>Adopts the following Rules of Procedure:</w:t>
      </w:r>
    </w:p>
    <w:p w14:paraId="4AD09515" w14:textId="7C968042" w:rsidR="002B353C" w:rsidRPr="005B0D24" w:rsidRDefault="002B353C" w:rsidP="002B353C">
      <w:pPr>
        <w:pStyle w:val="H23G"/>
      </w:pPr>
      <w:r>
        <w:tab/>
      </w:r>
      <w:r>
        <w:tab/>
      </w:r>
      <w:r w:rsidRPr="005B0D24">
        <w:t>Rule 1: Application of the Rules</w:t>
      </w:r>
    </w:p>
    <w:p w14:paraId="3EF4360C" w14:textId="77777777" w:rsidR="002B353C" w:rsidRDefault="002B353C" w:rsidP="002B353C">
      <w:pPr>
        <w:pStyle w:val="SingleTxtG"/>
      </w:pPr>
      <w:r>
        <w:t>1</w:t>
      </w:r>
      <w:r>
        <w:tab/>
        <w:t xml:space="preserve">These Rules apply to the conciliation of the dispute arising out of the communication submitted by the State of Palestine against Israel (States Parties) before the Committee on the Elimination of Racial Discrimination, under article 11 of the Convention. </w:t>
      </w:r>
    </w:p>
    <w:p w14:paraId="39CA4805" w14:textId="77777777" w:rsidR="002B353C" w:rsidRDefault="002B353C" w:rsidP="002B353C">
      <w:pPr>
        <w:pStyle w:val="SingleTxtG"/>
      </w:pPr>
      <w:r>
        <w:t>2</w:t>
      </w:r>
      <w:r>
        <w:tab/>
        <w:t>These rules aim at facilitating the Commission in its mission of making its good offices available to the States concerned with a view to reaching an amicable solution of the matter.</w:t>
      </w:r>
    </w:p>
    <w:p w14:paraId="2039C39B" w14:textId="77777777" w:rsidR="002B353C" w:rsidRDefault="002B353C" w:rsidP="002B353C">
      <w:pPr>
        <w:pStyle w:val="SingleTxtG"/>
      </w:pPr>
      <w:r>
        <w:t>3.</w:t>
      </w:r>
      <w:r>
        <w:tab/>
        <w:t xml:space="preserve"> The Commission shall have the power to interpret the provisions of the Convention and these Rules as necessary.</w:t>
      </w:r>
      <w:r w:rsidRPr="00000A84">
        <w:t xml:space="preserve"> </w:t>
      </w:r>
    </w:p>
    <w:p w14:paraId="6311D857" w14:textId="77777777" w:rsidR="002B353C" w:rsidRDefault="002B353C" w:rsidP="002B353C">
      <w:pPr>
        <w:pStyle w:val="SingleTxtG"/>
      </w:pPr>
      <w:r>
        <w:t>4</w:t>
      </w:r>
      <w:r>
        <w:tab/>
      </w:r>
      <w:r w:rsidRPr="0005059E">
        <w:t>The Commission is expected to complete its mandate within a reasonable timeframe until the matter is fully considered.</w:t>
      </w:r>
    </w:p>
    <w:p w14:paraId="3EA562F0" w14:textId="09ADC260" w:rsidR="002B353C" w:rsidRPr="005B0D24" w:rsidRDefault="002B353C" w:rsidP="002B353C">
      <w:pPr>
        <w:pStyle w:val="H23G"/>
      </w:pPr>
      <w:r>
        <w:tab/>
      </w:r>
      <w:r>
        <w:tab/>
        <w:t>Rule 2</w:t>
      </w:r>
      <w:r w:rsidRPr="005B0D24">
        <w:t xml:space="preserve">: Role of the Commission </w:t>
      </w:r>
    </w:p>
    <w:p w14:paraId="69D16927" w14:textId="77777777" w:rsidR="002B353C" w:rsidRDefault="002B353C" w:rsidP="002B353C">
      <w:pPr>
        <w:pStyle w:val="SingleTxtG"/>
      </w:pPr>
      <w:r>
        <w:t>1</w:t>
      </w:r>
      <w:r>
        <w:tab/>
        <w:t>The mandate of the Commission is to make available its good offices</w:t>
      </w:r>
      <w:r w:rsidRPr="002D6EE4">
        <w:t xml:space="preserve"> to the States concerned with a view to an amicable solution of the matter on the basis of respect for </w:t>
      </w:r>
      <w:r>
        <w:t>the Convention.</w:t>
      </w:r>
    </w:p>
    <w:p w14:paraId="21BBE073" w14:textId="77777777" w:rsidR="002B353C" w:rsidRDefault="002B353C" w:rsidP="002B353C">
      <w:pPr>
        <w:pStyle w:val="SingleTxtG"/>
      </w:pPr>
      <w:r>
        <w:t>2</w:t>
      </w:r>
      <w:r>
        <w:tab/>
        <w:t xml:space="preserve">The Commission will be guided by principles of impartiality, objectivity, fairness and justice, giving consideration to the obligations of the parties regarding the Convention. </w:t>
      </w:r>
    </w:p>
    <w:p w14:paraId="3F9E691B" w14:textId="77777777" w:rsidR="002B353C" w:rsidRDefault="002B353C" w:rsidP="002B353C">
      <w:pPr>
        <w:pStyle w:val="SingleTxtG"/>
      </w:pPr>
      <w:r>
        <w:t>3</w:t>
      </w:r>
      <w:r>
        <w:tab/>
        <w:t xml:space="preserve">The Commission shall consider the matter on the basis of information made available to it by the Committee as well as other relevant information supplied by the States Parties or obtained from any other relevant sources. It may also decide to hear oral statements from the States Parties. </w:t>
      </w:r>
    </w:p>
    <w:p w14:paraId="3B32F5AB" w14:textId="30490DF6" w:rsidR="002B353C" w:rsidRPr="005B0D24" w:rsidRDefault="002B353C" w:rsidP="002B353C">
      <w:pPr>
        <w:pStyle w:val="H23G"/>
      </w:pPr>
      <w:r>
        <w:tab/>
      </w:r>
      <w:r>
        <w:tab/>
      </w:r>
      <w:r>
        <w:tab/>
      </w:r>
      <w:r w:rsidRPr="005B0D24">
        <w:t xml:space="preserve">Rule </w:t>
      </w:r>
      <w:r>
        <w:t xml:space="preserve">3 </w:t>
      </w:r>
      <w:r w:rsidRPr="005B0D24">
        <w:t>Membership of the Commission</w:t>
      </w:r>
      <w:r w:rsidRPr="00837AA0">
        <w:t xml:space="preserve"> </w:t>
      </w:r>
      <w:r>
        <w:t>and f</w:t>
      </w:r>
      <w:r w:rsidRPr="005B0D24">
        <w:t>illing of vacancies</w:t>
      </w:r>
    </w:p>
    <w:p w14:paraId="2D077830" w14:textId="77777777" w:rsidR="002B353C" w:rsidRDefault="002B353C" w:rsidP="002B353C">
      <w:pPr>
        <w:pStyle w:val="SingleTxtG"/>
        <w:numPr>
          <w:ilvl w:val="0"/>
          <w:numId w:val="24"/>
        </w:numPr>
        <w:tabs>
          <w:tab w:val="left" w:pos="1701"/>
          <w:tab w:val="left" w:pos="2268"/>
        </w:tabs>
      </w:pPr>
      <w:r>
        <w:t xml:space="preserve">The members of the Commission shall serve in their personal capacity. </w:t>
      </w:r>
    </w:p>
    <w:p w14:paraId="129AA5D4" w14:textId="77777777" w:rsidR="002B353C" w:rsidRDefault="002B353C" w:rsidP="002B353C">
      <w:pPr>
        <w:pStyle w:val="SingleTxtG"/>
        <w:numPr>
          <w:ilvl w:val="0"/>
          <w:numId w:val="24"/>
        </w:numPr>
        <w:tabs>
          <w:tab w:val="left" w:pos="1701"/>
          <w:tab w:val="left" w:pos="2268"/>
        </w:tabs>
      </w:pPr>
      <w:r>
        <w:t>The term of the elected Members of the Commission will end with the mandate of the Commission.</w:t>
      </w:r>
    </w:p>
    <w:p w14:paraId="51D86811" w14:textId="77777777" w:rsidR="002B353C" w:rsidRDefault="002B353C" w:rsidP="002B353C">
      <w:pPr>
        <w:pStyle w:val="SingleTxtG"/>
      </w:pPr>
      <w:r>
        <w:t>3</w:t>
      </w:r>
      <w:r>
        <w:tab/>
        <w:t xml:space="preserve">Whenever a vacancy arises in the Commission, the Chair of the Committee shall fill the vacancy as soon as possible in accordance with procedures laid down in rules 72 to 74 of </w:t>
      </w:r>
      <w:r>
        <w:lastRenderedPageBreak/>
        <w:t xml:space="preserve">the Rules of the Committee. He/she shall proceed with filling such vacancy upon receipt of a notification through the Secretariat. </w:t>
      </w:r>
    </w:p>
    <w:p w14:paraId="761D3AE6" w14:textId="1365E330" w:rsidR="002B353C" w:rsidRPr="005B0D24" w:rsidRDefault="002B353C" w:rsidP="002B353C">
      <w:pPr>
        <w:pStyle w:val="H23G"/>
      </w:pPr>
      <w:r>
        <w:tab/>
      </w:r>
      <w:r>
        <w:tab/>
        <w:t>Rule 4</w:t>
      </w:r>
      <w:r w:rsidRPr="005B0D24">
        <w:t xml:space="preserve">: Chairpersonship </w:t>
      </w:r>
    </w:p>
    <w:p w14:paraId="5A698AE1" w14:textId="0A654DFE" w:rsidR="002B353C" w:rsidRDefault="002B353C" w:rsidP="002B353C">
      <w:pPr>
        <w:pStyle w:val="SingleTxtG"/>
      </w:pPr>
      <w:r>
        <w:t>1</w:t>
      </w:r>
      <w:r w:rsidR="00AD06E9">
        <w:t>.</w:t>
      </w:r>
      <w:r>
        <w:tab/>
        <w:t>The Commission shall elect its own Chair. The Commission may also elect a Vice-Chair.</w:t>
      </w:r>
    </w:p>
    <w:p w14:paraId="1E01C75C" w14:textId="0BE12C4B" w:rsidR="002B353C" w:rsidRDefault="002B353C" w:rsidP="002B353C">
      <w:pPr>
        <w:pStyle w:val="SingleTxtG"/>
      </w:pPr>
      <w:r>
        <w:t>2</w:t>
      </w:r>
      <w:r w:rsidR="00AD06E9">
        <w:t>.</w:t>
      </w:r>
      <w:r>
        <w:tab/>
      </w:r>
      <w:r w:rsidRPr="004854C3">
        <w:t xml:space="preserve">The Chair of the Commission shall organise </w:t>
      </w:r>
      <w:r w:rsidRPr="00D14877">
        <w:t>its work</w:t>
      </w:r>
      <w:r>
        <w:t xml:space="preserve">, </w:t>
      </w:r>
      <w:r w:rsidRPr="00D14877">
        <w:t xml:space="preserve">preside over its </w:t>
      </w:r>
      <w:r w:rsidRPr="004854C3">
        <w:t>meetings</w:t>
      </w:r>
      <w:r>
        <w:t xml:space="preserve"> and guide the Secretariat</w:t>
      </w:r>
      <w:r w:rsidRPr="004854C3">
        <w:t>.</w:t>
      </w:r>
      <w:r>
        <w:t xml:space="preserve"> </w:t>
      </w:r>
    </w:p>
    <w:p w14:paraId="4549E44C" w14:textId="00B0E7E1" w:rsidR="002B353C" w:rsidRDefault="002B353C" w:rsidP="002B353C">
      <w:pPr>
        <w:pStyle w:val="SingleTxtG"/>
      </w:pPr>
      <w:r>
        <w:t>3</w:t>
      </w:r>
      <w:r w:rsidR="00AD06E9">
        <w:t>.</w:t>
      </w:r>
      <w:r>
        <w:tab/>
        <w:t xml:space="preserve">The Vice-Chair shall substitute for the Chair if the latter is unable to carry out his/her duties or if the post of the Chair is vacant. </w:t>
      </w:r>
    </w:p>
    <w:p w14:paraId="3EC80336" w14:textId="6C209C45" w:rsidR="002B353C" w:rsidRDefault="002B353C" w:rsidP="002B353C">
      <w:pPr>
        <w:pStyle w:val="SingleTxtG"/>
      </w:pPr>
      <w:r>
        <w:t>4</w:t>
      </w:r>
      <w:r w:rsidR="00AD06E9">
        <w:t>.</w:t>
      </w:r>
      <w:r>
        <w:tab/>
        <w:t>If both the Chair and the Vice-Chair are unable to fulfil their duties, or if both posts are vacant, the duties of the Chair shall be discharged by a member of the Commission elected by consensus.</w:t>
      </w:r>
    </w:p>
    <w:p w14:paraId="1A301306" w14:textId="3BF37D08" w:rsidR="002B353C" w:rsidRPr="005B0D24" w:rsidRDefault="002B353C" w:rsidP="002B353C">
      <w:pPr>
        <w:pStyle w:val="H23G"/>
      </w:pPr>
      <w:r>
        <w:tab/>
      </w:r>
      <w:r>
        <w:tab/>
        <w:t>Rule 5</w:t>
      </w:r>
      <w:r w:rsidRPr="005B0D24">
        <w:t xml:space="preserve">: Solemn declaration </w:t>
      </w:r>
    </w:p>
    <w:p w14:paraId="41568FF1" w14:textId="77777777" w:rsidR="002B353C" w:rsidRDefault="002B353C" w:rsidP="002B353C">
      <w:pPr>
        <w:pStyle w:val="SingleTxtG"/>
      </w:pPr>
      <w:r>
        <w:tab/>
        <w:t>Upon assuming his/her duties, each member of the Commission shall make the following solemn declaration at the first meeting of the Commission:</w:t>
      </w:r>
    </w:p>
    <w:p w14:paraId="30DCE452" w14:textId="77777777" w:rsidR="002B353C" w:rsidRDefault="002B353C" w:rsidP="002B353C">
      <w:pPr>
        <w:pStyle w:val="SingleTxtG"/>
      </w:pPr>
      <w:r>
        <w:tab/>
        <w:t>“</w:t>
      </w:r>
      <w:r w:rsidRPr="00735F94">
        <w:rPr>
          <w:i/>
        </w:rPr>
        <w:t>I solemnly declare that I will perform my duties and exercise my powers as a member of the ad hoc Conciliation Commission honourably, faithfully, impartially and conscientiously</w:t>
      </w:r>
      <w:r>
        <w:t xml:space="preserve">.” </w:t>
      </w:r>
    </w:p>
    <w:p w14:paraId="252FFA7A" w14:textId="66EEE6F5" w:rsidR="002B353C" w:rsidRPr="005B0D24" w:rsidRDefault="002B353C" w:rsidP="002B353C">
      <w:pPr>
        <w:pStyle w:val="H23G"/>
      </w:pPr>
      <w:r>
        <w:tab/>
      </w:r>
      <w:r>
        <w:tab/>
        <w:t>Rule 6</w:t>
      </w:r>
      <w:r w:rsidRPr="005B0D24">
        <w:t xml:space="preserve">: Place </w:t>
      </w:r>
      <w:r>
        <w:t xml:space="preserve">and format </w:t>
      </w:r>
      <w:r w:rsidRPr="005B0D24">
        <w:t>of the meetings</w:t>
      </w:r>
    </w:p>
    <w:p w14:paraId="3CA8E83F" w14:textId="51FD350C" w:rsidR="002B353C" w:rsidRDefault="002B353C" w:rsidP="002B353C">
      <w:pPr>
        <w:pStyle w:val="SingleTxtG"/>
      </w:pPr>
      <w:r>
        <w:t>1</w:t>
      </w:r>
      <w:r w:rsidR="00AD06E9">
        <w:t>.</w:t>
      </w:r>
      <w:r>
        <w:tab/>
        <w:t>The meetings of the Commission shall normally be held at the United Nations Headquarters in Geneva or at any other convenient place as determined by the Commission.</w:t>
      </w:r>
    </w:p>
    <w:p w14:paraId="36E28F21" w14:textId="15A5DD0F" w:rsidR="002B353C" w:rsidRDefault="002B353C" w:rsidP="002B353C">
      <w:pPr>
        <w:pStyle w:val="SingleTxtG"/>
      </w:pPr>
      <w:r>
        <w:t>2</w:t>
      </w:r>
      <w:r w:rsidR="00AD06E9">
        <w:t>.</w:t>
      </w:r>
      <w:r>
        <w:tab/>
        <w:t>The Commission may decide to conduct online meetings if necessary. Online meetings will also be subject to paragraphs 6 and 7 of article 12 of the Convention.</w:t>
      </w:r>
    </w:p>
    <w:p w14:paraId="2C99C174" w14:textId="3300A038" w:rsidR="002B353C" w:rsidRPr="005B0D24" w:rsidRDefault="002B353C" w:rsidP="002B353C">
      <w:pPr>
        <w:pStyle w:val="H23G"/>
      </w:pPr>
      <w:r>
        <w:tab/>
      </w:r>
      <w:r>
        <w:tab/>
        <w:t>Rule 7</w:t>
      </w:r>
      <w:r w:rsidRPr="005B0D24">
        <w:t>: Languages</w:t>
      </w:r>
    </w:p>
    <w:p w14:paraId="219F382A" w14:textId="1F2D9727" w:rsidR="002B353C" w:rsidRDefault="002B353C" w:rsidP="002B353C">
      <w:pPr>
        <w:pStyle w:val="SingleTxtG"/>
      </w:pPr>
      <w:r>
        <w:t>1</w:t>
      </w:r>
      <w:r w:rsidR="00AD06E9">
        <w:t>.</w:t>
      </w:r>
      <w:r>
        <w:tab/>
        <w:t>The working language of the Commission shall be English.</w:t>
      </w:r>
    </w:p>
    <w:p w14:paraId="743A5F7F" w14:textId="666029F3" w:rsidR="002B353C" w:rsidRDefault="002B353C" w:rsidP="002B353C">
      <w:pPr>
        <w:pStyle w:val="SingleTxtG"/>
      </w:pPr>
      <w:r>
        <w:t>2</w:t>
      </w:r>
      <w:r w:rsidR="00AD06E9">
        <w:t>.</w:t>
      </w:r>
      <w:r>
        <w:tab/>
        <w:t>Any party to the dispute may however request to use a language other than the UN official languages (</w:t>
      </w:r>
      <w:r w:rsidRPr="00C86E49">
        <w:t>Arabic, Chinese, English, French, Russian and Spanish</w:t>
      </w:r>
      <w:r>
        <w:t>). In this case, it shall itself provide for interpretation into one of the official languages. Interpretation into the other official languages by the interpreters of the Secretariat may be based on the interpretation in the working language.</w:t>
      </w:r>
    </w:p>
    <w:p w14:paraId="7E6E8CD6" w14:textId="0BD4CF33" w:rsidR="002B353C" w:rsidRPr="005B0D24" w:rsidRDefault="002B353C" w:rsidP="002B353C">
      <w:pPr>
        <w:pStyle w:val="H23G"/>
      </w:pPr>
      <w:r>
        <w:tab/>
      </w:r>
      <w:r>
        <w:tab/>
        <w:t>Rule 8</w:t>
      </w:r>
      <w:r w:rsidRPr="005B0D24">
        <w:t xml:space="preserve">: Secretariat </w:t>
      </w:r>
    </w:p>
    <w:p w14:paraId="721DD7C3" w14:textId="77777777" w:rsidR="002B353C" w:rsidRDefault="002B353C" w:rsidP="002B353C">
      <w:pPr>
        <w:pStyle w:val="SingleTxtG"/>
      </w:pPr>
      <w:r>
        <w:t>The Secretariat of the Committee provided in accordance with article 10, paragraph 3, of the Convention shall also service the Commission. In this regard, the Secretariat:</w:t>
      </w:r>
    </w:p>
    <w:p w14:paraId="7DEB54F0" w14:textId="77777777" w:rsidR="002B353C" w:rsidRDefault="002B353C" w:rsidP="00AD06E9">
      <w:pPr>
        <w:pStyle w:val="Bullet1G"/>
      </w:pPr>
      <w:r>
        <w:t>a)</w:t>
      </w:r>
      <w:r>
        <w:tab/>
        <w:t>shall prepare an estimate of the expenses of the members of the Commission to be shared by the States Parties to the dispute upon the members’ approval;</w:t>
      </w:r>
    </w:p>
    <w:p w14:paraId="48267A31" w14:textId="7E593614" w:rsidR="002B353C" w:rsidRDefault="00AD06E9" w:rsidP="00AD06E9">
      <w:pPr>
        <w:pStyle w:val="Bullet1G"/>
      </w:pPr>
      <w:r>
        <w:t>b)</w:t>
      </w:r>
      <w:r w:rsidR="002B353C">
        <w:tab/>
        <w:t>shall be responsible for all the necessary arrangements for meetings of the Commission;</w:t>
      </w:r>
    </w:p>
    <w:p w14:paraId="072A7F26" w14:textId="77777777" w:rsidR="002B353C" w:rsidRDefault="002B353C" w:rsidP="00AD06E9">
      <w:pPr>
        <w:pStyle w:val="Bullet1G"/>
      </w:pPr>
      <w:r>
        <w:t>c)</w:t>
      </w:r>
      <w:r>
        <w:tab/>
        <w:t>shall be responsible for keeping the members of the Commission informed of any questions which may be brought before it for consideration;</w:t>
      </w:r>
    </w:p>
    <w:p w14:paraId="045C8403" w14:textId="77777777" w:rsidR="002B353C" w:rsidRDefault="002B353C" w:rsidP="00AD06E9">
      <w:pPr>
        <w:pStyle w:val="Bullet1G"/>
      </w:pPr>
      <w:r>
        <w:t>d)</w:t>
      </w:r>
      <w:r>
        <w:tab/>
        <w:t xml:space="preserve">shall assist the Commission in the fulfilment of its duties; </w:t>
      </w:r>
    </w:p>
    <w:p w14:paraId="6C412B33" w14:textId="77777777" w:rsidR="002B353C" w:rsidRDefault="002B353C" w:rsidP="00AD06E9">
      <w:pPr>
        <w:pStyle w:val="Bullet1G"/>
      </w:pPr>
      <w:r>
        <w:t>e)</w:t>
      </w:r>
      <w:r>
        <w:tab/>
      </w:r>
      <w:r w:rsidRPr="00D844F7">
        <w:t>shall provide substantive support to the Commission</w:t>
      </w:r>
      <w:r>
        <w:t>;</w:t>
      </w:r>
    </w:p>
    <w:p w14:paraId="235CAF70" w14:textId="77777777" w:rsidR="002B353C" w:rsidRDefault="002B353C" w:rsidP="00AD06E9">
      <w:pPr>
        <w:pStyle w:val="Bullet1G"/>
      </w:pPr>
      <w:r>
        <w:t>f)</w:t>
      </w:r>
      <w:r>
        <w:tab/>
        <w:t xml:space="preserve">shall be the channel for all communications concerning the Commission; </w:t>
      </w:r>
    </w:p>
    <w:p w14:paraId="302BEF99" w14:textId="3462753D" w:rsidR="00A8534D" w:rsidRDefault="002B353C" w:rsidP="00AD06E9">
      <w:pPr>
        <w:pStyle w:val="Bullet1G"/>
      </w:pPr>
      <w:r>
        <w:t>g)</w:t>
      </w:r>
      <w:r>
        <w:tab/>
      </w:r>
      <w:proofErr w:type="gramStart"/>
      <w:r>
        <w:t>shall</w:t>
      </w:r>
      <w:proofErr w:type="gramEnd"/>
      <w:r>
        <w:t xml:space="preserve"> have custody of the archives of the Commission.</w:t>
      </w:r>
    </w:p>
    <w:p w14:paraId="46A5FF81" w14:textId="0CE609F8" w:rsidR="002B353C" w:rsidRPr="005B0D24" w:rsidRDefault="002B353C" w:rsidP="002B353C">
      <w:pPr>
        <w:pStyle w:val="H23G"/>
      </w:pPr>
      <w:r>
        <w:lastRenderedPageBreak/>
        <w:tab/>
      </w:r>
      <w:r>
        <w:tab/>
        <w:t xml:space="preserve">Rule 9: </w:t>
      </w:r>
      <w:r w:rsidRPr="005B0D24">
        <w:t xml:space="preserve">Distribution of official documents </w:t>
      </w:r>
    </w:p>
    <w:p w14:paraId="6947E0FC" w14:textId="77777777" w:rsidR="002B353C" w:rsidRDefault="002B353C" w:rsidP="002B353C">
      <w:pPr>
        <w:pStyle w:val="SingleTxtG"/>
      </w:pPr>
      <w:r>
        <w:t xml:space="preserve">Reports, formal decisions and other official documents of the Commission shall be distributed by the Secretariat to all members of the Commission, to the States Parties to the dispute and, if the Commission so decides, to others concerned. </w:t>
      </w:r>
    </w:p>
    <w:p w14:paraId="058F1DAF" w14:textId="05D7C821" w:rsidR="002B353C" w:rsidRPr="009558C8" w:rsidRDefault="002B353C" w:rsidP="002B353C">
      <w:pPr>
        <w:pStyle w:val="H23G"/>
      </w:pPr>
      <w:r>
        <w:tab/>
      </w:r>
      <w:r>
        <w:tab/>
        <w:t>Rule 10</w:t>
      </w:r>
      <w:r w:rsidRPr="009558C8">
        <w:t xml:space="preserve">: Transmission of information to members of the Commission </w:t>
      </w:r>
    </w:p>
    <w:p w14:paraId="5E7278E5" w14:textId="52B315EF" w:rsidR="002B353C" w:rsidRPr="009558C8" w:rsidRDefault="002B353C" w:rsidP="002B353C">
      <w:pPr>
        <w:pStyle w:val="SingleTxtG"/>
      </w:pPr>
      <w:r>
        <w:t>1</w:t>
      </w:r>
      <w:r w:rsidR="00AD06E9">
        <w:t>.</w:t>
      </w:r>
      <w:r>
        <w:tab/>
      </w:r>
      <w:r w:rsidRPr="009558C8">
        <w:t>The Chair of the Committee shall make available, through the Secretariat</w:t>
      </w:r>
      <w:r>
        <w:t>,</w:t>
      </w:r>
      <w:r w:rsidRPr="009558C8">
        <w:t xml:space="preserve"> the information obtained and collated by the Committee in relation to articles 11 and 12 of the Convention to the members of the Commission</w:t>
      </w:r>
      <w:r>
        <w:t>,</w:t>
      </w:r>
      <w:r w:rsidRPr="009558C8">
        <w:t xml:space="preserve"> at the time of notifying the members of the Commission of the date of the first meeting. </w:t>
      </w:r>
    </w:p>
    <w:p w14:paraId="6894DD7A" w14:textId="62CAA6FA" w:rsidR="002B353C" w:rsidRDefault="002B353C" w:rsidP="002B353C">
      <w:pPr>
        <w:pStyle w:val="SingleTxtG"/>
      </w:pPr>
      <w:r>
        <w:t>2</w:t>
      </w:r>
      <w:r w:rsidR="00AD06E9">
        <w:t>.</w:t>
      </w:r>
      <w:r>
        <w:tab/>
      </w:r>
      <w:r w:rsidRPr="009558C8">
        <w:t xml:space="preserve">The Secretariat shall immediately transmit any </w:t>
      </w:r>
      <w:r w:rsidRPr="00A933DE">
        <w:t xml:space="preserve">new submission of a State Party </w:t>
      </w:r>
      <w:r>
        <w:t>with respect to the case under consideration</w:t>
      </w:r>
      <w:r w:rsidRPr="009558C8">
        <w:t xml:space="preserve"> to all members of the Commission and to the other State </w:t>
      </w:r>
      <w:r>
        <w:t xml:space="preserve">Party, </w:t>
      </w:r>
      <w:r w:rsidRPr="009558C8">
        <w:t xml:space="preserve">giving it the opportunity to provide its observations in a reasonable timeframe. The concerned States Parties may decide to confine their respective replies to the information already contained in their previous </w:t>
      </w:r>
      <w:r>
        <w:t xml:space="preserve">submissions. </w:t>
      </w:r>
    </w:p>
    <w:p w14:paraId="32018DED" w14:textId="61B9A47A" w:rsidR="002B353C" w:rsidRPr="005B0D24" w:rsidRDefault="002B353C" w:rsidP="002B353C">
      <w:pPr>
        <w:pStyle w:val="H23G"/>
      </w:pPr>
      <w:r>
        <w:tab/>
      </w:r>
      <w:r>
        <w:tab/>
        <w:t>Rule 11</w:t>
      </w:r>
      <w:r w:rsidRPr="005B0D24">
        <w:t xml:space="preserve">: Disclosure of information </w:t>
      </w:r>
    </w:p>
    <w:p w14:paraId="00AE9990" w14:textId="77777777" w:rsidR="002B353C" w:rsidRDefault="002B353C" w:rsidP="002B353C">
      <w:pPr>
        <w:pStyle w:val="SingleTxtG"/>
      </w:pPr>
      <w:r>
        <w:t>When the Commission receives information concerning the dispute from a party, it discloses the substance of that information to the other party in order that the other party may have the opportunity to present any submission which it considers appropriate.</w:t>
      </w:r>
    </w:p>
    <w:p w14:paraId="4545E255" w14:textId="505F1A26" w:rsidR="002B353C" w:rsidRPr="005B0D24" w:rsidRDefault="002B353C" w:rsidP="002B353C">
      <w:pPr>
        <w:pStyle w:val="H23G"/>
      </w:pPr>
      <w:r>
        <w:tab/>
      </w:r>
      <w:r>
        <w:tab/>
        <w:t>Rule 12:</w:t>
      </w:r>
      <w:r w:rsidRPr="005B0D24">
        <w:t xml:space="preserve"> Meetings of the Commission </w:t>
      </w:r>
    </w:p>
    <w:p w14:paraId="2508B97D" w14:textId="602DB3F5" w:rsidR="002B353C" w:rsidRDefault="002B353C" w:rsidP="002B353C">
      <w:pPr>
        <w:pStyle w:val="SingleTxtG"/>
      </w:pPr>
      <w:r>
        <w:t>1</w:t>
      </w:r>
      <w:r w:rsidR="00AD06E9">
        <w:t>.</w:t>
      </w:r>
      <w:r>
        <w:tab/>
        <w:t>The meetings of the Commission shall be held in private unless the Commission decides otherwise.</w:t>
      </w:r>
    </w:p>
    <w:p w14:paraId="5AC0B0D9" w14:textId="35789B6E" w:rsidR="002B353C" w:rsidRDefault="002B353C" w:rsidP="002B353C">
      <w:pPr>
        <w:pStyle w:val="SingleTxtG"/>
      </w:pPr>
      <w:r>
        <w:t>2</w:t>
      </w:r>
      <w:r w:rsidR="00AD06E9">
        <w:t>.</w:t>
      </w:r>
      <w:r>
        <w:tab/>
      </w:r>
      <w:r w:rsidRPr="0086127E">
        <w:t>The Commission may invite the States Parties concerned to appoint one or several representatives</w:t>
      </w:r>
      <w:r>
        <w:t xml:space="preserve"> </w:t>
      </w:r>
      <w:r w:rsidRPr="0086127E">
        <w:t>to take part in the proceedings before the Commission</w:t>
      </w:r>
      <w:r>
        <w:t xml:space="preserve"> </w:t>
      </w:r>
    </w:p>
    <w:p w14:paraId="2D4D56C4" w14:textId="497BA7A3" w:rsidR="002B353C" w:rsidRDefault="002B353C" w:rsidP="002B353C">
      <w:pPr>
        <w:pStyle w:val="SingleTxtG"/>
      </w:pPr>
      <w:r>
        <w:t>3</w:t>
      </w:r>
      <w:r w:rsidR="00AD06E9">
        <w:t>.</w:t>
      </w:r>
      <w:r>
        <w:tab/>
        <w:t xml:space="preserve">The Commission shall decide, which other persons besides the States Parties, their representatives, counsels and advocates, and Secretariat of the Commission, may attend its meetings. </w:t>
      </w:r>
    </w:p>
    <w:p w14:paraId="0B066031" w14:textId="7B9D786E" w:rsidR="002B353C" w:rsidRPr="005B0D24" w:rsidRDefault="002B353C" w:rsidP="002B353C">
      <w:pPr>
        <w:pStyle w:val="H23G"/>
      </w:pPr>
      <w:r>
        <w:tab/>
      </w:r>
      <w:r>
        <w:tab/>
        <w:t>Rule 13</w:t>
      </w:r>
      <w:r w:rsidRPr="005B0D24">
        <w:t xml:space="preserve">: Communication with the </w:t>
      </w:r>
      <w:r>
        <w:t>States Parties</w:t>
      </w:r>
    </w:p>
    <w:p w14:paraId="0EA4FA1E" w14:textId="6BCD686B" w:rsidR="002B353C" w:rsidRDefault="002B353C" w:rsidP="002B353C">
      <w:pPr>
        <w:pStyle w:val="SingleTxtG"/>
      </w:pPr>
      <w:r>
        <w:t>1</w:t>
      </w:r>
      <w:r w:rsidR="00AD06E9">
        <w:t>.</w:t>
      </w:r>
      <w:r>
        <w:tab/>
        <w:t xml:space="preserve">The Commission will communicate to the States Parties through their permanent representatives to the Office of the United Nations in Geneva via the Secretariat. </w:t>
      </w:r>
    </w:p>
    <w:p w14:paraId="6A1BFADB" w14:textId="2617ECAC" w:rsidR="002B353C" w:rsidRDefault="002B353C" w:rsidP="002B353C">
      <w:pPr>
        <w:pStyle w:val="SingleTxtG"/>
      </w:pPr>
      <w:r>
        <w:t>2</w:t>
      </w:r>
      <w:r w:rsidR="00AD06E9">
        <w:t>.</w:t>
      </w:r>
      <w:r>
        <w:tab/>
        <w:t xml:space="preserve">The Commission may invite the States Parties to meet with it or may communicate with them orally or in writing. It may meet or communicate with the parties together or with each of them separately. </w:t>
      </w:r>
    </w:p>
    <w:p w14:paraId="4E7398F8" w14:textId="7E041F7B" w:rsidR="002B353C" w:rsidRPr="005B0D24" w:rsidRDefault="002B353C" w:rsidP="002B353C">
      <w:pPr>
        <w:pStyle w:val="H23G"/>
      </w:pPr>
      <w:r>
        <w:tab/>
      </w:r>
      <w:r>
        <w:tab/>
        <w:t>Rule 14</w:t>
      </w:r>
      <w:r w:rsidRPr="005B0D24">
        <w:t xml:space="preserve">: Interlocutory matters </w:t>
      </w:r>
    </w:p>
    <w:p w14:paraId="43C05422" w14:textId="555A8210" w:rsidR="002B353C" w:rsidRDefault="002B353C" w:rsidP="002B353C">
      <w:pPr>
        <w:pStyle w:val="SingleTxtG"/>
      </w:pPr>
      <w:r>
        <w:t>1</w:t>
      </w:r>
      <w:r w:rsidR="00AD06E9">
        <w:t>.</w:t>
      </w:r>
      <w:r>
        <w:tab/>
        <w:t xml:space="preserve">The Commission may take any measure which it considers expedient in order to find an amicable solution of the matter on the basis of respect for the Convention.  </w:t>
      </w:r>
    </w:p>
    <w:p w14:paraId="446887B9" w14:textId="7843CB42" w:rsidR="002B353C" w:rsidRDefault="002B353C" w:rsidP="002B353C">
      <w:pPr>
        <w:pStyle w:val="SingleTxtG"/>
      </w:pPr>
      <w:r>
        <w:t>2</w:t>
      </w:r>
      <w:r w:rsidR="00AD06E9">
        <w:t>.</w:t>
      </w:r>
      <w:r>
        <w:tab/>
        <w:t>Each State Party may, on its own initiative or at the invitation of the Commission, submit to the Commission suggestions for the settlement of the dispute.</w:t>
      </w:r>
    </w:p>
    <w:p w14:paraId="792BA935" w14:textId="6156702B" w:rsidR="002B353C" w:rsidRPr="005B0D24" w:rsidRDefault="002B353C" w:rsidP="002B353C">
      <w:pPr>
        <w:pStyle w:val="H23G"/>
      </w:pPr>
      <w:r>
        <w:tab/>
      </w:r>
      <w:r>
        <w:tab/>
        <w:t>Rule 15</w:t>
      </w:r>
      <w:r w:rsidRPr="005B0D24">
        <w:t>: Co-operation of parties with the Commission</w:t>
      </w:r>
    </w:p>
    <w:p w14:paraId="1B0750C4" w14:textId="77777777" w:rsidR="002B353C" w:rsidRDefault="002B353C" w:rsidP="002B353C">
      <w:pPr>
        <w:pStyle w:val="SingleTxtG"/>
      </w:pPr>
      <w:r>
        <w:t>The States Parties are expected to co-operate in good faith with the Commission and are invited to comply with requests by the Commission to submit written materials, provide evidence and attend meetings.</w:t>
      </w:r>
    </w:p>
    <w:p w14:paraId="02B22215" w14:textId="0B146888" w:rsidR="002B353C" w:rsidRPr="005B0D24" w:rsidRDefault="002B353C" w:rsidP="002B353C">
      <w:pPr>
        <w:pStyle w:val="H23G"/>
      </w:pPr>
      <w:r>
        <w:tab/>
      </w:r>
      <w:r>
        <w:tab/>
        <w:t>Rule 16</w:t>
      </w:r>
      <w:r w:rsidRPr="005B0D24">
        <w:t>: Confidentiality</w:t>
      </w:r>
    </w:p>
    <w:p w14:paraId="06D23FEC" w14:textId="77777777" w:rsidR="002B353C" w:rsidRDefault="002B353C" w:rsidP="002B353C">
      <w:pPr>
        <w:pStyle w:val="SingleTxtG"/>
      </w:pPr>
      <w:r>
        <w:t>The Commission and the States Parties must keep confidential all matters relating to the conciliation proceedings. Confidentiality extends also to the settlement agreement, except where its disclosure is necessary for purposes of implementation and enforcement.</w:t>
      </w:r>
    </w:p>
    <w:p w14:paraId="4AEAEE5E" w14:textId="67C694A0" w:rsidR="002B353C" w:rsidRDefault="002B353C" w:rsidP="002B353C">
      <w:pPr>
        <w:pStyle w:val="H23G"/>
      </w:pPr>
      <w:r>
        <w:lastRenderedPageBreak/>
        <w:tab/>
      </w:r>
      <w:r>
        <w:tab/>
        <w:t>Rule 17</w:t>
      </w:r>
      <w:r w:rsidRPr="005B0D24">
        <w:t xml:space="preserve">: </w:t>
      </w:r>
      <w:r>
        <w:t>D</w:t>
      </w:r>
      <w:r w:rsidRPr="005B0D24">
        <w:t xml:space="preserve">ecisions  </w:t>
      </w:r>
    </w:p>
    <w:p w14:paraId="31C76E5F" w14:textId="1F4A713E" w:rsidR="002B353C" w:rsidRDefault="002B353C" w:rsidP="002B353C">
      <w:pPr>
        <w:pStyle w:val="SingleTxtG"/>
      </w:pPr>
      <w:r>
        <w:t>1</w:t>
      </w:r>
      <w:r w:rsidR="00AD06E9">
        <w:t>.</w:t>
      </w:r>
      <w:r>
        <w:tab/>
        <w:t xml:space="preserve">Decisions of the Commission, if not obtained by consensus, shall be made by a simple majority of the members. The modalities of the votes are ruled by articles 49-57 of the Rules of Procedure of the Committee. </w:t>
      </w:r>
    </w:p>
    <w:p w14:paraId="4AE20216" w14:textId="7601BAC1" w:rsidR="002B353C" w:rsidRDefault="002B353C" w:rsidP="002B353C">
      <w:pPr>
        <w:pStyle w:val="SingleTxtG"/>
      </w:pPr>
      <w:r w:rsidRPr="1B9D5A3D">
        <w:t>2</w:t>
      </w:r>
      <w:r w:rsidR="00AD06E9">
        <w:t>.</w:t>
      </w:r>
      <w:r>
        <w:tab/>
      </w:r>
      <w:r w:rsidRPr="1B9D5A3D">
        <w:t>A majority of the members of the Commission shall constitute a quorum.</w:t>
      </w:r>
    </w:p>
    <w:p w14:paraId="5B76DC15" w14:textId="1E04120B" w:rsidR="002B353C" w:rsidRPr="005B0D24" w:rsidRDefault="002B353C" w:rsidP="002B353C">
      <w:pPr>
        <w:pStyle w:val="H23G"/>
      </w:pPr>
      <w:r>
        <w:tab/>
      </w:r>
      <w:r>
        <w:tab/>
        <w:t>Rule 18</w:t>
      </w:r>
      <w:r w:rsidRPr="005B0D24">
        <w:t xml:space="preserve">: Report of the Commission </w:t>
      </w:r>
    </w:p>
    <w:p w14:paraId="79E60684" w14:textId="5A09BCDE" w:rsidR="002B353C" w:rsidRDefault="002B353C" w:rsidP="002B353C">
      <w:pPr>
        <w:pStyle w:val="SingleTxtG"/>
      </w:pPr>
      <w:r>
        <w:t>1</w:t>
      </w:r>
      <w:r w:rsidR="00AD06E9">
        <w:t>.</w:t>
      </w:r>
      <w:r>
        <w:tab/>
        <w:t>When the Commission has fully considered the matter, it shall prepare and submit to the Chair of the Committee a report embodying its findings on all questions of fact relevant to the issue between the State Parties and containing such recommendations as it may think proper for the amicable solution of the dispute.</w:t>
      </w:r>
      <w:r>
        <w:tab/>
      </w:r>
    </w:p>
    <w:p w14:paraId="0894DD95" w14:textId="5532BFC9" w:rsidR="002B353C" w:rsidRDefault="002B353C" w:rsidP="002B353C">
      <w:pPr>
        <w:pStyle w:val="SingleTxtG"/>
      </w:pPr>
      <w:r>
        <w:t>2</w:t>
      </w:r>
      <w:r w:rsidR="00AD06E9">
        <w:t>.</w:t>
      </w:r>
      <w:r>
        <w:tab/>
        <w:t>The Chair of the Committee shall communicate the report of the Commission as soon as possible after its receipt to each of the States Parties to the dispute and to the members of the Committee.</w:t>
      </w:r>
    </w:p>
    <w:p w14:paraId="520558B2" w14:textId="33AAC3C5" w:rsidR="002B353C" w:rsidRDefault="002B353C" w:rsidP="002B353C">
      <w:pPr>
        <w:pStyle w:val="SingleTxtG"/>
      </w:pPr>
      <w:r>
        <w:t>3</w:t>
      </w:r>
      <w:r w:rsidR="00AD06E9">
        <w:t>.</w:t>
      </w:r>
      <w:r>
        <w:tab/>
        <w:t>The States Parties to the dispute shall, within three months after the receipt of the Commission’s report, inform the Chair of the Committee whether or not they accept the recommendations contained in the report of the Commission. The Chair shall transmit the information received from the States Parties to the dispute to the members of the Committee.</w:t>
      </w:r>
    </w:p>
    <w:p w14:paraId="32288E04" w14:textId="490E8D66" w:rsidR="002B353C" w:rsidRDefault="002B353C" w:rsidP="002B353C">
      <w:pPr>
        <w:pStyle w:val="SingleTxtG"/>
      </w:pPr>
      <w:r>
        <w:t>4</w:t>
      </w:r>
      <w:r w:rsidR="00AD06E9">
        <w:t>.</w:t>
      </w:r>
      <w:r>
        <w:tab/>
        <w:t xml:space="preserve">After the expiry of the time limit provided for in the preceding paragraph, the Chair of the Committee shall communicate the report of the Commission and any declarations of the States Parties concerned to the other States Parties to the Convention. </w:t>
      </w:r>
    </w:p>
    <w:p w14:paraId="58DCF1C3" w14:textId="35C44F0D" w:rsidR="002B353C" w:rsidRPr="005B0D24" w:rsidRDefault="002B353C" w:rsidP="002B353C">
      <w:pPr>
        <w:pStyle w:val="H23G"/>
      </w:pPr>
      <w:r>
        <w:tab/>
      </w:r>
      <w:r>
        <w:tab/>
        <w:t>Rule 19</w:t>
      </w:r>
      <w:r w:rsidRPr="005B0D24">
        <w:t xml:space="preserve">: Content of the report </w:t>
      </w:r>
    </w:p>
    <w:p w14:paraId="2F33BC87" w14:textId="77777777" w:rsidR="002B353C" w:rsidRDefault="002B353C" w:rsidP="002B353C">
      <w:pPr>
        <w:pStyle w:val="SingleTxtG"/>
      </w:pPr>
      <w:r>
        <w:t xml:space="preserve">The report provided for in paragraph 1 of article 13 of the Convention shall contain: </w:t>
      </w:r>
    </w:p>
    <w:p w14:paraId="6ED45617" w14:textId="77777777" w:rsidR="002B353C" w:rsidRDefault="002B353C" w:rsidP="00AD06E9">
      <w:pPr>
        <w:pStyle w:val="Bullet1G"/>
      </w:pPr>
      <w:r>
        <w:t>a)</w:t>
      </w:r>
      <w:r>
        <w:tab/>
        <w:t xml:space="preserve">the date on which it was drawn up; the names of the Chair and members of the Commission; </w:t>
      </w:r>
    </w:p>
    <w:p w14:paraId="62F7A265" w14:textId="77777777" w:rsidR="002B353C" w:rsidRDefault="002B353C" w:rsidP="00AD06E9">
      <w:pPr>
        <w:pStyle w:val="Bullet1G"/>
      </w:pPr>
      <w:r>
        <w:t>b)</w:t>
      </w:r>
      <w:r>
        <w:tab/>
        <w:t xml:space="preserve">the names of the States Parties; </w:t>
      </w:r>
    </w:p>
    <w:p w14:paraId="511DE836" w14:textId="77777777" w:rsidR="002B353C" w:rsidRDefault="002B353C" w:rsidP="00AD06E9">
      <w:pPr>
        <w:pStyle w:val="Bullet1G"/>
      </w:pPr>
      <w:r>
        <w:t>c)</w:t>
      </w:r>
      <w:r>
        <w:tab/>
        <w:t xml:space="preserve">the names of the agents, counsel and advocates of the States Parties; </w:t>
      </w:r>
    </w:p>
    <w:p w14:paraId="03625290" w14:textId="77777777" w:rsidR="002B353C" w:rsidRDefault="002B353C" w:rsidP="00AD06E9">
      <w:pPr>
        <w:pStyle w:val="Bullet1G"/>
      </w:pPr>
      <w:r>
        <w:t>d)</w:t>
      </w:r>
      <w:r>
        <w:tab/>
        <w:t xml:space="preserve">a statement of facts; </w:t>
      </w:r>
    </w:p>
    <w:p w14:paraId="6E0603D9" w14:textId="77777777" w:rsidR="002B353C" w:rsidRDefault="002B353C" w:rsidP="00AD06E9">
      <w:pPr>
        <w:pStyle w:val="Bullet1G"/>
      </w:pPr>
      <w:r>
        <w:t>e)</w:t>
      </w:r>
      <w:r>
        <w:tab/>
        <w:t xml:space="preserve">findings on all questions of fact relevant to the issue between the parties and </w:t>
      </w:r>
    </w:p>
    <w:p w14:paraId="40386AEB" w14:textId="65E9CE63" w:rsidR="002B353C" w:rsidRDefault="002B353C" w:rsidP="00AD06E9">
      <w:pPr>
        <w:pStyle w:val="Bullet1G"/>
      </w:pPr>
      <w:r>
        <w:t>f)</w:t>
      </w:r>
      <w:r>
        <w:tab/>
        <w:t>recommendations as the Commission may think proper for the amicable solution of the dispute;</w:t>
      </w:r>
    </w:p>
    <w:p w14:paraId="60C831B0" w14:textId="2D7EE1E4" w:rsidR="002B353C" w:rsidRPr="005B0D24" w:rsidRDefault="002B353C" w:rsidP="002B353C">
      <w:pPr>
        <w:pStyle w:val="H23G"/>
      </w:pPr>
      <w:r>
        <w:tab/>
      </w:r>
      <w:r>
        <w:tab/>
      </w:r>
      <w:r w:rsidRPr="005B0D24">
        <w:t>Rule 2</w:t>
      </w:r>
      <w:r>
        <w:t>0</w:t>
      </w:r>
      <w:r w:rsidRPr="005B0D24">
        <w:t>: Final provisions</w:t>
      </w:r>
    </w:p>
    <w:p w14:paraId="7B271D40" w14:textId="6BCDDAE2" w:rsidR="002B353C" w:rsidRDefault="002B353C" w:rsidP="002B353C">
      <w:pPr>
        <w:pStyle w:val="SingleTxtG"/>
      </w:pPr>
      <w:r>
        <w:t>1</w:t>
      </w:r>
      <w:r w:rsidR="00AD06E9">
        <w:t>.</w:t>
      </w:r>
      <w:r>
        <w:tab/>
        <w:t xml:space="preserve">The Commission shall formally adopt the present Rules of Procedure during its first meeting. Prior to the meeting, a draft shall be circulated by the Secretariat among the members of the Commission for comments. </w:t>
      </w:r>
    </w:p>
    <w:p w14:paraId="269A2B2B" w14:textId="6C25530F" w:rsidR="002B353C" w:rsidRDefault="002B353C" w:rsidP="002B353C">
      <w:pPr>
        <w:pStyle w:val="SingleTxtG"/>
      </w:pPr>
      <w:r>
        <w:t>2</w:t>
      </w:r>
      <w:r w:rsidR="00AD06E9">
        <w:t>.</w:t>
      </w:r>
      <w:r>
        <w:tab/>
        <w:t xml:space="preserve">Any question not dealt with in these Rules of Procedure shall be decided by the Commission and in compliance with the Convention and the Committee’s Rules of Procedure. </w:t>
      </w:r>
    </w:p>
    <w:p w14:paraId="0376E179" w14:textId="5B96C44E" w:rsidR="002B353C" w:rsidRDefault="002B353C" w:rsidP="002B353C">
      <w:pPr>
        <w:pStyle w:val="SingleTxtG"/>
      </w:pPr>
      <w:r>
        <w:t>3</w:t>
      </w:r>
      <w:r w:rsidR="00AD06E9">
        <w:t>.</w:t>
      </w:r>
      <w:r>
        <w:tab/>
        <w:t xml:space="preserve">In a case of urgency, the Chair may consult the members of the Commission by email. Any decision taken as a result must be approved by a simple majority of the members. </w:t>
      </w:r>
    </w:p>
    <w:p w14:paraId="02B49210" w14:textId="382C78AC" w:rsidR="002B353C" w:rsidRDefault="002B353C" w:rsidP="002B353C">
      <w:pPr>
        <w:pStyle w:val="SingleTxtG"/>
      </w:pPr>
      <w:r>
        <w:t>4</w:t>
      </w:r>
      <w:r w:rsidR="00AD06E9">
        <w:t>.</w:t>
      </w:r>
      <w:r>
        <w:tab/>
        <w:t xml:space="preserve">The Commission may amend and adopt its methods of work, timeline </w:t>
      </w:r>
      <w:r w:rsidRPr="006440B3">
        <w:t xml:space="preserve">and programme of work </w:t>
      </w:r>
      <w:r>
        <w:t>as it deems appropriate.</w:t>
      </w:r>
    </w:p>
    <w:p w14:paraId="64541EA4" w14:textId="471E01DD" w:rsidR="002B353C" w:rsidRDefault="002B353C" w:rsidP="002B353C">
      <w:pPr>
        <w:pStyle w:val="SingleTxtG"/>
      </w:pPr>
      <w:r>
        <w:t>5</w:t>
      </w:r>
      <w:r w:rsidR="00AD06E9">
        <w:t>.</w:t>
      </w:r>
      <w:r>
        <w:tab/>
      </w:r>
      <w:r w:rsidRPr="001B4124">
        <w:t>These Rules, except when they reproduce provisions of the Convention or the Rules of Procedure of the Committee, may be amended by a decision taken by a simple majority of the members of the Commission. The Rules as amended shall be communicated to the States Parties.</w:t>
      </w:r>
    </w:p>
    <w:p w14:paraId="559F99CF" w14:textId="7C2AB5C4" w:rsidR="002B353C" w:rsidRDefault="002B353C" w:rsidP="002B353C">
      <w:pPr>
        <w:pStyle w:val="SingleTxtG"/>
      </w:pPr>
      <w:r>
        <w:t>6</w:t>
      </w:r>
      <w:r w:rsidR="00AD06E9">
        <w:t>.</w:t>
      </w:r>
      <w:r>
        <w:tab/>
        <w:t>The present Rules shall be communicated to the States Parties concerned</w:t>
      </w:r>
      <w:r w:rsidR="007D4EDD">
        <w:t>.</w:t>
      </w:r>
    </w:p>
    <w:p w14:paraId="573BD086" w14:textId="4D87BF2C" w:rsidR="007D4EDD" w:rsidRPr="007D4EDD" w:rsidRDefault="007D4EDD" w:rsidP="007D4EDD">
      <w:pPr>
        <w:pStyle w:val="SingleTxtG"/>
        <w:spacing w:before="240" w:after="0"/>
        <w:jc w:val="center"/>
        <w:rPr>
          <w:u w:val="single"/>
        </w:rPr>
      </w:pPr>
      <w:r>
        <w:rPr>
          <w:u w:val="single"/>
        </w:rPr>
        <w:tab/>
      </w:r>
      <w:r>
        <w:rPr>
          <w:u w:val="single"/>
        </w:rPr>
        <w:tab/>
      </w:r>
      <w:r>
        <w:rPr>
          <w:u w:val="single"/>
        </w:rPr>
        <w:tab/>
      </w:r>
    </w:p>
    <w:sectPr w:rsidR="007D4EDD" w:rsidRPr="007D4EDD" w:rsidSect="0021116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FB8E" w14:textId="77777777" w:rsidR="00A0793F" w:rsidRPr="00A0297D" w:rsidRDefault="00A0793F" w:rsidP="00A0297D">
      <w:pPr>
        <w:pStyle w:val="Footer"/>
      </w:pPr>
    </w:p>
  </w:endnote>
  <w:endnote w:type="continuationSeparator" w:id="0">
    <w:p w14:paraId="304AF5FA" w14:textId="77777777" w:rsidR="00A0793F" w:rsidRPr="00A0297D" w:rsidRDefault="00A0793F"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8C4B" w14:textId="441858EF" w:rsidR="003278BF" w:rsidRPr="0021116C" w:rsidRDefault="003278BF" w:rsidP="0021116C">
    <w:pPr>
      <w:pStyle w:val="Footer"/>
      <w:tabs>
        <w:tab w:val="right" w:pos="9598"/>
      </w:tabs>
    </w:pPr>
    <w:r w:rsidRPr="0021116C">
      <w:rPr>
        <w:b/>
        <w:sz w:val="18"/>
      </w:rPr>
      <w:fldChar w:fldCharType="begin"/>
    </w:r>
    <w:r w:rsidRPr="0021116C">
      <w:rPr>
        <w:b/>
        <w:sz w:val="18"/>
      </w:rPr>
      <w:instrText xml:space="preserve"> PAGE  \* MERGEFORMAT </w:instrText>
    </w:r>
    <w:r w:rsidRPr="0021116C">
      <w:rPr>
        <w:b/>
        <w:sz w:val="18"/>
      </w:rPr>
      <w:fldChar w:fldCharType="separate"/>
    </w:r>
    <w:r w:rsidR="00E01464">
      <w:rPr>
        <w:b/>
        <w:noProof/>
        <w:sz w:val="18"/>
      </w:rPr>
      <w:t>6</w:t>
    </w:r>
    <w:r w:rsidRPr="0021116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0C9C" w14:textId="4BAF763E" w:rsidR="003278BF" w:rsidRPr="0021116C" w:rsidRDefault="003278BF" w:rsidP="0021116C">
    <w:pPr>
      <w:pStyle w:val="Footer"/>
      <w:tabs>
        <w:tab w:val="right" w:pos="9598"/>
      </w:tabs>
      <w:rPr>
        <w:b/>
        <w:sz w:val="18"/>
      </w:rPr>
    </w:pPr>
    <w:r>
      <w:tab/>
    </w:r>
    <w:r w:rsidRPr="0021116C">
      <w:rPr>
        <w:b/>
        <w:sz w:val="18"/>
      </w:rPr>
      <w:fldChar w:fldCharType="begin"/>
    </w:r>
    <w:r w:rsidRPr="0021116C">
      <w:rPr>
        <w:b/>
        <w:sz w:val="18"/>
      </w:rPr>
      <w:instrText xml:space="preserve"> PAGE  \* MERGEFORMAT </w:instrText>
    </w:r>
    <w:r w:rsidRPr="0021116C">
      <w:rPr>
        <w:b/>
        <w:sz w:val="18"/>
      </w:rPr>
      <w:fldChar w:fldCharType="separate"/>
    </w:r>
    <w:r w:rsidR="00E01464">
      <w:rPr>
        <w:b/>
        <w:noProof/>
        <w:sz w:val="18"/>
      </w:rPr>
      <w:t>3</w:t>
    </w:r>
    <w:r w:rsidRPr="0021116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E7E4" w14:textId="1018D668" w:rsidR="00765E2E" w:rsidRDefault="00D46617" w:rsidP="00D46617">
    <w:pPr>
      <w:pStyle w:val="Footer"/>
      <w:ind w:right="1134"/>
      <w:rPr>
        <w:rFonts w:asciiTheme="majorBidi" w:hAnsiTheme="majorBidi" w:cstheme="majorBidi"/>
        <w:sz w:val="20"/>
      </w:rPr>
    </w:pPr>
    <w:r w:rsidRPr="00D46617">
      <w:rPr>
        <w:rFonts w:asciiTheme="majorBidi" w:hAnsiTheme="majorBidi" w:cstheme="majorBidi"/>
        <w:noProof/>
        <w:sz w:val="20"/>
        <w:lang w:eastAsia="en-GB"/>
      </w:rPr>
      <w:drawing>
        <wp:anchor distT="0" distB="0" distL="114300" distR="114300" simplePos="0" relativeHeight="251659264" behindDoc="0" locked="1" layoutInCell="1" allowOverlap="1" wp14:anchorId="5BA85B9F" wp14:editId="64CFB9D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3E605D6" w14:textId="13221B15" w:rsidR="00D46617" w:rsidRPr="00D46617" w:rsidRDefault="00D46617" w:rsidP="00D46617">
    <w:pPr>
      <w:pStyle w:val="Footer"/>
      <w:ind w:right="1134"/>
      <w:rPr>
        <w:rFonts w:asciiTheme="majorBidi" w:hAnsiTheme="majorBidi" w:cstheme="majorBidi"/>
        <w:sz w:val="20"/>
      </w:rPr>
    </w:pPr>
    <w:r>
      <w:rPr>
        <w:rFonts w:asciiTheme="majorBidi" w:hAnsiTheme="majorBidi" w:cstheme="majorBidi"/>
        <w:noProof/>
        <w:sz w:val="20"/>
        <w:lang w:eastAsia="en-GB"/>
      </w:rPr>
      <w:drawing>
        <wp:anchor distT="0" distB="0" distL="114300" distR="114300" simplePos="0" relativeHeight="251660288" behindDoc="0" locked="0" layoutInCell="1" allowOverlap="1" wp14:anchorId="4DEF1AC1" wp14:editId="5DEE5123">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096B" w14:textId="77777777" w:rsidR="00A0793F" w:rsidRPr="00A0297D" w:rsidRDefault="00A0793F" w:rsidP="00A0297D">
      <w:pPr>
        <w:tabs>
          <w:tab w:val="right" w:pos="2155"/>
        </w:tabs>
        <w:spacing w:after="80" w:line="240" w:lineRule="auto"/>
        <w:ind w:left="680"/>
      </w:pPr>
      <w:r>
        <w:rPr>
          <w:u w:val="single"/>
        </w:rPr>
        <w:tab/>
      </w:r>
    </w:p>
  </w:footnote>
  <w:footnote w:type="continuationSeparator" w:id="0">
    <w:p w14:paraId="18BFE573" w14:textId="77777777" w:rsidR="00A0793F" w:rsidRPr="00A0297D" w:rsidRDefault="00A0793F" w:rsidP="00A0297D">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AE81" w14:textId="622EECFE" w:rsidR="003278BF" w:rsidRPr="002B353C" w:rsidRDefault="002B353C" w:rsidP="001E0BD4">
    <w:pPr>
      <w:pStyle w:val="Header"/>
      <w:rPr>
        <w:b w:val="0"/>
        <w:sz w:val="22"/>
        <w:szCs w:val="22"/>
      </w:rPr>
    </w:pPr>
    <w:r w:rsidRPr="002B353C">
      <w:rPr>
        <w:b w:val="0"/>
        <w:sz w:val="22"/>
        <w:szCs w:val="22"/>
      </w:rPr>
      <w:t>CERD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CC12" w14:textId="3A66AE25" w:rsidR="003278BF" w:rsidRPr="0021116C" w:rsidRDefault="002B353C" w:rsidP="0021116C">
    <w:pPr>
      <w:pStyle w:val="Header"/>
      <w:jc w:val="right"/>
    </w:pPr>
    <w:r w:rsidRPr="002B353C">
      <w:rPr>
        <w:b w:val="0"/>
        <w:sz w:val="22"/>
        <w:szCs w:val="22"/>
      </w:rPr>
      <w:t>CERD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95AD" w14:textId="77777777" w:rsidR="00E01464" w:rsidRDefault="00E0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A758A"/>
    <w:multiLevelType w:val="hybridMultilevel"/>
    <w:tmpl w:val="D2FEE76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E1278A1"/>
    <w:multiLevelType w:val="hybridMultilevel"/>
    <w:tmpl w:val="FC18D9BE"/>
    <w:lvl w:ilvl="0" w:tplc="D5666284">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1565603"/>
    <w:multiLevelType w:val="hybridMultilevel"/>
    <w:tmpl w:val="DC8A5F0C"/>
    <w:lvl w:ilvl="0" w:tplc="5BB821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F84546"/>
    <w:multiLevelType w:val="hybridMultilevel"/>
    <w:tmpl w:val="B2A62048"/>
    <w:lvl w:ilvl="0" w:tplc="2C063330">
      <w:start w:val="1"/>
      <w:numFmt w:val="decimal"/>
      <w:lvlText w:val="(%1)"/>
      <w:lvlJc w:val="left"/>
      <w:pPr>
        <w:ind w:left="3393" w:hanging="570"/>
      </w:pPr>
      <w:rPr>
        <w:rFonts w:hint="default"/>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BA007B9"/>
    <w:multiLevelType w:val="hybridMultilevel"/>
    <w:tmpl w:val="692A08FE"/>
    <w:lvl w:ilvl="0" w:tplc="3968A47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53E87"/>
    <w:multiLevelType w:val="hybridMultilevel"/>
    <w:tmpl w:val="66345B8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A776D"/>
    <w:multiLevelType w:val="hybridMultilevel"/>
    <w:tmpl w:val="CE0088C0"/>
    <w:lvl w:ilvl="0" w:tplc="08090011">
      <w:start w:val="1"/>
      <w:numFmt w:val="decimal"/>
      <w:lvlText w:val="%1)"/>
      <w:lvlJc w:val="left"/>
      <w:pPr>
        <w:ind w:left="2425" w:hanging="360"/>
      </w:pPr>
    </w:lvl>
    <w:lvl w:ilvl="1" w:tplc="08090019" w:tentative="1">
      <w:start w:val="1"/>
      <w:numFmt w:val="lowerLetter"/>
      <w:lvlText w:val="%2."/>
      <w:lvlJc w:val="left"/>
      <w:pPr>
        <w:ind w:left="3145" w:hanging="360"/>
      </w:pPr>
    </w:lvl>
    <w:lvl w:ilvl="2" w:tplc="0809001B" w:tentative="1">
      <w:start w:val="1"/>
      <w:numFmt w:val="lowerRoman"/>
      <w:lvlText w:val="%3."/>
      <w:lvlJc w:val="right"/>
      <w:pPr>
        <w:ind w:left="3865" w:hanging="180"/>
      </w:pPr>
    </w:lvl>
    <w:lvl w:ilvl="3" w:tplc="0809000F" w:tentative="1">
      <w:start w:val="1"/>
      <w:numFmt w:val="decimal"/>
      <w:lvlText w:val="%4."/>
      <w:lvlJc w:val="left"/>
      <w:pPr>
        <w:ind w:left="4585" w:hanging="360"/>
      </w:pPr>
    </w:lvl>
    <w:lvl w:ilvl="4" w:tplc="08090019" w:tentative="1">
      <w:start w:val="1"/>
      <w:numFmt w:val="lowerLetter"/>
      <w:lvlText w:val="%5."/>
      <w:lvlJc w:val="left"/>
      <w:pPr>
        <w:ind w:left="5305" w:hanging="360"/>
      </w:pPr>
    </w:lvl>
    <w:lvl w:ilvl="5" w:tplc="0809001B" w:tentative="1">
      <w:start w:val="1"/>
      <w:numFmt w:val="lowerRoman"/>
      <w:lvlText w:val="%6."/>
      <w:lvlJc w:val="right"/>
      <w:pPr>
        <w:ind w:left="6025" w:hanging="180"/>
      </w:pPr>
    </w:lvl>
    <w:lvl w:ilvl="6" w:tplc="0809000F" w:tentative="1">
      <w:start w:val="1"/>
      <w:numFmt w:val="decimal"/>
      <w:lvlText w:val="%7."/>
      <w:lvlJc w:val="left"/>
      <w:pPr>
        <w:ind w:left="6745" w:hanging="360"/>
      </w:pPr>
    </w:lvl>
    <w:lvl w:ilvl="7" w:tplc="08090019" w:tentative="1">
      <w:start w:val="1"/>
      <w:numFmt w:val="lowerLetter"/>
      <w:lvlText w:val="%8."/>
      <w:lvlJc w:val="left"/>
      <w:pPr>
        <w:ind w:left="7465" w:hanging="360"/>
      </w:pPr>
    </w:lvl>
    <w:lvl w:ilvl="8" w:tplc="0809001B" w:tentative="1">
      <w:start w:val="1"/>
      <w:numFmt w:val="lowerRoman"/>
      <w:lvlText w:val="%9."/>
      <w:lvlJc w:val="right"/>
      <w:pPr>
        <w:ind w:left="8185" w:hanging="180"/>
      </w:pPr>
    </w:lvl>
  </w:abstractNum>
  <w:abstractNum w:abstractNumId="10" w15:restartNumberingAfterBreak="0">
    <w:nsid w:val="2A857DDE"/>
    <w:multiLevelType w:val="hybridMultilevel"/>
    <w:tmpl w:val="662AB684"/>
    <w:lvl w:ilvl="0" w:tplc="55AE5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F58D6"/>
    <w:multiLevelType w:val="hybridMultilevel"/>
    <w:tmpl w:val="6AE425C4"/>
    <w:lvl w:ilvl="0" w:tplc="4EA68EC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D55CD"/>
    <w:multiLevelType w:val="hybridMultilevel"/>
    <w:tmpl w:val="5A8E8428"/>
    <w:lvl w:ilvl="0" w:tplc="29449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13F9E"/>
    <w:multiLevelType w:val="hybridMultilevel"/>
    <w:tmpl w:val="6360F4B2"/>
    <w:lvl w:ilvl="0" w:tplc="E6945FDE">
      <w:start w:val="15"/>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1FE0BE5"/>
    <w:multiLevelType w:val="hybridMultilevel"/>
    <w:tmpl w:val="2B363CE4"/>
    <w:lvl w:ilvl="0" w:tplc="2C063330">
      <w:start w:val="1"/>
      <w:numFmt w:val="decimal"/>
      <w:lvlText w:val="(%1)"/>
      <w:lvlJc w:val="left"/>
      <w:pPr>
        <w:ind w:left="2259" w:hanging="57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9" w15:restartNumberingAfterBreak="0">
    <w:nsid w:val="62AD5E67"/>
    <w:multiLevelType w:val="hybridMultilevel"/>
    <w:tmpl w:val="70AE37C4"/>
    <w:lvl w:ilvl="0" w:tplc="CA720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C1E0C"/>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D82C81"/>
    <w:multiLevelType w:val="hybridMultilevel"/>
    <w:tmpl w:val="30B27A1E"/>
    <w:lvl w:ilvl="0" w:tplc="79AEA980">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7D47729E"/>
    <w:multiLevelType w:val="hybridMultilevel"/>
    <w:tmpl w:val="D2FEE76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2"/>
  </w:num>
  <w:num w:numId="2">
    <w:abstractNumId w:val="8"/>
  </w:num>
  <w:num w:numId="3">
    <w:abstractNumId w:val="0"/>
  </w:num>
  <w:num w:numId="4">
    <w:abstractNumId w:val="16"/>
  </w:num>
  <w:num w:numId="5">
    <w:abstractNumId w:val="17"/>
  </w:num>
  <w:num w:numId="6">
    <w:abstractNumId w:val="21"/>
  </w:num>
  <w:num w:numId="7">
    <w:abstractNumId w:val="4"/>
  </w:num>
  <w:num w:numId="8">
    <w:abstractNumId w:val="15"/>
  </w:num>
  <w:num w:numId="9">
    <w:abstractNumId w:val="20"/>
  </w:num>
  <w:num w:numId="10">
    <w:abstractNumId w:val="19"/>
  </w:num>
  <w:num w:numId="11">
    <w:abstractNumId w:val="10"/>
  </w:num>
  <w:num w:numId="12">
    <w:abstractNumId w:val="14"/>
  </w:num>
  <w:num w:numId="13">
    <w:abstractNumId w:val="11"/>
  </w:num>
  <w:num w:numId="14">
    <w:abstractNumId w:val="3"/>
  </w:num>
  <w:num w:numId="15">
    <w:abstractNumId w:val="6"/>
  </w:num>
  <w:num w:numId="16">
    <w:abstractNumId w:val="13"/>
  </w:num>
  <w:num w:numId="17">
    <w:abstractNumId w:val="23"/>
  </w:num>
  <w:num w:numId="18">
    <w:abstractNumId w:val="22"/>
  </w:num>
  <w:num w:numId="19">
    <w:abstractNumId w:val="1"/>
  </w:num>
  <w:num w:numId="20">
    <w:abstractNumId w:val="9"/>
  </w:num>
  <w:num w:numId="21">
    <w:abstractNumId w:val="18"/>
  </w:num>
  <w:num w:numId="22">
    <w:abstractNumId w:val="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6" w:nlCheck="1" w:checkStyle="0"/>
  <w:activeWritingStyle w:appName="MSWord" w:lang="en-GB" w:vendorID="64" w:dllVersion="4096" w:nlCheck="1" w:checkStyle="0"/>
  <w:activeWritingStyle w:appName="MSWord" w:lang="es-ES" w:vendorID="64" w:dllVersion="6" w:nlCheck="1" w:checkStyle="0"/>
  <w:activeWritingStyle w:appName="MSWord" w:lang="fr-FR" w:vendorID="64" w:dllVersion="6" w:nlCheck="1" w:checkStyle="0"/>
  <w:activeWritingStyle w:appName="MSWord" w:lang="es-ES"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de-DE" w:vendorID="64" w:dllVersion="4096" w:nlCheck="1" w:checkStyle="0"/>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proofState w:spelling="clean" w:grammar="clean"/>
  <w:defaultTabStop w:val="567"/>
  <w:hyphenationZone w:val="425"/>
  <w:evenAndOddHeaders/>
  <w:characterSpacingControl w:val="doNotCompress"/>
  <w:hdrShapeDefaults>
    <o:shapedefaults v:ext="edit" spidmax="51201">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94"/>
    <w:rsid w:val="00000C5D"/>
    <w:rsid w:val="00000EA7"/>
    <w:rsid w:val="000012CE"/>
    <w:rsid w:val="00002122"/>
    <w:rsid w:val="0000261A"/>
    <w:rsid w:val="0000274D"/>
    <w:rsid w:val="0000308B"/>
    <w:rsid w:val="000034F5"/>
    <w:rsid w:val="00004429"/>
    <w:rsid w:val="00006D08"/>
    <w:rsid w:val="0001082A"/>
    <w:rsid w:val="00010F38"/>
    <w:rsid w:val="00010FA5"/>
    <w:rsid w:val="000113F3"/>
    <w:rsid w:val="000146A5"/>
    <w:rsid w:val="00014A34"/>
    <w:rsid w:val="00015804"/>
    <w:rsid w:val="0001592C"/>
    <w:rsid w:val="00015D69"/>
    <w:rsid w:val="00016370"/>
    <w:rsid w:val="000164BE"/>
    <w:rsid w:val="00017913"/>
    <w:rsid w:val="0002072F"/>
    <w:rsid w:val="0002109A"/>
    <w:rsid w:val="00021310"/>
    <w:rsid w:val="0002140F"/>
    <w:rsid w:val="00021BF2"/>
    <w:rsid w:val="00023D26"/>
    <w:rsid w:val="00025C1F"/>
    <w:rsid w:val="00026F72"/>
    <w:rsid w:val="000270F1"/>
    <w:rsid w:val="00030992"/>
    <w:rsid w:val="00031489"/>
    <w:rsid w:val="000314F9"/>
    <w:rsid w:val="00031AC6"/>
    <w:rsid w:val="00031EB3"/>
    <w:rsid w:val="000339A3"/>
    <w:rsid w:val="000345F3"/>
    <w:rsid w:val="00034886"/>
    <w:rsid w:val="00036555"/>
    <w:rsid w:val="00036587"/>
    <w:rsid w:val="00036C58"/>
    <w:rsid w:val="00040968"/>
    <w:rsid w:val="00041494"/>
    <w:rsid w:val="000414BC"/>
    <w:rsid w:val="00041516"/>
    <w:rsid w:val="000418CF"/>
    <w:rsid w:val="00041AB9"/>
    <w:rsid w:val="000425C3"/>
    <w:rsid w:val="000429D2"/>
    <w:rsid w:val="00043CAB"/>
    <w:rsid w:val="00044A81"/>
    <w:rsid w:val="00045022"/>
    <w:rsid w:val="00045588"/>
    <w:rsid w:val="00046E92"/>
    <w:rsid w:val="000472A9"/>
    <w:rsid w:val="0004750E"/>
    <w:rsid w:val="00047DE9"/>
    <w:rsid w:val="00047FDC"/>
    <w:rsid w:val="00050469"/>
    <w:rsid w:val="000505DD"/>
    <w:rsid w:val="00050B37"/>
    <w:rsid w:val="00051753"/>
    <w:rsid w:val="00052645"/>
    <w:rsid w:val="00052B43"/>
    <w:rsid w:val="00054FDB"/>
    <w:rsid w:val="00055361"/>
    <w:rsid w:val="00055415"/>
    <w:rsid w:val="00055583"/>
    <w:rsid w:val="00055E00"/>
    <w:rsid w:val="000565D9"/>
    <w:rsid w:val="00056872"/>
    <w:rsid w:val="00057080"/>
    <w:rsid w:val="000572DA"/>
    <w:rsid w:val="00060D6A"/>
    <w:rsid w:val="00060DB6"/>
    <w:rsid w:val="00061BD2"/>
    <w:rsid w:val="0006260E"/>
    <w:rsid w:val="0006270E"/>
    <w:rsid w:val="000644AE"/>
    <w:rsid w:val="00064CA5"/>
    <w:rsid w:val="00065247"/>
    <w:rsid w:val="000660BE"/>
    <w:rsid w:val="00066960"/>
    <w:rsid w:val="0007006B"/>
    <w:rsid w:val="00070D08"/>
    <w:rsid w:val="0007224C"/>
    <w:rsid w:val="0007264A"/>
    <w:rsid w:val="000727C6"/>
    <w:rsid w:val="00072E1C"/>
    <w:rsid w:val="000739BD"/>
    <w:rsid w:val="0007404C"/>
    <w:rsid w:val="000743F1"/>
    <w:rsid w:val="0007453D"/>
    <w:rsid w:val="00074BBE"/>
    <w:rsid w:val="00075079"/>
    <w:rsid w:val="000752E4"/>
    <w:rsid w:val="000757E3"/>
    <w:rsid w:val="00075B0B"/>
    <w:rsid w:val="00075F3B"/>
    <w:rsid w:val="0007670D"/>
    <w:rsid w:val="000777EC"/>
    <w:rsid w:val="00077C0A"/>
    <w:rsid w:val="00082169"/>
    <w:rsid w:val="00083BA9"/>
    <w:rsid w:val="00083C86"/>
    <w:rsid w:val="0008484F"/>
    <w:rsid w:val="00085AE4"/>
    <w:rsid w:val="00085E77"/>
    <w:rsid w:val="000862E3"/>
    <w:rsid w:val="0008717E"/>
    <w:rsid w:val="00087A74"/>
    <w:rsid w:val="00087BF8"/>
    <w:rsid w:val="00087D32"/>
    <w:rsid w:val="000912FC"/>
    <w:rsid w:val="00092BCE"/>
    <w:rsid w:val="00093370"/>
    <w:rsid w:val="000942AC"/>
    <w:rsid w:val="00096F05"/>
    <w:rsid w:val="000A0B39"/>
    <w:rsid w:val="000A1F11"/>
    <w:rsid w:val="000A2434"/>
    <w:rsid w:val="000A2451"/>
    <w:rsid w:val="000A26E5"/>
    <w:rsid w:val="000A362F"/>
    <w:rsid w:val="000A40E3"/>
    <w:rsid w:val="000A4138"/>
    <w:rsid w:val="000A4860"/>
    <w:rsid w:val="000A5D2F"/>
    <w:rsid w:val="000B00E1"/>
    <w:rsid w:val="000B12A4"/>
    <w:rsid w:val="000B16EF"/>
    <w:rsid w:val="000B16FC"/>
    <w:rsid w:val="000B1F68"/>
    <w:rsid w:val="000B2759"/>
    <w:rsid w:val="000B2C31"/>
    <w:rsid w:val="000B3254"/>
    <w:rsid w:val="000B37D5"/>
    <w:rsid w:val="000B4722"/>
    <w:rsid w:val="000B6779"/>
    <w:rsid w:val="000B762D"/>
    <w:rsid w:val="000C02FD"/>
    <w:rsid w:val="000C0555"/>
    <w:rsid w:val="000C061B"/>
    <w:rsid w:val="000C1D30"/>
    <w:rsid w:val="000C4A07"/>
    <w:rsid w:val="000C4A20"/>
    <w:rsid w:val="000C4F40"/>
    <w:rsid w:val="000C4FD9"/>
    <w:rsid w:val="000C5768"/>
    <w:rsid w:val="000C6B77"/>
    <w:rsid w:val="000C701B"/>
    <w:rsid w:val="000D1AF3"/>
    <w:rsid w:val="000D2832"/>
    <w:rsid w:val="000D2A49"/>
    <w:rsid w:val="000D44A1"/>
    <w:rsid w:val="000D4556"/>
    <w:rsid w:val="000D4AB8"/>
    <w:rsid w:val="000D56FB"/>
    <w:rsid w:val="000D6115"/>
    <w:rsid w:val="000D6142"/>
    <w:rsid w:val="000D61C5"/>
    <w:rsid w:val="000D7B30"/>
    <w:rsid w:val="000D7C31"/>
    <w:rsid w:val="000E02B0"/>
    <w:rsid w:val="000E0C77"/>
    <w:rsid w:val="000E1299"/>
    <w:rsid w:val="000E216A"/>
    <w:rsid w:val="000E237C"/>
    <w:rsid w:val="000E27AA"/>
    <w:rsid w:val="000E2F82"/>
    <w:rsid w:val="000E3DDB"/>
    <w:rsid w:val="000E4AB4"/>
    <w:rsid w:val="000E4D9E"/>
    <w:rsid w:val="000E67AD"/>
    <w:rsid w:val="000E691C"/>
    <w:rsid w:val="000E7F8B"/>
    <w:rsid w:val="000F0076"/>
    <w:rsid w:val="000F06FD"/>
    <w:rsid w:val="000F0BA4"/>
    <w:rsid w:val="000F106E"/>
    <w:rsid w:val="000F1C00"/>
    <w:rsid w:val="000F26C8"/>
    <w:rsid w:val="000F35BD"/>
    <w:rsid w:val="000F366C"/>
    <w:rsid w:val="000F38F3"/>
    <w:rsid w:val="000F3DFF"/>
    <w:rsid w:val="000F431D"/>
    <w:rsid w:val="000F46B2"/>
    <w:rsid w:val="000F4F85"/>
    <w:rsid w:val="000F5260"/>
    <w:rsid w:val="000F5323"/>
    <w:rsid w:val="000F5A75"/>
    <w:rsid w:val="000F64DE"/>
    <w:rsid w:val="000F70B4"/>
    <w:rsid w:val="000F7256"/>
    <w:rsid w:val="000F7F07"/>
    <w:rsid w:val="001002A3"/>
    <w:rsid w:val="00101C08"/>
    <w:rsid w:val="001021EC"/>
    <w:rsid w:val="001027EA"/>
    <w:rsid w:val="00102AAC"/>
    <w:rsid w:val="00102DBE"/>
    <w:rsid w:val="00104740"/>
    <w:rsid w:val="001049EF"/>
    <w:rsid w:val="00105069"/>
    <w:rsid w:val="001051E9"/>
    <w:rsid w:val="001052C6"/>
    <w:rsid w:val="00105D30"/>
    <w:rsid w:val="00105F2F"/>
    <w:rsid w:val="0010745A"/>
    <w:rsid w:val="001102F6"/>
    <w:rsid w:val="001105D8"/>
    <w:rsid w:val="00111778"/>
    <w:rsid w:val="00112241"/>
    <w:rsid w:val="001126AA"/>
    <w:rsid w:val="0011372D"/>
    <w:rsid w:val="001147D4"/>
    <w:rsid w:val="00115809"/>
    <w:rsid w:val="00116381"/>
    <w:rsid w:val="00116983"/>
    <w:rsid w:val="00117AF9"/>
    <w:rsid w:val="00117D32"/>
    <w:rsid w:val="001222CC"/>
    <w:rsid w:val="001223EB"/>
    <w:rsid w:val="001233CC"/>
    <w:rsid w:val="001239A1"/>
    <w:rsid w:val="001242E7"/>
    <w:rsid w:val="001248CA"/>
    <w:rsid w:val="001251F7"/>
    <w:rsid w:val="0012674B"/>
    <w:rsid w:val="00126A83"/>
    <w:rsid w:val="00126FB2"/>
    <w:rsid w:val="00127E49"/>
    <w:rsid w:val="00130065"/>
    <w:rsid w:val="00131026"/>
    <w:rsid w:val="001315DC"/>
    <w:rsid w:val="001318FE"/>
    <w:rsid w:val="00133DE0"/>
    <w:rsid w:val="00134052"/>
    <w:rsid w:val="00134741"/>
    <w:rsid w:val="00134939"/>
    <w:rsid w:val="00135692"/>
    <w:rsid w:val="0013598E"/>
    <w:rsid w:val="00135D1B"/>
    <w:rsid w:val="00136658"/>
    <w:rsid w:val="001367D4"/>
    <w:rsid w:val="001370C4"/>
    <w:rsid w:val="001373FA"/>
    <w:rsid w:val="0013747B"/>
    <w:rsid w:val="00137600"/>
    <w:rsid w:val="00137F18"/>
    <w:rsid w:val="00142106"/>
    <w:rsid w:val="00142AA6"/>
    <w:rsid w:val="00142B4B"/>
    <w:rsid w:val="00143B80"/>
    <w:rsid w:val="00144606"/>
    <w:rsid w:val="00144DD9"/>
    <w:rsid w:val="001459B8"/>
    <w:rsid w:val="00145A88"/>
    <w:rsid w:val="00145E47"/>
    <w:rsid w:val="00146565"/>
    <w:rsid w:val="00146973"/>
    <w:rsid w:val="00146A20"/>
    <w:rsid w:val="0014744A"/>
    <w:rsid w:val="00147658"/>
    <w:rsid w:val="00147BC2"/>
    <w:rsid w:val="001500B3"/>
    <w:rsid w:val="001505E1"/>
    <w:rsid w:val="001506F3"/>
    <w:rsid w:val="001508C7"/>
    <w:rsid w:val="00151D4A"/>
    <w:rsid w:val="00151FFC"/>
    <w:rsid w:val="00152F3F"/>
    <w:rsid w:val="00154463"/>
    <w:rsid w:val="00154636"/>
    <w:rsid w:val="00154B6E"/>
    <w:rsid w:val="00154E7E"/>
    <w:rsid w:val="00155BFA"/>
    <w:rsid w:val="001604C0"/>
    <w:rsid w:val="00160ACF"/>
    <w:rsid w:val="001611F4"/>
    <w:rsid w:val="001613B1"/>
    <w:rsid w:val="00161616"/>
    <w:rsid w:val="001618B4"/>
    <w:rsid w:val="00161D7E"/>
    <w:rsid w:val="00161EFC"/>
    <w:rsid w:val="00163E1C"/>
    <w:rsid w:val="001658F9"/>
    <w:rsid w:val="00166487"/>
    <w:rsid w:val="00166F2B"/>
    <w:rsid w:val="001706FC"/>
    <w:rsid w:val="001718F1"/>
    <w:rsid w:val="00171961"/>
    <w:rsid w:val="00173299"/>
    <w:rsid w:val="001733B2"/>
    <w:rsid w:val="00173C39"/>
    <w:rsid w:val="00173D5D"/>
    <w:rsid w:val="001740AA"/>
    <w:rsid w:val="0017417D"/>
    <w:rsid w:val="001748C5"/>
    <w:rsid w:val="00175A7B"/>
    <w:rsid w:val="00175E9C"/>
    <w:rsid w:val="00175FA6"/>
    <w:rsid w:val="00176111"/>
    <w:rsid w:val="00177DAC"/>
    <w:rsid w:val="00180428"/>
    <w:rsid w:val="0018045A"/>
    <w:rsid w:val="00180796"/>
    <w:rsid w:val="0018136F"/>
    <w:rsid w:val="00181801"/>
    <w:rsid w:val="001822C8"/>
    <w:rsid w:val="0018262D"/>
    <w:rsid w:val="001830A6"/>
    <w:rsid w:val="00184444"/>
    <w:rsid w:val="00185B48"/>
    <w:rsid w:val="00185CC9"/>
    <w:rsid w:val="00186306"/>
    <w:rsid w:val="00186A32"/>
    <w:rsid w:val="00186C8D"/>
    <w:rsid w:val="00186FA9"/>
    <w:rsid w:val="00190050"/>
    <w:rsid w:val="00190821"/>
    <w:rsid w:val="00190854"/>
    <w:rsid w:val="00190906"/>
    <w:rsid w:val="001914C2"/>
    <w:rsid w:val="00191B3A"/>
    <w:rsid w:val="00193770"/>
    <w:rsid w:val="00197185"/>
    <w:rsid w:val="00197B21"/>
    <w:rsid w:val="001A0C8C"/>
    <w:rsid w:val="001A0FE8"/>
    <w:rsid w:val="001A1038"/>
    <w:rsid w:val="001A1047"/>
    <w:rsid w:val="001A174F"/>
    <w:rsid w:val="001A3313"/>
    <w:rsid w:val="001A3334"/>
    <w:rsid w:val="001A3805"/>
    <w:rsid w:val="001A3D35"/>
    <w:rsid w:val="001A3F77"/>
    <w:rsid w:val="001A4A65"/>
    <w:rsid w:val="001A561F"/>
    <w:rsid w:val="001A6120"/>
    <w:rsid w:val="001A65CD"/>
    <w:rsid w:val="001A7755"/>
    <w:rsid w:val="001B0B5D"/>
    <w:rsid w:val="001B0D45"/>
    <w:rsid w:val="001B21D8"/>
    <w:rsid w:val="001B26B5"/>
    <w:rsid w:val="001B2CA7"/>
    <w:rsid w:val="001B3547"/>
    <w:rsid w:val="001B3D57"/>
    <w:rsid w:val="001B4405"/>
    <w:rsid w:val="001B5388"/>
    <w:rsid w:val="001C022A"/>
    <w:rsid w:val="001C0494"/>
    <w:rsid w:val="001C09D5"/>
    <w:rsid w:val="001C0F65"/>
    <w:rsid w:val="001C1840"/>
    <w:rsid w:val="001C20F4"/>
    <w:rsid w:val="001C2F00"/>
    <w:rsid w:val="001C34CD"/>
    <w:rsid w:val="001C4A6B"/>
    <w:rsid w:val="001C53BD"/>
    <w:rsid w:val="001C57F0"/>
    <w:rsid w:val="001C59C6"/>
    <w:rsid w:val="001C792A"/>
    <w:rsid w:val="001C7E1F"/>
    <w:rsid w:val="001D1743"/>
    <w:rsid w:val="001D388A"/>
    <w:rsid w:val="001D437F"/>
    <w:rsid w:val="001D49EF"/>
    <w:rsid w:val="001D4CB3"/>
    <w:rsid w:val="001D65AB"/>
    <w:rsid w:val="001D7232"/>
    <w:rsid w:val="001D7262"/>
    <w:rsid w:val="001E0BD4"/>
    <w:rsid w:val="001E108B"/>
    <w:rsid w:val="001E1A4D"/>
    <w:rsid w:val="001E2B81"/>
    <w:rsid w:val="001E2DE5"/>
    <w:rsid w:val="001E30AC"/>
    <w:rsid w:val="001E5AA0"/>
    <w:rsid w:val="001E5FB0"/>
    <w:rsid w:val="001E5FF2"/>
    <w:rsid w:val="001E6420"/>
    <w:rsid w:val="001E6623"/>
    <w:rsid w:val="001E70E9"/>
    <w:rsid w:val="001E730A"/>
    <w:rsid w:val="001E7A61"/>
    <w:rsid w:val="001E7BA0"/>
    <w:rsid w:val="001F02C5"/>
    <w:rsid w:val="001F0BA0"/>
    <w:rsid w:val="001F0DE7"/>
    <w:rsid w:val="001F0FC9"/>
    <w:rsid w:val="001F11A7"/>
    <w:rsid w:val="001F14E1"/>
    <w:rsid w:val="001F1A7F"/>
    <w:rsid w:val="001F2467"/>
    <w:rsid w:val="001F2AB5"/>
    <w:rsid w:val="001F2CA9"/>
    <w:rsid w:val="001F374F"/>
    <w:rsid w:val="001F3982"/>
    <w:rsid w:val="001F4364"/>
    <w:rsid w:val="001F4DA5"/>
    <w:rsid w:val="001F577F"/>
    <w:rsid w:val="001F69C4"/>
    <w:rsid w:val="001F73DB"/>
    <w:rsid w:val="001F7A6C"/>
    <w:rsid w:val="002011B9"/>
    <w:rsid w:val="002012EE"/>
    <w:rsid w:val="00201A1E"/>
    <w:rsid w:val="002040F9"/>
    <w:rsid w:val="00204E64"/>
    <w:rsid w:val="00205A9A"/>
    <w:rsid w:val="00205FBD"/>
    <w:rsid w:val="002101EF"/>
    <w:rsid w:val="00210451"/>
    <w:rsid w:val="00210DFF"/>
    <w:rsid w:val="0021116C"/>
    <w:rsid w:val="00211E07"/>
    <w:rsid w:val="0021311A"/>
    <w:rsid w:val="00213EC4"/>
    <w:rsid w:val="00214C1C"/>
    <w:rsid w:val="002154A0"/>
    <w:rsid w:val="00215BC9"/>
    <w:rsid w:val="00216F1A"/>
    <w:rsid w:val="00216FBA"/>
    <w:rsid w:val="0022020A"/>
    <w:rsid w:val="00221157"/>
    <w:rsid w:val="00221B20"/>
    <w:rsid w:val="00222A59"/>
    <w:rsid w:val="002230DD"/>
    <w:rsid w:val="002264A0"/>
    <w:rsid w:val="00227207"/>
    <w:rsid w:val="002272F1"/>
    <w:rsid w:val="00231730"/>
    <w:rsid w:val="00231C4D"/>
    <w:rsid w:val="00231E64"/>
    <w:rsid w:val="00234850"/>
    <w:rsid w:val="002350F4"/>
    <w:rsid w:val="002364E5"/>
    <w:rsid w:val="002400E7"/>
    <w:rsid w:val="0024021E"/>
    <w:rsid w:val="002411F3"/>
    <w:rsid w:val="00241285"/>
    <w:rsid w:val="002415E5"/>
    <w:rsid w:val="002416EA"/>
    <w:rsid w:val="002421AB"/>
    <w:rsid w:val="00242564"/>
    <w:rsid w:val="002428C0"/>
    <w:rsid w:val="00242A64"/>
    <w:rsid w:val="00243492"/>
    <w:rsid w:val="002442B5"/>
    <w:rsid w:val="00245674"/>
    <w:rsid w:val="00246151"/>
    <w:rsid w:val="00247D7E"/>
    <w:rsid w:val="00247E2C"/>
    <w:rsid w:val="002508CE"/>
    <w:rsid w:val="00251808"/>
    <w:rsid w:val="00251A24"/>
    <w:rsid w:val="00251AB8"/>
    <w:rsid w:val="002525BC"/>
    <w:rsid w:val="002541AB"/>
    <w:rsid w:val="00254498"/>
    <w:rsid w:val="00254853"/>
    <w:rsid w:val="00255021"/>
    <w:rsid w:val="0025541E"/>
    <w:rsid w:val="002567A9"/>
    <w:rsid w:val="00256EFD"/>
    <w:rsid w:val="0025738E"/>
    <w:rsid w:val="0026132F"/>
    <w:rsid w:val="00261F84"/>
    <w:rsid w:val="00262725"/>
    <w:rsid w:val="00262EC0"/>
    <w:rsid w:val="00263EF5"/>
    <w:rsid w:val="00264000"/>
    <w:rsid w:val="00264F59"/>
    <w:rsid w:val="00265888"/>
    <w:rsid w:val="00265921"/>
    <w:rsid w:val="00266E60"/>
    <w:rsid w:val="00270AB1"/>
    <w:rsid w:val="00270EC2"/>
    <w:rsid w:val="0027369E"/>
    <w:rsid w:val="00273870"/>
    <w:rsid w:val="00274C71"/>
    <w:rsid w:val="00274D2D"/>
    <w:rsid w:val="00275154"/>
    <w:rsid w:val="00275305"/>
    <w:rsid w:val="00275313"/>
    <w:rsid w:val="00280369"/>
    <w:rsid w:val="0028115A"/>
    <w:rsid w:val="00282696"/>
    <w:rsid w:val="0028341C"/>
    <w:rsid w:val="00283C11"/>
    <w:rsid w:val="00285988"/>
    <w:rsid w:val="00286C38"/>
    <w:rsid w:val="00287038"/>
    <w:rsid w:val="00290043"/>
    <w:rsid w:val="002902A7"/>
    <w:rsid w:val="00292172"/>
    <w:rsid w:val="00292391"/>
    <w:rsid w:val="00292944"/>
    <w:rsid w:val="00292F24"/>
    <w:rsid w:val="0029308C"/>
    <w:rsid w:val="002937A6"/>
    <w:rsid w:val="00294455"/>
    <w:rsid w:val="002948C3"/>
    <w:rsid w:val="00294C63"/>
    <w:rsid w:val="00294E82"/>
    <w:rsid w:val="002950CC"/>
    <w:rsid w:val="002957A6"/>
    <w:rsid w:val="00295CC6"/>
    <w:rsid w:val="0029612F"/>
    <w:rsid w:val="002962F5"/>
    <w:rsid w:val="00297160"/>
    <w:rsid w:val="002978AF"/>
    <w:rsid w:val="002A0686"/>
    <w:rsid w:val="002A10BE"/>
    <w:rsid w:val="002A36A7"/>
    <w:rsid w:val="002A38D8"/>
    <w:rsid w:val="002A3F57"/>
    <w:rsid w:val="002A49F6"/>
    <w:rsid w:val="002A5FA9"/>
    <w:rsid w:val="002A634B"/>
    <w:rsid w:val="002A6E85"/>
    <w:rsid w:val="002A6FB8"/>
    <w:rsid w:val="002A7290"/>
    <w:rsid w:val="002B0422"/>
    <w:rsid w:val="002B05D6"/>
    <w:rsid w:val="002B2868"/>
    <w:rsid w:val="002B30D2"/>
    <w:rsid w:val="002B353C"/>
    <w:rsid w:val="002B3E6F"/>
    <w:rsid w:val="002B42D4"/>
    <w:rsid w:val="002B49CC"/>
    <w:rsid w:val="002B509F"/>
    <w:rsid w:val="002B5965"/>
    <w:rsid w:val="002B6497"/>
    <w:rsid w:val="002B6557"/>
    <w:rsid w:val="002B6A46"/>
    <w:rsid w:val="002C0110"/>
    <w:rsid w:val="002C0DD7"/>
    <w:rsid w:val="002C1659"/>
    <w:rsid w:val="002C2EBC"/>
    <w:rsid w:val="002C3565"/>
    <w:rsid w:val="002C3A0B"/>
    <w:rsid w:val="002C3F64"/>
    <w:rsid w:val="002C51FB"/>
    <w:rsid w:val="002C5933"/>
    <w:rsid w:val="002C694D"/>
    <w:rsid w:val="002C6A5C"/>
    <w:rsid w:val="002C72BA"/>
    <w:rsid w:val="002D04A3"/>
    <w:rsid w:val="002D0D71"/>
    <w:rsid w:val="002D0E68"/>
    <w:rsid w:val="002D1006"/>
    <w:rsid w:val="002D139E"/>
    <w:rsid w:val="002D3EF5"/>
    <w:rsid w:val="002D42BB"/>
    <w:rsid w:val="002D455E"/>
    <w:rsid w:val="002D4EBB"/>
    <w:rsid w:val="002D5291"/>
    <w:rsid w:val="002D5971"/>
    <w:rsid w:val="002D6C53"/>
    <w:rsid w:val="002D6C6D"/>
    <w:rsid w:val="002D707C"/>
    <w:rsid w:val="002D774A"/>
    <w:rsid w:val="002D7790"/>
    <w:rsid w:val="002D7EF2"/>
    <w:rsid w:val="002E0EC6"/>
    <w:rsid w:val="002E182E"/>
    <w:rsid w:val="002E2192"/>
    <w:rsid w:val="002E2D57"/>
    <w:rsid w:val="002E32EC"/>
    <w:rsid w:val="002E36D6"/>
    <w:rsid w:val="002E3A5B"/>
    <w:rsid w:val="002E47F6"/>
    <w:rsid w:val="002E5910"/>
    <w:rsid w:val="002E5B6B"/>
    <w:rsid w:val="002E6678"/>
    <w:rsid w:val="002E67ED"/>
    <w:rsid w:val="002E69DF"/>
    <w:rsid w:val="002E6F1E"/>
    <w:rsid w:val="002E7081"/>
    <w:rsid w:val="002E7301"/>
    <w:rsid w:val="002E7641"/>
    <w:rsid w:val="002E7676"/>
    <w:rsid w:val="002F00EE"/>
    <w:rsid w:val="002F0D43"/>
    <w:rsid w:val="002F0F7A"/>
    <w:rsid w:val="002F1100"/>
    <w:rsid w:val="002F1557"/>
    <w:rsid w:val="002F1631"/>
    <w:rsid w:val="002F1973"/>
    <w:rsid w:val="002F1978"/>
    <w:rsid w:val="002F2FBC"/>
    <w:rsid w:val="002F30A4"/>
    <w:rsid w:val="002F3569"/>
    <w:rsid w:val="002F3D11"/>
    <w:rsid w:val="002F4012"/>
    <w:rsid w:val="002F43CD"/>
    <w:rsid w:val="002F4514"/>
    <w:rsid w:val="002F4BBF"/>
    <w:rsid w:val="002F4FE2"/>
    <w:rsid w:val="002F4FF7"/>
    <w:rsid w:val="002F550D"/>
    <w:rsid w:val="002F5595"/>
    <w:rsid w:val="003074B8"/>
    <w:rsid w:val="00307688"/>
    <w:rsid w:val="003126A2"/>
    <w:rsid w:val="0031276D"/>
    <w:rsid w:val="0031489D"/>
    <w:rsid w:val="00314BD5"/>
    <w:rsid w:val="0031522C"/>
    <w:rsid w:val="003155CF"/>
    <w:rsid w:val="00315D11"/>
    <w:rsid w:val="00315DC9"/>
    <w:rsid w:val="00315FBD"/>
    <w:rsid w:val="00316A10"/>
    <w:rsid w:val="00316A2C"/>
    <w:rsid w:val="00316ED3"/>
    <w:rsid w:val="00317888"/>
    <w:rsid w:val="00320461"/>
    <w:rsid w:val="003209AE"/>
    <w:rsid w:val="003217E3"/>
    <w:rsid w:val="003218AC"/>
    <w:rsid w:val="00321C4D"/>
    <w:rsid w:val="00322A8B"/>
    <w:rsid w:val="00322E86"/>
    <w:rsid w:val="00323566"/>
    <w:rsid w:val="00323CAA"/>
    <w:rsid w:val="00324CE9"/>
    <w:rsid w:val="003255B8"/>
    <w:rsid w:val="003258D7"/>
    <w:rsid w:val="0032693A"/>
    <w:rsid w:val="00326AC1"/>
    <w:rsid w:val="00327292"/>
    <w:rsid w:val="003274D0"/>
    <w:rsid w:val="003278BF"/>
    <w:rsid w:val="00327A48"/>
    <w:rsid w:val="003310F1"/>
    <w:rsid w:val="003312EA"/>
    <w:rsid w:val="003313A5"/>
    <w:rsid w:val="00334775"/>
    <w:rsid w:val="00334D52"/>
    <w:rsid w:val="00334F6A"/>
    <w:rsid w:val="003351DB"/>
    <w:rsid w:val="0033525C"/>
    <w:rsid w:val="00335642"/>
    <w:rsid w:val="003357B9"/>
    <w:rsid w:val="00336D8A"/>
    <w:rsid w:val="003371D4"/>
    <w:rsid w:val="003372E2"/>
    <w:rsid w:val="00337892"/>
    <w:rsid w:val="0034177D"/>
    <w:rsid w:val="00341B38"/>
    <w:rsid w:val="00341CC6"/>
    <w:rsid w:val="00342426"/>
    <w:rsid w:val="00342AC8"/>
    <w:rsid w:val="00342BD8"/>
    <w:rsid w:val="00343381"/>
    <w:rsid w:val="003436C4"/>
    <w:rsid w:val="003458D5"/>
    <w:rsid w:val="003464CF"/>
    <w:rsid w:val="00346988"/>
    <w:rsid w:val="00350039"/>
    <w:rsid w:val="0035024C"/>
    <w:rsid w:val="00350AF7"/>
    <w:rsid w:val="00350BE0"/>
    <w:rsid w:val="00351630"/>
    <w:rsid w:val="00353D90"/>
    <w:rsid w:val="00353DA4"/>
    <w:rsid w:val="00354A23"/>
    <w:rsid w:val="00356FF8"/>
    <w:rsid w:val="00357CFC"/>
    <w:rsid w:val="00357E7E"/>
    <w:rsid w:val="00361062"/>
    <w:rsid w:val="00361148"/>
    <w:rsid w:val="003616EE"/>
    <w:rsid w:val="003624E6"/>
    <w:rsid w:val="003629ED"/>
    <w:rsid w:val="00362F9A"/>
    <w:rsid w:val="003633B8"/>
    <w:rsid w:val="00363A13"/>
    <w:rsid w:val="00363F2D"/>
    <w:rsid w:val="0036420E"/>
    <w:rsid w:val="00364251"/>
    <w:rsid w:val="003642B2"/>
    <w:rsid w:val="0036455B"/>
    <w:rsid w:val="003652D6"/>
    <w:rsid w:val="0036548C"/>
    <w:rsid w:val="003667F1"/>
    <w:rsid w:val="00366F86"/>
    <w:rsid w:val="00367121"/>
    <w:rsid w:val="00367174"/>
    <w:rsid w:val="00367566"/>
    <w:rsid w:val="00367AD7"/>
    <w:rsid w:val="003702F3"/>
    <w:rsid w:val="00370692"/>
    <w:rsid w:val="00370861"/>
    <w:rsid w:val="00371950"/>
    <w:rsid w:val="00371DD1"/>
    <w:rsid w:val="00372A9B"/>
    <w:rsid w:val="00372E4F"/>
    <w:rsid w:val="00373741"/>
    <w:rsid w:val="003743F7"/>
    <w:rsid w:val="0037463C"/>
    <w:rsid w:val="00374D90"/>
    <w:rsid w:val="003752E6"/>
    <w:rsid w:val="0037586D"/>
    <w:rsid w:val="0037596B"/>
    <w:rsid w:val="00376C7D"/>
    <w:rsid w:val="00380014"/>
    <w:rsid w:val="00380CE7"/>
    <w:rsid w:val="00381B92"/>
    <w:rsid w:val="003831B0"/>
    <w:rsid w:val="0038354E"/>
    <w:rsid w:val="00383731"/>
    <w:rsid w:val="00383C48"/>
    <w:rsid w:val="00384A69"/>
    <w:rsid w:val="00384B59"/>
    <w:rsid w:val="003853B4"/>
    <w:rsid w:val="00385A67"/>
    <w:rsid w:val="00386028"/>
    <w:rsid w:val="003863F4"/>
    <w:rsid w:val="00386F52"/>
    <w:rsid w:val="003878B9"/>
    <w:rsid w:val="00390641"/>
    <w:rsid w:val="003907E0"/>
    <w:rsid w:val="0039108B"/>
    <w:rsid w:val="003919E7"/>
    <w:rsid w:val="00392D09"/>
    <w:rsid w:val="00392E8D"/>
    <w:rsid w:val="00393372"/>
    <w:rsid w:val="00393404"/>
    <w:rsid w:val="00393A92"/>
    <w:rsid w:val="00393FBD"/>
    <w:rsid w:val="0039419B"/>
    <w:rsid w:val="0039546D"/>
    <w:rsid w:val="00395EE2"/>
    <w:rsid w:val="003960C2"/>
    <w:rsid w:val="003960EF"/>
    <w:rsid w:val="00396377"/>
    <w:rsid w:val="00396BD7"/>
    <w:rsid w:val="00396EB7"/>
    <w:rsid w:val="00397611"/>
    <w:rsid w:val="00397643"/>
    <w:rsid w:val="003978B8"/>
    <w:rsid w:val="00397BBE"/>
    <w:rsid w:val="003A0231"/>
    <w:rsid w:val="003A0327"/>
    <w:rsid w:val="003A05B0"/>
    <w:rsid w:val="003A0C9F"/>
    <w:rsid w:val="003A0F96"/>
    <w:rsid w:val="003A17B2"/>
    <w:rsid w:val="003A2A40"/>
    <w:rsid w:val="003A3CD9"/>
    <w:rsid w:val="003A42E1"/>
    <w:rsid w:val="003A4437"/>
    <w:rsid w:val="003A45C1"/>
    <w:rsid w:val="003A582C"/>
    <w:rsid w:val="003A58D2"/>
    <w:rsid w:val="003A5CCB"/>
    <w:rsid w:val="003A5EC3"/>
    <w:rsid w:val="003A6621"/>
    <w:rsid w:val="003A7D5E"/>
    <w:rsid w:val="003B0DAD"/>
    <w:rsid w:val="003B288E"/>
    <w:rsid w:val="003B39EA"/>
    <w:rsid w:val="003B4550"/>
    <w:rsid w:val="003B4AB8"/>
    <w:rsid w:val="003B4B4F"/>
    <w:rsid w:val="003B4E29"/>
    <w:rsid w:val="003B4F39"/>
    <w:rsid w:val="003B6688"/>
    <w:rsid w:val="003B6BF8"/>
    <w:rsid w:val="003B7526"/>
    <w:rsid w:val="003B7D4F"/>
    <w:rsid w:val="003B7EA6"/>
    <w:rsid w:val="003C08C2"/>
    <w:rsid w:val="003C117A"/>
    <w:rsid w:val="003C1B07"/>
    <w:rsid w:val="003C2557"/>
    <w:rsid w:val="003C2782"/>
    <w:rsid w:val="003C2A08"/>
    <w:rsid w:val="003C3672"/>
    <w:rsid w:val="003C3A1C"/>
    <w:rsid w:val="003C3BD6"/>
    <w:rsid w:val="003C3D8F"/>
    <w:rsid w:val="003C505D"/>
    <w:rsid w:val="003C50B5"/>
    <w:rsid w:val="003C512A"/>
    <w:rsid w:val="003C5430"/>
    <w:rsid w:val="003C5588"/>
    <w:rsid w:val="003C5605"/>
    <w:rsid w:val="003C5941"/>
    <w:rsid w:val="003C6124"/>
    <w:rsid w:val="003D02FC"/>
    <w:rsid w:val="003D0349"/>
    <w:rsid w:val="003D0998"/>
    <w:rsid w:val="003D112C"/>
    <w:rsid w:val="003D14E3"/>
    <w:rsid w:val="003D1F0C"/>
    <w:rsid w:val="003D2C6C"/>
    <w:rsid w:val="003D2F86"/>
    <w:rsid w:val="003D38FD"/>
    <w:rsid w:val="003D3C92"/>
    <w:rsid w:val="003D4D43"/>
    <w:rsid w:val="003D52F9"/>
    <w:rsid w:val="003D533F"/>
    <w:rsid w:val="003D5ABA"/>
    <w:rsid w:val="003D69B3"/>
    <w:rsid w:val="003D71C5"/>
    <w:rsid w:val="003D7936"/>
    <w:rsid w:val="003E01E2"/>
    <w:rsid w:val="003E0493"/>
    <w:rsid w:val="003E0852"/>
    <w:rsid w:val="003E0E58"/>
    <w:rsid w:val="003E2277"/>
    <w:rsid w:val="003E25EF"/>
    <w:rsid w:val="003E38EB"/>
    <w:rsid w:val="003E3B12"/>
    <w:rsid w:val="003E4F39"/>
    <w:rsid w:val="003E51E4"/>
    <w:rsid w:val="003E5F9C"/>
    <w:rsid w:val="003E60DE"/>
    <w:rsid w:val="003E6428"/>
    <w:rsid w:val="003E68D3"/>
    <w:rsid w:val="003E6B0F"/>
    <w:rsid w:val="003E6F95"/>
    <w:rsid w:val="003E7B63"/>
    <w:rsid w:val="003F0657"/>
    <w:rsid w:val="003F066A"/>
    <w:rsid w:val="003F09A1"/>
    <w:rsid w:val="003F2075"/>
    <w:rsid w:val="003F23F0"/>
    <w:rsid w:val="003F33E7"/>
    <w:rsid w:val="003F3839"/>
    <w:rsid w:val="003F3D23"/>
    <w:rsid w:val="003F3E8E"/>
    <w:rsid w:val="003F438F"/>
    <w:rsid w:val="003F4A93"/>
    <w:rsid w:val="003F54B1"/>
    <w:rsid w:val="003F62D6"/>
    <w:rsid w:val="003F697E"/>
    <w:rsid w:val="003F6D05"/>
    <w:rsid w:val="003F7620"/>
    <w:rsid w:val="003F76EE"/>
    <w:rsid w:val="003F7990"/>
    <w:rsid w:val="00401007"/>
    <w:rsid w:val="0040164F"/>
    <w:rsid w:val="00401DAE"/>
    <w:rsid w:val="0040262F"/>
    <w:rsid w:val="00403799"/>
    <w:rsid w:val="0040379D"/>
    <w:rsid w:val="00405598"/>
    <w:rsid w:val="00405959"/>
    <w:rsid w:val="00406327"/>
    <w:rsid w:val="00406824"/>
    <w:rsid w:val="004079FD"/>
    <w:rsid w:val="004100CE"/>
    <w:rsid w:val="00411225"/>
    <w:rsid w:val="00411FB2"/>
    <w:rsid w:val="0041279D"/>
    <w:rsid w:val="00413963"/>
    <w:rsid w:val="00414D01"/>
    <w:rsid w:val="004156ED"/>
    <w:rsid w:val="00416C44"/>
    <w:rsid w:val="00420234"/>
    <w:rsid w:val="00421560"/>
    <w:rsid w:val="004217AC"/>
    <w:rsid w:val="00421E32"/>
    <w:rsid w:val="00421EE2"/>
    <w:rsid w:val="004233E3"/>
    <w:rsid w:val="004250C0"/>
    <w:rsid w:val="0042550C"/>
    <w:rsid w:val="0042564D"/>
    <w:rsid w:val="004257AA"/>
    <w:rsid w:val="0042664B"/>
    <w:rsid w:val="00430D10"/>
    <w:rsid w:val="00430EBB"/>
    <w:rsid w:val="004319DD"/>
    <w:rsid w:val="0043268B"/>
    <w:rsid w:val="00433048"/>
    <w:rsid w:val="00433214"/>
    <w:rsid w:val="00433BC1"/>
    <w:rsid w:val="00434179"/>
    <w:rsid w:val="0043469D"/>
    <w:rsid w:val="004349FC"/>
    <w:rsid w:val="0043568F"/>
    <w:rsid w:val="004367EF"/>
    <w:rsid w:val="004402E2"/>
    <w:rsid w:val="00440394"/>
    <w:rsid w:val="004405B9"/>
    <w:rsid w:val="00442B60"/>
    <w:rsid w:val="004436AA"/>
    <w:rsid w:val="004458BC"/>
    <w:rsid w:val="00445BD8"/>
    <w:rsid w:val="00445ED7"/>
    <w:rsid w:val="004461E9"/>
    <w:rsid w:val="00446B74"/>
    <w:rsid w:val="00447248"/>
    <w:rsid w:val="004472FD"/>
    <w:rsid w:val="00450CA2"/>
    <w:rsid w:val="00451132"/>
    <w:rsid w:val="00451C61"/>
    <w:rsid w:val="0045314B"/>
    <w:rsid w:val="00453882"/>
    <w:rsid w:val="0045433A"/>
    <w:rsid w:val="0045473C"/>
    <w:rsid w:val="004550FE"/>
    <w:rsid w:val="004564A7"/>
    <w:rsid w:val="00456583"/>
    <w:rsid w:val="00456B60"/>
    <w:rsid w:val="004574D4"/>
    <w:rsid w:val="00461253"/>
    <w:rsid w:val="00461E7F"/>
    <w:rsid w:val="0046286E"/>
    <w:rsid w:val="0046288D"/>
    <w:rsid w:val="00462C1E"/>
    <w:rsid w:val="00462C1F"/>
    <w:rsid w:val="00463220"/>
    <w:rsid w:val="00463883"/>
    <w:rsid w:val="00465709"/>
    <w:rsid w:val="004662D7"/>
    <w:rsid w:val="004665F0"/>
    <w:rsid w:val="00466977"/>
    <w:rsid w:val="00466A3D"/>
    <w:rsid w:val="0046774E"/>
    <w:rsid w:val="00467CCB"/>
    <w:rsid w:val="00471B8E"/>
    <w:rsid w:val="00471C67"/>
    <w:rsid w:val="00471CF4"/>
    <w:rsid w:val="0047226A"/>
    <w:rsid w:val="004727DB"/>
    <w:rsid w:val="00472C6F"/>
    <w:rsid w:val="00474233"/>
    <w:rsid w:val="004749DA"/>
    <w:rsid w:val="00474E85"/>
    <w:rsid w:val="004757FA"/>
    <w:rsid w:val="0047591F"/>
    <w:rsid w:val="00475E21"/>
    <w:rsid w:val="00476EC7"/>
    <w:rsid w:val="00481E1A"/>
    <w:rsid w:val="00482038"/>
    <w:rsid w:val="0048233A"/>
    <w:rsid w:val="0048300E"/>
    <w:rsid w:val="00483018"/>
    <w:rsid w:val="0048387F"/>
    <w:rsid w:val="00483DA8"/>
    <w:rsid w:val="004842BA"/>
    <w:rsid w:val="004849CC"/>
    <w:rsid w:val="0048710A"/>
    <w:rsid w:val="004876A3"/>
    <w:rsid w:val="00487D8E"/>
    <w:rsid w:val="0049135A"/>
    <w:rsid w:val="0049136D"/>
    <w:rsid w:val="0049151D"/>
    <w:rsid w:val="0049209E"/>
    <w:rsid w:val="004923C9"/>
    <w:rsid w:val="00493873"/>
    <w:rsid w:val="00493BA4"/>
    <w:rsid w:val="00494D85"/>
    <w:rsid w:val="00495D54"/>
    <w:rsid w:val="00496FF3"/>
    <w:rsid w:val="004A0114"/>
    <w:rsid w:val="004A2F2A"/>
    <w:rsid w:val="004A3229"/>
    <w:rsid w:val="004A372B"/>
    <w:rsid w:val="004A41FE"/>
    <w:rsid w:val="004A4312"/>
    <w:rsid w:val="004A4345"/>
    <w:rsid w:val="004A4ACE"/>
    <w:rsid w:val="004A5A3F"/>
    <w:rsid w:val="004A70AD"/>
    <w:rsid w:val="004A724E"/>
    <w:rsid w:val="004B0678"/>
    <w:rsid w:val="004B102D"/>
    <w:rsid w:val="004B2373"/>
    <w:rsid w:val="004B2756"/>
    <w:rsid w:val="004B2952"/>
    <w:rsid w:val="004B297A"/>
    <w:rsid w:val="004B342F"/>
    <w:rsid w:val="004B468A"/>
    <w:rsid w:val="004B4C36"/>
    <w:rsid w:val="004B64B9"/>
    <w:rsid w:val="004B751E"/>
    <w:rsid w:val="004C020C"/>
    <w:rsid w:val="004C02B3"/>
    <w:rsid w:val="004C0439"/>
    <w:rsid w:val="004C04EA"/>
    <w:rsid w:val="004C091E"/>
    <w:rsid w:val="004C0DA2"/>
    <w:rsid w:val="004C10EB"/>
    <w:rsid w:val="004C1948"/>
    <w:rsid w:val="004C314C"/>
    <w:rsid w:val="004C3619"/>
    <w:rsid w:val="004C3723"/>
    <w:rsid w:val="004C38DE"/>
    <w:rsid w:val="004C3AAF"/>
    <w:rsid w:val="004C3E65"/>
    <w:rsid w:val="004C49BE"/>
    <w:rsid w:val="004C4FCE"/>
    <w:rsid w:val="004C59D1"/>
    <w:rsid w:val="004C6076"/>
    <w:rsid w:val="004D0741"/>
    <w:rsid w:val="004D0CDF"/>
    <w:rsid w:val="004D0CEC"/>
    <w:rsid w:val="004D0DA9"/>
    <w:rsid w:val="004D1111"/>
    <w:rsid w:val="004D14B6"/>
    <w:rsid w:val="004D167D"/>
    <w:rsid w:val="004D1E40"/>
    <w:rsid w:val="004D282E"/>
    <w:rsid w:val="004D352E"/>
    <w:rsid w:val="004D4460"/>
    <w:rsid w:val="004D4E5A"/>
    <w:rsid w:val="004D50DB"/>
    <w:rsid w:val="004D5810"/>
    <w:rsid w:val="004D7D2D"/>
    <w:rsid w:val="004E09A0"/>
    <w:rsid w:val="004E1171"/>
    <w:rsid w:val="004E144C"/>
    <w:rsid w:val="004E147A"/>
    <w:rsid w:val="004E2089"/>
    <w:rsid w:val="004E282E"/>
    <w:rsid w:val="004E3198"/>
    <w:rsid w:val="004E3280"/>
    <w:rsid w:val="004E3495"/>
    <w:rsid w:val="004E4E12"/>
    <w:rsid w:val="004E72AC"/>
    <w:rsid w:val="004E7AB6"/>
    <w:rsid w:val="004F0612"/>
    <w:rsid w:val="004F0895"/>
    <w:rsid w:val="004F1586"/>
    <w:rsid w:val="004F208C"/>
    <w:rsid w:val="004F23E4"/>
    <w:rsid w:val="004F26FC"/>
    <w:rsid w:val="004F38E9"/>
    <w:rsid w:val="004F42C8"/>
    <w:rsid w:val="004F4C8A"/>
    <w:rsid w:val="004F4E21"/>
    <w:rsid w:val="004F55EA"/>
    <w:rsid w:val="004F59F7"/>
    <w:rsid w:val="004F641A"/>
    <w:rsid w:val="004F6847"/>
    <w:rsid w:val="004F6991"/>
    <w:rsid w:val="004F7957"/>
    <w:rsid w:val="005007DE"/>
    <w:rsid w:val="00501BA9"/>
    <w:rsid w:val="00501D09"/>
    <w:rsid w:val="0050285C"/>
    <w:rsid w:val="00502B60"/>
    <w:rsid w:val="00502DD7"/>
    <w:rsid w:val="00503801"/>
    <w:rsid w:val="00504255"/>
    <w:rsid w:val="005042C2"/>
    <w:rsid w:val="00504845"/>
    <w:rsid w:val="005049E1"/>
    <w:rsid w:val="00504B1B"/>
    <w:rsid w:val="005055C3"/>
    <w:rsid w:val="00506ED2"/>
    <w:rsid w:val="00507365"/>
    <w:rsid w:val="005104C3"/>
    <w:rsid w:val="00511172"/>
    <w:rsid w:val="00511675"/>
    <w:rsid w:val="005122F4"/>
    <w:rsid w:val="00513318"/>
    <w:rsid w:val="00513617"/>
    <w:rsid w:val="00513B47"/>
    <w:rsid w:val="00514E94"/>
    <w:rsid w:val="00515242"/>
    <w:rsid w:val="00515778"/>
    <w:rsid w:val="00516105"/>
    <w:rsid w:val="00516D2B"/>
    <w:rsid w:val="00520300"/>
    <w:rsid w:val="00520FCC"/>
    <w:rsid w:val="00521BAB"/>
    <w:rsid w:val="00523F9E"/>
    <w:rsid w:val="005248DC"/>
    <w:rsid w:val="00524B23"/>
    <w:rsid w:val="00526DC3"/>
    <w:rsid w:val="00527A97"/>
    <w:rsid w:val="00530707"/>
    <w:rsid w:val="0053138F"/>
    <w:rsid w:val="0053147D"/>
    <w:rsid w:val="00532208"/>
    <w:rsid w:val="00532CAE"/>
    <w:rsid w:val="005345CF"/>
    <w:rsid w:val="00535726"/>
    <w:rsid w:val="005379AA"/>
    <w:rsid w:val="00537C7A"/>
    <w:rsid w:val="00541C58"/>
    <w:rsid w:val="00541CB1"/>
    <w:rsid w:val="00541CE1"/>
    <w:rsid w:val="0054305A"/>
    <w:rsid w:val="00543887"/>
    <w:rsid w:val="00543C14"/>
    <w:rsid w:val="00544146"/>
    <w:rsid w:val="00544DE6"/>
    <w:rsid w:val="00546617"/>
    <w:rsid w:val="00546B30"/>
    <w:rsid w:val="005471B8"/>
    <w:rsid w:val="005479AD"/>
    <w:rsid w:val="00551446"/>
    <w:rsid w:val="005525F2"/>
    <w:rsid w:val="00553529"/>
    <w:rsid w:val="005539AA"/>
    <w:rsid w:val="00553C96"/>
    <w:rsid w:val="00554259"/>
    <w:rsid w:val="0055462C"/>
    <w:rsid w:val="0055478D"/>
    <w:rsid w:val="0055731F"/>
    <w:rsid w:val="005579BA"/>
    <w:rsid w:val="00557B42"/>
    <w:rsid w:val="00557F19"/>
    <w:rsid w:val="005601FF"/>
    <w:rsid w:val="00560B2A"/>
    <w:rsid w:val="00560B4F"/>
    <w:rsid w:val="00560C3A"/>
    <w:rsid w:val="00560D15"/>
    <w:rsid w:val="0056109A"/>
    <w:rsid w:val="00561350"/>
    <w:rsid w:val="00562198"/>
    <w:rsid w:val="00562784"/>
    <w:rsid w:val="00562F4D"/>
    <w:rsid w:val="00562FC3"/>
    <w:rsid w:val="005633D1"/>
    <w:rsid w:val="0056598A"/>
    <w:rsid w:val="005659F6"/>
    <w:rsid w:val="00570001"/>
    <w:rsid w:val="00570063"/>
    <w:rsid w:val="00570089"/>
    <w:rsid w:val="00571321"/>
    <w:rsid w:val="00571427"/>
    <w:rsid w:val="005722CE"/>
    <w:rsid w:val="0057289E"/>
    <w:rsid w:val="005739FA"/>
    <w:rsid w:val="005743DD"/>
    <w:rsid w:val="00574495"/>
    <w:rsid w:val="005744CE"/>
    <w:rsid w:val="00574F12"/>
    <w:rsid w:val="00575826"/>
    <w:rsid w:val="00576943"/>
    <w:rsid w:val="005772AE"/>
    <w:rsid w:val="00577553"/>
    <w:rsid w:val="00577A2F"/>
    <w:rsid w:val="00577DC4"/>
    <w:rsid w:val="00580F06"/>
    <w:rsid w:val="005810C3"/>
    <w:rsid w:val="005810D1"/>
    <w:rsid w:val="00581852"/>
    <w:rsid w:val="00581A22"/>
    <w:rsid w:val="00581EBB"/>
    <w:rsid w:val="00583035"/>
    <w:rsid w:val="00583255"/>
    <w:rsid w:val="00583717"/>
    <w:rsid w:val="00584838"/>
    <w:rsid w:val="005857D3"/>
    <w:rsid w:val="00585AE9"/>
    <w:rsid w:val="00586093"/>
    <w:rsid w:val="00586DB6"/>
    <w:rsid w:val="00587F51"/>
    <w:rsid w:val="0059035B"/>
    <w:rsid w:val="005918C6"/>
    <w:rsid w:val="0059244D"/>
    <w:rsid w:val="00592A92"/>
    <w:rsid w:val="00593054"/>
    <w:rsid w:val="00593316"/>
    <w:rsid w:val="00594356"/>
    <w:rsid w:val="005949BC"/>
    <w:rsid w:val="00594F09"/>
    <w:rsid w:val="005961E9"/>
    <w:rsid w:val="00596FBE"/>
    <w:rsid w:val="005A02B5"/>
    <w:rsid w:val="005A0DDE"/>
    <w:rsid w:val="005A18AC"/>
    <w:rsid w:val="005A2995"/>
    <w:rsid w:val="005A3D65"/>
    <w:rsid w:val="005A4F2F"/>
    <w:rsid w:val="005A55BF"/>
    <w:rsid w:val="005A73BD"/>
    <w:rsid w:val="005A75BD"/>
    <w:rsid w:val="005A7F05"/>
    <w:rsid w:val="005B0298"/>
    <w:rsid w:val="005B11F6"/>
    <w:rsid w:val="005B1237"/>
    <w:rsid w:val="005B1ED6"/>
    <w:rsid w:val="005B4658"/>
    <w:rsid w:val="005B56C0"/>
    <w:rsid w:val="005B6A81"/>
    <w:rsid w:val="005B6D1E"/>
    <w:rsid w:val="005B7297"/>
    <w:rsid w:val="005B74A2"/>
    <w:rsid w:val="005B7B21"/>
    <w:rsid w:val="005B7BB9"/>
    <w:rsid w:val="005C216C"/>
    <w:rsid w:val="005C2CBB"/>
    <w:rsid w:val="005C36D4"/>
    <w:rsid w:val="005C3E74"/>
    <w:rsid w:val="005C5560"/>
    <w:rsid w:val="005C587C"/>
    <w:rsid w:val="005C7558"/>
    <w:rsid w:val="005C7B2F"/>
    <w:rsid w:val="005D0226"/>
    <w:rsid w:val="005D12CB"/>
    <w:rsid w:val="005D21FA"/>
    <w:rsid w:val="005D2272"/>
    <w:rsid w:val="005D2849"/>
    <w:rsid w:val="005D3ED0"/>
    <w:rsid w:val="005D4A0A"/>
    <w:rsid w:val="005D4D57"/>
    <w:rsid w:val="005D5606"/>
    <w:rsid w:val="005D716A"/>
    <w:rsid w:val="005E0DF7"/>
    <w:rsid w:val="005E1E49"/>
    <w:rsid w:val="005E23CB"/>
    <w:rsid w:val="005E274D"/>
    <w:rsid w:val="005E28FB"/>
    <w:rsid w:val="005E2D6A"/>
    <w:rsid w:val="005E31CE"/>
    <w:rsid w:val="005E3B78"/>
    <w:rsid w:val="005E4D13"/>
    <w:rsid w:val="005E5028"/>
    <w:rsid w:val="005E64F1"/>
    <w:rsid w:val="005E6562"/>
    <w:rsid w:val="005F05DF"/>
    <w:rsid w:val="005F0784"/>
    <w:rsid w:val="005F09C8"/>
    <w:rsid w:val="005F2780"/>
    <w:rsid w:val="005F2870"/>
    <w:rsid w:val="005F2B53"/>
    <w:rsid w:val="005F2D47"/>
    <w:rsid w:val="005F572F"/>
    <w:rsid w:val="005F5D8C"/>
    <w:rsid w:val="005F6221"/>
    <w:rsid w:val="005F62A7"/>
    <w:rsid w:val="005F66B6"/>
    <w:rsid w:val="005F7205"/>
    <w:rsid w:val="0060202B"/>
    <w:rsid w:val="0060252B"/>
    <w:rsid w:val="00602621"/>
    <w:rsid w:val="0060345F"/>
    <w:rsid w:val="006037F7"/>
    <w:rsid w:val="00603866"/>
    <w:rsid w:val="00603F9B"/>
    <w:rsid w:val="006048F4"/>
    <w:rsid w:val="00604A4E"/>
    <w:rsid w:val="0060501B"/>
    <w:rsid w:val="006051C4"/>
    <w:rsid w:val="00605537"/>
    <w:rsid w:val="0060631C"/>
    <w:rsid w:val="00606DB7"/>
    <w:rsid w:val="006072B0"/>
    <w:rsid w:val="006106A0"/>
    <w:rsid w:val="006115C5"/>
    <w:rsid w:val="006121E6"/>
    <w:rsid w:val="00612B42"/>
    <w:rsid w:val="00613744"/>
    <w:rsid w:val="0061447D"/>
    <w:rsid w:val="00614492"/>
    <w:rsid w:val="00615486"/>
    <w:rsid w:val="006159CD"/>
    <w:rsid w:val="00615B69"/>
    <w:rsid w:val="00615B7C"/>
    <w:rsid w:val="00616BCD"/>
    <w:rsid w:val="00616BFD"/>
    <w:rsid w:val="00616D3A"/>
    <w:rsid w:val="00617117"/>
    <w:rsid w:val="00617A7B"/>
    <w:rsid w:val="00617B20"/>
    <w:rsid w:val="006207A7"/>
    <w:rsid w:val="006209FE"/>
    <w:rsid w:val="00620D25"/>
    <w:rsid w:val="006210AE"/>
    <w:rsid w:val="00621671"/>
    <w:rsid w:val="00621DB9"/>
    <w:rsid w:val="00621FC7"/>
    <w:rsid w:val="00622265"/>
    <w:rsid w:val="00625030"/>
    <w:rsid w:val="0062527F"/>
    <w:rsid w:val="006259FB"/>
    <w:rsid w:val="00626232"/>
    <w:rsid w:val="00626F6C"/>
    <w:rsid w:val="006270D5"/>
    <w:rsid w:val="006275BC"/>
    <w:rsid w:val="00627871"/>
    <w:rsid w:val="0063055B"/>
    <w:rsid w:val="00630FC4"/>
    <w:rsid w:val="0063141E"/>
    <w:rsid w:val="00631508"/>
    <w:rsid w:val="00631F2C"/>
    <w:rsid w:val="0063359C"/>
    <w:rsid w:val="0063385F"/>
    <w:rsid w:val="0063423B"/>
    <w:rsid w:val="00634690"/>
    <w:rsid w:val="00635B59"/>
    <w:rsid w:val="00635DED"/>
    <w:rsid w:val="00635E2A"/>
    <w:rsid w:val="00640364"/>
    <w:rsid w:val="00641A6F"/>
    <w:rsid w:val="006433F7"/>
    <w:rsid w:val="006443A0"/>
    <w:rsid w:val="00644794"/>
    <w:rsid w:val="00644EF4"/>
    <w:rsid w:val="00645360"/>
    <w:rsid w:val="00645549"/>
    <w:rsid w:val="00645763"/>
    <w:rsid w:val="00645A38"/>
    <w:rsid w:val="00646039"/>
    <w:rsid w:val="00646AF1"/>
    <w:rsid w:val="00646DC1"/>
    <w:rsid w:val="006470C6"/>
    <w:rsid w:val="0064760A"/>
    <w:rsid w:val="00647817"/>
    <w:rsid w:val="00647C81"/>
    <w:rsid w:val="006504E4"/>
    <w:rsid w:val="006507BD"/>
    <w:rsid w:val="00650E98"/>
    <w:rsid w:val="00651529"/>
    <w:rsid w:val="00651630"/>
    <w:rsid w:val="00652492"/>
    <w:rsid w:val="006529BF"/>
    <w:rsid w:val="00652B47"/>
    <w:rsid w:val="00653500"/>
    <w:rsid w:val="006538EA"/>
    <w:rsid w:val="00654810"/>
    <w:rsid w:val="00655FCC"/>
    <w:rsid w:val="00655FD8"/>
    <w:rsid w:val="00657248"/>
    <w:rsid w:val="00660140"/>
    <w:rsid w:val="00660859"/>
    <w:rsid w:val="006619D9"/>
    <w:rsid w:val="006623EA"/>
    <w:rsid w:val="0066287E"/>
    <w:rsid w:val="006634F5"/>
    <w:rsid w:val="00663DFE"/>
    <w:rsid w:val="00664783"/>
    <w:rsid w:val="00665018"/>
    <w:rsid w:val="00665F36"/>
    <w:rsid w:val="00666BA2"/>
    <w:rsid w:val="00667961"/>
    <w:rsid w:val="00670BB7"/>
    <w:rsid w:val="00671529"/>
    <w:rsid w:val="0067209D"/>
    <w:rsid w:val="00672556"/>
    <w:rsid w:val="00675350"/>
    <w:rsid w:val="006761FE"/>
    <w:rsid w:val="00676D7E"/>
    <w:rsid w:val="00677C81"/>
    <w:rsid w:val="00677EB7"/>
    <w:rsid w:val="00680B4F"/>
    <w:rsid w:val="006834E6"/>
    <w:rsid w:val="006838DB"/>
    <w:rsid w:val="00683F35"/>
    <w:rsid w:val="006843B3"/>
    <w:rsid w:val="00684973"/>
    <w:rsid w:val="00685D9F"/>
    <w:rsid w:val="00687620"/>
    <w:rsid w:val="00687879"/>
    <w:rsid w:val="00687C9C"/>
    <w:rsid w:val="006907B6"/>
    <w:rsid w:val="006907BF"/>
    <w:rsid w:val="00692DD2"/>
    <w:rsid w:val="00693A0B"/>
    <w:rsid w:val="00693D78"/>
    <w:rsid w:val="00693DB2"/>
    <w:rsid w:val="006951D3"/>
    <w:rsid w:val="00695416"/>
    <w:rsid w:val="00695E24"/>
    <w:rsid w:val="006969F0"/>
    <w:rsid w:val="00696AFD"/>
    <w:rsid w:val="00696B3C"/>
    <w:rsid w:val="006979FC"/>
    <w:rsid w:val="00697A68"/>
    <w:rsid w:val="006A1DF4"/>
    <w:rsid w:val="006A1EBD"/>
    <w:rsid w:val="006A352F"/>
    <w:rsid w:val="006A373F"/>
    <w:rsid w:val="006A405A"/>
    <w:rsid w:val="006A414F"/>
    <w:rsid w:val="006A46FB"/>
    <w:rsid w:val="006A4FF1"/>
    <w:rsid w:val="006A5811"/>
    <w:rsid w:val="006A6D97"/>
    <w:rsid w:val="006A7D2D"/>
    <w:rsid w:val="006A7E60"/>
    <w:rsid w:val="006B1201"/>
    <w:rsid w:val="006B13FE"/>
    <w:rsid w:val="006B14C6"/>
    <w:rsid w:val="006B2704"/>
    <w:rsid w:val="006B2815"/>
    <w:rsid w:val="006B2920"/>
    <w:rsid w:val="006B3C6B"/>
    <w:rsid w:val="006B3D20"/>
    <w:rsid w:val="006B547D"/>
    <w:rsid w:val="006B631B"/>
    <w:rsid w:val="006B6944"/>
    <w:rsid w:val="006B6C0D"/>
    <w:rsid w:val="006B6C10"/>
    <w:rsid w:val="006B715F"/>
    <w:rsid w:val="006B7C6C"/>
    <w:rsid w:val="006B7D78"/>
    <w:rsid w:val="006B7E28"/>
    <w:rsid w:val="006C1965"/>
    <w:rsid w:val="006C23E4"/>
    <w:rsid w:val="006C2B90"/>
    <w:rsid w:val="006C2EB7"/>
    <w:rsid w:val="006C3029"/>
    <w:rsid w:val="006C40B3"/>
    <w:rsid w:val="006C4562"/>
    <w:rsid w:val="006C59B8"/>
    <w:rsid w:val="006C6C9B"/>
    <w:rsid w:val="006C737A"/>
    <w:rsid w:val="006D0877"/>
    <w:rsid w:val="006D0CEC"/>
    <w:rsid w:val="006D0E6D"/>
    <w:rsid w:val="006D1137"/>
    <w:rsid w:val="006D1175"/>
    <w:rsid w:val="006D12C9"/>
    <w:rsid w:val="006D173C"/>
    <w:rsid w:val="006D24A7"/>
    <w:rsid w:val="006D33EA"/>
    <w:rsid w:val="006D5293"/>
    <w:rsid w:val="006D5837"/>
    <w:rsid w:val="006D6507"/>
    <w:rsid w:val="006D67FC"/>
    <w:rsid w:val="006D761A"/>
    <w:rsid w:val="006D7D2A"/>
    <w:rsid w:val="006E1F9A"/>
    <w:rsid w:val="006E2CC2"/>
    <w:rsid w:val="006E3431"/>
    <w:rsid w:val="006E37AC"/>
    <w:rsid w:val="006E651E"/>
    <w:rsid w:val="006E7368"/>
    <w:rsid w:val="006E7AF0"/>
    <w:rsid w:val="006E7D45"/>
    <w:rsid w:val="006F0A7F"/>
    <w:rsid w:val="006F0DDB"/>
    <w:rsid w:val="006F1BC4"/>
    <w:rsid w:val="006F227B"/>
    <w:rsid w:val="006F2302"/>
    <w:rsid w:val="006F23DD"/>
    <w:rsid w:val="006F25CF"/>
    <w:rsid w:val="006F2E4D"/>
    <w:rsid w:val="006F3FE8"/>
    <w:rsid w:val="006F411D"/>
    <w:rsid w:val="006F44D2"/>
    <w:rsid w:val="006F4590"/>
    <w:rsid w:val="006F480A"/>
    <w:rsid w:val="006F5468"/>
    <w:rsid w:val="006F5ACB"/>
    <w:rsid w:val="006F754B"/>
    <w:rsid w:val="007003FD"/>
    <w:rsid w:val="00700717"/>
    <w:rsid w:val="00700E52"/>
    <w:rsid w:val="00701F6D"/>
    <w:rsid w:val="00703228"/>
    <w:rsid w:val="00704B00"/>
    <w:rsid w:val="00705410"/>
    <w:rsid w:val="00705795"/>
    <w:rsid w:val="0070670E"/>
    <w:rsid w:val="00706A1B"/>
    <w:rsid w:val="00706A94"/>
    <w:rsid w:val="00707675"/>
    <w:rsid w:val="00707767"/>
    <w:rsid w:val="00707980"/>
    <w:rsid w:val="00707ED0"/>
    <w:rsid w:val="00711907"/>
    <w:rsid w:val="00713EBC"/>
    <w:rsid w:val="00713EDE"/>
    <w:rsid w:val="00714B94"/>
    <w:rsid w:val="007156A6"/>
    <w:rsid w:val="00715FEE"/>
    <w:rsid w:val="007165CD"/>
    <w:rsid w:val="007175EB"/>
    <w:rsid w:val="00721B61"/>
    <w:rsid w:val="00722B3C"/>
    <w:rsid w:val="00722C6B"/>
    <w:rsid w:val="00722D90"/>
    <w:rsid w:val="00722DBF"/>
    <w:rsid w:val="00723A63"/>
    <w:rsid w:val="00724ADC"/>
    <w:rsid w:val="00726430"/>
    <w:rsid w:val="007268F9"/>
    <w:rsid w:val="007270C5"/>
    <w:rsid w:val="007272A1"/>
    <w:rsid w:val="00731B64"/>
    <w:rsid w:val="00731BB1"/>
    <w:rsid w:val="00732B4B"/>
    <w:rsid w:val="00733456"/>
    <w:rsid w:val="00733821"/>
    <w:rsid w:val="00733979"/>
    <w:rsid w:val="00733AFD"/>
    <w:rsid w:val="00733E5D"/>
    <w:rsid w:val="00734184"/>
    <w:rsid w:val="0073464E"/>
    <w:rsid w:val="00735147"/>
    <w:rsid w:val="00735898"/>
    <w:rsid w:val="007367DD"/>
    <w:rsid w:val="00736B76"/>
    <w:rsid w:val="00736BD0"/>
    <w:rsid w:val="00737C99"/>
    <w:rsid w:val="00737CED"/>
    <w:rsid w:val="00740062"/>
    <w:rsid w:val="00740FCF"/>
    <w:rsid w:val="00742354"/>
    <w:rsid w:val="007435AA"/>
    <w:rsid w:val="00743B1C"/>
    <w:rsid w:val="00744344"/>
    <w:rsid w:val="00744B73"/>
    <w:rsid w:val="0074540D"/>
    <w:rsid w:val="007466A8"/>
    <w:rsid w:val="007469D6"/>
    <w:rsid w:val="0075205E"/>
    <w:rsid w:val="0075448D"/>
    <w:rsid w:val="00754D6F"/>
    <w:rsid w:val="00755CE0"/>
    <w:rsid w:val="00755EE1"/>
    <w:rsid w:val="00756842"/>
    <w:rsid w:val="00757148"/>
    <w:rsid w:val="0076077D"/>
    <w:rsid w:val="00760AE5"/>
    <w:rsid w:val="00760F05"/>
    <w:rsid w:val="007618CE"/>
    <w:rsid w:val="00762364"/>
    <w:rsid w:val="00763920"/>
    <w:rsid w:val="00765B7E"/>
    <w:rsid w:val="00765E2E"/>
    <w:rsid w:val="00765F6C"/>
    <w:rsid w:val="00766CC0"/>
    <w:rsid w:val="00766E24"/>
    <w:rsid w:val="0076735C"/>
    <w:rsid w:val="00770E09"/>
    <w:rsid w:val="00772891"/>
    <w:rsid w:val="00773319"/>
    <w:rsid w:val="007738E1"/>
    <w:rsid w:val="00773D55"/>
    <w:rsid w:val="00774DCE"/>
    <w:rsid w:val="00774F8A"/>
    <w:rsid w:val="00774F93"/>
    <w:rsid w:val="0077524A"/>
    <w:rsid w:val="007757BE"/>
    <w:rsid w:val="00776245"/>
    <w:rsid w:val="007768B1"/>
    <w:rsid w:val="00776DD8"/>
    <w:rsid w:val="007775E7"/>
    <w:rsid w:val="007779B1"/>
    <w:rsid w:val="007815B4"/>
    <w:rsid w:val="0078396D"/>
    <w:rsid w:val="00784ECF"/>
    <w:rsid w:val="00786840"/>
    <w:rsid w:val="00786A52"/>
    <w:rsid w:val="007873F2"/>
    <w:rsid w:val="00791061"/>
    <w:rsid w:val="00791902"/>
    <w:rsid w:val="00791E01"/>
    <w:rsid w:val="00791E27"/>
    <w:rsid w:val="0079250C"/>
    <w:rsid w:val="007933B8"/>
    <w:rsid w:val="0079466C"/>
    <w:rsid w:val="00794965"/>
    <w:rsid w:val="00794E61"/>
    <w:rsid w:val="00795812"/>
    <w:rsid w:val="00795BE7"/>
    <w:rsid w:val="00795DD9"/>
    <w:rsid w:val="007964D0"/>
    <w:rsid w:val="00797039"/>
    <w:rsid w:val="0079732A"/>
    <w:rsid w:val="00797D83"/>
    <w:rsid w:val="00797EB7"/>
    <w:rsid w:val="007A01B8"/>
    <w:rsid w:val="007A05C0"/>
    <w:rsid w:val="007A19A7"/>
    <w:rsid w:val="007A26BA"/>
    <w:rsid w:val="007A449C"/>
    <w:rsid w:val="007A4F2B"/>
    <w:rsid w:val="007A5927"/>
    <w:rsid w:val="007A5ADF"/>
    <w:rsid w:val="007A73BA"/>
    <w:rsid w:val="007B02B0"/>
    <w:rsid w:val="007B0701"/>
    <w:rsid w:val="007B0D44"/>
    <w:rsid w:val="007B1ACE"/>
    <w:rsid w:val="007B1DF0"/>
    <w:rsid w:val="007B4A9F"/>
    <w:rsid w:val="007B4CDC"/>
    <w:rsid w:val="007B5434"/>
    <w:rsid w:val="007B5458"/>
    <w:rsid w:val="007B5B6B"/>
    <w:rsid w:val="007B6A38"/>
    <w:rsid w:val="007B71F4"/>
    <w:rsid w:val="007B7602"/>
    <w:rsid w:val="007C039E"/>
    <w:rsid w:val="007C0EA4"/>
    <w:rsid w:val="007C1099"/>
    <w:rsid w:val="007C17BB"/>
    <w:rsid w:val="007C1B37"/>
    <w:rsid w:val="007C1E63"/>
    <w:rsid w:val="007C274A"/>
    <w:rsid w:val="007C2895"/>
    <w:rsid w:val="007C2AE3"/>
    <w:rsid w:val="007C4220"/>
    <w:rsid w:val="007C4844"/>
    <w:rsid w:val="007C52B0"/>
    <w:rsid w:val="007C5F3D"/>
    <w:rsid w:val="007C6E2C"/>
    <w:rsid w:val="007C6FA9"/>
    <w:rsid w:val="007C745B"/>
    <w:rsid w:val="007C7471"/>
    <w:rsid w:val="007C7D22"/>
    <w:rsid w:val="007D0098"/>
    <w:rsid w:val="007D0F55"/>
    <w:rsid w:val="007D2731"/>
    <w:rsid w:val="007D42B7"/>
    <w:rsid w:val="007D4405"/>
    <w:rsid w:val="007D4E25"/>
    <w:rsid w:val="007D4EDD"/>
    <w:rsid w:val="007D662A"/>
    <w:rsid w:val="007E138E"/>
    <w:rsid w:val="007E15B4"/>
    <w:rsid w:val="007E3121"/>
    <w:rsid w:val="007E34CE"/>
    <w:rsid w:val="007E3CE1"/>
    <w:rsid w:val="007E42DC"/>
    <w:rsid w:val="007E4325"/>
    <w:rsid w:val="007E4CB6"/>
    <w:rsid w:val="007E4E1A"/>
    <w:rsid w:val="007E5834"/>
    <w:rsid w:val="007E5B2A"/>
    <w:rsid w:val="007E5C8A"/>
    <w:rsid w:val="007E6F01"/>
    <w:rsid w:val="007E79F3"/>
    <w:rsid w:val="007F09AA"/>
    <w:rsid w:val="007F0D90"/>
    <w:rsid w:val="007F1FDC"/>
    <w:rsid w:val="007F209D"/>
    <w:rsid w:val="007F2E1F"/>
    <w:rsid w:val="007F2F4D"/>
    <w:rsid w:val="007F3EAA"/>
    <w:rsid w:val="007F42BF"/>
    <w:rsid w:val="007F4478"/>
    <w:rsid w:val="007F4EC3"/>
    <w:rsid w:val="007F4EF6"/>
    <w:rsid w:val="007F523D"/>
    <w:rsid w:val="007F551F"/>
    <w:rsid w:val="007F5ED1"/>
    <w:rsid w:val="007F665A"/>
    <w:rsid w:val="007F6B61"/>
    <w:rsid w:val="007F7D43"/>
    <w:rsid w:val="00800700"/>
    <w:rsid w:val="00800DB8"/>
    <w:rsid w:val="00801859"/>
    <w:rsid w:val="00801B39"/>
    <w:rsid w:val="00802583"/>
    <w:rsid w:val="00802724"/>
    <w:rsid w:val="00802C52"/>
    <w:rsid w:val="0080344A"/>
    <w:rsid w:val="008035AA"/>
    <w:rsid w:val="008059F3"/>
    <w:rsid w:val="00805AA0"/>
    <w:rsid w:val="0080606A"/>
    <w:rsid w:val="00806AC1"/>
    <w:rsid w:val="00807712"/>
    <w:rsid w:val="008104D4"/>
    <w:rsid w:val="00810B60"/>
    <w:rsid w:val="008110F6"/>
    <w:rsid w:val="0081189C"/>
    <w:rsid w:val="00811990"/>
    <w:rsid w:val="00811CAC"/>
    <w:rsid w:val="00812223"/>
    <w:rsid w:val="00812841"/>
    <w:rsid w:val="00812C5A"/>
    <w:rsid w:val="0081353A"/>
    <w:rsid w:val="0081421A"/>
    <w:rsid w:val="00814B7C"/>
    <w:rsid w:val="00816869"/>
    <w:rsid w:val="00817194"/>
    <w:rsid w:val="008176E0"/>
    <w:rsid w:val="00817727"/>
    <w:rsid w:val="0081772E"/>
    <w:rsid w:val="008227B5"/>
    <w:rsid w:val="00822914"/>
    <w:rsid w:val="00822AD7"/>
    <w:rsid w:val="00822C4B"/>
    <w:rsid w:val="00822D0E"/>
    <w:rsid w:val="0082410B"/>
    <w:rsid w:val="00824470"/>
    <w:rsid w:val="00824D5B"/>
    <w:rsid w:val="00825B5C"/>
    <w:rsid w:val="0082618F"/>
    <w:rsid w:val="008265F6"/>
    <w:rsid w:val="0082712E"/>
    <w:rsid w:val="00827C61"/>
    <w:rsid w:val="0083046E"/>
    <w:rsid w:val="00831384"/>
    <w:rsid w:val="00831CC9"/>
    <w:rsid w:val="00831E86"/>
    <w:rsid w:val="00831EBA"/>
    <w:rsid w:val="00832585"/>
    <w:rsid w:val="00833F54"/>
    <w:rsid w:val="0083558D"/>
    <w:rsid w:val="00835E48"/>
    <w:rsid w:val="008373C2"/>
    <w:rsid w:val="00837A77"/>
    <w:rsid w:val="008415BC"/>
    <w:rsid w:val="0084188D"/>
    <w:rsid w:val="00842384"/>
    <w:rsid w:val="00842FC7"/>
    <w:rsid w:val="008430AB"/>
    <w:rsid w:val="008436E3"/>
    <w:rsid w:val="008439CB"/>
    <w:rsid w:val="0084407F"/>
    <w:rsid w:val="008444B9"/>
    <w:rsid w:val="00844D6E"/>
    <w:rsid w:val="00845B4E"/>
    <w:rsid w:val="00846555"/>
    <w:rsid w:val="00850567"/>
    <w:rsid w:val="00850A94"/>
    <w:rsid w:val="00850F63"/>
    <w:rsid w:val="00852435"/>
    <w:rsid w:val="00852636"/>
    <w:rsid w:val="00852E04"/>
    <w:rsid w:val="008531E8"/>
    <w:rsid w:val="008535B4"/>
    <w:rsid w:val="00853CFF"/>
    <w:rsid w:val="00853F5B"/>
    <w:rsid w:val="00854859"/>
    <w:rsid w:val="008549B5"/>
    <w:rsid w:val="00854E76"/>
    <w:rsid w:val="008551ED"/>
    <w:rsid w:val="00856906"/>
    <w:rsid w:val="00857027"/>
    <w:rsid w:val="008579E9"/>
    <w:rsid w:val="00857C72"/>
    <w:rsid w:val="00861094"/>
    <w:rsid w:val="00862114"/>
    <w:rsid w:val="00863420"/>
    <w:rsid w:val="00863BF9"/>
    <w:rsid w:val="00863E1F"/>
    <w:rsid w:val="00864190"/>
    <w:rsid w:val="008642F4"/>
    <w:rsid w:val="008643A3"/>
    <w:rsid w:val="00865236"/>
    <w:rsid w:val="008659F4"/>
    <w:rsid w:val="00865E39"/>
    <w:rsid w:val="00866E0D"/>
    <w:rsid w:val="0087008B"/>
    <w:rsid w:val="00870FC9"/>
    <w:rsid w:val="00871264"/>
    <w:rsid w:val="00871EA5"/>
    <w:rsid w:val="008726A1"/>
    <w:rsid w:val="0087450E"/>
    <w:rsid w:val="00874F1B"/>
    <w:rsid w:val="0087677F"/>
    <w:rsid w:val="008767DD"/>
    <w:rsid w:val="00877C37"/>
    <w:rsid w:val="00880CFE"/>
    <w:rsid w:val="008819D3"/>
    <w:rsid w:val="008827BC"/>
    <w:rsid w:val="00882DFA"/>
    <w:rsid w:val="0088387E"/>
    <w:rsid w:val="00883988"/>
    <w:rsid w:val="0088409E"/>
    <w:rsid w:val="00885099"/>
    <w:rsid w:val="00885E03"/>
    <w:rsid w:val="0088728C"/>
    <w:rsid w:val="00887360"/>
    <w:rsid w:val="00891426"/>
    <w:rsid w:val="00891890"/>
    <w:rsid w:val="00892053"/>
    <w:rsid w:val="008920E2"/>
    <w:rsid w:val="008920E7"/>
    <w:rsid w:val="00892764"/>
    <w:rsid w:val="00894318"/>
    <w:rsid w:val="00894C43"/>
    <w:rsid w:val="0089598D"/>
    <w:rsid w:val="008960D4"/>
    <w:rsid w:val="0089630A"/>
    <w:rsid w:val="00897E73"/>
    <w:rsid w:val="008A097F"/>
    <w:rsid w:val="008A1298"/>
    <w:rsid w:val="008A1F7B"/>
    <w:rsid w:val="008A4746"/>
    <w:rsid w:val="008A48A2"/>
    <w:rsid w:val="008A5164"/>
    <w:rsid w:val="008A624F"/>
    <w:rsid w:val="008A6799"/>
    <w:rsid w:val="008A73A2"/>
    <w:rsid w:val="008A74FA"/>
    <w:rsid w:val="008A75F1"/>
    <w:rsid w:val="008A795B"/>
    <w:rsid w:val="008A7979"/>
    <w:rsid w:val="008A7C25"/>
    <w:rsid w:val="008B0D07"/>
    <w:rsid w:val="008B0F82"/>
    <w:rsid w:val="008B1286"/>
    <w:rsid w:val="008B1511"/>
    <w:rsid w:val="008B1FBC"/>
    <w:rsid w:val="008B35FC"/>
    <w:rsid w:val="008B3C59"/>
    <w:rsid w:val="008B3C78"/>
    <w:rsid w:val="008B4D9A"/>
    <w:rsid w:val="008B5632"/>
    <w:rsid w:val="008B6234"/>
    <w:rsid w:val="008B69A0"/>
    <w:rsid w:val="008B756B"/>
    <w:rsid w:val="008B7D4C"/>
    <w:rsid w:val="008C02D4"/>
    <w:rsid w:val="008C052E"/>
    <w:rsid w:val="008C099E"/>
    <w:rsid w:val="008C0A7F"/>
    <w:rsid w:val="008C0E16"/>
    <w:rsid w:val="008C16A7"/>
    <w:rsid w:val="008C1F3B"/>
    <w:rsid w:val="008C20A9"/>
    <w:rsid w:val="008C24AF"/>
    <w:rsid w:val="008C2861"/>
    <w:rsid w:val="008C29D1"/>
    <w:rsid w:val="008C3164"/>
    <w:rsid w:val="008C3978"/>
    <w:rsid w:val="008C3A7E"/>
    <w:rsid w:val="008C3E5C"/>
    <w:rsid w:val="008C46BB"/>
    <w:rsid w:val="008C5303"/>
    <w:rsid w:val="008C72D2"/>
    <w:rsid w:val="008C7B6F"/>
    <w:rsid w:val="008C7F0D"/>
    <w:rsid w:val="008D0055"/>
    <w:rsid w:val="008D068D"/>
    <w:rsid w:val="008D17E7"/>
    <w:rsid w:val="008D2C54"/>
    <w:rsid w:val="008D30A7"/>
    <w:rsid w:val="008D32D3"/>
    <w:rsid w:val="008D35D1"/>
    <w:rsid w:val="008D4A4E"/>
    <w:rsid w:val="008D5E01"/>
    <w:rsid w:val="008D6569"/>
    <w:rsid w:val="008D6807"/>
    <w:rsid w:val="008D6BD9"/>
    <w:rsid w:val="008D7613"/>
    <w:rsid w:val="008E020C"/>
    <w:rsid w:val="008E1006"/>
    <w:rsid w:val="008E1F58"/>
    <w:rsid w:val="008E4325"/>
    <w:rsid w:val="008E4724"/>
    <w:rsid w:val="008E6DFB"/>
    <w:rsid w:val="008E6E29"/>
    <w:rsid w:val="008F0DC3"/>
    <w:rsid w:val="008F11BF"/>
    <w:rsid w:val="008F11C9"/>
    <w:rsid w:val="008F385C"/>
    <w:rsid w:val="008F3A52"/>
    <w:rsid w:val="008F47FE"/>
    <w:rsid w:val="008F4E3F"/>
    <w:rsid w:val="008F67E5"/>
    <w:rsid w:val="008F6869"/>
    <w:rsid w:val="008F7228"/>
    <w:rsid w:val="008F7B83"/>
    <w:rsid w:val="00900D2B"/>
    <w:rsid w:val="00901527"/>
    <w:rsid w:val="009018BF"/>
    <w:rsid w:val="0090190E"/>
    <w:rsid w:val="00901F7C"/>
    <w:rsid w:val="00903590"/>
    <w:rsid w:val="00903AA9"/>
    <w:rsid w:val="00903EF4"/>
    <w:rsid w:val="009043FA"/>
    <w:rsid w:val="0090482D"/>
    <w:rsid w:val="00904F62"/>
    <w:rsid w:val="00905C04"/>
    <w:rsid w:val="00905FDF"/>
    <w:rsid w:val="0090618F"/>
    <w:rsid w:val="0090687C"/>
    <w:rsid w:val="00906C3D"/>
    <w:rsid w:val="00907447"/>
    <w:rsid w:val="00907698"/>
    <w:rsid w:val="00907D41"/>
    <w:rsid w:val="009104D9"/>
    <w:rsid w:val="00910D60"/>
    <w:rsid w:val="00911275"/>
    <w:rsid w:val="00911374"/>
    <w:rsid w:val="0091182D"/>
    <w:rsid w:val="00912789"/>
    <w:rsid w:val="00912A15"/>
    <w:rsid w:val="00914689"/>
    <w:rsid w:val="0091505E"/>
    <w:rsid w:val="00915C50"/>
    <w:rsid w:val="009172F8"/>
    <w:rsid w:val="00917CB5"/>
    <w:rsid w:val="00920114"/>
    <w:rsid w:val="00920338"/>
    <w:rsid w:val="00920EE2"/>
    <w:rsid w:val="00920F00"/>
    <w:rsid w:val="009211F3"/>
    <w:rsid w:val="00921383"/>
    <w:rsid w:val="00921A73"/>
    <w:rsid w:val="00922AAD"/>
    <w:rsid w:val="00923148"/>
    <w:rsid w:val="009238C8"/>
    <w:rsid w:val="00923988"/>
    <w:rsid w:val="00923A2F"/>
    <w:rsid w:val="009240F4"/>
    <w:rsid w:val="0092483E"/>
    <w:rsid w:val="00927044"/>
    <w:rsid w:val="00927125"/>
    <w:rsid w:val="0092729A"/>
    <w:rsid w:val="00927851"/>
    <w:rsid w:val="009305FB"/>
    <w:rsid w:val="00930770"/>
    <w:rsid w:val="00931FC1"/>
    <w:rsid w:val="009324CF"/>
    <w:rsid w:val="009325A8"/>
    <w:rsid w:val="009326E9"/>
    <w:rsid w:val="009335D2"/>
    <w:rsid w:val="00933BA2"/>
    <w:rsid w:val="0093467F"/>
    <w:rsid w:val="00934FF8"/>
    <w:rsid w:val="0093600B"/>
    <w:rsid w:val="0093667F"/>
    <w:rsid w:val="0093706F"/>
    <w:rsid w:val="009377E7"/>
    <w:rsid w:val="009377F7"/>
    <w:rsid w:val="009379CE"/>
    <w:rsid w:val="00937C6E"/>
    <w:rsid w:val="009411B4"/>
    <w:rsid w:val="009417E5"/>
    <w:rsid w:val="009422B5"/>
    <w:rsid w:val="00942A80"/>
    <w:rsid w:val="00942CC7"/>
    <w:rsid w:val="0094328E"/>
    <w:rsid w:val="00943D87"/>
    <w:rsid w:val="00945146"/>
    <w:rsid w:val="00945976"/>
    <w:rsid w:val="00945BF5"/>
    <w:rsid w:val="00945FE2"/>
    <w:rsid w:val="0094647A"/>
    <w:rsid w:val="00947CA0"/>
    <w:rsid w:val="00950DA4"/>
    <w:rsid w:val="00950EDE"/>
    <w:rsid w:val="0095103D"/>
    <w:rsid w:val="00951A05"/>
    <w:rsid w:val="00951EB3"/>
    <w:rsid w:val="00952027"/>
    <w:rsid w:val="00952387"/>
    <w:rsid w:val="00952AA4"/>
    <w:rsid w:val="00952B41"/>
    <w:rsid w:val="009531F5"/>
    <w:rsid w:val="009535BB"/>
    <w:rsid w:val="009555C7"/>
    <w:rsid w:val="00955C6F"/>
    <w:rsid w:val="00955CD7"/>
    <w:rsid w:val="00955CF9"/>
    <w:rsid w:val="0095695A"/>
    <w:rsid w:val="00956973"/>
    <w:rsid w:val="0095697F"/>
    <w:rsid w:val="0095700D"/>
    <w:rsid w:val="009602AC"/>
    <w:rsid w:val="009606FE"/>
    <w:rsid w:val="00960EC0"/>
    <w:rsid w:val="009614BA"/>
    <w:rsid w:val="009621EE"/>
    <w:rsid w:val="00962462"/>
    <w:rsid w:val="009627E1"/>
    <w:rsid w:val="00962CDD"/>
    <w:rsid w:val="00962DF8"/>
    <w:rsid w:val="00962F76"/>
    <w:rsid w:val="0096335A"/>
    <w:rsid w:val="009635CC"/>
    <w:rsid w:val="0096692C"/>
    <w:rsid w:val="00966AC8"/>
    <w:rsid w:val="00966DE4"/>
    <w:rsid w:val="0096730D"/>
    <w:rsid w:val="00970FF1"/>
    <w:rsid w:val="00971522"/>
    <w:rsid w:val="00971770"/>
    <w:rsid w:val="009717E8"/>
    <w:rsid w:val="009724E3"/>
    <w:rsid w:val="00973EC4"/>
    <w:rsid w:val="00974B70"/>
    <w:rsid w:val="00974B8F"/>
    <w:rsid w:val="009753FE"/>
    <w:rsid w:val="00976074"/>
    <w:rsid w:val="009765CC"/>
    <w:rsid w:val="00976ECF"/>
    <w:rsid w:val="009770FD"/>
    <w:rsid w:val="00980307"/>
    <w:rsid w:val="00980868"/>
    <w:rsid w:val="0098122C"/>
    <w:rsid w:val="0098334E"/>
    <w:rsid w:val="009839F7"/>
    <w:rsid w:val="00984A35"/>
    <w:rsid w:val="009852AB"/>
    <w:rsid w:val="00985849"/>
    <w:rsid w:val="00985A53"/>
    <w:rsid w:val="00985BBB"/>
    <w:rsid w:val="0098629A"/>
    <w:rsid w:val="0098658A"/>
    <w:rsid w:val="00986780"/>
    <w:rsid w:val="00986824"/>
    <w:rsid w:val="00986854"/>
    <w:rsid w:val="00986F9E"/>
    <w:rsid w:val="0098751C"/>
    <w:rsid w:val="00987C1E"/>
    <w:rsid w:val="0099028D"/>
    <w:rsid w:val="00990DB5"/>
    <w:rsid w:val="00990DE1"/>
    <w:rsid w:val="0099100E"/>
    <w:rsid w:val="00991404"/>
    <w:rsid w:val="00991EDA"/>
    <w:rsid w:val="00992475"/>
    <w:rsid w:val="00993359"/>
    <w:rsid w:val="00993CA2"/>
    <w:rsid w:val="0099493C"/>
    <w:rsid w:val="00994E4C"/>
    <w:rsid w:val="009974A4"/>
    <w:rsid w:val="009A0219"/>
    <w:rsid w:val="009A08C0"/>
    <w:rsid w:val="009A0D1C"/>
    <w:rsid w:val="009A0E8D"/>
    <w:rsid w:val="009A132C"/>
    <w:rsid w:val="009A2D8A"/>
    <w:rsid w:val="009A3222"/>
    <w:rsid w:val="009A52D3"/>
    <w:rsid w:val="009A600F"/>
    <w:rsid w:val="009A6DB6"/>
    <w:rsid w:val="009A7573"/>
    <w:rsid w:val="009A75FF"/>
    <w:rsid w:val="009A7A97"/>
    <w:rsid w:val="009A7D4F"/>
    <w:rsid w:val="009B024B"/>
    <w:rsid w:val="009B263E"/>
    <w:rsid w:val="009B26EE"/>
    <w:rsid w:val="009B38DA"/>
    <w:rsid w:val="009B3ECD"/>
    <w:rsid w:val="009B4F48"/>
    <w:rsid w:val="009B4FB8"/>
    <w:rsid w:val="009B61DC"/>
    <w:rsid w:val="009B706D"/>
    <w:rsid w:val="009C0767"/>
    <w:rsid w:val="009C15AC"/>
    <w:rsid w:val="009C3277"/>
    <w:rsid w:val="009C3632"/>
    <w:rsid w:val="009C3D5E"/>
    <w:rsid w:val="009C4481"/>
    <w:rsid w:val="009C44B0"/>
    <w:rsid w:val="009C4D2E"/>
    <w:rsid w:val="009C67EA"/>
    <w:rsid w:val="009D0139"/>
    <w:rsid w:val="009D22A1"/>
    <w:rsid w:val="009D243E"/>
    <w:rsid w:val="009D327A"/>
    <w:rsid w:val="009D3293"/>
    <w:rsid w:val="009D4037"/>
    <w:rsid w:val="009D494E"/>
    <w:rsid w:val="009D5097"/>
    <w:rsid w:val="009D50EA"/>
    <w:rsid w:val="009D5F53"/>
    <w:rsid w:val="009D78DA"/>
    <w:rsid w:val="009E00E1"/>
    <w:rsid w:val="009E098C"/>
    <w:rsid w:val="009E0A4E"/>
    <w:rsid w:val="009E1E38"/>
    <w:rsid w:val="009E21F6"/>
    <w:rsid w:val="009E26BD"/>
    <w:rsid w:val="009E26EF"/>
    <w:rsid w:val="009E2AA3"/>
    <w:rsid w:val="009E3052"/>
    <w:rsid w:val="009E349B"/>
    <w:rsid w:val="009E34F6"/>
    <w:rsid w:val="009E3864"/>
    <w:rsid w:val="009E4F18"/>
    <w:rsid w:val="009E5453"/>
    <w:rsid w:val="009E557D"/>
    <w:rsid w:val="009E6C44"/>
    <w:rsid w:val="009E71B4"/>
    <w:rsid w:val="009E7602"/>
    <w:rsid w:val="009F03A5"/>
    <w:rsid w:val="009F07BC"/>
    <w:rsid w:val="009F0883"/>
    <w:rsid w:val="009F0A01"/>
    <w:rsid w:val="009F1848"/>
    <w:rsid w:val="009F1A7C"/>
    <w:rsid w:val="009F5080"/>
    <w:rsid w:val="009F531E"/>
    <w:rsid w:val="009F5AF3"/>
    <w:rsid w:val="009F5CDC"/>
    <w:rsid w:val="009F6448"/>
    <w:rsid w:val="009F6B6A"/>
    <w:rsid w:val="009F6CC2"/>
    <w:rsid w:val="009F7045"/>
    <w:rsid w:val="00A00038"/>
    <w:rsid w:val="00A01F0B"/>
    <w:rsid w:val="00A022C1"/>
    <w:rsid w:val="00A02630"/>
    <w:rsid w:val="00A0297D"/>
    <w:rsid w:val="00A02E11"/>
    <w:rsid w:val="00A033D1"/>
    <w:rsid w:val="00A039A8"/>
    <w:rsid w:val="00A04288"/>
    <w:rsid w:val="00A0444B"/>
    <w:rsid w:val="00A04B90"/>
    <w:rsid w:val="00A05708"/>
    <w:rsid w:val="00A05915"/>
    <w:rsid w:val="00A05D8B"/>
    <w:rsid w:val="00A05FB4"/>
    <w:rsid w:val="00A0761D"/>
    <w:rsid w:val="00A0793F"/>
    <w:rsid w:val="00A103E4"/>
    <w:rsid w:val="00A11A11"/>
    <w:rsid w:val="00A12431"/>
    <w:rsid w:val="00A12664"/>
    <w:rsid w:val="00A12D7D"/>
    <w:rsid w:val="00A13D19"/>
    <w:rsid w:val="00A13DFB"/>
    <w:rsid w:val="00A13FCC"/>
    <w:rsid w:val="00A14106"/>
    <w:rsid w:val="00A14384"/>
    <w:rsid w:val="00A149AB"/>
    <w:rsid w:val="00A149E3"/>
    <w:rsid w:val="00A14DBB"/>
    <w:rsid w:val="00A14F62"/>
    <w:rsid w:val="00A15547"/>
    <w:rsid w:val="00A16C09"/>
    <w:rsid w:val="00A174CA"/>
    <w:rsid w:val="00A205CA"/>
    <w:rsid w:val="00A22B1E"/>
    <w:rsid w:val="00A22DBC"/>
    <w:rsid w:val="00A237EB"/>
    <w:rsid w:val="00A23CC4"/>
    <w:rsid w:val="00A246E8"/>
    <w:rsid w:val="00A267FE"/>
    <w:rsid w:val="00A27F86"/>
    <w:rsid w:val="00A305BF"/>
    <w:rsid w:val="00A3089D"/>
    <w:rsid w:val="00A30FF1"/>
    <w:rsid w:val="00A313C8"/>
    <w:rsid w:val="00A318DD"/>
    <w:rsid w:val="00A31C3F"/>
    <w:rsid w:val="00A33A66"/>
    <w:rsid w:val="00A33CD6"/>
    <w:rsid w:val="00A343E8"/>
    <w:rsid w:val="00A345C5"/>
    <w:rsid w:val="00A3555A"/>
    <w:rsid w:val="00A35A98"/>
    <w:rsid w:val="00A36570"/>
    <w:rsid w:val="00A36E1C"/>
    <w:rsid w:val="00A37033"/>
    <w:rsid w:val="00A37ECB"/>
    <w:rsid w:val="00A409F7"/>
    <w:rsid w:val="00A40B2C"/>
    <w:rsid w:val="00A40C5F"/>
    <w:rsid w:val="00A40E94"/>
    <w:rsid w:val="00A4129D"/>
    <w:rsid w:val="00A412C6"/>
    <w:rsid w:val="00A42166"/>
    <w:rsid w:val="00A4247F"/>
    <w:rsid w:val="00A4324E"/>
    <w:rsid w:val="00A43AD7"/>
    <w:rsid w:val="00A449B3"/>
    <w:rsid w:val="00A451E1"/>
    <w:rsid w:val="00A45F56"/>
    <w:rsid w:val="00A45FDF"/>
    <w:rsid w:val="00A46367"/>
    <w:rsid w:val="00A466CE"/>
    <w:rsid w:val="00A466E5"/>
    <w:rsid w:val="00A468D5"/>
    <w:rsid w:val="00A46FD1"/>
    <w:rsid w:val="00A47AFD"/>
    <w:rsid w:val="00A508F3"/>
    <w:rsid w:val="00A510FB"/>
    <w:rsid w:val="00A52BED"/>
    <w:rsid w:val="00A52CF3"/>
    <w:rsid w:val="00A52E92"/>
    <w:rsid w:val="00A53830"/>
    <w:rsid w:val="00A5384C"/>
    <w:rsid w:val="00A5390A"/>
    <w:rsid w:val="00A542C5"/>
    <w:rsid w:val="00A5584C"/>
    <w:rsid w:val="00A55CF9"/>
    <w:rsid w:val="00A56997"/>
    <w:rsid w:val="00A5781D"/>
    <w:rsid w:val="00A601FD"/>
    <w:rsid w:val="00A60CAF"/>
    <w:rsid w:val="00A60F13"/>
    <w:rsid w:val="00A61CAD"/>
    <w:rsid w:val="00A62403"/>
    <w:rsid w:val="00A6253E"/>
    <w:rsid w:val="00A62E4A"/>
    <w:rsid w:val="00A6312C"/>
    <w:rsid w:val="00A636B9"/>
    <w:rsid w:val="00A64521"/>
    <w:rsid w:val="00A64877"/>
    <w:rsid w:val="00A64A87"/>
    <w:rsid w:val="00A65A24"/>
    <w:rsid w:val="00A65A37"/>
    <w:rsid w:val="00A65C46"/>
    <w:rsid w:val="00A661E6"/>
    <w:rsid w:val="00A66480"/>
    <w:rsid w:val="00A67027"/>
    <w:rsid w:val="00A67450"/>
    <w:rsid w:val="00A702B6"/>
    <w:rsid w:val="00A708AC"/>
    <w:rsid w:val="00A70ED3"/>
    <w:rsid w:val="00A72927"/>
    <w:rsid w:val="00A72A09"/>
    <w:rsid w:val="00A74A83"/>
    <w:rsid w:val="00A7549A"/>
    <w:rsid w:val="00A765C6"/>
    <w:rsid w:val="00A775CF"/>
    <w:rsid w:val="00A80C4B"/>
    <w:rsid w:val="00A80F54"/>
    <w:rsid w:val="00A81374"/>
    <w:rsid w:val="00A81DF6"/>
    <w:rsid w:val="00A8321F"/>
    <w:rsid w:val="00A83C8C"/>
    <w:rsid w:val="00A83CC8"/>
    <w:rsid w:val="00A850DA"/>
    <w:rsid w:val="00A8534D"/>
    <w:rsid w:val="00A8593E"/>
    <w:rsid w:val="00A87915"/>
    <w:rsid w:val="00A900AC"/>
    <w:rsid w:val="00A90B5A"/>
    <w:rsid w:val="00A94413"/>
    <w:rsid w:val="00AA021E"/>
    <w:rsid w:val="00AA031B"/>
    <w:rsid w:val="00AA2846"/>
    <w:rsid w:val="00AA4C3A"/>
    <w:rsid w:val="00AA4C68"/>
    <w:rsid w:val="00AA59B4"/>
    <w:rsid w:val="00AA5AD2"/>
    <w:rsid w:val="00AA6DDB"/>
    <w:rsid w:val="00AA76C9"/>
    <w:rsid w:val="00AA773B"/>
    <w:rsid w:val="00AA7ECF"/>
    <w:rsid w:val="00AA7EE0"/>
    <w:rsid w:val="00AB0302"/>
    <w:rsid w:val="00AB053B"/>
    <w:rsid w:val="00AB110A"/>
    <w:rsid w:val="00AB1661"/>
    <w:rsid w:val="00AB2A1A"/>
    <w:rsid w:val="00AB3628"/>
    <w:rsid w:val="00AB451D"/>
    <w:rsid w:val="00AB48BA"/>
    <w:rsid w:val="00AB71F1"/>
    <w:rsid w:val="00AC001E"/>
    <w:rsid w:val="00AC04A2"/>
    <w:rsid w:val="00AC0531"/>
    <w:rsid w:val="00AC05B3"/>
    <w:rsid w:val="00AC114E"/>
    <w:rsid w:val="00AC1492"/>
    <w:rsid w:val="00AC2367"/>
    <w:rsid w:val="00AC27DD"/>
    <w:rsid w:val="00AC39C5"/>
    <w:rsid w:val="00AC3BD0"/>
    <w:rsid w:val="00AC40DB"/>
    <w:rsid w:val="00AC41DA"/>
    <w:rsid w:val="00AC47C4"/>
    <w:rsid w:val="00AC5034"/>
    <w:rsid w:val="00AC51DB"/>
    <w:rsid w:val="00AC559D"/>
    <w:rsid w:val="00AC5C8F"/>
    <w:rsid w:val="00AC6694"/>
    <w:rsid w:val="00AD06E9"/>
    <w:rsid w:val="00AD22C4"/>
    <w:rsid w:val="00AD34C9"/>
    <w:rsid w:val="00AD406B"/>
    <w:rsid w:val="00AD4530"/>
    <w:rsid w:val="00AD554A"/>
    <w:rsid w:val="00AD5D97"/>
    <w:rsid w:val="00AD6A9E"/>
    <w:rsid w:val="00AD79EF"/>
    <w:rsid w:val="00AE1612"/>
    <w:rsid w:val="00AE3556"/>
    <w:rsid w:val="00AE3BD3"/>
    <w:rsid w:val="00AE4B99"/>
    <w:rsid w:val="00AE4D1F"/>
    <w:rsid w:val="00AE5610"/>
    <w:rsid w:val="00AE6528"/>
    <w:rsid w:val="00AE6C60"/>
    <w:rsid w:val="00AE6E66"/>
    <w:rsid w:val="00AE7ECD"/>
    <w:rsid w:val="00AE7FAA"/>
    <w:rsid w:val="00AF0A65"/>
    <w:rsid w:val="00AF11EF"/>
    <w:rsid w:val="00AF3717"/>
    <w:rsid w:val="00AF3EA5"/>
    <w:rsid w:val="00AF3ED5"/>
    <w:rsid w:val="00AF4A21"/>
    <w:rsid w:val="00AF4DA5"/>
    <w:rsid w:val="00AF510C"/>
    <w:rsid w:val="00AF5A22"/>
    <w:rsid w:val="00AF5E7E"/>
    <w:rsid w:val="00AF5EFB"/>
    <w:rsid w:val="00AF6C41"/>
    <w:rsid w:val="00AF71B4"/>
    <w:rsid w:val="00AF7622"/>
    <w:rsid w:val="00AF79E8"/>
    <w:rsid w:val="00AF7D24"/>
    <w:rsid w:val="00B00640"/>
    <w:rsid w:val="00B00873"/>
    <w:rsid w:val="00B00CD9"/>
    <w:rsid w:val="00B01897"/>
    <w:rsid w:val="00B018B2"/>
    <w:rsid w:val="00B02E2B"/>
    <w:rsid w:val="00B0331A"/>
    <w:rsid w:val="00B03F8E"/>
    <w:rsid w:val="00B04454"/>
    <w:rsid w:val="00B04662"/>
    <w:rsid w:val="00B04B62"/>
    <w:rsid w:val="00B05E70"/>
    <w:rsid w:val="00B05F22"/>
    <w:rsid w:val="00B06045"/>
    <w:rsid w:val="00B0633B"/>
    <w:rsid w:val="00B06E05"/>
    <w:rsid w:val="00B0776F"/>
    <w:rsid w:val="00B07773"/>
    <w:rsid w:val="00B07EEC"/>
    <w:rsid w:val="00B10162"/>
    <w:rsid w:val="00B1080F"/>
    <w:rsid w:val="00B11697"/>
    <w:rsid w:val="00B11C8B"/>
    <w:rsid w:val="00B11FF6"/>
    <w:rsid w:val="00B12CBF"/>
    <w:rsid w:val="00B1435E"/>
    <w:rsid w:val="00B14974"/>
    <w:rsid w:val="00B15362"/>
    <w:rsid w:val="00B156AB"/>
    <w:rsid w:val="00B15916"/>
    <w:rsid w:val="00B16586"/>
    <w:rsid w:val="00B16616"/>
    <w:rsid w:val="00B1698B"/>
    <w:rsid w:val="00B16C7F"/>
    <w:rsid w:val="00B16ECA"/>
    <w:rsid w:val="00B16FF6"/>
    <w:rsid w:val="00B1737A"/>
    <w:rsid w:val="00B17592"/>
    <w:rsid w:val="00B17710"/>
    <w:rsid w:val="00B2026A"/>
    <w:rsid w:val="00B21EB9"/>
    <w:rsid w:val="00B2306E"/>
    <w:rsid w:val="00B234F7"/>
    <w:rsid w:val="00B252FD"/>
    <w:rsid w:val="00B26234"/>
    <w:rsid w:val="00B26316"/>
    <w:rsid w:val="00B26813"/>
    <w:rsid w:val="00B27849"/>
    <w:rsid w:val="00B279D1"/>
    <w:rsid w:val="00B279E4"/>
    <w:rsid w:val="00B30397"/>
    <w:rsid w:val="00B3188E"/>
    <w:rsid w:val="00B31A7D"/>
    <w:rsid w:val="00B32043"/>
    <w:rsid w:val="00B322DE"/>
    <w:rsid w:val="00B3247F"/>
    <w:rsid w:val="00B331DD"/>
    <w:rsid w:val="00B33880"/>
    <w:rsid w:val="00B340E5"/>
    <w:rsid w:val="00B34CDE"/>
    <w:rsid w:val="00B34FA8"/>
    <w:rsid w:val="00B36185"/>
    <w:rsid w:val="00B36615"/>
    <w:rsid w:val="00B36CC1"/>
    <w:rsid w:val="00B3798A"/>
    <w:rsid w:val="00B37D39"/>
    <w:rsid w:val="00B40A61"/>
    <w:rsid w:val="00B41868"/>
    <w:rsid w:val="00B419C0"/>
    <w:rsid w:val="00B419E0"/>
    <w:rsid w:val="00B420FF"/>
    <w:rsid w:val="00B4444F"/>
    <w:rsid w:val="00B44AC2"/>
    <w:rsid w:val="00B44C94"/>
    <w:rsid w:val="00B4540C"/>
    <w:rsid w:val="00B45431"/>
    <w:rsid w:val="00B4682D"/>
    <w:rsid w:val="00B5070C"/>
    <w:rsid w:val="00B50DCF"/>
    <w:rsid w:val="00B51DF7"/>
    <w:rsid w:val="00B53362"/>
    <w:rsid w:val="00B533FB"/>
    <w:rsid w:val="00B54781"/>
    <w:rsid w:val="00B54CDA"/>
    <w:rsid w:val="00B55746"/>
    <w:rsid w:val="00B57191"/>
    <w:rsid w:val="00B57347"/>
    <w:rsid w:val="00B574F6"/>
    <w:rsid w:val="00B57F99"/>
    <w:rsid w:val="00B6155A"/>
    <w:rsid w:val="00B618C5"/>
    <w:rsid w:val="00B62212"/>
    <w:rsid w:val="00B63469"/>
    <w:rsid w:val="00B634FB"/>
    <w:rsid w:val="00B63523"/>
    <w:rsid w:val="00B63641"/>
    <w:rsid w:val="00B63AA3"/>
    <w:rsid w:val="00B64579"/>
    <w:rsid w:val="00B658CF"/>
    <w:rsid w:val="00B65A99"/>
    <w:rsid w:val="00B661BB"/>
    <w:rsid w:val="00B70891"/>
    <w:rsid w:val="00B70AED"/>
    <w:rsid w:val="00B713ED"/>
    <w:rsid w:val="00B71DFD"/>
    <w:rsid w:val="00B721BC"/>
    <w:rsid w:val="00B733C3"/>
    <w:rsid w:val="00B734BF"/>
    <w:rsid w:val="00B73F7F"/>
    <w:rsid w:val="00B75356"/>
    <w:rsid w:val="00B75A4A"/>
    <w:rsid w:val="00B769F3"/>
    <w:rsid w:val="00B77ABA"/>
    <w:rsid w:val="00B77B71"/>
    <w:rsid w:val="00B80742"/>
    <w:rsid w:val="00B81108"/>
    <w:rsid w:val="00B81329"/>
    <w:rsid w:val="00B81409"/>
    <w:rsid w:val="00B8191F"/>
    <w:rsid w:val="00B81B78"/>
    <w:rsid w:val="00B81D3A"/>
    <w:rsid w:val="00B81E28"/>
    <w:rsid w:val="00B81FDA"/>
    <w:rsid w:val="00B82647"/>
    <w:rsid w:val="00B83472"/>
    <w:rsid w:val="00B83679"/>
    <w:rsid w:val="00B847BD"/>
    <w:rsid w:val="00B85293"/>
    <w:rsid w:val="00B85FD3"/>
    <w:rsid w:val="00B9019E"/>
    <w:rsid w:val="00B904A1"/>
    <w:rsid w:val="00B926FF"/>
    <w:rsid w:val="00B927BF"/>
    <w:rsid w:val="00B92F86"/>
    <w:rsid w:val="00B93002"/>
    <w:rsid w:val="00B93D3C"/>
    <w:rsid w:val="00B9407D"/>
    <w:rsid w:val="00B94894"/>
    <w:rsid w:val="00B94AF1"/>
    <w:rsid w:val="00B9697E"/>
    <w:rsid w:val="00B973D0"/>
    <w:rsid w:val="00B97F5C"/>
    <w:rsid w:val="00BA04F8"/>
    <w:rsid w:val="00BA0C5A"/>
    <w:rsid w:val="00BA1B9A"/>
    <w:rsid w:val="00BA412D"/>
    <w:rsid w:val="00BA4740"/>
    <w:rsid w:val="00BA57C5"/>
    <w:rsid w:val="00BA597C"/>
    <w:rsid w:val="00BA5D2D"/>
    <w:rsid w:val="00BA6AA0"/>
    <w:rsid w:val="00BA7173"/>
    <w:rsid w:val="00BA79D1"/>
    <w:rsid w:val="00BB042C"/>
    <w:rsid w:val="00BB09C8"/>
    <w:rsid w:val="00BB140F"/>
    <w:rsid w:val="00BB2183"/>
    <w:rsid w:val="00BB275E"/>
    <w:rsid w:val="00BB27BD"/>
    <w:rsid w:val="00BB300B"/>
    <w:rsid w:val="00BB43B3"/>
    <w:rsid w:val="00BB489A"/>
    <w:rsid w:val="00BB50CC"/>
    <w:rsid w:val="00BB5465"/>
    <w:rsid w:val="00BB559F"/>
    <w:rsid w:val="00BB56D8"/>
    <w:rsid w:val="00BB58C8"/>
    <w:rsid w:val="00BC0E4A"/>
    <w:rsid w:val="00BC370E"/>
    <w:rsid w:val="00BC4326"/>
    <w:rsid w:val="00BC487F"/>
    <w:rsid w:val="00BC6F4F"/>
    <w:rsid w:val="00BD075D"/>
    <w:rsid w:val="00BD0D3C"/>
    <w:rsid w:val="00BD20F2"/>
    <w:rsid w:val="00BD3684"/>
    <w:rsid w:val="00BD47AA"/>
    <w:rsid w:val="00BD54A4"/>
    <w:rsid w:val="00BD5584"/>
    <w:rsid w:val="00BD585D"/>
    <w:rsid w:val="00BD77AD"/>
    <w:rsid w:val="00BD7AF8"/>
    <w:rsid w:val="00BD7CEA"/>
    <w:rsid w:val="00BE0B2F"/>
    <w:rsid w:val="00BE0E6F"/>
    <w:rsid w:val="00BE1896"/>
    <w:rsid w:val="00BE2618"/>
    <w:rsid w:val="00BE278C"/>
    <w:rsid w:val="00BE3877"/>
    <w:rsid w:val="00BE3EB0"/>
    <w:rsid w:val="00BE43DF"/>
    <w:rsid w:val="00BE459C"/>
    <w:rsid w:val="00BE4BEC"/>
    <w:rsid w:val="00BE4C4C"/>
    <w:rsid w:val="00BE4E68"/>
    <w:rsid w:val="00BE5218"/>
    <w:rsid w:val="00BE56BA"/>
    <w:rsid w:val="00BE63FB"/>
    <w:rsid w:val="00BE6EBF"/>
    <w:rsid w:val="00BE7448"/>
    <w:rsid w:val="00BE76A8"/>
    <w:rsid w:val="00BE7DA8"/>
    <w:rsid w:val="00BF0C34"/>
    <w:rsid w:val="00BF246E"/>
    <w:rsid w:val="00BF4001"/>
    <w:rsid w:val="00BF42C9"/>
    <w:rsid w:val="00BF6097"/>
    <w:rsid w:val="00BF615A"/>
    <w:rsid w:val="00BF7771"/>
    <w:rsid w:val="00BF7D3B"/>
    <w:rsid w:val="00BF7D83"/>
    <w:rsid w:val="00C00E7F"/>
    <w:rsid w:val="00C00F12"/>
    <w:rsid w:val="00C0122B"/>
    <w:rsid w:val="00C01462"/>
    <w:rsid w:val="00C01CE6"/>
    <w:rsid w:val="00C02B64"/>
    <w:rsid w:val="00C02E27"/>
    <w:rsid w:val="00C04311"/>
    <w:rsid w:val="00C0524A"/>
    <w:rsid w:val="00C06863"/>
    <w:rsid w:val="00C07988"/>
    <w:rsid w:val="00C07EB7"/>
    <w:rsid w:val="00C10BDC"/>
    <w:rsid w:val="00C1109E"/>
    <w:rsid w:val="00C11803"/>
    <w:rsid w:val="00C120B9"/>
    <w:rsid w:val="00C121AE"/>
    <w:rsid w:val="00C127B4"/>
    <w:rsid w:val="00C1305C"/>
    <w:rsid w:val="00C13372"/>
    <w:rsid w:val="00C14714"/>
    <w:rsid w:val="00C14A73"/>
    <w:rsid w:val="00C1504E"/>
    <w:rsid w:val="00C1514E"/>
    <w:rsid w:val="00C1632F"/>
    <w:rsid w:val="00C16EBB"/>
    <w:rsid w:val="00C17E7B"/>
    <w:rsid w:val="00C202C1"/>
    <w:rsid w:val="00C208BD"/>
    <w:rsid w:val="00C20F3F"/>
    <w:rsid w:val="00C21E6A"/>
    <w:rsid w:val="00C22D55"/>
    <w:rsid w:val="00C23541"/>
    <w:rsid w:val="00C240EB"/>
    <w:rsid w:val="00C24481"/>
    <w:rsid w:val="00C245D3"/>
    <w:rsid w:val="00C24B91"/>
    <w:rsid w:val="00C24CFE"/>
    <w:rsid w:val="00C253EF"/>
    <w:rsid w:val="00C25B24"/>
    <w:rsid w:val="00C25F07"/>
    <w:rsid w:val="00C320A5"/>
    <w:rsid w:val="00C323FD"/>
    <w:rsid w:val="00C33026"/>
    <w:rsid w:val="00C331B0"/>
    <w:rsid w:val="00C33A25"/>
    <w:rsid w:val="00C347F1"/>
    <w:rsid w:val="00C34BBD"/>
    <w:rsid w:val="00C34C18"/>
    <w:rsid w:val="00C35A27"/>
    <w:rsid w:val="00C361DC"/>
    <w:rsid w:val="00C366DA"/>
    <w:rsid w:val="00C36F7F"/>
    <w:rsid w:val="00C3728E"/>
    <w:rsid w:val="00C37565"/>
    <w:rsid w:val="00C37921"/>
    <w:rsid w:val="00C4025E"/>
    <w:rsid w:val="00C40BA5"/>
    <w:rsid w:val="00C41BA8"/>
    <w:rsid w:val="00C41BC0"/>
    <w:rsid w:val="00C42489"/>
    <w:rsid w:val="00C424BF"/>
    <w:rsid w:val="00C4284A"/>
    <w:rsid w:val="00C42D78"/>
    <w:rsid w:val="00C431DA"/>
    <w:rsid w:val="00C4388E"/>
    <w:rsid w:val="00C43FF7"/>
    <w:rsid w:val="00C443F8"/>
    <w:rsid w:val="00C44637"/>
    <w:rsid w:val="00C453FC"/>
    <w:rsid w:val="00C46238"/>
    <w:rsid w:val="00C46B20"/>
    <w:rsid w:val="00C46CEC"/>
    <w:rsid w:val="00C52F83"/>
    <w:rsid w:val="00C545F1"/>
    <w:rsid w:val="00C54D2B"/>
    <w:rsid w:val="00C54E7D"/>
    <w:rsid w:val="00C54F3C"/>
    <w:rsid w:val="00C554AC"/>
    <w:rsid w:val="00C558AB"/>
    <w:rsid w:val="00C55A7D"/>
    <w:rsid w:val="00C5766D"/>
    <w:rsid w:val="00C5782E"/>
    <w:rsid w:val="00C5788B"/>
    <w:rsid w:val="00C5795B"/>
    <w:rsid w:val="00C57B28"/>
    <w:rsid w:val="00C60C41"/>
    <w:rsid w:val="00C6173A"/>
    <w:rsid w:val="00C638EE"/>
    <w:rsid w:val="00C6458D"/>
    <w:rsid w:val="00C65C41"/>
    <w:rsid w:val="00C6678F"/>
    <w:rsid w:val="00C67227"/>
    <w:rsid w:val="00C67932"/>
    <w:rsid w:val="00C67C1B"/>
    <w:rsid w:val="00C67F96"/>
    <w:rsid w:val="00C70273"/>
    <w:rsid w:val="00C7049E"/>
    <w:rsid w:val="00C70798"/>
    <w:rsid w:val="00C715E7"/>
    <w:rsid w:val="00C72DD2"/>
    <w:rsid w:val="00C72E06"/>
    <w:rsid w:val="00C72E3B"/>
    <w:rsid w:val="00C734FE"/>
    <w:rsid w:val="00C73959"/>
    <w:rsid w:val="00C7399B"/>
    <w:rsid w:val="00C74903"/>
    <w:rsid w:val="00C755B6"/>
    <w:rsid w:val="00C76ADE"/>
    <w:rsid w:val="00C76AE1"/>
    <w:rsid w:val="00C76DB3"/>
    <w:rsid w:val="00C76EA4"/>
    <w:rsid w:val="00C770BC"/>
    <w:rsid w:val="00C80190"/>
    <w:rsid w:val="00C8040D"/>
    <w:rsid w:val="00C81124"/>
    <w:rsid w:val="00C818C5"/>
    <w:rsid w:val="00C81BE0"/>
    <w:rsid w:val="00C82EE3"/>
    <w:rsid w:val="00C8304D"/>
    <w:rsid w:val="00C834B3"/>
    <w:rsid w:val="00C84453"/>
    <w:rsid w:val="00C84AF9"/>
    <w:rsid w:val="00C85E2B"/>
    <w:rsid w:val="00C86F4D"/>
    <w:rsid w:val="00C873AE"/>
    <w:rsid w:val="00C873B5"/>
    <w:rsid w:val="00C879E6"/>
    <w:rsid w:val="00C87D61"/>
    <w:rsid w:val="00C903AC"/>
    <w:rsid w:val="00C903DA"/>
    <w:rsid w:val="00C90B18"/>
    <w:rsid w:val="00C913DB"/>
    <w:rsid w:val="00C92C3A"/>
    <w:rsid w:val="00C93738"/>
    <w:rsid w:val="00C941CA"/>
    <w:rsid w:val="00C9442F"/>
    <w:rsid w:val="00C951D1"/>
    <w:rsid w:val="00C9577F"/>
    <w:rsid w:val="00C9799A"/>
    <w:rsid w:val="00C97CAC"/>
    <w:rsid w:val="00CA06DA"/>
    <w:rsid w:val="00CA10A2"/>
    <w:rsid w:val="00CA35A1"/>
    <w:rsid w:val="00CA3767"/>
    <w:rsid w:val="00CA3CF3"/>
    <w:rsid w:val="00CA41F2"/>
    <w:rsid w:val="00CA4808"/>
    <w:rsid w:val="00CA4EC8"/>
    <w:rsid w:val="00CA538F"/>
    <w:rsid w:val="00CA5490"/>
    <w:rsid w:val="00CA5525"/>
    <w:rsid w:val="00CA6801"/>
    <w:rsid w:val="00CA6E0B"/>
    <w:rsid w:val="00CA781F"/>
    <w:rsid w:val="00CB053A"/>
    <w:rsid w:val="00CB08BD"/>
    <w:rsid w:val="00CB0968"/>
    <w:rsid w:val="00CB0C34"/>
    <w:rsid w:val="00CB0D74"/>
    <w:rsid w:val="00CB17FE"/>
    <w:rsid w:val="00CB1E1A"/>
    <w:rsid w:val="00CB1FB9"/>
    <w:rsid w:val="00CB20C4"/>
    <w:rsid w:val="00CB2504"/>
    <w:rsid w:val="00CB354E"/>
    <w:rsid w:val="00CB4788"/>
    <w:rsid w:val="00CB5F1B"/>
    <w:rsid w:val="00CB7C1B"/>
    <w:rsid w:val="00CC0045"/>
    <w:rsid w:val="00CC035B"/>
    <w:rsid w:val="00CC14A9"/>
    <w:rsid w:val="00CC14B8"/>
    <w:rsid w:val="00CC1711"/>
    <w:rsid w:val="00CC1FFB"/>
    <w:rsid w:val="00CC212A"/>
    <w:rsid w:val="00CC22A6"/>
    <w:rsid w:val="00CC315A"/>
    <w:rsid w:val="00CC3DC4"/>
    <w:rsid w:val="00CC467D"/>
    <w:rsid w:val="00CC50C5"/>
    <w:rsid w:val="00CC607A"/>
    <w:rsid w:val="00CC6744"/>
    <w:rsid w:val="00CC6B0E"/>
    <w:rsid w:val="00CC7AD4"/>
    <w:rsid w:val="00CC7C59"/>
    <w:rsid w:val="00CD0051"/>
    <w:rsid w:val="00CD0B05"/>
    <w:rsid w:val="00CD1BED"/>
    <w:rsid w:val="00CD1D79"/>
    <w:rsid w:val="00CD2250"/>
    <w:rsid w:val="00CD28BC"/>
    <w:rsid w:val="00CD2BB8"/>
    <w:rsid w:val="00CD322D"/>
    <w:rsid w:val="00CD3D7D"/>
    <w:rsid w:val="00CD41CD"/>
    <w:rsid w:val="00CD44EE"/>
    <w:rsid w:val="00CD45A2"/>
    <w:rsid w:val="00CD50DF"/>
    <w:rsid w:val="00CD5B4F"/>
    <w:rsid w:val="00CD5D69"/>
    <w:rsid w:val="00CD6856"/>
    <w:rsid w:val="00CD7536"/>
    <w:rsid w:val="00CD7635"/>
    <w:rsid w:val="00CE0814"/>
    <w:rsid w:val="00CE0917"/>
    <w:rsid w:val="00CE106B"/>
    <w:rsid w:val="00CE13DB"/>
    <w:rsid w:val="00CE17F1"/>
    <w:rsid w:val="00CE3F41"/>
    <w:rsid w:val="00CE4287"/>
    <w:rsid w:val="00CE542B"/>
    <w:rsid w:val="00CE5AF6"/>
    <w:rsid w:val="00CE5B35"/>
    <w:rsid w:val="00CE63C1"/>
    <w:rsid w:val="00CE6BA2"/>
    <w:rsid w:val="00CE7CC1"/>
    <w:rsid w:val="00CE7F25"/>
    <w:rsid w:val="00CF09B3"/>
    <w:rsid w:val="00CF0FAA"/>
    <w:rsid w:val="00CF15D0"/>
    <w:rsid w:val="00CF1FC3"/>
    <w:rsid w:val="00CF2171"/>
    <w:rsid w:val="00CF220F"/>
    <w:rsid w:val="00CF2B14"/>
    <w:rsid w:val="00CF3515"/>
    <w:rsid w:val="00CF36BA"/>
    <w:rsid w:val="00CF3A54"/>
    <w:rsid w:val="00CF47D2"/>
    <w:rsid w:val="00CF644D"/>
    <w:rsid w:val="00CF7296"/>
    <w:rsid w:val="00CF7346"/>
    <w:rsid w:val="00CF73AD"/>
    <w:rsid w:val="00CF75FF"/>
    <w:rsid w:val="00D00D2A"/>
    <w:rsid w:val="00D020F3"/>
    <w:rsid w:val="00D03BFD"/>
    <w:rsid w:val="00D062BF"/>
    <w:rsid w:val="00D0637E"/>
    <w:rsid w:val="00D064BA"/>
    <w:rsid w:val="00D0711C"/>
    <w:rsid w:val="00D07912"/>
    <w:rsid w:val="00D11A2D"/>
    <w:rsid w:val="00D143D8"/>
    <w:rsid w:val="00D146B8"/>
    <w:rsid w:val="00D14CB9"/>
    <w:rsid w:val="00D15937"/>
    <w:rsid w:val="00D15AB1"/>
    <w:rsid w:val="00D15C35"/>
    <w:rsid w:val="00D20E81"/>
    <w:rsid w:val="00D2104C"/>
    <w:rsid w:val="00D2113E"/>
    <w:rsid w:val="00D218A9"/>
    <w:rsid w:val="00D21F81"/>
    <w:rsid w:val="00D22771"/>
    <w:rsid w:val="00D22812"/>
    <w:rsid w:val="00D2285D"/>
    <w:rsid w:val="00D23715"/>
    <w:rsid w:val="00D249A3"/>
    <w:rsid w:val="00D2558E"/>
    <w:rsid w:val="00D25807"/>
    <w:rsid w:val="00D272FE"/>
    <w:rsid w:val="00D278E8"/>
    <w:rsid w:val="00D3004E"/>
    <w:rsid w:val="00D30F53"/>
    <w:rsid w:val="00D323CD"/>
    <w:rsid w:val="00D33BAE"/>
    <w:rsid w:val="00D33CB5"/>
    <w:rsid w:val="00D3493A"/>
    <w:rsid w:val="00D34FCB"/>
    <w:rsid w:val="00D35338"/>
    <w:rsid w:val="00D35E4E"/>
    <w:rsid w:val="00D360CD"/>
    <w:rsid w:val="00D37837"/>
    <w:rsid w:val="00D41040"/>
    <w:rsid w:val="00D4176C"/>
    <w:rsid w:val="00D41D96"/>
    <w:rsid w:val="00D427C9"/>
    <w:rsid w:val="00D4302D"/>
    <w:rsid w:val="00D43A26"/>
    <w:rsid w:val="00D44D7F"/>
    <w:rsid w:val="00D4562F"/>
    <w:rsid w:val="00D45EF1"/>
    <w:rsid w:val="00D4642D"/>
    <w:rsid w:val="00D465B2"/>
    <w:rsid w:val="00D46617"/>
    <w:rsid w:val="00D47179"/>
    <w:rsid w:val="00D47BF4"/>
    <w:rsid w:val="00D50843"/>
    <w:rsid w:val="00D50F08"/>
    <w:rsid w:val="00D51F1F"/>
    <w:rsid w:val="00D521E7"/>
    <w:rsid w:val="00D525A4"/>
    <w:rsid w:val="00D52A84"/>
    <w:rsid w:val="00D538E5"/>
    <w:rsid w:val="00D55130"/>
    <w:rsid w:val="00D55D5A"/>
    <w:rsid w:val="00D56D0E"/>
    <w:rsid w:val="00D576BE"/>
    <w:rsid w:val="00D5775C"/>
    <w:rsid w:val="00D57ABB"/>
    <w:rsid w:val="00D607A6"/>
    <w:rsid w:val="00D607F0"/>
    <w:rsid w:val="00D613DC"/>
    <w:rsid w:val="00D62106"/>
    <w:rsid w:val="00D6244E"/>
    <w:rsid w:val="00D62A21"/>
    <w:rsid w:val="00D632BD"/>
    <w:rsid w:val="00D6374E"/>
    <w:rsid w:val="00D64862"/>
    <w:rsid w:val="00D648E8"/>
    <w:rsid w:val="00D650A3"/>
    <w:rsid w:val="00D6537D"/>
    <w:rsid w:val="00D65460"/>
    <w:rsid w:val="00D65A67"/>
    <w:rsid w:val="00D65CB8"/>
    <w:rsid w:val="00D65CD9"/>
    <w:rsid w:val="00D667E0"/>
    <w:rsid w:val="00D668B5"/>
    <w:rsid w:val="00D670A1"/>
    <w:rsid w:val="00D674C5"/>
    <w:rsid w:val="00D675A9"/>
    <w:rsid w:val="00D71426"/>
    <w:rsid w:val="00D7167B"/>
    <w:rsid w:val="00D71716"/>
    <w:rsid w:val="00D71AA0"/>
    <w:rsid w:val="00D7275E"/>
    <w:rsid w:val="00D7289E"/>
    <w:rsid w:val="00D72A01"/>
    <w:rsid w:val="00D72B11"/>
    <w:rsid w:val="00D72EFD"/>
    <w:rsid w:val="00D72F14"/>
    <w:rsid w:val="00D74728"/>
    <w:rsid w:val="00D750A7"/>
    <w:rsid w:val="00D755FC"/>
    <w:rsid w:val="00D75850"/>
    <w:rsid w:val="00D75AC4"/>
    <w:rsid w:val="00D76266"/>
    <w:rsid w:val="00D77C92"/>
    <w:rsid w:val="00D8028C"/>
    <w:rsid w:val="00D80464"/>
    <w:rsid w:val="00D8121F"/>
    <w:rsid w:val="00D815BB"/>
    <w:rsid w:val="00D83983"/>
    <w:rsid w:val="00D850FE"/>
    <w:rsid w:val="00D86D85"/>
    <w:rsid w:val="00D86F95"/>
    <w:rsid w:val="00D873A1"/>
    <w:rsid w:val="00D90764"/>
    <w:rsid w:val="00D90B57"/>
    <w:rsid w:val="00D90F85"/>
    <w:rsid w:val="00D91BA6"/>
    <w:rsid w:val="00D927E6"/>
    <w:rsid w:val="00D9284E"/>
    <w:rsid w:val="00D92919"/>
    <w:rsid w:val="00D92FE0"/>
    <w:rsid w:val="00D935A3"/>
    <w:rsid w:val="00D935B3"/>
    <w:rsid w:val="00D9375B"/>
    <w:rsid w:val="00D940CB"/>
    <w:rsid w:val="00D944B6"/>
    <w:rsid w:val="00D95033"/>
    <w:rsid w:val="00D9559B"/>
    <w:rsid w:val="00D95BE7"/>
    <w:rsid w:val="00D95E66"/>
    <w:rsid w:val="00D96819"/>
    <w:rsid w:val="00D96C2C"/>
    <w:rsid w:val="00D97A49"/>
    <w:rsid w:val="00D97CA1"/>
    <w:rsid w:val="00DA1313"/>
    <w:rsid w:val="00DA15E0"/>
    <w:rsid w:val="00DA15E8"/>
    <w:rsid w:val="00DA2063"/>
    <w:rsid w:val="00DA4A2A"/>
    <w:rsid w:val="00DA5855"/>
    <w:rsid w:val="00DA58D2"/>
    <w:rsid w:val="00DA5F10"/>
    <w:rsid w:val="00DA628B"/>
    <w:rsid w:val="00DA7116"/>
    <w:rsid w:val="00DB0D82"/>
    <w:rsid w:val="00DB1983"/>
    <w:rsid w:val="00DB220C"/>
    <w:rsid w:val="00DB23B5"/>
    <w:rsid w:val="00DB2653"/>
    <w:rsid w:val="00DB42A2"/>
    <w:rsid w:val="00DB4517"/>
    <w:rsid w:val="00DB5662"/>
    <w:rsid w:val="00DB5A0B"/>
    <w:rsid w:val="00DB5DDB"/>
    <w:rsid w:val="00DB646A"/>
    <w:rsid w:val="00DB6AAC"/>
    <w:rsid w:val="00DB741F"/>
    <w:rsid w:val="00DB7A6C"/>
    <w:rsid w:val="00DC0648"/>
    <w:rsid w:val="00DC1F3C"/>
    <w:rsid w:val="00DC26C5"/>
    <w:rsid w:val="00DC2A23"/>
    <w:rsid w:val="00DC2D43"/>
    <w:rsid w:val="00DC349C"/>
    <w:rsid w:val="00DC37F3"/>
    <w:rsid w:val="00DC3FD3"/>
    <w:rsid w:val="00DC42E5"/>
    <w:rsid w:val="00DC4965"/>
    <w:rsid w:val="00DC71F7"/>
    <w:rsid w:val="00DC766F"/>
    <w:rsid w:val="00DC7C7D"/>
    <w:rsid w:val="00DC7FAB"/>
    <w:rsid w:val="00DD08F6"/>
    <w:rsid w:val="00DD096F"/>
    <w:rsid w:val="00DD11E4"/>
    <w:rsid w:val="00DD142C"/>
    <w:rsid w:val="00DD2010"/>
    <w:rsid w:val="00DD2348"/>
    <w:rsid w:val="00DD2EE0"/>
    <w:rsid w:val="00DD35C1"/>
    <w:rsid w:val="00DD3789"/>
    <w:rsid w:val="00DD4289"/>
    <w:rsid w:val="00DD4742"/>
    <w:rsid w:val="00DD549C"/>
    <w:rsid w:val="00DD5B29"/>
    <w:rsid w:val="00DD6917"/>
    <w:rsid w:val="00DD6D51"/>
    <w:rsid w:val="00DE0057"/>
    <w:rsid w:val="00DE03D0"/>
    <w:rsid w:val="00DE12E1"/>
    <w:rsid w:val="00DE1DBD"/>
    <w:rsid w:val="00DE31EC"/>
    <w:rsid w:val="00DE3695"/>
    <w:rsid w:val="00DE4DF0"/>
    <w:rsid w:val="00DE5516"/>
    <w:rsid w:val="00DE6ABB"/>
    <w:rsid w:val="00DE7349"/>
    <w:rsid w:val="00DF021C"/>
    <w:rsid w:val="00DF0255"/>
    <w:rsid w:val="00DF0DC1"/>
    <w:rsid w:val="00DF107E"/>
    <w:rsid w:val="00DF13F9"/>
    <w:rsid w:val="00DF1FCD"/>
    <w:rsid w:val="00DF4CAF"/>
    <w:rsid w:val="00DF542B"/>
    <w:rsid w:val="00DF54B2"/>
    <w:rsid w:val="00DF5603"/>
    <w:rsid w:val="00DF6F61"/>
    <w:rsid w:val="00E00A80"/>
    <w:rsid w:val="00E00E82"/>
    <w:rsid w:val="00E00F81"/>
    <w:rsid w:val="00E01464"/>
    <w:rsid w:val="00E01C76"/>
    <w:rsid w:val="00E02BF2"/>
    <w:rsid w:val="00E02C2B"/>
    <w:rsid w:val="00E033B3"/>
    <w:rsid w:val="00E04129"/>
    <w:rsid w:val="00E04187"/>
    <w:rsid w:val="00E0603C"/>
    <w:rsid w:val="00E061BB"/>
    <w:rsid w:val="00E068CD"/>
    <w:rsid w:val="00E06A5C"/>
    <w:rsid w:val="00E077E7"/>
    <w:rsid w:val="00E07873"/>
    <w:rsid w:val="00E07ED9"/>
    <w:rsid w:val="00E110C1"/>
    <w:rsid w:val="00E11732"/>
    <w:rsid w:val="00E11D5A"/>
    <w:rsid w:val="00E11F60"/>
    <w:rsid w:val="00E121E3"/>
    <w:rsid w:val="00E12BFB"/>
    <w:rsid w:val="00E14591"/>
    <w:rsid w:val="00E14E3C"/>
    <w:rsid w:val="00E160AD"/>
    <w:rsid w:val="00E167E2"/>
    <w:rsid w:val="00E17339"/>
    <w:rsid w:val="00E17403"/>
    <w:rsid w:val="00E17E3C"/>
    <w:rsid w:val="00E2034F"/>
    <w:rsid w:val="00E20DEE"/>
    <w:rsid w:val="00E215F9"/>
    <w:rsid w:val="00E21712"/>
    <w:rsid w:val="00E21718"/>
    <w:rsid w:val="00E21CE8"/>
    <w:rsid w:val="00E2268B"/>
    <w:rsid w:val="00E23218"/>
    <w:rsid w:val="00E2337F"/>
    <w:rsid w:val="00E2370F"/>
    <w:rsid w:val="00E239B9"/>
    <w:rsid w:val="00E23F02"/>
    <w:rsid w:val="00E25ABE"/>
    <w:rsid w:val="00E26C79"/>
    <w:rsid w:val="00E27649"/>
    <w:rsid w:val="00E27A2A"/>
    <w:rsid w:val="00E27AD3"/>
    <w:rsid w:val="00E3004E"/>
    <w:rsid w:val="00E3175E"/>
    <w:rsid w:val="00E31F03"/>
    <w:rsid w:val="00E32A0A"/>
    <w:rsid w:val="00E32D4D"/>
    <w:rsid w:val="00E3371F"/>
    <w:rsid w:val="00E33E6D"/>
    <w:rsid w:val="00E34590"/>
    <w:rsid w:val="00E34C0B"/>
    <w:rsid w:val="00E35DB5"/>
    <w:rsid w:val="00E36CA3"/>
    <w:rsid w:val="00E3768A"/>
    <w:rsid w:val="00E37E85"/>
    <w:rsid w:val="00E40E19"/>
    <w:rsid w:val="00E41159"/>
    <w:rsid w:val="00E4144D"/>
    <w:rsid w:val="00E42615"/>
    <w:rsid w:val="00E43F30"/>
    <w:rsid w:val="00E43FA7"/>
    <w:rsid w:val="00E4422E"/>
    <w:rsid w:val="00E443FF"/>
    <w:rsid w:val="00E4447D"/>
    <w:rsid w:val="00E45E03"/>
    <w:rsid w:val="00E46135"/>
    <w:rsid w:val="00E4648D"/>
    <w:rsid w:val="00E464B2"/>
    <w:rsid w:val="00E46749"/>
    <w:rsid w:val="00E46AF3"/>
    <w:rsid w:val="00E473CC"/>
    <w:rsid w:val="00E4763D"/>
    <w:rsid w:val="00E5086B"/>
    <w:rsid w:val="00E52646"/>
    <w:rsid w:val="00E52A79"/>
    <w:rsid w:val="00E535C2"/>
    <w:rsid w:val="00E53B93"/>
    <w:rsid w:val="00E55245"/>
    <w:rsid w:val="00E55E0E"/>
    <w:rsid w:val="00E56D37"/>
    <w:rsid w:val="00E578BA"/>
    <w:rsid w:val="00E579FF"/>
    <w:rsid w:val="00E57CBC"/>
    <w:rsid w:val="00E60914"/>
    <w:rsid w:val="00E61923"/>
    <w:rsid w:val="00E62796"/>
    <w:rsid w:val="00E62966"/>
    <w:rsid w:val="00E6568E"/>
    <w:rsid w:val="00E6677E"/>
    <w:rsid w:val="00E6684C"/>
    <w:rsid w:val="00E71C77"/>
    <w:rsid w:val="00E73177"/>
    <w:rsid w:val="00E73C0F"/>
    <w:rsid w:val="00E74725"/>
    <w:rsid w:val="00E75660"/>
    <w:rsid w:val="00E75A65"/>
    <w:rsid w:val="00E76472"/>
    <w:rsid w:val="00E765C0"/>
    <w:rsid w:val="00E8150D"/>
    <w:rsid w:val="00E82702"/>
    <w:rsid w:val="00E834CB"/>
    <w:rsid w:val="00E8608F"/>
    <w:rsid w:val="00E86999"/>
    <w:rsid w:val="00E87B41"/>
    <w:rsid w:val="00E91A7B"/>
    <w:rsid w:val="00E91F56"/>
    <w:rsid w:val="00E9225B"/>
    <w:rsid w:val="00E92762"/>
    <w:rsid w:val="00E94894"/>
    <w:rsid w:val="00E94A2A"/>
    <w:rsid w:val="00E95822"/>
    <w:rsid w:val="00EA0021"/>
    <w:rsid w:val="00EA0514"/>
    <w:rsid w:val="00EA0562"/>
    <w:rsid w:val="00EA1BC0"/>
    <w:rsid w:val="00EA1CB2"/>
    <w:rsid w:val="00EA226A"/>
    <w:rsid w:val="00EA2466"/>
    <w:rsid w:val="00EA2A6E"/>
    <w:rsid w:val="00EA2DFC"/>
    <w:rsid w:val="00EA3472"/>
    <w:rsid w:val="00EA3B48"/>
    <w:rsid w:val="00EA3BBE"/>
    <w:rsid w:val="00EA3F7E"/>
    <w:rsid w:val="00EA4084"/>
    <w:rsid w:val="00EA47F4"/>
    <w:rsid w:val="00EA5145"/>
    <w:rsid w:val="00EA5781"/>
    <w:rsid w:val="00EA5B19"/>
    <w:rsid w:val="00EA693D"/>
    <w:rsid w:val="00EA7002"/>
    <w:rsid w:val="00EB0086"/>
    <w:rsid w:val="00EB0518"/>
    <w:rsid w:val="00EB0996"/>
    <w:rsid w:val="00EB0C23"/>
    <w:rsid w:val="00EB1541"/>
    <w:rsid w:val="00EB2941"/>
    <w:rsid w:val="00EB336A"/>
    <w:rsid w:val="00EB3920"/>
    <w:rsid w:val="00EB4C30"/>
    <w:rsid w:val="00EB4FB1"/>
    <w:rsid w:val="00EB503F"/>
    <w:rsid w:val="00EB586D"/>
    <w:rsid w:val="00EB5932"/>
    <w:rsid w:val="00EC0407"/>
    <w:rsid w:val="00EC07EF"/>
    <w:rsid w:val="00EC0B2E"/>
    <w:rsid w:val="00EC0C70"/>
    <w:rsid w:val="00EC197B"/>
    <w:rsid w:val="00EC231F"/>
    <w:rsid w:val="00EC27C4"/>
    <w:rsid w:val="00EC2F30"/>
    <w:rsid w:val="00EC4007"/>
    <w:rsid w:val="00EC4691"/>
    <w:rsid w:val="00EC5A2B"/>
    <w:rsid w:val="00EC670C"/>
    <w:rsid w:val="00EC6BFB"/>
    <w:rsid w:val="00EC6DD7"/>
    <w:rsid w:val="00EC6E73"/>
    <w:rsid w:val="00ED1ABD"/>
    <w:rsid w:val="00ED218D"/>
    <w:rsid w:val="00ED319B"/>
    <w:rsid w:val="00ED3A5E"/>
    <w:rsid w:val="00ED3D66"/>
    <w:rsid w:val="00ED3F3A"/>
    <w:rsid w:val="00ED5315"/>
    <w:rsid w:val="00ED542D"/>
    <w:rsid w:val="00ED6442"/>
    <w:rsid w:val="00ED6C3E"/>
    <w:rsid w:val="00ED6C48"/>
    <w:rsid w:val="00ED7BF6"/>
    <w:rsid w:val="00EE08D0"/>
    <w:rsid w:val="00EE1250"/>
    <w:rsid w:val="00EE1304"/>
    <w:rsid w:val="00EE1C2D"/>
    <w:rsid w:val="00EE1C7A"/>
    <w:rsid w:val="00EE1CF8"/>
    <w:rsid w:val="00EE3935"/>
    <w:rsid w:val="00EE3F50"/>
    <w:rsid w:val="00EE4C05"/>
    <w:rsid w:val="00EE542C"/>
    <w:rsid w:val="00EE6907"/>
    <w:rsid w:val="00EE6D1F"/>
    <w:rsid w:val="00EE6D65"/>
    <w:rsid w:val="00EF046B"/>
    <w:rsid w:val="00EF18EF"/>
    <w:rsid w:val="00EF2029"/>
    <w:rsid w:val="00EF2733"/>
    <w:rsid w:val="00EF3ABF"/>
    <w:rsid w:val="00EF3BA1"/>
    <w:rsid w:val="00EF3CD3"/>
    <w:rsid w:val="00EF4253"/>
    <w:rsid w:val="00EF42A4"/>
    <w:rsid w:val="00EF4A24"/>
    <w:rsid w:val="00EF4D90"/>
    <w:rsid w:val="00EF5013"/>
    <w:rsid w:val="00EF5DA3"/>
    <w:rsid w:val="00EF7011"/>
    <w:rsid w:val="00EF72A8"/>
    <w:rsid w:val="00F012FE"/>
    <w:rsid w:val="00F02B28"/>
    <w:rsid w:val="00F03083"/>
    <w:rsid w:val="00F03E98"/>
    <w:rsid w:val="00F03EF9"/>
    <w:rsid w:val="00F06896"/>
    <w:rsid w:val="00F06D87"/>
    <w:rsid w:val="00F06DAB"/>
    <w:rsid w:val="00F070B8"/>
    <w:rsid w:val="00F07808"/>
    <w:rsid w:val="00F07916"/>
    <w:rsid w:val="00F1052A"/>
    <w:rsid w:val="00F10D60"/>
    <w:rsid w:val="00F11092"/>
    <w:rsid w:val="00F11756"/>
    <w:rsid w:val="00F12463"/>
    <w:rsid w:val="00F12E06"/>
    <w:rsid w:val="00F139AE"/>
    <w:rsid w:val="00F13AF8"/>
    <w:rsid w:val="00F14AC2"/>
    <w:rsid w:val="00F1554C"/>
    <w:rsid w:val="00F1703A"/>
    <w:rsid w:val="00F17CB1"/>
    <w:rsid w:val="00F206F7"/>
    <w:rsid w:val="00F2289E"/>
    <w:rsid w:val="00F25DB5"/>
    <w:rsid w:val="00F266F0"/>
    <w:rsid w:val="00F26AFE"/>
    <w:rsid w:val="00F26B05"/>
    <w:rsid w:val="00F2706C"/>
    <w:rsid w:val="00F272D3"/>
    <w:rsid w:val="00F27A12"/>
    <w:rsid w:val="00F3014B"/>
    <w:rsid w:val="00F30245"/>
    <w:rsid w:val="00F3069F"/>
    <w:rsid w:val="00F30912"/>
    <w:rsid w:val="00F31200"/>
    <w:rsid w:val="00F3146D"/>
    <w:rsid w:val="00F314BF"/>
    <w:rsid w:val="00F31B10"/>
    <w:rsid w:val="00F32335"/>
    <w:rsid w:val="00F327D3"/>
    <w:rsid w:val="00F32B08"/>
    <w:rsid w:val="00F33889"/>
    <w:rsid w:val="00F33D09"/>
    <w:rsid w:val="00F33F2B"/>
    <w:rsid w:val="00F35A0B"/>
    <w:rsid w:val="00F36007"/>
    <w:rsid w:val="00F3721C"/>
    <w:rsid w:val="00F40A68"/>
    <w:rsid w:val="00F40A89"/>
    <w:rsid w:val="00F40F1C"/>
    <w:rsid w:val="00F419D6"/>
    <w:rsid w:val="00F424C3"/>
    <w:rsid w:val="00F42A97"/>
    <w:rsid w:val="00F4345C"/>
    <w:rsid w:val="00F44880"/>
    <w:rsid w:val="00F449DB"/>
    <w:rsid w:val="00F44C5F"/>
    <w:rsid w:val="00F44D36"/>
    <w:rsid w:val="00F454E0"/>
    <w:rsid w:val="00F464B8"/>
    <w:rsid w:val="00F4695A"/>
    <w:rsid w:val="00F46A8C"/>
    <w:rsid w:val="00F46DDE"/>
    <w:rsid w:val="00F476DD"/>
    <w:rsid w:val="00F477BF"/>
    <w:rsid w:val="00F47DEE"/>
    <w:rsid w:val="00F47F85"/>
    <w:rsid w:val="00F50DB7"/>
    <w:rsid w:val="00F51677"/>
    <w:rsid w:val="00F51F04"/>
    <w:rsid w:val="00F53B26"/>
    <w:rsid w:val="00F53DED"/>
    <w:rsid w:val="00F5551C"/>
    <w:rsid w:val="00F563A8"/>
    <w:rsid w:val="00F571A2"/>
    <w:rsid w:val="00F57B0B"/>
    <w:rsid w:val="00F57E05"/>
    <w:rsid w:val="00F60754"/>
    <w:rsid w:val="00F61888"/>
    <w:rsid w:val="00F6234A"/>
    <w:rsid w:val="00F6365E"/>
    <w:rsid w:val="00F646CA"/>
    <w:rsid w:val="00F64817"/>
    <w:rsid w:val="00F64AE7"/>
    <w:rsid w:val="00F65F5D"/>
    <w:rsid w:val="00F65FBE"/>
    <w:rsid w:val="00F6758D"/>
    <w:rsid w:val="00F718AA"/>
    <w:rsid w:val="00F71B24"/>
    <w:rsid w:val="00F72BB6"/>
    <w:rsid w:val="00F7383B"/>
    <w:rsid w:val="00F73CF6"/>
    <w:rsid w:val="00F7481B"/>
    <w:rsid w:val="00F74CBF"/>
    <w:rsid w:val="00F75223"/>
    <w:rsid w:val="00F75D9C"/>
    <w:rsid w:val="00F75E3B"/>
    <w:rsid w:val="00F76195"/>
    <w:rsid w:val="00F7637C"/>
    <w:rsid w:val="00F76975"/>
    <w:rsid w:val="00F76A00"/>
    <w:rsid w:val="00F76F2B"/>
    <w:rsid w:val="00F76F58"/>
    <w:rsid w:val="00F771AC"/>
    <w:rsid w:val="00F80B5B"/>
    <w:rsid w:val="00F825EA"/>
    <w:rsid w:val="00F8303C"/>
    <w:rsid w:val="00F83269"/>
    <w:rsid w:val="00F83925"/>
    <w:rsid w:val="00F84A78"/>
    <w:rsid w:val="00F84AEC"/>
    <w:rsid w:val="00F84F77"/>
    <w:rsid w:val="00F8519D"/>
    <w:rsid w:val="00F854F4"/>
    <w:rsid w:val="00F86051"/>
    <w:rsid w:val="00F86A3A"/>
    <w:rsid w:val="00F86E47"/>
    <w:rsid w:val="00F86F8C"/>
    <w:rsid w:val="00F871DE"/>
    <w:rsid w:val="00F87258"/>
    <w:rsid w:val="00F873FB"/>
    <w:rsid w:val="00F90FEE"/>
    <w:rsid w:val="00F91E64"/>
    <w:rsid w:val="00F92EC0"/>
    <w:rsid w:val="00F9303F"/>
    <w:rsid w:val="00F9377D"/>
    <w:rsid w:val="00F93FB5"/>
    <w:rsid w:val="00F94255"/>
    <w:rsid w:val="00F9582D"/>
    <w:rsid w:val="00F9623F"/>
    <w:rsid w:val="00F97B73"/>
    <w:rsid w:val="00FA000F"/>
    <w:rsid w:val="00FA058D"/>
    <w:rsid w:val="00FA18C7"/>
    <w:rsid w:val="00FA3146"/>
    <w:rsid w:val="00FA3446"/>
    <w:rsid w:val="00FA3EB2"/>
    <w:rsid w:val="00FA452B"/>
    <w:rsid w:val="00FA4857"/>
    <w:rsid w:val="00FA4FCA"/>
    <w:rsid w:val="00FA5702"/>
    <w:rsid w:val="00FA582F"/>
    <w:rsid w:val="00FA642E"/>
    <w:rsid w:val="00FA6DD5"/>
    <w:rsid w:val="00FA6E84"/>
    <w:rsid w:val="00FB0245"/>
    <w:rsid w:val="00FB1880"/>
    <w:rsid w:val="00FB1D7D"/>
    <w:rsid w:val="00FB1D87"/>
    <w:rsid w:val="00FB1D95"/>
    <w:rsid w:val="00FB1E4B"/>
    <w:rsid w:val="00FB25B7"/>
    <w:rsid w:val="00FB39FC"/>
    <w:rsid w:val="00FB3D61"/>
    <w:rsid w:val="00FB5DAF"/>
    <w:rsid w:val="00FB5EFE"/>
    <w:rsid w:val="00FB6506"/>
    <w:rsid w:val="00FB661E"/>
    <w:rsid w:val="00FB6EBE"/>
    <w:rsid w:val="00FB7107"/>
    <w:rsid w:val="00FB72CA"/>
    <w:rsid w:val="00FC084C"/>
    <w:rsid w:val="00FC0A9F"/>
    <w:rsid w:val="00FC2B90"/>
    <w:rsid w:val="00FC46EC"/>
    <w:rsid w:val="00FC4729"/>
    <w:rsid w:val="00FC47FD"/>
    <w:rsid w:val="00FC492B"/>
    <w:rsid w:val="00FC6332"/>
    <w:rsid w:val="00FC6428"/>
    <w:rsid w:val="00FC665B"/>
    <w:rsid w:val="00FC6C60"/>
    <w:rsid w:val="00FC73AC"/>
    <w:rsid w:val="00FD0162"/>
    <w:rsid w:val="00FD04C6"/>
    <w:rsid w:val="00FD079A"/>
    <w:rsid w:val="00FD1F2C"/>
    <w:rsid w:val="00FD25D2"/>
    <w:rsid w:val="00FD26E8"/>
    <w:rsid w:val="00FD313A"/>
    <w:rsid w:val="00FD3AB4"/>
    <w:rsid w:val="00FD3C8C"/>
    <w:rsid w:val="00FD4214"/>
    <w:rsid w:val="00FD7E20"/>
    <w:rsid w:val="00FE043B"/>
    <w:rsid w:val="00FE09E9"/>
    <w:rsid w:val="00FE0FE8"/>
    <w:rsid w:val="00FE238F"/>
    <w:rsid w:val="00FE242D"/>
    <w:rsid w:val="00FE2B82"/>
    <w:rsid w:val="00FE3225"/>
    <w:rsid w:val="00FE3328"/>
    <w:rsid w:val="00FE33EC"/>
    <w:rsid w:val="00FE3400"/>
    <w:rsid w:val="00FE3D6F"/>
    <w:rsid w:val="00FE3DFE"/>
    <w:rsid w:val="00FE4013"/>
    <w:rsid w:val="00FE5DE4"/>
    <w:rsid w:val="00FE606A"/>
    <w:rsid w:val="00FE67C1"/>
    <w:rsid w:val="00FE6AF7"/>
    <w:rsid w:val="00FE78EB"/>
    <w:rsid w:val="00FF0742"/>
    <w:rsid w:val="00FF0F03"/>
    <w:rsid w:val="00FF37EE"/>
    <w:rsid w:val="00FF38A1"/>
    <w:rsid w:val="00FF39B5"/>
    <w:rsid w:val="00FF3D0D"/>
    <w:rsid w:val="00FF3F6D"/>
    <w:rsid w:val="00FF479A"/>
    <w:rsid w:val="00FF5145"/>
    <w:rsid w:val="00FF5BC3"/>
    <w:rsid w:val="00FF69EF"/>
    <w:rsid w:val="00FF7791"/>
    <w:rsid w:val="00FF7E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78A2C3F"/>
  <w15:docId w15:val="{AC966D4D-7FEB-CA4F-A284-D0E95F64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88"/>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ootnote Quote,Footnote Quote1,Footnote Quote2,Footnote Quote3"/>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ootnote Quote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Footnote symbol,16 Point,Superscript 6 Point,Voetnootverwijzing,Times 10 Point,Exposant 3 Point,Footnote Ref,Footnotes refss,Style 10,Appel note de bas de p.,referencia nota al pie,BVI fnr,callout,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character" w:customStyle="1" w:styleId="SingleTxtGChar">
    <w:name w:val="_ Single Txt_G Char"/>
    <w:link w:val="SingleTxtG"/>
    <w:rsid w:val="00E160A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52B41"/>
    <w:rPr>
      <w:sz w:val="16"/>
      <w:szCs w:val="16"/>
    </w:rPr>
  </w:style>
  <w:style w:type="paragraph" w:styleId="CommentText">
    <w:name w:val="annotation text"/>
    <w:basedOn w:val="Normal"/>
    <w:link w:val="CommentTextChar"/>
    <w:uiPriority w:val="99"/>
    <w:unhideWhenUsed/>
    <w:rsid w:val="00952B41"/>
    <w:pPr>
      <w:spacing w:line="240" w:lineRule="auto"/>
    </w:pPr>
  </w:style>
  <w:style w:type="character" w:customStyle="1" w:styleId="CommentTextChar">
    <w:name w:val="Comment Text Char"/>
    <w:basedOn w:val="DefaultParagraphFont"/>
    <w:link w:val="CommentText"/>
    <w:uiPriority w:val="99"/>
    <w:rsid w:val="00952B4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52B41"/>
    <w:rPr>
      <w:b/>
      <w:bCs/>
    </w:rPr>
  </w:style>
  <w:style w:type="character" w:customStyle="1" w:styleId="CommentSubjectChar">
    <w:name w:val="Comment Subject Char"/>
    <w:basedOn w:val="CommentTextChar"/>
    <w:link w:val="CommentSubject"/>
    <w:uiPriority w:val="99"/>
    <w:semiHidden/>
    <w:rsid w:val="00952B41"/>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151D4A"/>
    <w:pPr>
      <w:suppressAutoHyphens w:val="0"/>
      <w:spacing w:before="100" w:beforeAutospacing="1" w:after="100" w:afterAutospacing="1" w:line="240" w:lineRule="auto"/>
    </w:pPr>
    <w:rPr>
      <w:sz w:val="24"/>
      <w:szCs w:val="24"/>
      <w:lang w:eastAsia="en-GB"/>
    </w:rPr>
  </w:style>
  <w:style w:type="paragraph" w:styleId="Revision">
    <w:name w:val="Revision"/>
    <w:hidden/>
    <w:uiPriority w:val="99"/>
    <w:semiHidden/>
    <w:rsid w:val="00064CA5"/>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semiHidden/>
    <w:rsid w:val="00BC6F4F"/>
    <w:rPr>
      <w:color w:val="auto"/>
      <w:u w:val="none"/>
    </w:rPr>
  </w:style>
  <w:style w:type="numbering" w:customStyle="1" w:styleId="1ai1">
    <w:name w:val="1 / a / i1"/>
    <w:basedOn w:val="NoList"/>
    <w:next w:val="1ai"/>
    <w:semiHidden/>
    <w:rsid w:val="00031489"/>
  </w:style>
  <w:style w:type="numbering" w:customStyle="1" w:styleId="1ai2">
    <w:name w:val="1 / a / i2"/>
    <w:basedOn w:val="NoList"/>
    <w:next w:val="1ai"/>
    <w:semiHidden/>
    <w:rsid w:val="00031489"/>
  </w:style>
  <w:style w:type="numbering" w:customStyle="1" w:styleId="1ai3">
    <w:name w:val="1 / a / i3"/>
    <w:basedOn w:val="NoList"/>
    <w:next w:val="1ai"/>
    <w:semiHidden/>
    <w:rsid w:val="00031489"/>
  </w:style>
  <w:style w:type="numbering" w:customStyle="1" w:styleId="1ai4">
    <w:name w:val="1 / a / i4"/>
    <w:basedOn w:val="NoList"/>
    <w:next w:val="1ai"/>
    <w:semiHidden/>
    <w:rsid w:val="004D0CEC"/>
  </w:style>
  <w:style w:type="numbering" w:customStyle="1" w:styleId="1ai5">
    <w:name w:val="1 / a / i5"/>
    <w:basedOn w:val="NoList"/>
    <w:next w:val="1ai"/>
    <w:semiHidden/>
    <w:rsid w:val="004D0CEC"/>
  </w:style>
  <w:style w:type="numbering" w:customStyle="1" w:styleId="1ai6">
    <w:name w:val="1 / a / i6"/>
    <w:basedOn w:val="NoList"/>
    <w:next w:val="1ai"/>
    <w:semiHidden/>
    <w:rsid w:val="00C7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6456">
      <w:bodyDiv w:val="1"/>
      <w:marLeft w:val="0"/>
      <w:marRight w:val="0"/>
      <w:marTop w:val="0"/>
      <w:marBottom w:val="0"/>
      <w:divBdr>
        <w:top w:val="none" w:sz="0" w:space="0" w:color="auto"/>
        <w:left w:val="none" w:sz="0" w:space="0" w:color="auto"/>
        <w:bottom w:val="none" w:sz="0" w:space="0" w:color="auto"/>
        <w:right w:val="none" w:sz="0" w:space="0" w:color="auto"/>
      </w:divBdr>
      <w:divsChild>
        <w:div w:id="2100825876">
          <w:marLeft w:val="0"/>
          <w:marRight w:val="0"/>
          <w:marTop w:val="0"/>
          <w:marBottom w:val="0"/>
          <w:divBdr>
            <w:top w:val="none" w:sz="0" w:space="0" w:color="auto"/>
            <w:left w:val="none" w:sz="0" w:space="0" w:color="auto"/>
            <w:bottom w:val="none" w:sz="0" w:space="0" w:color="auto"/>
            <w:right w:val="none" w:sz="0" w:space="0" w:color="auto"/>
          </w:divBdr>
          <w:divsChild>
            <w:div w:id="646784166">
              <w:marLeft w:val="0"/>
              <w:marRight w:val="0"/>
              <w:marTop w:val="0"/>
              <w:marBottom w:val="0"/>
              <w:divBdr>
                <w:top w:val="none" w:sz="0" w:space="0" w:color="auto"/>
                <w:left w:val="none" w:sz="0" w:space="0" w:color="auto"/>
                <w:bottom w:val="none" w:sz="0" w:space="0" w:color="auto"/>
                <w:right w:val="none" w:sz="0" w:space="0" w:color="auto"/>
              </w:divBdr>
              <w:divsChild>
                <w:div w:id="243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6956">
      <w:bodyDiv w:val="1"/>
      <w:marLeft w:val="0"/>
      <w:marRight w:val="0"/>
      <w:marTop w:val="0"/>
      <w:marBottom w:val="0"/>
      <w:divBdr>
        <w:top w:val="none" w:sz="0" w:space="0" w:color="auto"/>
        <w:left w:val="none" w:sz="0" w:space="0" w:color="auto"/>
        <w:bottom w:val="none" w:sz="0" w:space="0" w:color="auto"/>
        <w:right w:val="none" w:sz="0" w:space="0" w:color="auto"/>
      </w:divBdr>
    </w:div>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204876737">
      <w:bodyDiv w:val="1"/>
      <w:marLeft w:val="0"/>
      <w:marRight w:val="0"/>
      <w:marTop w:val="0"/>
      <w:marBottom w:val="0"/>
      <w:divBdr>
        <w:top w:val="none" w:sz="0" w:space="0" w:color="auto"/>
        <w:left w:val="none" w:sz="0" w:space="0" w:color="auto"/>
        <w:bottom w:val="none" w:sz="0" w:space="0" w:color="auto"/>
        <w:right w:val="none" w:sz="0" w:space="0" w:color="auto"/>
      </w:divBdr>
      <w:divsChild>
        <w:div w:id="369841468">
          <w:marLeft w:val="0"/>
          <w:marRight w:val="0"/>
          <w:marTop w:val="0"/>
          <w:marBottom w:val="0"/>
          <w:divBdr>
            <w:top w:val="none" w:sz="0" w:space="0" w:color="auto"/>
            <w:left w:val="none" w:sz="0" w:space="0" w:color="auto"/>
            <w:bottom w:val="none" w:sz="0" w:space="0" w:color="auto"/>
            <w:right w:val="none" w:sz="0" w:space="0" w:color="auto"/>
          </w:divBdr>
          <w:divsChild>
            <w:div w:id="24065392">
              <w:marLeft w:val="0"/>
              <w:marRight w:val="0"/>
              <w:marTop w:val="0"/>
              <w:marBottom w:val="0"/>
              <w:divBdr>
                <w:top w:val="none" w:sz="0" w:space="0" w:color="auto"/>
                <w:left w:val="none" w:sz="0" w:space="0" w:color="auto"/>
                <w:bottom w:val="none" w:sz="0" w:space="0" w:color="auto"/>
                <w:right w:val="none" w:sz="0" w:space="0" w:color="auto"/>
              </w:divBdr>
              <w:divsChild>
                <w:div w:id="16578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4917">
      <w:bodyDiv w:val="1"/>
      <w:marLeft w:val="0"/>
      <w:marRight w:val="0"/>
      <w:marTop w:val="0"/>
      <w:marBottom w:val="0"/>
      <w:divBdr>
        <w:top w:val="none" w:sz="0" w:space="0" w:color="auto"/>
        <w:left w:val="none" w:sz="0" w:space="0" w:color="auto"/>
        <w:bottom w:val="none" w:sz="0" w:space="0" w:color="auto"/>
        <w:right w:val="none" w:sz="0" w:space="0" w:color="auto"/>
      </w:divBdr>
    </w:div>
    <w:div w:id="386222752">
      <w:bodyDiv w:val="1"/>
      <w:marLeft w:val="0"/>
      <w:marRight w:val="0"/>
      <w:marTop w:val="0"/>
      <w:marBottom w:val="0"/>
      <w:divBdr>
        <w:top w:val="none" w:sz="0" w:space="0" w:color="auto"/>
        <w:left w:val="none" w:sz="0" w:space="0" w:color="auto"/>
        <w:bottom w:val="none" w:sz="0" w:space="0" w:color="auto"/>
        <w:right w:val="none" w:sz="0" w:space="0" w:color="auto"/>
      </w:divBdr>
    </w:div>
    <w:div w:id="453981787">
      <w:bodyDiv w:val="1"/>
      <w:marLeft w:val="0"/>
      <w:marRight w:val="0"/>
      <w:marTop w:val="0"/>
      <w:marBottom w:val="0"/>
      <w:divBdr>
        <w:top w:val="none" w:sz="0" w:space="0" w:color="auto"/>
        <w:left w:val="none" w:sz="0" w:space="0" w:color="auto"/>
        <w:bottom w:val="none" w:sz="0" w:space="0" w:color="auto"/>
        <w:right w:val="none" w:sz="0" w:space="0" w:color="auto"/>
      </w:divBdr>
      <w:divsChild>
        <w:div w:id="360596465">
          <w:marLeft w:val="0"/>
          <w:marRight w:val="0"/>
          <w:marTop w:val="0"/>
          <w:marBottom w:val="0"/>
          <w:divBdr>
            <w:top w:val="none" w:sz="0" w:space="0" w:color="auto"/>
            <w:left w:val="none" w:sz="0" w:space="0" w:color="auto"/>
            <w:bottom w:val="none" w:sz="0" w:space="0" w:color="auto"/>
            <w:right w:val="none" w:sz="0" w:space="0" w:color="auto"/>
          </w:divBdr>
          <w:divsChild>
            <w:div w:id="166479470">
              <w:marLeft w:val="0"/>
              <w:marRight w:val="0"/>
              <w:marTop w:val="0"/>
              <w:marBottom w:val="0"/>
              <w:divBdr>
                <w:top w:val="none" w:sz="0" w:space="0" w:color="auto"/>
                <w:left w:val="none" w:sz="0" w:space="0" w:color="auto"/>
                <w:bottom w:val="none" w:sz="0" w:space="0" w:color="auto"/>
                <w:right w:val="none" w:sz="0" w:space="0" w:color="auto"/>
              </w:divBdr>
              <w:divsChild>
                <w:div w:id="943079242">
                  <w:marLeft w:val="0"/>
                  <w:marRight w:val="0"/>
                  <w:marTop w:val="0"/>
                  <w:marBottom w:val="0"/>
                  <w:divBdr>
                    <w:top w:val="none" w:sz="0" w:space="0" w:color="auto"/>
                    <w:left w:val="none" w:sz="0" w:space="0" w:color="auto"/>
                    <w:bottom w:val="none" w:sz="0" w:space="0" w:color="auto"/>
                    <w:right w:val="none" w:sz="0" w:space="0" w:color="auto"/>
                  </w:divBdr>
                  <w:divsChild>
                    <w:div w:id="446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3333">
      <w:bodyDiv w:val="1"/>
      <w:marLeft w:val="0"/>
      <w:marRight w:val="0"/>
      <w:marTop w:val="0"/>
      <w:marBottom w:val="0"/>
      <w:divBdr>
        <w:top w:val="none" w:sz="0" w:space="0" w:color="auto"/>
        <w:left w:val="none" w:sz="0" w:space="0" w:color="auto"/>
        <w:bottom w:val="none" w:sz="0" w:space="0" w:color="auto"/>
        <w:right w:val="none" w:sz="0" w:space="0" w:color="auto"/>
      </w:divBdr>
      <w:divsChild>
        <w:div w:id="374234096">
          <w:marLeft w:val="0"/>
          <w:marRight w:val="0"/>
          <w:marTop w:val="0"/>
          <w:marBottom w:val="0"/>
          <w:divBdr>
            <w:top w:val="none" w:sz="0" w:space="0" w:color="auto"/>
            <w:left w:val="none" w:sz="0" w:space="0" w:color="auto"/>
            <w:bottom w:val="none" w:sz="0" w:space="0" w:color="auto"/>
            <w:right w:val="none" w:sz="0" w:space="0" w:color="auto"/>
          </w:divBdr>
          <w:divsChild>
            <w:div w:id="1814323801">
              <w:marLeft w:val="0"/>
              <w:marRight w:val="0"/>
              <w:marTop w:val="0"/>
              <w:marBottom w:val="0"/>
              <w:divBdr>
                <w:top w:val="none" w:sz="0" w:space="0" w:color="auto"/>
                <w:left w:val="none" w:sz="0" w:space="0" w:color="auto"/>
                <w:bottom w:val="none" w:sz="0" w:space="0" w:color="auto"/>
                <w:right w:val="none" w:sz="0" w:space="0" w:color="auto"/>
              </w:divBdr>
              <w:divsChild>
                <w:div w:id="8671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788623815">
      <w:bodyDiv w:val="1"/>
      <w:marLeft w:val="0"/>
      <w:marRight w:val="0"/>
      <w:marTop w:val="0"/>
      <w:marBottom w:val="0"/>
      <w:divBdr>
        <w:top w:val="none" w:sz="0" w:space="0" w:color="auto"/>
        <w:left w:val="none" w:sz="0" w:space="0" w:color="auto"/>
        <w:bottom w:val="none" w:sz="0" w:space="0" w:color="auto"/>
        <w:right w:val="none" w:sz="0" w:space="0" w:color="auto"/>
      </w:divBdr>
    </w:div>
    <w:div w:id="882718661">
      <w:bodyDiv w:val="1"/>
      <w:marLeft w:val="0"/>
      <w:marRight w:val="0"/>
      <w:marTop w:val="0"/>
      <w:marBottom w:val="0"/>
      <w:divBdr>
        <w:top w:val="none" w:sz="0" w:space="0" w:color="auto"/>
        <w:left w:val="none" w:sz="0" w:space="0" w:color="auto"/>
        <w:bottom w:val="none" w:sz="0" w:space="0" w:color="auto"/>
        <w:right w:val="none" w:sz="0" w:space="0" w:color="auto"/>
      </w:divBdr>
      <w:divsChild>
        <w:div w:id="220947528">
          <w:marLeft w:val="0"/>
          <w:marRight w:val="0"/>
          <w:marTop w:val="0"/>
          <w:marBottom w:val="0"/>
          <w:divBdr>
            <w:top w:val="none" w:sz="0" w:space="0" w:color="auto"/>
            <w:left w:val="none" w:sz="0" w:space="0" w:color="auto"/>
            <w:bottom w:val="none" w:sz="0" w:space="0" w:color="auto"/>
            <w:right w:val="none" w:sz="0" w:space="0" w:color="auto"/>
          </w:divBdr>
          <w:divsChild>
            <w:div w:id="1963001943">
              <w:marLeft w:val="0"/>
              <w:marRight w:val="0"/>
              <w:marTop w:val="0"/>
              <w:marBottom w:val="0"/>
              <w:divBdr>
                <w:top w:val="none" w:sz="0" w:space="0" w:color="auto"/>
                <w:left w:val="none" w:sz="0" w:space="0" w:color="auto"/>
                <w:bottom w:val="none" w:sz="0" w:space="0" w:color="auto"/>
                <w:right w:val="none" w:sz="0" w:space="0" w:color="auto"/>
              </w:divBdr>
              <w:divsChild>
                <w:div w:id="1162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948970127">
      <w:bodyDiv w:val="1"/>
      <w:marLeft w:val="0"/>
      <w:marRight w:val="0"/>
      <w:marTop w:val="0"/>
      <w:marBottom w:val="0"/>
      <w:divBdr>
        <w:top w:val="none" w:sz="0" w:space="0" w:color="auto"/>
        <w:left w:val="none" w:sz="0" w:space="0" w:color="auto"/>
        <w:bottom w:val="none" w:sz="0" w:space="0" w:color="auto"/>
        <w:right w:val="none" w:sz="0" w:space="0" w:color="auto"/>
      </w:divBdr>
    </w:div>
    <w:div w:id="1030883538">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291786251">
      <w:bodyDiv w:val="1"/>
      <w:marLeft w:val="0"/>
      <w:marRight w:val="0"/>
      <w:marTop w:val="0"/>
      <w:marBottom w:val="0"/>
      <w:divBdr>
        <w:top w:val="none" w:sz="0" w:space="0" w:color="auto"/>
        <w:left w:val="none" w:sz="0" w:space="0" w:color="auto"/>
        <w:bottom w:val="none" w:sz="0" w:space="0" w:color="auto"/>
        <w:right w:val="none" w:sz="0" w:space="0" w:color="auto"/>
      </w:divBdr>
      <w:divsChild>
        <w:div w:id="697583319">
          <w:marLeft w:val="0"/>
          <w:marRight w:val="0"/>
          <w:marTop w:val="0"/>
          <w:marBottom w:val="0"/>
          <w:divBdr>
            <w:top w:val="none" w:sz="0" w:space="0" w:color="auto"/>
            <w:left w:val="none" w:sz="0" w:space="0" w:color="auto"/>
            <w:bottom w:val="none" w:sz="0" w:space="0" w:color="auto"/>
            <w:right w:val="none" w:sz="0" w:space="0" w:color="auto"/>
          </w:divBdr>
          <w:divsChild>
            <w:div w:id="305207639">
              <w:marLeft w:val="0"/>
              <w:marRight w:val="0"/>
              <w:marTop w:val="0"/>
              <w:marBottom w:val="0"/>
              <w:divBdr>
                <w:top w:val="none" w:sz="0" w:space="0" w:color="auto"/>
                <w:left w:val="none" w:sz="0" w:space="0" w:color="auto"/>
                <w:bottom w:val="none" w:sz="0" w:space="0" w:color="auto"/>
                <w:right w:val="none" w:sz="0" w:space="0" w:color="auto"/>
              </w:divBdr>
              <w:divsChild>
                <w:div w:id="3585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24921779">
      <w:bodyDiv w:val="1"/>
      <w:marLeft w:val="0"/>
      <w:marRight w:val="0"/>
      <w:marTop w:val="0"/>
      <w:marBottom w:val="0"/>
      <w:divBdr>
        <w:top w:val="none" w:sz="0" w:space="0" w:color="auto"/>
        <w:left w:val="none" w:sz="0" w:space="0" w:color="auto"/>
        <w:bottom w:val="none" w:sz="0" w:space="0" w:color="auto"/>
        <w:right w:val="none" w:sz="0" w:space="0" w:color="auto"/>
      </w:divBdr>
    </w:div>
    <w:div w:id="1636132483">
      <w:bodyDiv w:val="1"/>
      <w:marLeft w:val="0"/>
      <w:marRight w:val="0"/>
      <w:marTop w:val="0"/>
      <w:marBottom w:val="0"/>
      <w:divBdr>
        <w:top w:val="none" w:sz="0" w:space="0" w:color="auto"/>
        <w:left w:val="none" w:sz="0" w:space="0" w:color="auto"/>
        <w:bottom w:val="none" w:sz="0" w:space="0" w:color="auto"/>
        <w:right w:val="none" w:sz="0" w:space="0" w:color="auto"/>
      </w:divBdr>
    </w:div>
    <w:div w:id="1671441185">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75847676">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 w:id="2014215876">
      <w:bodyDiv w:val="1"/>
      <w:marLeft w:val="0"/>
      <w:marRight w:val="0"/>
      <w:marTop w:val="0"/>
      <w:marBottom w:val="0"/>
      <w:divBdr>
        <w:top w:val="none" w:sz="0" w:space="0" w:color="auto"/>
        <w:left w:val="none" w:sz="0" w:space="0" w:color="auto"/>
        <w:bottom w:val="none" w:sz="0" w:space="0" w:color="auto"/>
        <w:right w:val="none" w:sz="0" w:space="0" w:color="auto"/>
      </w:divBdr>
    </w:div>
    <w:div w:id="2042510425">
      <w:bodyDiv w:val="1"/>
      <w:marLeft w:val="0"/>
      <w:marRight w:val="0"/>
      <w:marTop w:val="0"/>
      <w:marBottom w:val="0"/>
      <w:divBdr>
        <w:top w:val="none" w:sz="0" w:space="0" w:color="auto"/>
        <w:left w:val="none" w:sz="0" w:space="0" w:color="auto"/>
        <w:bottom w:val="none" w:sz="0" w:space="0" w:color="auto"/>
        <w:right w:val="none" w:sz="0" w:space="0" w:color="auto"/>
      </w:divBdr>
      <w:divsChild>
        <w:div w:id="135101799">
          <w:marLeft w:val="0"/>
          <w:marRight w:val="0"/>
          <w:marTop w:val="0"/>
          <w:marBottom w:val="0"/>
          <w:divBdr>
            <w:top w:val="none" w:sz="0" w:space="0" w:color="auto"/>
            <w:left w:val="none" w:sz="0" w:space="0" w:color="auto"/>
            <w:bottom w:val="none" w:sz="0" w:space="0" w:color="auto"/>
            <w:right w:val="none" w:sz="0" w:space="0" w:color="auto"/>
          </w:divBdr>
          <w:divsChild>
            <w:div w:id="577250003">
              <w:marLeft w:val="0"/>
              <w:marRight w:val="0"/>
              <w:marTop w:val="0"/>
              <w:marBottom w:val="0"/>
              <w:divBdr>
                <w:top w:val="none" w:sz="0" w:space="0" w:color="auto"/>
                <w:left w:val="none" w:sz="0" w:space="0" w:color="auto"/>
                <w:bottom w:val="none" w:sz="0" w:space="0" w:color="auto"/>
                <w:right w:val="none" w:sz="0" w:space="0" w:color="auto"/>
              </w:divBdr>
              <w:divsChild>
                <w:div w:id="2044013125">
                  <w:marLeft w:val="0"/>
                  <w:marRight w:val="0"/>
                  <w:marTop w:val="0"/>
                  <w:marBottom w:val="0"/>
                  <w:divBdr>
                    <w:top w:val="none" w:sz="0" w:space="0" w:color="auto"/>
                    <w:left w:val="none" w:sz="0" w:space="0" w:color="auto"/>
                    <w:bottom w:val="none" w:sz="0" w:space="0" w:color="auto"/>
                    <w:right w:val="none" w:sz="0" w:space="0" w:color="auto"/>
                  </w:divBdr>
                  <w:divsChild>
                    <w:div w:id="16469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99559">
      <w:bodyDiv w:val="1"/>
      <w:marLeft w:val="0"/>
      <w:marRight w:val="0"/>
      <w:marTop w:val="0"/>
      <w:marBottom w:val="0"/>
      <w:divBdr>
        <w:top w:val="none" w:sz="0" w:space="0" w:color="auto"/>
        <w:left w:val="none" w:sz="0" w:space="0" w:color="auto"/>
        <w:bottom w:val="none" w:sz="0" w:space="0" w:color="auto"/>
        <w:right w:val="none" w:sz="0" w:space="0" w:color="auto"/>
      </w:divBdr>
      <w:divsChild>
        <w:div w:id="1959753352">
          <w:marLeft w:val="0"/>
          <w:marRight w:val="0"/>
          <w:marTop w:val="0"/>
          <w:marBottom w:val="0"/>
          <w:divBdr>
            <w:top w:val="none" w:sz="0" w:space="0" w:color="auto"/>
            <w:left w:val="none" w:sz="0" w:space="0" w:color="auto"/>
            <w:bottom w:val="none" w:sz="0" w:space="0" w:color="auto"/>
            <w:right w:val="none" w:sz="0" w:space="0" w:color="auto"/>
          </w:divBdr>
          <w:divsChild>
            <w:div w:id="13658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655BC0016F439673CA03067E52EF" ma:contentTypeVersion="0" ma:contentTypeDescription="Create a new document." ma:contentTypeScope="" ma:versionID="e7a713c4c0d43b77873a814b22bbceb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5A2B-1DF4-4D8B-B22F-068BE95B2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06CCC5-13B0-47D4-A9BF-9CBB1256169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1CD822-CFE5-40AF-8C8F-D3CDCFB92EDA}">
  <ds:schemaRefs>
    <ds:schemaRef ds:uri="http://schemas.microsoft.com/sharepoint/v3/contenttype/forms"/>
  </ds:schemaRefs>
</ds:datastoreItem>
</file>

<file path=customXml/itemProps4.xml><?xml version="1.0" encoding="utf-8"?>
<ds:datastoreItem xmlns:ds="http://schemas.openxmlformats.org/officeDocument/2006/customXml" ds:itemID="{E913A93E-CA28-4897-88C3-1CFE6F3A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1978</Words>
  <Characters>11280</Characters>
  <Application>Microsoft Office Word</Application>
  <DocSecurity>0</DocSecurity>
  <Lines>94</Lines>
  <Paragraphs>26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4" baseType="lpstr">
      <vt:lpstr>CERD/C/105/DR/59/2016/Rev.1</vt:lpstr>
      <vt:lpstr>CERD/C/102/DR/54/2013</vt:lpstr>
      <vt:lpstr>CERD/C/101/DR/54/2013</vt:lpstr>
      <vt:lpstr>1709075</vt:lpstr>
    </vt:vector>
  </TitlesOfParts>
  <Company>DCM</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CERD/C/105/DR/59/2016/Rev.1</dc:title>
  <dc:subject>2117112</dc:subject>
  <dc:creator>Maria Cecilia PACIS MAMANGUN</dc:creator>
  <cp:keywords/>
  <dc:description/>
  <cp:lastModifiedBy>GULSADIAN Marie Araksia</cp:lastModifiedBy>
  <cp:revision>5</cp:revision>
  <cp:lastPrinted>2021-06-11T10:14:00Z</cp:lastPrinted>
  <dcterms:created xsi:type="dcterms:W3CDTF">2022-04-25T07:02:00Z</dcterms:created>
  <dcterms:modified xsi:type="dcterms:W3CDTF">2022-04-25T08:56:00Z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0x010100F761655BC0016F439673CA03067E52EF</vt:lpwstr>
  </property>
</Properties>
</file>