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B3A6" w14:textId="261039C1" w:rsidR="00721EB0" w:rsidRPr="00333716" w:rsidRDefault="00E15B4C" w:rsidP="00333716">
      <w:pPr>
        <w:ind w:right="864"/>
        <w:jc w:val="center"/>
        <w:rPr>
          <w:rFonts w:eastAsia="Gill Sans MT" w:cs="Gill Sans MT"/>
          <w:b/>
          <w:bCs/>
          <w:color w:val="FF0000"/>
          <w:sz w:val="24"/>
          <w:szCs w:val="24"/>
        </w:rPr>
      </w:pPr>
      <w:r w:rsidRPr="00333716">
        <w:rPr>
          <w:rFonts w:eastAsia="Gill Sans MT" w:cs="Gill Sans MT"/>
          <w:b/>
          <w:bCs/>
          <w:color w:val="FF0000"/>
          <w:sz w:val="24"/>
          <w:szCs w:val="24"/>
        </w:rPr>
        <w:t>QUESTIONNAIRE OF THE SPECIAL RAPPORTEUR ON HUMAN RIGHTS OF MIGRANTS ON HUMAN RIGHTS VIOLATIONS AT INTERNATIONAL BORDERS: TRENDS, PREVENTION AND ACCOUNTABILITY</w:t>
      </w:r>
    </w:p>
    <w:p w14:paraId="403A73BD" w14:textId="77777777" w:rsidR="00F11933" w:rsidRPr="00333716" w:rsidRDefault="00F11933" w:rsidP="00333716">
      <w:pPr>
        <w:ind w:right="864"/>
        <w:jc w:val="center"/>
        <w:rPr>
          <w:rFonts w:eastAsia="Gill Sans MT" w:cs="Gill Sans MT"/>
          <w:b/>
          <w:bCs/>
          <w:color w:val="FF0000"/>
          <w:sz w:val="24"/>
          <w:szCs w:val="24"/>
        </w:rPr>
      </w:pPr>
    </w:p>
    <w:p w14:paraId="1D76DDB3" w14:textId="1144FCC7" w:rsidR="00370C5D" w:rsidRPr="00333716" w:rsidRDefault="00F11933" w:rsidP="00333716">
      <w:pPr>
        <w:ind w:right="864"/>
        <w:jc w:val="center"/>
        <w:rPr>
          <w:rFonts w:eastAsia="Gill Sans MT" w:cs="Gill Sans MT"/>
          <w:b/>
          <w:bCs/>
          <w:color w:val="FF0000"/>
          <w:sz w:val="24"/>
          <w:szCs w:val="24"/>
        </w:rPr>
      </w:pPr>
      <w:r w:rsidRPr="00333716">
        <w:rPr>
          <w:rFonts w:eastAsia="Gill Sans MT" w:cs="Gill Sans MT"/>
          <w:b/>
          <w:bCs/>
          <w:color w:val="FF0000"/>
          <w:sz w:val="24"/>
          <w:szCs w:val="24"/>
        </w:rPr>
        <w:t>Submission by Save</w:t>
      </w:r>
      <w:r w:rsidR="003C1318" w:rsidRPr="00333716">
        <w:rPr>
          <w:rFonts w:eastAsia="Gill Sans MT" w:cs="Gill Sans MT"/>
          <w:b/>
          <w:bCs/>
          <w:color w:val="FF0000"/>
          <w:sz w:val="24"/>
          <w:szCs w:val="24"/>
        </w:rPr>
        <w:t xml:space="preserve"> the Children </w:t>
      </w:r>
      <w:r w:rsidR="00E15B4C" w:rsidRPr="00333716">
        <w:rPr>
          <w:rFonts w:eastAsia="Gill Sans MT" w:cs="Gill Sans MT"/>
          <w:b/>
          <w:bCs/>
          <w:color w:val="FF0000"/>
          <w:sz w:val="24"/>
          <w:szCs w:val="24"/>
        </w:rPr>
        <w:t>on child rights violations at international borders</w:t>
      </w:r>
      <w:r w:rsidR="00333716">
        <w:rPr>
          <w:rFonts w:eastAsia="Gill Sans MT" w:cs="Gill Sans MT"/>
          <w:b/>
          <w:bCs/>
          <w:color w:val="FF0000"/>
          <w:sz w:val="24"/>
          <w:szCs w:val="24"/>
        </w:rPr>
        <w:t xml:space="preserve"> in </w:t>
      </w:r>
      <w:r w:rsidR="00333716" w:rsidRPr="00333716">
        <w:rPr>
          <w:rFonts w:eastAsia="Gill Sans MT" w:cs="Gill Sans MT"/>
          <w:b/>
          <w:bCs/>
          <w:color w:val="FF0000"/>
          <w:sz w:val="24"/>
          <w:szCs w:val="24"/>
        </w:rPr>
        <w:t>Bosnia and Herzegovina and Serbia</w:t>
      </w:r>
    </w:p>
    <w:p w14:paraId="7423CCCE" w14:textId="77777777" w:rsidR="00F11933" w:rsidRPr="00333716" w:rsidRDefault="00F11933" w:rsidP="00333716">
      <w:pPr>
        <w:ind w:right="864"/>
        <w:jc w:val="center"/>
        <w:rPr>
          <w:rFonts w:eastAsia="Gill Sans MT" w:cs="Gill Sans MT"/>
          <w:b/>
          <w:bCs/>
          <w:color w:val="FF0000"/>
          <w:sz w:val="24"/>
          <w:szCs w:val="24"/>
        </w:rPr>
      </w:pPr>
    </w:p>
    <w:p w14:paraId="29EB3BCA" w14:textId="6A786D68" w:rsidR="00E15B4C" w:rsidRPr="00333716" w:rsidRDefault="008C6E27" w:rsidP="00E0533E">
      <w:pPr>
        <w:ind w:right="864"/>
        <w:jc w:val="both"/>
        <w:rPr>
          <w:rFonts w:eastAsia="Gill Sans MT" w:cs="Gill Sans MT"/>
          <w:color w:val="000000" w:themeColor="text1"/>
          <w:sz w:val="24"/>
          <w:szCs w:val="24"/>
          <w:lang w:val="en-US"/>
        </w:rPr>
      </w:pPr>
      <w:r w:rsidRPr="00333716">
        <w:rPr>
          <w:rFonts w:eastAsia="Gill Sans MT" w:cs="Gill Sans MT"/>
          <w:sz w:val="24"/>
          <w:szCs w:val="24"/>
        </w:rPr>
        <w:t xml:space="preserve">Save the Children is hereby submitting input </w:t>
      </w:r>
      <w:r w:rsidR="00333716">
        <w:rPr>
          <w:rFonts w:eastAsia="Gill Sans MT" w:cs="Gill Sans MT"/>
          <w:sz w:val="24"/>
          <w:szCs w:val="24"/>
        </w:rPr>
        <w:t xml:space="preserve">regarding </w:t>
      </w:r>
      <w:r w:rsidR="00333716" w:rsidRPr="00333716">
        <w:rPr>
          <w:rFonts w:eastAsia="Gill Sans MT" w:cs="Gill Sans MT"/>
          <w:sz w:val="24"/>
          <w:szCs w:val="24"/>
        </w:rPr>
        <w:t>child rights violations at international borders</w:t>
      </w:r>
      <w:r w:rsidRPr="00333716">
        <w:rPr>
          <w:rFonts w:eastAsia="Gill Sans MT" w:cs="Gill Sans MT"/>
          <w:sz w:val="24"/>
          <w:szCs w:val="24"/>
        </w:rPr>
        <w:t xml:space="preserve">. </w:t>
      </w:r>
      <w:proofErr w:type="gramStart"/>
      <w:r w:rsidRPr="00333716">
        <w:rPr>
          <w:rFonts w:eastAsia="Gill Sans MT" w:cs="Gill Sans MT"/>
          <w:sz w:val="24"/>
          <w:szCs w:val="24"/>
        </w:rPr>
        <w:t xml:space="preserve">Contributions have been collected in Italy, </w:t>
      </w:r>
      <w:r w:rsidR="00E15B4C" w:rsidRPr="00333716">
        <w:rPr>
          <w:rFonts w:eastAsia="Gill Sans MT" w:cs="Gill Sans MT"/>
          <w:sz w:val="24"/>
          <w:szCs w:val="24"/>
        </w:rPr>
        <w:t xml:space="preserve">Greece, </w:t>
      </w:r>
      <w:r w:rsidRPr="00333716">
        <w:rPr>
          <w:rFonts w:eastAsia="Gill Sans MT" w:cs="Gill Sans MT"/>
          <w:sz w:val="24"/>
          <w:szCs w:val="24"/>
        </w:rPr>
        <w:t>Spain</w:t>
      </w:r>
      <w:r w:rsidR="00333716">
        <w:rPr>
          <w:rFonts w:eastAsia="Gill Sans MT" w:cs="Gill Sans MT"/>
          <w:sz w:val="24"/>
          <w:szCs w:val="24"/>
        </w:rPr>
        <w:t>, B</w:t>
      </w:r>
      <w:r w:rsidRPr="00333716">
        <w:rPr>
          <w:rFonts w:eastAsia="Gill Sans MT" w:cs="Gill Sans MT"/>
          <w:sz w:val="24"/>
          <w:szCs w:val="24"/>
        </w:rPr>
        <w:t>o</w:t>
      </w:r>
      <w:r w:rsidR="00333716">
        <w:rPr>
          <w:rFonts w:eastAsia="Gill Sans MT" w:cs="Gill Sans MT"/>
          <w:sz w:val="24"/>
          <w:szCs w:val="24"/>
        </w:rPr>
        <w:t>snia and Herzegovina and Serbia</w:t>
      </w:r>
      <w:r w:rsidRPr="00333716">
        <w:rPr>
          <w:rFonts w:eastAsia="Gill Sans MT" w:cs="Gill Sans MT"/>
          <w:sz w:val="24"/>
          <w:szCs w:val="24"/>
        </w:rPr>
        <w:t xml:space="preserve"> by Save the Children representatives</w:t>
      </w:r>
      <w:proofErr w:type="gramEnd"/>
      <w:r w:rsidRPr="00333716">
        <w:rPr>
          <w:rFonts w:eastAsia="Gill Sans MT" w:cs="Gill Sans MT"/>
          <w:sz w:val="24"/>
          <w:szCs w:val="24"/>
        </w:rPr>
        <w:t xml:space="preserve">. The submission </w:t>
      </w:r>
      <w:proofErr w:type="gramStart"/>
      <w:r w:rsidRPr="00333716">
        <w:rPr>
          <w:rFonts w:eastAsia="Gill Sans MT" w:cs="Gill Sans MT"/>
          <w:sz w:val="24"/>
          <w:szCs w:val="24"/>
        </w:rPr>
        <w:t>is not intended</w:t>
      </w:r>
      <w:proofErr w:type="gramEnd"/>
      <w:r w:rsidRPr="00333716">
        <w:rPr>
          <w:rFonts w:eastAsia="Gill Sans MT" w:cs="Gill Sans MT"/>
          <w:sz w:val="24"/>
          <w:szCs w:val="24"/>
        </w:rPr>
        <w:t xml:space="preserve"> to be exhaustive.</w:t>
      </w:r>
    </w:p>
    <w:p w14:paraId="36A52C1A" w14:textId="627A204D" w:rsidR="00E15B4C" w:rsidRPr="00333716" w:rsidRDefault="00E15B4C" w:rsidP="00E0533E">
      <w:pPr>
        <w:ind w:right="864"/>
        <w:jc w:val="both"/>
        <w:rPr>
          <w:rFonts w:eastAsia="Gill Sans MT" w:cs="Gill Sans MT"/>
          <w:color w:val="000000" w:themeColor="text1"/>
          <w:sz w:val="24"/>
          <w:szCs w:val="24"/>
          <w:lang w:val="en-US"/>
        </w:rPr>
      </w:pPr>
      <w:bookmarkStart w:id="0" w:name="_GoBack"/>
      <w:bookmarkEnd w:id="0"/>
    </w:p>
    <w:p w14:paraId="2EF4430C" w14:textId="10851AF2" w:rsidR="00E15B4C" w:rsidRPr="00333716" w:rsidRDefault="00E15B4C" w:rsidP="00E0533E">
      <w:pPr>
        <w:ind w:right="864"/>
        <w:jc w:val="both"/>
        <w:rPr>
          <w:rFonts w:eastAsia="Gill Sans MT" w:cs="Gill Sans MT"/>
          <w:color w:val="000000" w:themeColor="text1"/>
          <w:sz w:val="24"/>
          <w:szCs w:val="24"/>
          <w:lang w:val="en-US"/>
        </w:rPr>
      </w:pPr>
      <w:r w:rsidRPr="00333716">
        <w:rPr>
          <w:rFonts w:eastAsia="Gill Sans MT" w:cs="Gill Sans MT"/>
          <w:color w:val="000000" w:themeColor="text1"/>
          <w:sz w:val="24"/>
          <w:szCs w:val="24"/>
          <w:lang w:val="en-US"/>
        </w:rPr>
        <w:t>The Special Rapporteur is particularly interested in receiving inputs on any or all of the following issues:</w:t>
      </w:r>
    </w:p>
    <w:p w14:paraId="5D677514" w14:textId="77777777" w:rsidR="00E0533E" w:rsidRPr="00333716" w:rsidRDefault="00E0533E" w:rsidP="00E0533E">
      <w:pPr>
        <w:ind w:right="864"/>
        <w:jc w:val="both"/>
        <w:rPr>
          <w:rFonts w:eastAsia="Gill Sans MT" w:cs="Gill Sans MT"/>
          <w:color w:val="000000"/>
          <w:sz w:val="24"/>
          <w:szCs w:val="24"/>
          <w:lang w:val="en-US"/>
        </w:rPr>
      </w:pPr>
    </w:p>
    <w:p w14:paraId="6BBCF434" w14:textId="68147F99"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color w:val="000000"/>
          <w:lang w:val="en-US"/>
        </w:rPr>
      </w:pPr>
      <w:proofErr w:type="gramStart"/>
      <w:r w:rsidRPr="00333716">
        <w:rPr>
          <w:rFonts w:ascii="Gill Sans Infant Std" w:eastAsia="Gill Sans MT" w:hAnsi="Gill Sans Infant Std" w:cs="Gill Sans MT"/>
          <w:b/>
          <w:color w:val="000000" w:themeColor="text1"/>
          <w:lang w:val="en-US"/>
        </w:rPr>
        <w:t>1. Please</w:t>
      </w:r>
      <w:proofErr w:type="gramEnd"/>
      <w:r w:rsidRPr="00333716">
        <w:rPr>
          <w:rFonts w:ascii="Gill Sans Infant Std" w:eastAsia="Gill Sans MT" w:hAnsi="Gill Sans Infant Std" w:cs="Gill Sans MT"/>
          <w:b/>
          <w:color w:val="000000" w:themeColor="text1"/>
          <w:lang w:val="en-US"/>
        </w:rPr>
        <w:t xml:space="preserve"> provide information on any recently adopted domestic legislation amending border entry, asylum and other international protection procedures for non-nationals since May 2021. Grateful if you could kindly submit the original text of the relevant provisions of the legislation or </w:t>
      </w:r>
      <w:proofErr w:type="gramStart"/>
      <w:r w:rsidRPr="00333716">
        <w:rPr>
          <w:rFonts w:ascii="Gill Sans Infant Std" w:eastAsia="Gill Sans MT" w:hAnsi="Gill Sans Infant Std" w:cs="Gill Sans MT"/>
          <w:b/>
          <w:color w:val="000000" w:themeColor="text1"/>
          <w:lang w:val="en-US"/>
        </w:rPr>
        <w:t>policy(</w:t>
      </w:r>
      <w:proofErr w:type="spellStart"/>
      <w:proofErr w:type="gramEnd"/>
      <w:r w:rsidRPr="00333716">
        <w:rPr>
          <w:rFonts w:ascii="Gill Sans Infant Std" w:eastAsia="Gill Sans MT" w:hAnsi="Gill Sans Infant Std" w:cs="Gill Sans MT"/>
          <w:b/>
          <w:color w:val="000000" w:themeColor="text1"/>
          <w:lang w:val="en-US"/>
        </w:rPr>
        <w:t>ies</w:t>
      </w:r>
      <w:proofErr w:type="spellEnd"/>
      <w:r w:rsidRPr="00333716">
        <w:rPr>
          <w:rFonts w:ascii="Gill Sans Infant Std" w:eastAsia="Gill Sans MT" w:hAnsi="Gill Sans Infant Std" w:cs="Gill Sans MT"/>
          <w:b/>
          <w:color w:val="000000" w:themeColor="text1"/>
          <w:lang w:val="en-US"/>
        </w:rPr>
        <w:t>), accompanied by an English translation if it is in a language other than English, French or Spanish.</w:t>
      </w:r>
    </w:p>
    <w:p w14:paraId="33572B8A" w14:textId="5EFF8FE1" w:rsidR="2B1D82F5" w:rsidRPr="00333716" w:rsidRDefault="2B1D82F5" w:rsidP="00E0533E">
      <w:pPr>
        <w:pStyle w:val="NormalWeb"/>
        <w:shd w:val="clear" w:color="auto" w:fill="FFFFFF" w:themeFill="text2"/>
        <w:spacing w:before="0" w:beforeAutospacing="0" w:after="150" w:afterAutospacing="0"/>
        <w:ind w:right="864"/>
        <w:jc w:val="both"/>
        <w:rPr>
          <w:rFonts w:ascii="Gill Sans Infant Std" w:hAnsi="Gill Sans Infant Std"/>
          <w:color w:val="000000" w:themeColor="text1"/>
          <w:lang w:val="en-US"/>
        </w:rPr>
      </w:pPr>
      <w:r w:rsidRPr="00333716">
        <w:rPr>
          <w:rFonts w:ascii="Gill Sans Infant Std" w:eastAsia="Gill Sans MT" w:hAnsi="Gill Sans Infant Std" w:cs="Gill Sans MT"/>
          <w:color w:val="000000" w:themeColor="text1"/>
          <w:lang w:val="en-US"/>
        </w:rPr>
        <w:t>In September 2021, Serbia and Ukraine amended its agreement to allow citizens of Ukraine to stay in Serbia for 180 days without visas.</w:t>
      </w:r>
      <w:r w:rsidRPr="00333716">
        <w:rPr>
          <w:rStyle w:val="Refdenotaalpie"/>
          <w:rFonts w:ascii="Gill Sans Infant Std" w:eastAsia="Gill Sans MT" w:hAnsi="Gill Sans Infant Std" w:cs="Gill Sans MT"/>
          <w:color w:val="000000" w:themeColor="text1"/>
          <w:lang w:val="en-US"/>
        </w:rPr>
        <w:footnoteReference w:id="1"/>
      </w:r>
      <w:r w:rsidRPr="00333716">
        <w:rPr>
          <w:rFonts w:ascii="Gill Sans Infant Std" w:eastAsia="Gill Sans MT" w:hAnsi="Gill Sans Infant Std" w:cs="Gill Sans MT"/>
          <w:color w:val="000000" w:themeColor="text1"/>
          <w:lang w:val="en-US"/>
        </w:rPr>
        <w:t xml:space="preserve"> Additionally, on 9 September 2021 Serbia adopted the Action plan for the period 2021-2023</w:t>
      </w:r>
      <w:r w:rsidRPr="00333716">
        <w:rPr>
          <w:rStyle w:val="Refdenotaalpie"/>
          <w:rFonts w:ascii="Gill Sans Infant Std" w:eastAsia="Gill Sans MT" w:hAnsi="Gill Sans Infant Std" w:cs="Gill Sans MT"/>
          <w:color w:val="000000" w:themeColor="text1"/>
          <w:lang w:val="en-US"/>
        </w:rPr>
        <w:footnoteReference w:id="2"/>
      </w:r>
      <w:r w:rsidRPr="00333716">
        <w:rPr>
          <w:rFonts w:ascii="Gill Sans Infant Std" w:eastAsia="Gill Sans MT" w:hAnsi="Gill Sans Infant Std" w:cs="Gill Sans MT"/>
          <w:color w:val="000000" w:themeColor="text1"/>
          <w:lang w:val="en-US"/>
        </w:rPr>
        <w:t xml:space="preserve"> for the implementation of the Strategy on Economic Migration of the Republic of Serbia for the Period 2021-2027.</w:t>
      </w:r>
      <w:r w:rsidRPr="00333716">
        <w:rPr>
          <w:rStyle w:val="Refdenotaalpie"/>
          <w:rFonts w:ascii="Gill Sans Infant Std" w:eastAsia="Gill Sans MT" w:hAnsi="Gill Sans Infant Std" w:cs="Gill Sans MT"/>
          <w:color w:val="000000" w:themeColor="text1"/>
          <w:lang w:val="en-US"/>
        </w:rPr>
        <w:footnoteReference w:id="3"/>
      </w:r>
      <w:r w:rsidRPr="00333716">
        <w:rPr>
          <w:rFonts w:ascii="Gill Sans Infant Std" w:eastAsia="Gill Sans MT" w:hAnsi="Gill Sans Infant Std" w:cs="Gill Sans MT"/>
          <w:color w:val="000000" w:themeColor="text1"/>
          <w:lang w:val="en-US"/>
        </w:rPr>
        <w:t xml:space="preserve"> This document focuses on both the position of incoming economic migrants as well as outgoing. There were no other amendments to the relevant border entry and asylum legislation in Bosnia and Herzegovina and Serbia in the given timeframe.</w:t>
      </w:r>
    </w:p>
    <w:p w14:paraId="57D62B00" w14:textId="12615A2F"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color w:val="000000" w:themeColor="text1"/>
          <w:lang w:val="en-US"/>
        </w:rPr>
      </w:pPr>
      <w:r w:rsidRPr="00333716">
        <w:rPr>
          <w:rFonts w:ascii="Gill Sans Infant Std" w:eastAsia="Gill Sans MT" w:hAnsi="Gill Sans Infant Std" w:cs="Gill Sans MT"/>
          <w:b/>
          <w:color w:val="000000" w:themeColor="text1"/>
          <w:lang w:val="en-US"/>
        </w:rPr>
        <w:t>2. Please provide information on recent or current border management legislation/policies/measures, (including those temporary measures as part of a state of emergency), with the view to control, reduce or prevent migrant arrivals in your country.</w:t>
      </w:r>
    </w:p>
    <w:p w14:paraId="644596E7" w14:textId="21837E73" w:rsidR="2B1D82F5" w:rsidRPr="00333716" w:rsidRDefault="2B1D82F5" w:rsidP="00E0533E">
      <w:pPr>
        <w:pStyle w:val="NormalWeb"/>
        <w:spacing w:before="0" w:beforeAutospacing="0" w:after="150" w:afterAutospacing="0"/>
        <w:ind w:right="864"/>
        <w:jc w:val="both"/>
        <w:rPr>
          <w:rFonts w:ascii="Gill Sans Infant Std" w:eastAsia="Gill Sans MT" w:hAnsi="Gill Sans Infant Std" w:cs="Gill Sans MT"/>
          <w:lang w:val="en-US"/>
        </w:rPr>
      </w:pPr>
      <w:r w:rsidRPr="00333716">
        <w:rPr>
          <w:rFonts w:ascii="Gill Sans Infant Std" w:eastAsia="Gill Sans MT" w:hAnsi="Gill Sans Infant Std" w:cs="Gill Sans MT"/>
          <w:lang w:val="en-US"/>
        </w:rPr>
        <w:t>The common characteristic of border management in the Balkans is the prevalence of violence and torture despite differences in the level of application of this practice in particular countries. Various reports indicate that the number of collective expulsions at the Croatian border are among the most numerous and violent ones.</w:t>
      </w:r>
      <w:r w:rsidRPr="00333716">
        <w:rPr>
          <w:rStyle w:val="Refdenotaalpie"/>
          <w:rFonts w:ascii="Gill Sans Infant Std" w:eastAsia="Gill Sans MT" w:hAnsi="Gill Sans Infant Std" w:cs="Gill Sans MT"/>
          <w:color w:val="000000" w:themeColor="text1"/>
          <w:lang w:val="en-US"/>
        </w:rPr>
        <w:footnoteReference w:id="4"/>
      </w:r>
      <w:r w:rsidRPr="00333716">
        <w:rPr>
          <w:rFonts w:ascii="Gill Sans Infant Std" w:eastAsia="Gill Sans MT" w:hAnsi="Gill Sans Infant Std" w:cs="Gill Sans MT"/>
          <w:lang w:val="en-US"/>
        </w:rPr>
        <w:t xml:space="preserve"> </w:t>
      </w:r>
      <w:r w:rsidRPr="00333716">
        <w:rPr>
          <w:rFonts w:ascii="Gill Sans Infant Std" w:eastAsia="Gill Sans MT" w:hAnsi="Gill Sans Infant Std" w:cs="Gill Sans MT"/>
          <w:lang w:val="en-US"/>
        </w:rPr>
        <w:lastRenderedPageBreak/>
        <w:t xml:space="preserve">In parallel with </w:t>
      </w:r>
      <w:proofErr w:type="spellStart"/>
      <w:r w:rsidRPr="00333716">
        <w:rPr>
          <w:rFonts w:ascii="Gill Sans Infant Std" w:eastAsia="Gill Sans MT" w:hAnsi="Gill Sans Infant Std" w:cs="Gill Sans MT"/>
          <w:lang w:val="en-US"/>
        </w:rPr>
        <w:t>Frontex</w:t>
      </w:r>
      <w:proofErr w:type="spellEnd"/>
      <w:r w:rsidRPr="00333716">
        <w:rPr>
          <w:rFonts w:ascii="Gill Sans Infant Std" w:eastAsia="Gill Sans MT" w:hAnsi="Gill Sans Infant Std" w:cs="Gill Sans MT"/>
          <w:lang w:val="en-US"/>
        </w:rPr>
        <w:t xml:space="preserve"> being under unprecedented examination for human rights violations at the EU’s borders, the Agency’s missions </w:t>
      </w:r>
      <w:proofErr w:type="gramStart"/>
      <w:r w:rsidRPr="00333716">
        <w:rPr>
          <w:rFonts w:ascii="Gill Sans Infant Std" w:eastAsia="Gill Sans MT" w:hAnsi="Gill Sans Infant Std" w:cs="Gill Sans MT"/>
          <w:lang w:val="en-US"/>
        </w:rPr>
        <w:t>are being launched</w:t>
      </w:r>
      <w:proofErr w:type="gramEnd"/>
      <w:r w:rsidRPr="00333716">
        <w:rPr>
          <w:rFonts w:ascii="Gill Sans Infant Std" w:eastAsia="Gill Sans MT" w:hAnsi="Gill Sans Infant Std" w:cs="Gill Sans MT"/>
          <w:lang w:val="en-US"/>
        </w:rPr>
        <w:t xml:space="preserve"> throughout the region.</w:t>
      </w:r>
      <w:r w:rsidRPr="00333716">
        <w:rPr>
          <w:rStyle w:val="Refdenotaalpie"/>
          <w:rFonts w:ascii="Gill Sans Infant Std" w:eastAsia="Gill Sans MT" w:hAnsi="Gill Sans Infant Std" w:cs="Gill Sans MT"/>
          <w:lang w:val="en-US"/>
        </w:rPr>
        <w:footnoteReference w:id="5"/>
      </w:r>
      <w:r w:rsidRPr="00333716">
        <w:rPr>
          <w:rFonts w:ascii="Gill Sans Infant Std" w:eastAsia="Gill Sans MT" w:hAnsi="Gill Sans Infant Std" w:cs="Gill Sans MT"/>
          <w:lang w:val="en-US"/>
        </w:rPr>
        <w:t xml:space="preserve"> The first joint </w:t>
      </w:r>
      <w:proofErr w:type="spellStart"/>
      <w:r w:rsidRPr="00333716">
        <w:rPr>
          <w:rFonts w:ascii="Gill Sans Infant Std" w:eastAsia="Gill Sans MT" w:hAnsi="Gill Sans Infant Std" w:cs="Gill Sans MT"/>
          <w:lang w:val="en-US"/>
        </w:rPr>
        <w:t>Frontex</w:t>
      </w:r>
      <w:proofErr w:type="spellEnd"/>
      <w:r w:rsidRPr="00333716">
        <w:rPr>
          <w:rFonts w:ascii="Gill Sans Infant Std" w:eastAsia="Gill Sans MT" w:hAnsi="Gill Sans Infant Std" w:cs="Gill Sans MT"/>
          <w:lang w:val="en-US"/>
        </w:rPr>
        <w:t xml:space="preserve"> action with Serbia launched in mid-June 2021 at the country’s border with Bulgaria.</w:t>
      </w:r>
      <w:r w:rsidRPr="00333716">
        <w:rPr>
          <w:rStyle w:val="Refdenotaalpie"/>
          <w:rFonts w:ascii="Gill Sans Infant Std" w:eastAsia="Gill Sans MT" w:hAnsi="Gill Sans Infant Std" w:cs="Gill Sans MT"/>
          <w:lang w:val="en-US"/>
        </w:rPr>
        <w:footnoteReference w:id="6"/>
      </w:r>
      <w:r w:rsidRPr="00333716">
        <w:rPr>
          <w:rFonts w:ascii="Gill Sans Infant Std" w:eastAsia="Gill Sans MT" w:hAnsi="Gill Sans Infant Std" w:cs="Gill Sans MT"/>
          <w:lang w:val="en-US"/>
        </w:rPr>
        <w:t xml:space="preserve"> Highest Serbian officials have recently exhibited a change in narrative, with monthly high-profile statements since October 2021 that Serbia will not be a ‘parking lot’ for migrants and refugees, while at the same time downplaying the relevance of the crisis in Afghanistan and new arrivals.</w:t>
      </w:r>
      <w:r w:rsidRPr="00333716">
        <w:rPr>
          <w:rStyle w:val="Refdenotaalpie"/>
          <w:rFonts w:ascii="Gill Sans Infant Std" w:eastAsia="Gill Sans MT" w:hAnsi="Gill Sans Infant Std" w:cs="Gill Sans MT"/>
          <w:lang w:val="en-US"/>
        </w:rPr>
        <w:footnoteReference w:id="7"/>
      </w:r>
      <w:r w:rsidRPr="00333716">
        <w:rPr>
          <w:rFonts w:ascii="Gill Sans Infant Std" w:eastAsia="Gill Sans MT" w:hAnsi="Gill Sans Infant Std" w:cs="Gill Sans MT"/>
          <w:lang w:val="en-US"/>
        </w:rPr>
        <w:t xml:space="preserve"> Joint patrols with Hungary were established on both northern and southern (towards North Macedonia) borders of Serbia in October 2021, </w:t>
      </w:r>
      <w:proofErr w:type="gramStart"/>
      <w:r w:rsidRPr="00333716">
        <w:rPr>
          <w:rFonts w:ascii="Gill Sans Infant Std" w:eastAsia="Gill Sans MT" w:hAnsi="Gill Sans Infant Std" w:cs="Gill Sans MT"/>
          <w:lang w:val="en-US"/>
        </w:rPr>
        <w:t>as a result</w:t>
      </w:r>
      <w:proofErr w:type="gramEnd"/>
      <w:r w:rsidRPr="00333716">
        <w:rPr>
          <w:rFonts w:ascii="Gill Sans Infant Std" w:eastAsia="Gill Sans MT" w:hAnsi="Gill Sans Infant Std" w:cs="Gill Sans MT"/>
          <w:lang w:val="en-US"/>
        </w:rPr>
        <w:t xml:space="preserve"> of ‘Serbia and Hungary having the same stance regarding illegal migration’.</w:t>
      </w:r>
      <w:r w:rsidRPr="00333716">
        <w:rPr>
          <w:rStyle w:val="Refdenotaalpie"/>
          <w:rFonts w:ascii="Gill Sans Infant Std" w:eastAsia="Gill Sans MT" w:hAnsi="Gill Sans Infant Std" w:cs="Gill Sans MT"/>
          <w:lang w:val="en-US"/>
        </w:rPr>
        <w:footnoteReference w:id="8"/>
      </w:r>
      <w:r w:rsidRPr="00333716">
        <w:rPr>
          <w:rFonts w:ascii="Gill Sans Infant Std" w:eastAsia="Gill Sans MT" w:hAnsi="Gill Sans Infant Std" w:cs="Gill Sans MT"/>
          <w:lang w:val="en-US"/>
        </w:rPr>
        <w:t xml:space="preserve"> T</w:t>
      </w:r>
      <w:r w:rsidRPr="00333716">
        <w:rPr>
          <w:rFonts w:ascii="Gill Sans Infant Std" w:eastAsia="Gill Sans MT" w:hAnsi="Gill Sans Infant Std" w:cs="Gill Sans MT"/>
          <w:color w:val="000000" w:themeColor="text1"/>
          <w:lang w:val="en-US"/>
        </w:rPr>
        <w:t>he plan of establishing a wired fence on the border between Serbia and North Macedonia appeared in the press in mid-2020; the EU denied the connection with its funds with the construction of the fence</w:t>
      </w:r>
      <w:r w:rsidRPr="00333716">
        <w:rPr>
          <w:rStyle w:val="Refdenotaalpie"/>
          <w:rFonts w:ascii="Gill Sans Infant Std" w:eastAsia="Gill Sans MT" w:hAnsi="Gill Sans Infant Std" w:cs="Gill Sans MT"/>
          <w:color w:val="000000" w:themeColor="text1"/>
          <w:lang w:val="en-US"/>
        </w:rPr>
        <w:footnoteReference w:id="9"/>
      </w:r>
      <w:r w:rsidRPr="00333716">
        <w:rPr>
          <w:rFonts w:ascii="Gill Sans Infant Std" w:eastAsia="Gill Sans MT" w:hAnsi="Gill Sans Infant Std" w:cs="Gill Sans MT"/>
          <w:color w:val="000000" w:themeColor="text1"/>
          <w:lang w:val="en-US"/>
        </w:rPr>
        <w:t xml:space="preserve"> while there were no other official statements so far. </w:t>
      </w:r>
    </w:p>
    <w:p w14:paraId="2B315E30" w14:textId="5F199D7E"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color w:val="000000" w:themeColor="text1"/>
          <w:lang w:val="en-US"/>
        </w:rPr>
      </w:pPr>
      <w:proofErr w:type="gramStart"/>
      <w:r w:rsidRPr="00333716">
        <w:rPr>
          <w:rFonts w:ascii="Gill Sans Infant Std" w:eastAsia="Gill Sans MT" w:hAnsi="Gill Sans Infant Std" w:cs="Gill Sans MT"/>
          <w:b/>
          <w:color w:val="000000" w:themeColor="text1"/>
          <w:lang w:val="en-US"/>
        </w:rPr>
        <w:t>3. Please</w:t>
      </w:r>
      <w:proofErr w:type="gramEnd"/>
      <w:r w:rsidRPr="00333716">
        <w:rPr>
          <w:rFonts w:ascii="Gill Sans Infant Std" w:eastAsia="Gill Sans MT" w:hAnsi="Gill Sans Infant Std" w:cs="Gill Sans MT"/>
          <w:b/>
          <w:color w:val="000000" w:themeColor="text1"/>
          <w:lang w:val="en-US"/>
        </w:rPr>
        <w:t xml:space="preserve"> provide information on how the "safe third country" concept is applied and if there is any "safe third country" list in your country with the view to expedite border immigration and asylum procedures, as well as on any bilateral and multilateral agreement on collective/automatic re-admission of migrants of specific nationalities.</w:t>
      </w:r>
    </w:p>
    <w:p w14:paraId="30D4E644" w14:textId="39AF300B" w:rsidR="2B1D82F5" w:rsidRPr="00333716" w:rsidRDefault="2B1D82F5" w:rsidP="00E0533E">
      <w:pPr>
        <w:shd w:val="clear" w:color="auto" w:fill="FFFFFF" w:themeFill="text2"/>
        <w:ind w:right="864"/>
        <w:jc w:val="both"/>
        <w:rPr>
          <w:rFonts w:eastAsia="Gill Sans MT" w:cs="Gill Sans MT"/>
          <w:sz w:val="24"/>
          <w:szCs w:val="24"/>
          <w:lang w:val="en-US"/>
        </w:rPr>
      </w:pPr>
      <w:r w:rsidRPr="00333716">
        <w:rPr>
          <w:rFonts w:eastAsia="Gill Sans MT" w:cs="Gill Sans MT"/>
          <w:sz w:val="24"/>
          <w:szCs w:val="24"/>
          <w:lang w:val="en-US"/>
        </w:rPr>
        <w:t>A readmission agreement and protocol signed last year between Bosnia and Herzegovina and Pakistan came into force on 23 July 2021,</w:t>
      </w:r>
      <w:r w:rsidRPr="00333716">
        <w:rPr>
          <w:rStyle w:val="Refdenotaalpie"/>
          <w:rFonts w:eastAsia="Gill Sans MT" w:cs="Gill Sans MT"/>
          <w:sz w:val="24"/>
          <w:szCs w:val="24"/>
          <w:lang w:val="en-US"/>
        </w:rPr>
        <w:footnoteReference w:id="10"/>
      </w:r>
      <w:r w:rsidRPr="00333716">
        <w:rPr>
          <w:rFonts w:eastAsia="Gill Sans MT" w:cs="Gill Sans MT"/>
          <w:sz w:val="24"/>
          <w:szCs w:val="24"/>
          <w:lang w:val="en-US"/>
        </w:rPr>
        <w:t xml:space="preserve"> thereby opening doors for the deportation of Pakistani nationals, who represent around a quarter of all refugees and migrants in the country. The agreement and accompanying protocol are not publicly available.</w:t>
      </w:r>
      <w:r w:rsidRPr="00333716">
        <w:rPr>
          <w:rStyle w:val="Refdenotaalpie"/>
          <w:rFonts w:eastAsia="Gill Sans MT" w:cs="Gill Sans MT"/>
          <w:sz w:val="24"/>
          <w:szCs w:val="24"/>
          <w:lang w:val="en-US"/>
        </w:rPr>
        <w:footnoteReference w:id="11"/>
      </w:r>
      <w:r w:rsidRPr="00333716">
        <w:rPr>
          <w:rFonts w:eastAsia="Gill Sans MT" w:cs="Gill Sans MT"/>
          <w:sz w:val="24"/>
          <w:szCs w:val="24"/>
          <w:lang w:val="en-US"/>
        </w:rPr>
        <w:t xml:space="preserve"> Serbia was automatically applying the ‘safe third country’ concept since </w:t>
      </w:r>
      <w:proofErr w:type="gramStart"/>
      <w:r w:rsidRPr="00333716">
        <w:rPr>
          <w:rFonts w:eastAsia="Gill Sans MT" w:cs="Gill Sans MT"/>
          <w:sz w:val="24"/>
          <w:szCs w:val="24"/>
          <w:lang w:val="en-US"/>
        </w:rPr>
        <w:t>2008,</w:t>
      </w:r>
      <w:proofErr w:type="gramEnd"/>
      <w:r w:rsidRPr="00333716">
        <w:rPr>
          <w:rFonts w:eastAsia="Gill Sans MT" w:cs="Gill Sans MT"/>
          <w:sz w:val="24"/>
          <w:szCs w:val="24"/>
          <w:lang w:val="en-US"/>
        </w:rPr>
        <w:t xml:space="preserve"> however, the number of such cases was significantly reduced after the 2018 amendments to the asylum and foreigners' legislation. Nevertheless, the 2009 Decision of the Government of the Republic of Serbia on </w:t>
      </w:r>
      <w:r w:rsidRPr="00333716">
        <w:rPr>
          <w:rFonts w:eastAsia="Gill Sans MT" w:cs="Gill Sans MT"/>
          <w:sz w:val="24"/>
          <w:szCs w:val="24"/>
          <w:lang w:val="en-US"/>
        </w:rPr>
        <w:lastRenderedPageBreak/>
        <w:t>Establishing the List of Safe Countries of Origin and Safe Third Countries</w:t>
      </w:r>
      <w:r w:rsidRPr="00333716">
        <w:rPr>
          <w:rStyle w:val="Refdenotaalpie"/>
          <w:rFonts w:eastAsia="Gill Sans MT" w:cs="Gill Sans MT"/>
          <w:sz w:val="24"/>
          <w:szCs w:val="24"/>
          <w:lang w:val="en-US"/>
        </w:rPr>
        <w:footnoteReference w:id="12"/>
      </w:r>
      <w:r w:rsidRPr="00333716">
        <w:rPr>
          <w:rFonts w:eastAsia="Gill Sans MT" w:cs="Gill Sans MT"/>
          <w:sz w:val="24"/>
          <w:szCs w:val="24"/>
          <w:lang w:val="en-US"/>
        </w:rPr>
        <w:t xml:space="preserve"> is still in force and the Administrative Court to date did not find that its automatic application represents a breach of the non-</w:t>
      </w:r>
      <w:proofErr w:type="spellStart"/>
      <w:r w:rsidRPr="00333716">
        <w:rPr>
          <w:rFonts w:eastAsia="Gill Sans MT" w:cs="Gill Sans MT"/>
          <w:i/>
          <w:iCs/>
          <w:sz w:val="24"/>
          <w:szCs w:val="24"/>
          <w:lang w:val="en-US"/>
        </w:rPr>
        <w:t>refoulement</w:t>
      </w:r>
      <w:proofErr w:type="spellEnd"/>
      <w:r w:rsidRPr="00333716">
        <w:rPr>
          <w:rFonts w:eastAsia="Gill Sans MT" w:cs="Gill Sans MT"/>
          <w:sz w:val="24"/>
          <w:szCs w:val="24"/>
          <w:lang w:val="en-US"/>
        </w:rPr>
        <w:t xml:space="preserve"> principle.</w:t>
      </w:r>
    </w:p>
    <w:p w14:paraId="6EA35612" w14:textId="2C606AE1" w:rsidR="2B1D82F5" w:rsidRPr="00333716" w:rsidRDefault="2B1D82F5" w:rsidP="00E0533E">
      <w:pPr>
        <w:shd w:val="clear" w:color="auto" w:fill="FFFFFF" w:themeFill="text2"/>
        <w:ind w:right="864"/>
        <w:jc w:val="both"/>
        <w:rPr>
          <w:rFonts w:eastAsia="Gill Sans MT" w:cs="Gill Sans MT"/>
          <w:sz w:val="24"/>
          <w:szCs w:val="24"/>
          <w:lang w:val="en-US"/>
        </w:rPr>
      </w:pPr>
    </w:p>
    <w:p w14:paraId="1FF72D02" w14:textId="77777777"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color w:val="000000" w:themeColor="text1"/>
          <w:lang w:val="en-US"/>
        </w:rPr>
      </w:pPr>
      <w:proofErr w:type="gramStart"/>
      <w:r w:rsidRPr="00333716">
        <w:rPr>
          <w:rFonts w:ascii="Gill Sans Infant Std" w:eastAsia="Gill Sans MT" w:hAnsi="Gill Sans Infant Std" w:cs="Gill Sans MT"/>
          <w:b/>
          <w:color w:val="000000" w:themeColor="text1"/>
          <w:lang w:val="en-US"/>
        </w:rPr>
        <w:t>4. Please</w:t>
      </w:r>
      <w:proofErr w:type="gramEnd"/>
      <w:r w:rsidRPr="00333716">
        <w:rPr>
          <w:rFonts w:ascii="Gill Sans Infant Std" w:eastAsia="Gill Sans MT" w:hAnsi="Gill Sans Infant Std" w:cs="Gill Sans MT"/>
          <w:b/>
          <w:color w:val="000000" w:themeColor="text1"/>
          <w:lang w:val="en-US"/>
        </w:rPr>
        <w:t xml:space="preserve"> provide information on any progress made in developing independent border monitoring mechanism(s) at the national level.</w:t>
      </w:r>
    </w:p>
    <w:p w14:paraId="0E39E991" w14:textId="141FE531" w:rsidR="00E15B4C" w:rsidRPr="00333716" w:rsidRDefault="00E0533E" w:rsidP="00E0533E">
      <w:pPr>
        <w:spacing w:after="150"/>
        <w:jc w:val="both"/>
        <w:rPr>
          <w:rFonts w:eastAsia="Gill Sans MT" w:cs="Gill Sans MT"/>
          <w:sz w:val="24"/>
          <w:szCs w:val="24"/>
        </w:rPr>
      </w:pPr>
      <w:r w:rsidRPr="00333716">
        <w:rPr>
          <w:rFonts w:eastAsia="Gill Sans MT" w:cs="Gill Sans MT"/>
          <w:sz w:val="24"/>
          <w:szCs w:val="24"/>
          <w:lang w:val="en-US"/>
        </w:rPr>
        <w:t>Refugees and migrants continue to testify about pushbacks and violence at the borders to Save the Children and other stakeholders across the Balkans route</w:t>
      </w:r>
      <w:r w:rsidR="00030F03" w:rsidRPr="00333716">
        <w:rPr>
          <w:rStyle w:val="Refdenotaalpie"/>
          <w:rFonts w:eastAsia="Gill Sans MT" w:cs="Gill Sans MT"/>
          <w:sz w:val="24"/>
          <w:szCs w:val="24"/>
          <w:lang w:val="en-US"/>
        </w:rPr>
        <w:footnoteReference w:id="13"/>
      </w:r>
      <w:r w:rsidRPr="00333716">
        <w:rPr>
          <w:rFonts w:eastAsia="Gill Sans MT" w:cs="Gill Sans MT"/>
          <w:sz w:val="24"/>
          <w:szCs w:val="24"/>
          <w:lang w:val="en-US"/>
        </w:rPr>
        <w:t xml:space="preserve">. </w:t>
      </w:r>
      <w:r w:rsidR="2B1D82F5" w:rsidRPr="00333716">
        <w:rPr>
          <w:rFonts w:eastAsia="Gill Sans MT" w:cs="Gill Sans MT"/>
          <w:sz w:val="24"/>
          <w:szCs w:val="24"/>
          <w:lang w:val="en-US"/>
        </w:rPr>
        <w:t>At the end of 2020 and the first half of 2021, the Serbian NHRI conducted a monitoring mission, including at the border areas, collecting allegations concerning the actions of the Serbian authorities as well as the authorities of the bordering countries.</w:t>
      </w:r>
      <w:r w:rsidR="00E15B4C" w:rsidRPr="00333716">
        <w:rPr>
          <w:rStyle w:val="Refdenotaalpie"/>
          <w:rFonts w:eastAsia="Gill Sans MT" w:cs="Gill Sans MT"/>
          <w:sz w:val="24"/>
          <w:szCs w:val="24"/>
          <w:lang w:val="en-US"/>
        </w:rPr>
        <w:footnoteReference w:id="14"/>
      </w:r>
      <w:r w:rsidR="2B1D82F5" w:rsidRPr="00333716">
        <w:rPr>
          <w:rFonts w:eastAsia="Gill Sans MT" w:cs="Gill Sans MT"/>
          <w:sz w:val="24"/>
          <w:szCs w:val="24"/>
          <w:lang w:val="en-US"/>
        </w:rPr>
        <w:t xml:space="preserve"> Although important, the monitoring visit </w:t>
      </w:r>
      <w:proofErr w:type="gramStart"/>
      <w:r w:rsidR="2B1D82F5" w:rsidRPr="00333716">
        <w:rPr>
          <w:rFonts w:eastAsia="Gill Sans MT" w:cs="Gill Sans MT"/>
          <w:sz w:val="24"/>
          <w:szCs w:val="24"/>
          <w:lang w:val="en-US"/>
        </w:rPr>
        <w:t>cannot be regarded</w:t>
      </w:r>
      <w:proofErr w:type="gramEnd"/>
      <w:r w:rsidR="2B1D82F5" w:rsidRPr="00333716">
        <w:rPr>
          <w:rFonts w:eastAsia="Gill Sans MT" w:cs="Gill Sans MT"/>
          <w:sz w:val="24"/>
          <w:szCs w:val="24"/>
          <w:lang w:val="en-US"/>
        </w:rPr>
        <w:t xml:space="preserve"> as a regular independent monitoring mechanism. In its report, the Serbian Protector of Citizens concludes that cross-border cooperation among NHRIs and NPMs is crucial in terms of monitoring and reporting human rights violations and </w:t>
      </w:r>
      <w:proofErr w:type="gramStart"/>
      <w:r w:rsidR="2B1D82F5" w:rsidRPr="00333716">
        <w:rPr>
          <w:rFonts w:eastAsia="Gill Sans MT" w:cs="Gill Sans MT"/>
          <w:sz w:val="24"/>
          <w:szCs w:val="24"/>
          <w:lang w:val="en-US"/>
        </w:rPr>
        <w:t>could be increased</w:t>
      </w:r>
      <w:proofErr w:type="gramEnd"/>
      <w:r w:rsidR="2B1D82F5" w:rsidRPr="00333716">
        <w:rPr>
          <w:rFonts w:eastAsia="Gill Sans MT" w:cs="Gill Sans MT"/>
          <w:sz w:val="24"/>
          <w:szCs w:val="24"/>
          <w:lang w:val="en-US"/>
        </w:rPr>
        <w:t xml:space="preserve">. </w:t>
      </w:r>
      <w:r w:rsidR="2B1D82F5" w:rsidRPr="00333716">
        <w:rPr>
          <w:rFonts w:eastAsia="Gill Sans MT" w:cs="Gill Sans MT"/>
          <w:sz w:val="24"/>
          <w:szCs w:val="24"/>
        </w:rPr>
        <w:t xml:space="preserve">Loss of life at the borders along the Balkans route continued to </w:t>
      </w:r>
      <w:proofErr w:type="gramStart"/>
      <w:r w:rsidR="2B1D82F5" w:rsidRPr="00333716">
        <w:rPr>
          <w:rFonts w:eastAsia="Gill Sans MT" w:cs="Gill Sans MT"/>
          <w:sz w:val="24"/>
          <w:szCs w:val="24"/>
        </w:rPr>
        <w:t>be reported</w:t>
      </w:r>
      <w:proofErr w:type="gramEnd"/>
      <w:r w:rsidR="2B1D82F5" w:rsidRPr="00333716">
        <w:rPr>
          <w:rFonts w:eastAsia="Gill Sans MT" w:cs="Gill Sans MT"/>
          <w:sz w:val="24"/>
          <w:szCs w:val="24"/>
        </w:rPr>
        <w:t xml:space="preserve"> throughout 2021, including children,</w:t>
      </w:r>
      <w:r w:rsidR="00E15B4C" w:rsidRPr="00333716">
        <w:rPr>
          <w:rStyle w:val="Refdenotaalpie"/>
          <w:rFonts w:eastAsia="Gill Sans MT" w:cs="Gill Sans MT"/>
          <w:sz w:val="24"/>
          <w:szCs w:val="24"/>
        </w:rPr>
        <w:footnoteReference w:id="15"/>
      </w:r>
      <w:r w:rsidR="2B1D82F5" w:rsidRPr="00333716">
        <w:rPr>
          <w:rFonts w:eastAsia="Gill Sans MT" w:cs="Gill Sans MT"/>
          <w:sz w:val="24"/>
          <w:szCs w:val="24"/>
        </w:rPr>
        <w:t xml:space="preserve"> but there is no mechanism established for monitoring</w:t>
      </w:r>
      <w:r w:rsidR="00030F03" w:rsidRPr="00333716">
        <w:rPr>
          <w:rFonts w:eastAsia="Gill Sans MT" w:cs="Gill Sans MT"/>
          <w:sz w:val="24"/>
          <w:szCs w:val="24"/>
        </w:rPr>
        <w:t xml:space="preserve"> cases</w:t>
      </w:r>
      <w:r w:rsidR="2B1D82F5" w:rsidRPr="00333716">
        <w:rPr>
          <w:rFonts w:eastAsia="Gill Sans MT" w:cs="Gill Sans MT"/>
          <w:sz w:val="24"/>
          <w:szCs w:val="24"/>
        </w:rPr>
        <w:t xml:space="preserve"> and data collection, while the search for missing migrants and the repatriation of bodies mainly depends on volunteering groups. Croatia’s border monitoring mechanism announced in mid-2021 </w:t>
      </w:r>
      <w:proofErr w:type="gramStart"/>
      <w:r w:rsidR="2B1D82F5" w:rsidRPr="00333716">
        <w:rPr>
          <w:rFonts w:eastAsia="Gill Sans MT" w:cs="Gill Sans MT"/>
          <w:sz w:val="24"/>
          <w:szCs w:val="24"/>
        </w:rPr>
        <w:t>was evaluated</w:t>
      </w:r>
      <w:proofErr w:type="gramEnd"/>
      <w:r w:rsidR="2B1D82F5" w:rsidRPr="00333716">
        <w:rPr>
          <w:rFonts w:eastAsia="Gill Sans MT" w:cs="Gill Sans MT"/>
          <w:sz w:val="24"/>
          <w:szCs w:val="24"/>
        </w:rPr>
        <w:t xml:space="preserve"> as falling short of the standards needed to ensur</w:t>
      </w:r>
      <w:r w:rsidRPr="00333716">
        <w:rPr>
          <w:rFonts w:eastAsia="Gill Sans MT" w:cs="Gill Sans MT"/>
          <w:sz w:val="24"/>
          <w:szCs w:val="24"/>
        </w:rPr>
        <w:t>e its effectiveness and success</w:t>
      </w:r>
      <w:r w:rsidR="00E15B4C" w:rsidRPr="00333716">
        <w:rPr>
          <w:rStyle w:val="Refdenotaalpie"/>
          <w:rFonts w:eastAsia="Gill Sans MT" w:cs="Gill Sans MT"/>
          <w:sz w:val="24"/>
          <w:szCs w:val="24"/>
        </w:rPr>
        <w:footnoteReference w:id="16"/>
      </w:r>
      <w:r w:rsidRPr="00333716">
        <w:rPr>
          <w:rFonts w:eastAsia="Gill Sans MT" w:cs="Gill Sans MT"/>
          <w:sz w:val="24"/>
          <w:szCs w:val="24"/>
        </w:rPr>
        <w:t>.</w:t>
      </w:r>
      <w:r w:rsidR="00E15B4C" w:rsidRPr="00333716">
        <w:rPr>
          <w:sz w:val="24"/>
          <w:szCs w:val="24"/>
        </w:rPr>
        <w:br/>
      </w:r>
      <w:r w:rsidR="00E15B4C" w:rsidRPr="00333716">
        <w:rPr>
          <w:sz w:val="24"/>
          <w:szCs w:val="24"/>
        </w:rPr>
        <w:br/>
      </w:r>
    </w:p>
    <w:p w14:paraId="1C86A6D3" w14:textId="4AEBAC07"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bCs/>
          <w:color w:val="000000"/>
          <w:lang w:val="en-US"/>
        </w:rPr>
      </w:pPr>
    </w:p>
    <w:p w14:paraId="74BABF98" w14:textId="77777777" w:rsidR="00E15B4C" w:rsidRPr="00333716" w:rsidRDefault="00E15B4C" w:rsidP="00E0533E">
      <w:pPr>
        <w:pStyle w:val="NormalWeb"/>
        <w:shd w:val="clear" w:color="auto" w:fill="FFFFFF" w:themeFill="text2"/>
        <w:spacing w:before="0" w:beforeAutospacing="0" w:after="150" w:afterAutospacing="0"/>
        <w:ind w:right="864"/>
        <w:jc w:val="both"/>
        <w:rPr>
          <w:rFonts w:ascii="Gill Sans Infant Std" w:eastAsia="Gill Sans MT" w:hAnsi="Gill Sans Infant Std" w:cs="Gill Sans MT"/>
          <w:b/>
          <w:bCs/>
          <w:color w:val="000000"/>
          <w:lang w:val="en-US"/>
        </w:rPr>
      </w:pPr>
    </w:p>
    <w:p w14:paraId="06E8A107" w14:textId="77777777" w:rsidR="00E15B4C" w:rsidRPr="00333716" w:rsidRDefault="00E15B4C" w:rsidP="00E0533E">
      <w:pPr>
        <w:ind w:right="864"/>
        <w:jc w:val="both"/>
        <w:rPr>
          <w:rFonts w:eastAsia="Gill Sans MT" w:cs="Gill Sans MT"/>
          <w:sz w:val="24"/>
          <w:szCs w:val="24"/>
          <w:lang w:val="en-US"/>
        </w:rPr>
      </w:pPr>
    </w:p>
    <w:sectPr w:rsidR="00E15B4C" w:rsidRPr="00333716" w:rsidSect="00C36769">
      <w:headerReference w:type="default" r:id="rId11"/>
      <w:footerReference w:type="default" r:id="rId12"/>
      <w:headerReference w:type="first" r:id="rId13"/>
      <w:footerReference w:type="first" r:id="rId14"/>
      <w:pgSz w:w="11906" w:h="16838" w:code="9"/>
      <w:pgMar w:top="1701" w:right="1418" w:bottom="1134" w:left="1418" w:header="709" w:footer="62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89DAC1" w16cex:dateUtc="2022-02-24T12:28:37.212Z"/>
  <w16cex:commentExtensible w16cex:durableId="41A7B0C1" w16cex:dateUtc="2022-02-24T13:02:30.283Z"/>
  <w16cex:commentExtensible w16cex:durableId="20BC665A" w16cex:dateUtc="2022-02-24T13:32:20.746Z"/>
  <w16cex:commentExtensible w16cex:durableId="1134DE73" w16cex:dateUtc="2022-02-24T14:09:51.557Z"/>
  <w16cex:commentExtensible w16cex:durableId="43381092" w16cex:dateUtc="2022-02-24T14:16:17.733Z"/>
  <w16cex:commentExtensible w16cex:durableId="6C68CDFF" w16cex:dateUtc="2022-02-24T14:20:07.159Z"/>
  <w16cex:commentExtensible w16cex:durableId="58ECD115" w16cex:dateUtc="2022-02-24T14:22:31.689Z"/>
  <w16cex:commentExtensible w16cex:durableId="1D9063E4" w16cex:dateUtc="2022-02-24T14:27:12.204Z"/>
  <w16cex:commentExtensible w16cex:durableId="72F0FD0D" w16cex:dateUtc="2022-02-24T14:28:30.168Z"/>
</w16cex:commentsExtensible>
</file>

<file path=word/commentsIds.xml><?xml version="1.0" encoding="utf-8"?>
<w16cid:commentsIds xmlns:mc="http://schemas.openxmlformats.org/markup-compatibility/2006" xmlns:w16cid="http://schemas.microsoft.com/office/word/2016/wordml/cid" mc:Ignorable="w16cid">
  <w16cid:commentId w16cid:paraId="6CDC1DE2" w16cid:durableId="5989DAC1"/>
  <w16cid:commentId w16cid:paraId="02B1B768" w16cid:durableId="41A7B0C1"/>
  <w16cid:commentId w16cid:paraId="4CC57FAC" w16cid:durableId="20BC665A"/>
  <w16cid:commentId w16cid:paraId="4E9DEC68" w16cid:durableId="1134DE73"/>
  <w16cid:commentId w16cid:paraId="171E29D8" w16cid:durableId="43381092"/>
  <w16cid:commentId w16cid:paraId="6546040F" w16cid:durableId="6C68CDFF"/>
  <w16cid:commentId w16cid:paraId="00D9530C" w16cid:durableId="58ECD115"/>
  <w16cid:commentId w16cid:paraId="4FEC451F" w16cid:durableId="1D9063E4"/>
  <w16cid:commentId w16cid:paraId="631D9CE8" w16cid:durableId="72F0FD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5A20" w14:textId="77777777" w:rsidR="00095949" w:rsidRDefault="00095949" w:rsidP="00B66612">
      <w:r>
        <w:separator/>
      </w:r>
    </w:p>
  </w:endnote>
  <w:endnote w:type="continuationSeparator" w:id="0">
    <w:p w14:paraId="661FFEA8" w14:textId="77777777" w:rsidR="00095949" w:rsidRDefault="00095949"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Infant Std">
    <w:altName w:val="Times New Roman"/>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altName w:val="Bahnschrift Ligh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6D4E" w14:textId="43BC3812" w:rsidR="00F14891" w:rsidRDefault="00F14891" w:rsidP="00F14891">
    <w:pPr>
      <w:pStyle w:val="PageNumber1"/>
      <w:rPr>
        <w:noProof/>
      </w:rPr>
    </w:pPr>
    <w:r>
      <w:fldChar w:fldCharType="begin"/>
    </w:r>
    <w:r>
      <w:instrText xml:space="preserve"> PAGE   \* MERGEFORMAT </w:instrText>
    </w:r>
    <w:r>
      <w:fldChar w:fldCharType="separate"/>
    </w:r>
    <w:r w:rsidR="00333716">
      <w:rPr>
        <w:noProof/>
      </w:rPr>
      <w:t>3</w:t>
    </w:r>
    <w:r>
      <w:rPr>
        <w:noProof/>
      </w:rPr>
      <w:fldChar w:fldCharType="end"/>
    </w:r>
  </w:p>
  <w:p w14:paraId="728921D3" w14:textId="77777777" w:rsidR="00F14891" w:rsidRDefault="00F14891">
    <w:pPr>
      <w:pStyle w:val="Piedepgina"/>
    </w:pPr>
  </w:p>
  <w:p w14:paraId="11E3895A" w14:textId="77777777" w:rsidR="00B66612" w:rsidRDefault="00E83987">
    <w:pPr>
      <w:pStyle w:val="Piedepgina"/>
    </w:pPr>
    <w:r>
      <w:rPr>
        <w:noProof/>
        <w:lang w:val="es-ES" w:eastAsia="es-ES"/>
      </w:rPr>
      <w:drawing>
        <wp:anchor distT="0" distB="0" distL="114300" distR="114300" simplePos="0" relativeHeight="251670528" behindDoc="1" locked="0" layoutInCell="1" allowOverlap="1" wp14:anchorId="4F622D2F" wp14:editId="046C3839">
          <wp:simplePos x="0" y="0"/>
          <wp:positionH relativeFrom="page">
            <wp:posOffset>342265</wp:posOffset>
          </wp:positionH>
          <wp:positionV relativeFrom="page">
            <wp:posOffset>9685020</wp:posOffset>
          </wp:positionV>
          <wp:extent cx="6915600" cy="6336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6915600" cy="633600"/>
                  </a:xfrm>
                  <a:prstGeom prst="rect">
                    <a:avLst/>
                  </a:prstGeom>
                </pic:spPr>
              </pic:pic>
            </a:graphicData>
          </a:graphic>
          <wp14:sizeRelH relativeFrom="margin">
            <wp14:pctWidth>0</wp14:pctWidth>
          </wp14:sizeRelH>
          <wp14:sizeRelV relativeFrom="margin">
            <wp14:pctHeight>0</wp14:pctHeight>
          </wp14:sizeRelV>
        </wp:anchor>
      </w:drawing>
    </w:r>
    <w:r w:rsidR="00705237">
      <w:rPr>
        <w:noProof/>
        <w:lang w:val="es-ES" w:eastAsia="es-ES"/>
      </w:rPr>
      <mc:AlternateContent>
        <mc:Choice Requires="wps">
          <w:drawing>
            <wp:anchor distT="0" distB="0" distL="114300" distR="114300" simplePos="0" relativeHeight="251664384" behindDoc="0" locked="0" layoutInCell="1" allowOverlap="1" wp14:anchorId="46B59582" wp14:editId="3F357BE9">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cx2="http://schemas.microsoft.com/office/drawing/2015/10/21/chartex">
          <w:pict>
            <v:rect id="Rectangle 10" style="position:absolute;margin-left:0;margin-top:-.05pt;width:12pt;height:545.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d1c24" stroked="f" strokeweight="1pt" w14:anchorId="14306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DD59" w14:textId="77777777" w:rsidR="000A72D2" w:rsidRDefault="00E83987" w:rsidP="000A72D2">
    <w:pPr>
      <w:pStyle w:val="Piedepgina"/>
    </w:pPr>
    <w:r>
      <w:rPr>
        <w:noProof/>
        <w:lang w:val="es-ES" w:eastAsia="es-ES"/>
      </w:rPr>
      <w:drawing>
        <wp:anchor distT="0" distB="0" distL="114300" distR="114300" simplePos="0" relativeHeight="251669504" behindDoc="1" locked="1" layoutInCell="1" allowOverlap="1" wp14:anchorId="73B941BF" wp14:editId="251C3F70">
          <wp:simplePos x="0" y="0"/>
          <wp:positionH relativeFrom="page">
            <wp:posOffset>342265</wp:posOffset>
          </wp:positionH>
          <wp:positionV relativeFrom="page">
            <wp:posOffset>9469120</wp:posOffset>
          </wp:positionV>
          <wp:extent cx="6886800" cy="8208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800" cy="820800"/>
                  </a:xfrm>
                  <a:prstGeom prst="rect">
                    <a:avLst/>
                  </a:prstGeom>
                </pic:spPr>
              </pic:pic>
            </a:graphicData>
          </a:graphic>
          <wp14:sizeRelH relativeFrom="page">
            <wp14:pctWidth>0</wp14:pctWidth>
          </wp14:sizeRelH>
          <wp14:sizeRelV relativeFrom="page">
            <wp14:pctHeight>0</wp14:pctHeight>
          </wp14:sizeRelV>
        </wp:anchor>
      </w:drawing>
    </w:r>
  </w:p>
  <w:p w14:paraId="42B784DC" w14:textId="77777777" w:rsidR="003C14B6" w:rsidRPr="00AE594A" w:rsidRDefault="003C14B6">
    <w:pPr>
      <w:pStyle w:val="Piedepgina"/>
      <w:rPr>
        <w:sz w:val="16"/>
        <w:szCs w:val="16"/>
        <w:lang w:val="it-IT"/>
      </w:rPr>
    </w:pPr>
  </w:p>
  <w:p w14:paraId="1570CA7C" w14:textId="77777777" w:rsidR="003C14B6" w:rsidRPr="00AE594A" w:rsidRDefault="003C14B6">
    <w:pPr>
      <w:pStyle w:val="Piedep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D7B66" w14:textId="77777777" w:rsidR="00095949" w:rsidRDefault="00095949" w:rsidP="00B66612">
      <w:r>
        <w:separator/>
      </w:r>
    </w:p>
  </w:footnote>
  <w:footnote w:type="continuationSeparator" w:id="0">
    <w:p w14:paraId="157D4EFA" w14:textId="77777777" w:rsidR="00095949" w:rsidRDefault="00095949" w:rsidP="00B66612">
      <w:r>
        <w:continuationSeparator/>
      </w:r>
    </w:p>
  </w:footnote>
  <w:footnote w:id="1">
    <w:p w14:paraId="63F96815" w14:textId="6873B30C" w:rsidR="2B1D82F5" w:rsidRPr="00E0533E"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w:t>
      </w:r>
      <w:proofErr w:type="gramStart"/>
      <w:r w:rsidRPr="2B1D82F5">
        <w:rPr>
          <w:rFonts w:ascii="Gill Sans MT" w:eastAsia="Gill Sans MT" w:hAnsi="Gill Sans MT" w:cs="Gill Sans MT"/>
          <w:sz w:val="18"/>
          <w:szCs w:val="18"/>
        </w:rPr>
        <w:t xml:space="preserve">Law on Ratification of the Agreement between the Government of the Republic of Serbia and the Cabinet of Ministers of Ukraine on Amendments to the Agreement between the Government of the Republic of Serbia and the Cabinet of Ministers of Ukraine on Visa Waiver for Their Citizens, </w:t>
      </w:r>
      <w:r w:rsidRPr="2B1D82F5">
        <w:rPr>
          <w:rFonts w:ascii="Gill Sans MT" w:eastAsia="Gill Sans MT" w:hAnsi="Gill Sans MT" w:cs="Gill Sans MT"/>
          <w:i/>
          <w:iCs/>
          <w:sz w:val="18"/>
          <w:szCs w:val="18"/>
        </w:rPr>
        <w:t>Official Gazette of the Republic of Serbia - International Agreements</w:t>
      </w:r>
      <w:r w:rsidRPr="2B1D82F5">
        <w:rPr>
          <w:rFonts w:ascii="Gill Sans MT" w:eastAsia="Gill Sans MT" w:hAnsi="Gill Sans MT" w:cs="Gill Sans MT"/>
          <w:sz w:val="18"/>
          <w:szCs w:val="18"/>
        </w:rPr>
        <w:t xml:space="preserve">, no. 17/2021, available in Serbian </w:t>
      </w:r>
      <w:hyperlink r:id="rId1">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roofErr w:type="gramEnd"/>
    </w:p>
  </w:footnote>
  <w:footnote w:id="2">
    <w:p w14:paraId="5DCAEE5A" w14:textId="5C6AD3A8"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The Action Plan is available in Serbian </w:t>
      </w:r>
      <w:hyperlink r:id="rId2">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3">
    <w:p w14:paraId="1EC3AAC9" w14:textId="6938DA5B"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The Strategy is available in Serbian </w:t>
      </w:r>
      <w:hyperlink r:id="rId3">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4">
    <w:p w14:paraId="2ACEE7CA" w14:textId="665E4798" w:rsidR="2B1D82F5" w:rsidRDefault="2B1D82F5" w:rsidP="2B1D82F5">
      <w:pPr>
        <w:pStyle w:val="Textonotapie"/>
        <w:rPr>
          <w:rFonts w:ascii="Gill Sans MT" w:eastAsia="Gill Sans MT" w:hAnsi="Gill Sans MT" w:cs="Gill Sans MT"/>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Due to the extreme and prolonged nature of violence occurring at the Croatian border, the Council of Europe anti-torture committee has unilaterally issued a report following its </w:t>
      </w:r>
      <w:r w:rsidRPr="2B1D82F5">
        <w:rPr>
          <w:rFonts w:ascii="Gill Sans MT" w:eastAsia="Gill Sans MT" w:hAnsi="Gill Sans MT" w:cs="Gill Sans MT"/>
          <w:i/>
          <w:iCs/>
          <w:sz w:val="18"/>
          <w:szCs w:val="18"/>
        </w:rPr>
        <w:t>ad hoc</w:t>
      </w:r>
      <w:r w:rsidRPr="2B1D82F5">
        <w:rPr>
          <w:rFonts w:ascii="Gill Sans MT" w:eastAsia="Gill Sans MT" w:hAnsi="Gill Sans MT" w:cs="Gill Sans MT"/>
          <w:sz w:val="18"/>
          <w:szCs w:val="18"/>
        </w:rPr>
        <w:t xml:space="preserve"> rapid reaction visit to, among other places, Croatian border with Bosnia and Herzegovina. The Committee noted that it ‘was provided with incomplete information about places where migrants may be deprived of their liberty and it was obstructed by police officers in accessing documentation necessary for the delegation to carry out the Committee’s mandate’. The report provides an insight into allegations of severe ill-treatment of refugees and migrants by Croatian border police officers, including the accounts of collective expulsions in the specifically brutal manners, including </w:t>
      </w:r>
      <w:proofErr w:type="gramStart"/>
      <w:r w:rsidRPr="2B1D82F5">
        <w:rPr>
          <w:rFonts w:ascii="Gill Sans MT" w:eastAsia="Gill Sans MT" w:hAnsi="Gill Sans MT" w:cs="Gill Sans MT"/>
          <w:sz w:val="18"/>
          <w:szCs w:val="18"/>
        </w:rPr>
        <w:t>zip-locking</w:t>
      </w:r>
      <w:proofErr w:type="gramEnd"/>
      <w:r w:rsidRPr="2B1D82F5">
        <w:rPr>
          <w:rFonts w:ascii="Gill Sans MT" w:eastAsia="Gill Sans MT" w:hAnsi="Gill Sans MT" w:cs="Gill Sans MT"/>
          <w:sz w:val="18"/>
          <w:szCs w:val="18"/>
        </w:rPr>
        <w:t xml:space="preserve"> the hands of refugees and migrants and then throwing them into the Korana River which separates Croatia and Bosnia and Herzegovina. The Committee’s statement and the report are </w:t>
      </w:r>
      <w:hyperlink r:id="rId4">
        <w:r w:rsidRPr="2B1D82F5">
          <w:rPr>
            <w:rStyle w:val="Hipervnculo"/>
            <w:rFonts w:ascii="Gill Sans MT" w:eastAsia="Gill Sans MT" w:hAnsi="Gill Sans MT" w:cs="Gill Sans MT"/>
            <w:sz w:val="18"/>
            <w:szCs w:val="18"/>
          </w:rPr>
          <w:t>available here</w:t>
        </w:r>
      </w:hyperlink>
      <w:r w:rsidRPr="2B1D82F5">
        <w:rPr>
          <w:rFonts w:ascii="Gill Sans MT" w:eastAsia="Gill Sans MT" w:hAnsi="Gill Sans MT" w:cs="Gill Sans MT"/>
          <w:sz w:val="18"/>
          <w:szCs w:val="18"/>
        </w:rPr>
        <w:t xml:space="preserve">. See also: Protecting Rights at Borders (PRAB), </w:t>
      </w:r>
      <w:r w:rsidRPr="2B1D82F5">
        <w:rPr>
          <w:rFonts w:ascii="Gill Sans MT" w:eastAsia="Gill Sans MT" w:hAnsi="Gill Sans MT" w:cs="Gill Sans MT"/>
          <w:i/>
          <w:iCs/>
          <w:sz w:val="18"/>
          <w:szCs w:val="18"/>
        </w:rPr>
        <w:t>Human dignity lost at the EU’s borders: Thousands of men, women and children await winter at EU borders without access to rights, justice or basic assistance to survive</w:t>
      </w:r>
      <w:r w:rsidRPr="2B1D82F5">
        <w:rPr>
          <w:rFonts w:ascii="Gill Sans MT" w:eastAsia="Gill Sans MT" w:hAnsi="Gill Sans MT" w:cs="Gill Sans MT"/>
          <w:sz w:val="18"/>
          <w:szCs w:val="18"/>
        </w:rPr>
        <w:t xml:space="preserve">, December 2021, p. 2, available </w:t>
      </w:r>
      <w:hyperlink r:id="rId5">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5">
    <w:p w14:paraId="58D135BF" w14:textId="6D193991" w:rsidR="2B1D82F5" w:rsidRDefault="2B1D82F5" w:rsidP="2B1D82F5">
      <w:pPr>
        <w:pStyle w:val="Textonotapie"/>
        <w:rPr>
          <w:rFonts w:ascii="Gill Sans MT" w:eastAsia="Gill Sans MT" w:hAnsi="Gill Sans MT" w:cs="Gill Sans MT"/>
          <w:sz w:val="16"/>
          <w:szCs w:val="16"/>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The working arrangements with these countries are available in English </w:t>
      </w:r>
      <w:hyperlink r:id="rId6">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6">
    <w:p w14:paraId="5AF5FCF2" w14:textId="750969EE" w:rsidR="2B1D82F5" w:rsidRPr="00E0533E" w:rsidRDefault="2B1D82F5" w:rsidP="2B1D82F5">
      <w:pPr>
        <w:rPr>
          <w:rFonts w:ascii="Gill Sans MT" w:eastAsia="Gill Sans MT" w:hAnsi="Gill Sans MT" w:cs="Gill Sans MT"/>
          <w:sz w:val="18"/>
          <w:szCs w:val="18"/>
          <w:lang w:val="en-US"/>
        </w:rPr>
      </w:pPr>
      <w:r w:rsidRPr="2B1D82F5">
        <w:rPr>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w:t>
      </w:r>
      <w:r w:rsidRPr="2B1D82F5">
        <w:rPr>
          <w:rFonts w:ascii="Gill Sans MT" w:eastAsia="Gill Sans MT" w:hAnsi="Gill Sans MT" w:cs="Gill Sans MT"/>
          <w:sz w:val="18"/>
          <w:szCs w:val="18"/>
          <w:lang w:val="en-US"/>
        </w:rPr>
        <w:t xml:space="preserve">European Commission, </w:t>
      </w:r>
      <w:proofErr w:type="spellStart"/>
      <w:r w:rsidRPr="2B1D82F5">
        <w:rPr>
          <w:rFonts w:ascii="Gill Sans MT" w:eastAsia="Gill Sans MT" w:hAnsi="Gill Sans MT" w:cs="Gill Sans MT"/>
          <w:i/>
          <w:iCs/>
          <w:sz w:val="18"/>
          <w:szCs w:val="18"/>
          <w:lang w:val="en-US"/>
        </w:rPr>
        <w:t>Frontex</w:t>
      </w:r>
      <w:proofErr w:type="spellEnd"/>
      <w:r w:rsidRPr="2B1D82F5">
        <w:rPr>
          <w:rFonts w:ascii="Gill Sans MT" w:eastAsia="Gill Sans MT" w:hAnsi="Gill Sans MT" w:cs="Gill Sans MT"/>
          <w:i/>
          <w:iCs/>
          <w:sz w:val="18"/>
          <w:szCs w:val="18"/>
          <w:lang w:val="en-US"/>
        </w:rPr>
        <w:t xml:space="preserve"> expands presence in Western Balkans with operation in Serbia</w:t>
      </w:r>
      <w:r w:rsidRPr="2B1D82F5">
        <w:rPr>
          <w:rFonts w:ascii="Gill Sans MT" w:eastAsia="Gill Sans MT" w:hAnsi="Gill Sans MT" w:cs="Gill Sans MT"/>
          <w:sz w:val="18"/>
          <w:szCs w:val="18"/>
          <w:lang w:val="en-US"/>
        </w:rPr>
        <w:t xml:space="preserve">, 16 June 2021, available </w:t>
      </w:r>
      <w:hyperlink r:id="rId7">
        <w:r w:rsidRPr="2B1D82F5">
          <w:rPr>
            <w:rStyle w:val="Hipervnculo"/>
            <w:rFonts w:ascii="Gill Sans MT" w:eastAsia="Gill Sans MT" w:hAnsi="Gill Sans MT" w:cs="Gill Sans MT"/>
            <w:color w:val="auto"/>
            <w:sz w:val="18"/>
            <w:szCs w:val="18"/>
            <w:lang w:val="en-US"/>
          </w:rPr>
          <w:t>here</w:t>
        </w:r>
      </w:hyperlink>
      <w:r w:rsidRPr="2B1D82F5">
        <w:rPr>
          <w:rFonts w:ascii="Gill Sans MT" w:eastAsia="Gill Sans MT" w:hAnsi="Gill Sans MT" w:cs="Gill Sans MT"/>
          <w:sz w:val="18"/>
          <w:szCs w:val="18"/>
          <w:lang w:val="en-US"/>
        </w:rPr>
        <w:t xml:space="preserve">. The </w:t>
      </w:r>
      <w:proofErr w:type="gramStart"/>
      <w:r w:rsidRPr="2B1D82F5">
        <w:rPr>
          <w:rFonts w:ascii="Gill Sans MT" w:eastAsia="Gill Sans MT" w:hAnsi="Gill Sans MT" w:cs="Gill Sans MT"/>
          <w:sz w:val="18"/>
          <w:szCs w:val="18"/>
          <w:lang w:val="en-US"/>
        </w:rPr>
        <w:t xml:space="preserve">cooperation is made possible under the Law on Ratification of the Agreement on Status between the Republic of Serbia and the European Union on Actions Implemented by the European Border and Coast Guard Agency in the Republic of Serbia, </w:t>
      </w:r>
      <w:r w:rsidRPr="2B1D82F5">
        <w:rPr>
          <w:rFonts w:ascii="Gill Sans MT" w:eastAsia="Gill Sans MT" w:hAnsi="Gill Sans MT" w:cs="Gill Sans MT"/>
          <w:i/>
          <w:iCs/>
          <w:sz w:val="18"/>
          <w:szCs w:val="18"/>
          <w:lang w:val="en-US"/>
        </w:rPr>
        <w:t>Official Gazette of the Republic of Serbia - International Agreements</w:t>
      </w:r>
      <w:r w:rsidRPr="2B1D82F5">
        <w:rPr>
          <w:rFonts w:ascii="Gill Sans MT" w:eastAsia="Gill Sans MT" w:hAnsi="Gill Sans MT" w:cs="Gill Sans MT"/>
          <w:sz w:val="18"/>
          <w:szCs w:val="18"/>
          <w:lang w:val="en-US"/>
        </w:rPr>
        <w:t>, no. 3/2021,</w:t>
      </w:r>
      <w:proofErr w:type="gramEnd"/>
      <w:r w:rsidRPr="2B1D82F5">
        <w:rPr>
          <w:rFonts w:ascii="Gill Sans MT" w:eastAsia="Gill Sans MT" w:hAnsi="Gill Sans MT" w:cs="Gill Sans MT"/>
          <w:sz w:val="18"/>
          <w:szCs w:val="18"/>
          <w:lang w:val="en-US"/>
        </w:rPr>
        <w:t xml:space="preserve"> available in Serbian </w:t>
      </w:r>
      <w:hyperlink r:id="rId8">
        <w:r w:rsidRPr="2B1D82F5">
          <w:rPr>
            <w:rStyle w:val="Hipervnculo"/>
            <w:rFonts w:ascii="Gill Sans MT" w:eastAsia="Gill Sans MT" w:hAnsi="Gill Sans MT" w:cs="Gill Sans MT"/>
            <w:sz w:val="18"/>
            <w:szCs w:val="18"/>
            <w:lang w:val="en-US"/>
          </w:rPr>
          <w:t>here</w:t>
        </w:r>
      </w:hyperlink>
      <w:r w:rsidRPr="2B1D82F5">
        <w:rPr>
          <w:rFonts w:ascii="Gill Sans MT" w:eastAsia="Gill Sans MT" w:hAnsi="Gill Sans MT" w:cs="Gill Sans MT"/>
          <w:sz w:val="18"/>
          <w:szCs w:val="18"/>
          <w:lang w:val="en-US"/>
        </w:rPr>
        <w:t>.</w:t>
      </w:r>
    </w:p>
  </w:footnote>
  <w:footnote w:id="7">
    <w:p w14:paraId="431E36A2" w14:textId="3B28613A"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September 2022 statement by the President of Serbia available in Serbian </w:t>
      </w:r>
      <w:hyperlink r:id="rId9">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 xml:space="preserve">; January 2022 statement by the Minister of Interior available in Serbian </w:t>
      </w:r>
      <w:hyperlink r:id="rId10">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 xml:space="preserve">; February 2022 statement by the Minister of Interior available in Serbian </w:t>
      </w:r>
      <w:hyperlink r:id="rId11">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8">
    <w:p w14:paraId="0B2F6566" w14:textId="22178BF1"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The Government of the Republic of Serbia, </w:t>
      </w:r>
      <w:r w:rsidRPr="2B1D82F5">
        <w:rPr>
          <w:rFonts w:ascii="Gill Sans MT" w:eastAsia="Gill Sans MT" w:hAnsi="Gill Sans MT" w:cs="Gill Sans MT"/>
          <w:i/>
          <w:iCs/>
          <w:sz w:val="18"/>
          <w:szCs w:val="18"/>
        </w:rPr>
        <w:t>Joint police patrols of Serbia, Hungary to protect two countries’ borders</w:t>
      </w:r>
      <w:r w:rsidRPr="2B1D82F5">
        <w:rPr>
          <w:rFonts w:ascii="Gill Sans MT" w:eastAsia="Gill Sans MT" w:hAnsi="Gill Sans MT" w:cs="Gill Sans MT"/>
          <w:sz w:val="18"/>
          <w:szCs w:val="18"/>
        </w:rPr>
        <w:t xml:space="preserve">, Press release, 15 October 2021, </w:t>
      </w:r>
      <w:hyperlink r:id="rId12">
        <w:proofErr w:type="gramStart"/>
        <w:r w:rsidRPr="2B1D82F5">
          <w:rPr>
            <w:rStyle w:val="Hipervnculo"/>
            <w:rFonts w:ascii="Gill Sans MT" w:eastAsia="Gill Sans MT" w:hAnsi="Gill Sans MT" w:cs="Gill Sans MT"/>
            <w:sz w:val="18"/>
            <w:szCs w:val="18"/>
          </w:rPr>
          <w:t>available</w:t>
        </w:r>
        <w:proofErr w:type="gramEnd"/>
        <w:r w:rsidRPr="2B1D82F5">
          <w:rPr>
            <w:rStyle w:val="Hipervnculo"/>
            <w:rFonts w:ascii="Gill Sans MT" w:eastAsia="Gill Sans MT" w:hAnsi="Gill Sans MT" w:cs="Gill Sans MT"/>
            <w:sz w:val="18"/>
            <w:szCs w:val="18"/>
          </w:rPr>
          <w:t xml:space="preserve"> here</w:t>
        </w:r>
      </w:hyperlink>
      <w:r w:rsidRPr="2B1D82F5">
        <w:rPr>
          <w:rFonts w:ascii="Gill Sans MT" w:eastAsia="Gill Sans MT" w:hAnsi="Gill Sans MT" w:cs="Gill Sans MT"/>
          <w:sz w:val="18"/>
          <w:szCs w:val="18"/>
        </w:rPr>
        <w:t>.</w:t>
      </w:r>
    </w:p>
  </w:footnote>
  <w:footnote w:id="9">
    <w:p w14:paraId="67CCEE2B" w14:textId="58A3389A" w:rsidR="2B1D82F5" w:rsidRPr="00E0533E" w:rsidRDefault="2B1D82F5" w:rsidP="00E0533E">
      <w:pPr>
        <w:pStyle w:val="Ttulo1"/>
        <w:rPr>
          <w:rFonts w:ascii="Gill Sans MT" w:eastAsia="Gill Sans MT" w:hAnsi="Gill Sans MT" w:cs="Gill Sans MT"/>
          <w:b w:val="0"/>
          <w:sz w:val="18"/>
          <w:szCs w:val="18"/>
        </w:rPr>
      </w:pPr>
      <w:r w:rsidRPr="2B1D82F5">
        <w:rPr>
          <w:rStyle w:val="Refdenotaalpie"/>
          <w:rFonts w:ascii="Gill Sans MT" w:eastAsia="Gill Sans MT" w:hAnsi="Gill Sans MT" w:cs="Gill Sans MT"/>
          <w:b w:val="0"/>
          <w:sz w:val="18"/>
          <w:szCs w:val="18"/>
        </w:rPr>
        <w:footnoteRef/>
      </w:r>
      <w:r w:rsidRPr="2B1D82F5">
        <w:rPr>
          <w:rFonts w:ascii="Gill Sans MT" w:eastAsia="Gill Sans MT" w:hAnsi="Gill Sans MT" w:cs="Gill Sans MT"/>
          <w:b w:val="0"/>
          <w:sz w:val="18"/>
          <w:szCs w:val="18"/>
        </w:rPr>
        <w:t xml:space="preserve"> ‘EU: Building of wire fence between Serbia and North Macedonia not agreed upon’, N1, 20 August 2020, </w:t>
      </w:r>
      <w:hyperlink r:id="rId13">
        <w:r w:rsidRPr="2B1D82F5">
          <w:rPr>
            <w:rStyle w:val="Hipervnculo"/>
            <w:rFonts w:ascii="Gill Sans MT" w:eastAsia="Gill Sans MT" w:hAnsi="Gill Sans MT" w:cs="Gill Sans MT"/>
            <w:b w:val="0"/>
            <w:sz w:val="18"/>
            <w:szCs w:val="18"/>
          </w:rPr>
          <w:t>available here</w:t>
        </w:r>
      </w:hyperlink>
      <w:r w:rsidRPr="2B1D82F5">
        <w:rPr>
          <w:rFonts w:ascii="Gill Sans MT" w:eastAsia="Gill Sans MT" w:hAnsi="Gill Sans MT" w:cs="Gill Sans MT"/>
          <w:b w:val="0"/>
          <w:sz w:val="18"/>
          <w:szCs w:val="18"/>
        </w:rPr>
        <w:t>.</w:t>
      </w:r>
    </w:p>
  </w:footnote>
  <w:footnote w:id="10">
    <w:p w14:paraId="456197B3" w14:textId="2678499E"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w:t>
      </w:r>
      <w:r w:rsidRPr="2B1D82F5">
        <w:rPr>
          <w:rFonts w:ascii="Gill Sans MT" w:eastAsia="Gill Sans MT" w:hAnsi="Gill Sans MT" w:cs="Gill Sans MT"/>
          <w:i/>
          <w:iCs/>
          <w:sz w:val="18"/>
          <w:szCs w:val="18"/>
        </w:rPr>
        <w:t>Official Gazette of Bosnia and Herzegovina – International agreements</w:t>
      </w:r>
      <w:r w:rsidRPr="2B1D82F5">
        <w:rPr>
          <w:rFonts w:ascii="Gill Sans MT" w:eastAsia="Gill Sans MT" w:hAnsi="Gill Sans MT" w:cs="Gill Sans MT"/>
          <w:sz w:val="18"/>
          <w:szCs w:val="18"/>
        </w:rPr>
        <w:t xml:space="preserve">, no. 4/2021, available in Bosnian </w:t>
      </w:r>
      <w:hyperlink r:id="rId14">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11">
    <w:p w14:paraId="51C8C079" w14:textId="4B5417DC"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The official decision on the ratification does not contain the text of the agreement nor the protocol. Article 2 of the decision is incomplete. See the reference above for the full text of the decision.</w:t>
      </w:r>
    </w:p>
  </w:footnote>
  <w:footnote w:id="12">
    <w:p w14:paraId="4931A0BA" w14:textId="5BF3B016" w:rsidR="2B1D82F5" w:rsidRDefault="2B1D82F5" w:rsidP="2B1D82F5">
      <w:pPr>
        <w:pStyle w:val="Textonotapie"/>
        <w:rPr>
          <w:rFonts w:ascii="Gill Sans MT" w:eastAsia="Gill Sans MT" w:hAnsi="Gill Sans MT" w:cs="Gill Sans MT"/>
          <w:sz w:val="18"/>
          <w:szCs w:val="18"/>
        </w:rPr>
      </w:pPr>
      <w:r w:rsidRPr="2B1D82F5">
        <w:rPr>
          <w:rStyle w:val="Refdenotaalpie"/>
          <w:rFonts w:ascii="Gill Sans MT" w:eastAsia="Gill Sans MT" w:hAnsi="Gill Sans MT" w:cs="Gill Sans MT"/>
          <w:sz w:val="18"/>
          <w:szCs w:val="18"/>
        </w:rPr>
        <w:footnoteRef/>
      </w:r>
      <w:r w:rsidRPr="2B1D82F5">
        <w:rPr>
          <w:rFonts w:ascii="Gill Sans MT" w:eastAsia="Gill Sans MT" w:hAnsi="Gill Sans MT" w:cs="Gill Sans MT"/>
          <w:sz w:val="18"/>
          <w:szCs w:val="18"/>
        </w:rPr>
        <w:t xml:space="preserve"> </w:t>
      </w:r>
      <w:r w:rsidRPr="2B1D82F5">
        <w:rPr>
          <w:rFonts w:ascii="Gill Sans MT" w:eastAsia="Gill Sans MT" w:hAnsi="Gill Sans MT" w:cs="Gill Sans MT"/>
          <w:i/>
          <w:iCs/>
          <w:sz w:val="18"/>
          <w:szCs w:val="18"/>
        </w:rPr>
        <w:t>Official Gazette of the Republic of Serbia</w:t>
      </w:r>
      <w:r w:rsidRPr="2B1D82F5">
        <w:rPr>
          <w:rFonts w:ascii="Gill Sans MT" w:eastAsia="Gill Sans MT" w:hAnsi="Gill Sans MT" w:cs="Gill Sans MT"/>
          <w:sz w:val="18"/>
          <w:szCs w:val="18"/>
        </w:rPr>
        <w:t xml:space="preserve">, no. 67/2009, available in Serbian </w:t>
      </w:r>
      <w:hyperlink r:id="rId15">
        <w:r w:rsidRPr="2B1D82F5">
          <w:rPr>
            <w:rStyle w:val="Hipervnculo"/>
            <w:rFonts w:ascii="Gill Sans MT" w:eastAsia="Gill Sans MT" w:hAnsi="Gill Sans MT" w:cs="Gill Sans MT"/>
            <w:sz w:val="18"/>
            <w:szCs w:val="18"/>
          </w:rPr>
          <w:t>here</w:t>
        </w:r>
      </w:hyperlink>
      <w:r w:rsidRPr="2B1D82F5">
        <w:rPr>
          <w:rFonts w:ascii="Gill Sans MT" w:eastAsia="Gill Sans MT" w:hAnsi="Gill Sans MT" w:cs="Gill Sans MT"/>
          <w:sz w:val="18"/>
          <w:szCs w:val="18"/>
        </w:rPr>
        <w:t>.</w:t>
      </w:r>
    </w:p>
  </w:footnote>
  <w:footnote w:id="13">
    <w:p w14:paraId="4ABB75F8" w14:textId="4C53230B" w:rsidR="00030F03" w:rsidRPr="00030F03" w:rsidRDefault="00030F03">
      <w:pPr>
        <w:pStyle w:val="Textonotapie"/>
        <w:rPr>
          <w:lang w:val="sr-Latn-RS"/>
        </w:rPr>
      </w:pPr>
      <w:r>
        <w:rPr>
          <w:rStyle w:val="Refdenotaalpie"/>
        </w:rPr>
        <w:footnoteRef/>
      </w:r>
      <w:r>
        <w:t xml:space="preserve"> </w:t>
      </w:r>
      <w:r w:rsidRPr="00030F03">
        <w:t>In 2021, DRC recorded t</w:t>
      </w:r>
      <w:r w:rsidRPr="00030F03">
        <w:rPr>
          <w:rFonts w:cs="Arial"/>
          <w:color w:val="333333"/>
          <w:bdr w:val="none" w:sz="0" w:space="0" w:color="auto" w:frame="1"/>
          <w:shd w:val="clear" w:color="auto" w:fill="FFFFFF"/>
        </w:rPr>
        <w:t xml:space="preserve">he highest rates of pushbacks at the border between Croatia and Bosnia and Herzegovina, with 10 percent of all pushback incidents involving children, </w:t>
      </w:r>
      <w:hyperlink r:id="rId16" w:history="1">
        <w:r w:rsidRPr="00030F03">
          <w:rPr>
            <w:rStyle w:val="Hipervnculo"/>
            <w:rFonts w:cs="Arial"/>
            <w:bdr w:val="none" w:sz="0" w:space="0" w:color="auto" w:frame="1"/>
            <w:shd w:val="clear" w:color="auto" w:fill="FFFFFF"/>
          </w:rPr>
          <w:t>available here</w:t>
        </w:r>
      </w:hyperlink>
    </w:p>
  </w:footnote>
  <w:footnote w:id="14">
    <w:p w14:paraId="0D4EA5BB" w14:textId="2C32AD9F" w:rsidR="2B1D82F5" w:rsidRPr="00030F03" w:rsidRDefault="2B1D82F5" w:rsidP="00030F03">
      <w:pPr>
        <w:rPr>
          <w:sz w:val="20"/>
        </w:rPr>
      </w:pPr>
      <w:r w:rsidRPr="00030F03">
        <w:rPr>
          <w:rStyle w:val="Refdenotaalpie"/>
          <w:rFonts w:eastAsia="Gill Sans MT" w:cs="Gill Sans MT"/>
          <w:sz w:val="20"/>
        </w:rPr>
        <w:footnoteRef/>
      </w:r>
      <w:r w:rsidRPr="00030F03">
        <w:rPr>
          <w:rFonts w:eastAsia="Gill Sans MT" w:cs="Gill Sans MT"/>
          <w:sz w:val="20"/>
        </w:rPr>
        <w:t xml:space="preserve"> Protector of Citizens of the Republic of Serbia, </w:t>
      </w:r>
      <w:r w:rsidRPr="00030F03">
        <w:rPr>
          <w:rFonts w:eastAsia="Gill Sans MT" w:cs="Gill Sans MT"/>
          <w:i/>
          <w:iCs/>
          <w:sz w:val="20"/>
        </w:rPr>
        <w:t>National Report on the situation of human rights of migrants at the borders</w:t>
      </w:r>
      <w:r w:rsidRPr="00030F03">
        <w:rPr>
          <w:rFonts w:eastAsia="Gill Sans MT" w:cs="Gill Sans MT"/>
          <w:sz w:val="20"/>
        </w:rPr>
        <w:t xml:space="preserve">, July 2021, </w:t>
      </w:r>
      <w:hyperlink r:id="rId17">
        <w:r w:rsidRPr="00030F03">
          <w:rPr>
            <w:rStyle w:val="Hipervnculo"/>
            <w:rFonts w:eastAsia="Gill Sans MT" w:cs="Gill Sans MT"/>
            <w:sz w:val="20"/>
          </w:rPr>
          <w:t>available here</w:t>
        </w:r>
      </w:hyperlink>
      <w:r w:rsidRPr="00030F03">
        <w:rPr>
          <w:rFonts w:eastAsia="Gill Sans MT" w:cs="Gill Sans MT"/>
          <w:sz w:val="20"/>
        </w:rPr>
        <w:t>.</w:t>
      </w:r>
    </w:p>
  </w:footnote>
  <w:footnote w:id="15">
    <w:p w14:paraId="3715E635" w14:textId="4C594741" w:rsidR="2B1D82F5" w:rsidRPr="00030F03" w:rsidRDefault="2B1D82F5" w:rsidP="2B1D82F5">
      <w:pPr>
        <w:pStyle w:val="Textonotapie"/>
        <w:rPr>
          <w:rFonts w:eastAsia="Gill Sans MT" w:cs="Gill Sans MT"/>
        </w:rPr>
      </w:pPr>
      <w:r w:rsidRPr="00030F03">
        <w:rPr>
          <w:rStyle w:val="Refdenotaalpie"/>
          <w:rFonts w:eastAsia="Gill Sans MT" w:cs="Gill Sans MT"/>
        </w:rPr>
        <w:footnoteRef/>
      </w:r>
      <w:r w:rsidRPr="00030F03">
        <w:rPr>
          <w:rFonts w:eastAsia="Gill Sans MT" w:cs="Gill Sans MT"/>
        </w:rPr>
        <w:t xml:space="preserve"> ’Five-year-old migrant boy drowns in river on the Bosnia-Croatia border’, N1, 30 July 2021, </w:t>
      </w:r>
      <w:hyperlink r:id="rId18">
        <w:r w:rsidRPr="00030F03">
          <w:rPr>
            <w:rStyle w:val="Hipervnculo"/>
            <w:rFonts w:eastAsia="Gill Sans MT" w:cs="Gill Sans MT"/>
          </w:rPr>
          <w:t>available here</w:t>
        </w:r>
      </w:hyperlink>
      <w:r w:rsidRPr="00030F03">
        <w:rPr>
          <w:rFonts w:eastAsia="Gill Sans MT" w:cs="Gill Sans MT"/>
        </w:rPr>
        <w:t>.</w:t>
      </w:r>
    </w:p>
  </w:footnote>
  <w:footnote w:id="16">
    <w:p w14:paraId="666FDF7F" w14:textId="29743DC4" w:rsidR="2B1D82F5" w:rsidRPr="00030F03" w:rsidRDefault="2B1D82F5" w:rsidP="2B1D82F5">
      <w:pPr>
        <w:pStyle w:val="Textonotapie"/>
        <w:rPr>
          <w:rFonts w:eastAsia="Gill Sans MT" w:cs="Gill Sans MT"/>
        </w:rPr>
      </w:pPr>
      <w:r w:rsidRPr="00030F03">
        <w:rPr>
          <w:rStyle w:val="Refdenotaalpie"/>
          <w:rFonts w:eastAsia="Gill Sans MT" w:cs="Gill Sans MT"/>
        </w:rPr>
        <w:footnoteRef/>
      </w:r>
      <w:r w:rsidRPr="00030F03">
        <w:rPr>
          <w:rFonts w:eastAsia="Gill Sans MT" w:cs="Gill Sans MT"/>
        </w:rPr>
        <w:t xml:space="preserve"> Human Rights Watch, </w:t>
      </w:r>
      <w:r w:rsidRPr="00030F03">
        <w:rPr>
          <w:rFonts w:eastAsia="Gill Sans MT" w:cs="Gill Sans MT"/>
          <w:i/>
          <w:iCs/>
        </w:rPr>
        <w:t>Croatia/EU: Strengthen Border Monitoring System</w:t>
      </w:r>
      <w:r w:rsidRPr="00030F03">
        <w:rPr>
          <w:rFonts w:eastAsia="Gill Sans MT" w:cs="Gill Sans MT"/>
        </w:rPr>
        <w:t xml:space="preserve">, 2 August 2021, </w:t>
      </w:r>
      <w:hyperlink r:id="rId19">
        <w:r w:rsidRPr="00030F03">
          <w:rPr>
            <w:rStyle w:val="Hipervnculo"/>
            <w:rFonts w:eastAsia="Gill Sans MT" w:cs="Gill Sans MT"/>
          </w:rPr>
          <w:t>available here</w:t>
        </w:r>
      </w:hyperlink>
      <w:r w:rsidRPr="00030F03">
        <w:rPr>
          <w:rFonts w:eastAsia="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B1D82F5" w14:paraId="69E495FB" w14:textId="77777777" w:rsidTr="2B1D82F5">
      <w:tc>
        <w:tcPr>
          <w:tcW w:w="3020" w:type="dxa"/>
        </w:tcPr>
        <w:p w14:paraId="02F8D034" w14:textId="7773FE38" w:rsidR="2B1D82F5" w:rsidRDefault="2B1D82F5" w:rsidP="2B1D82F5">
          <w:pPr>
            <w:pStyle w:val="Encabezado"/>
            <w:ind w:left="-115"/>
          </w:pPr>
        </w:p>
      </w:tc>
      <w:tc>
        <w:tcPr>
          <w:tcW w:w="3020" w:type="dxa"/>
        </w:tcPr>
        <w:p w14:paraId="5AF6A273" w14:textId="4F1D3703" w:rsidR="2B1D82F5" w:rsidRDefault="2B1D82F5" w:rsidP="2B1D82F5">
          <w:pPr>
            <w:pStyle w:val="Encabezado"/>
            <w:jc w:val="center"/>
          </w:pPr>
        </w:p>
      </w:tc>
      <w:tc>
        <w:tcPr>
          <w:tcW w:w="3020" w:type="dxa"/>
        </w:tcPr>
        <w:p w14:paraId="132A72BB" w14:textId="77C923CB" w:rsidR="2B1D82F5" w:rsidRDefault="2B1D82F5" w:rsidP="2B1D82F5">
          <w:pPr>
            <w:pStyle w:val="Encabezado"/>
            <w:ind w:right="-115"/>
            <w:jc w:val="right"/>
          </w:pPr>
        </w:p>
      </w:tc>
    </w:tr>
  </w:tbl>
  <w:p w14:paraId="3A7CAD9C" w14:textId="44AB1AFD" w:rsidR="2B1D82F5" w:rsidRDefault="2B1D82F5" w:rsidP="2B1D82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FD5" w14:textId="77777777" w:rsidR="00A315D2" w:rsidRDefault="00B66612">
    <w:pPr>
      <w:pStyle w:val="Encabezado"/>
    </w:pPr>
    <w:r>
      <w:rPr>
        <w:noProof/>
        <w:lang w:val="es-ES" w:eastAsia="es-ES"/>
      </w:rPr>
      <w:drawing>
        <wp:anchor distT="0" distB="0" distL="114300" distR="114300" simplePos="0" relativeHeight="251655168" behindDoc="1" locked="1" layoutInCell="1" allowOverlap="1" wp14:anchorId="01DF71C4" wp14:editId="741C10B1">
          <wp:simplePos x="0" y="0"/>
          <wp:positionH relativeFrom="page">
            <wp:posOffset>4464685</wp:posOffset>
          </wp:positionH>
          <wp:positionV relativeFrom="page">
            <wp:posOffset>464185</wp:posOffset>
          </wp:positionV>
          <wp:extent cx="2512800" cy="514800"/>
          <wp:effectExtent l="0" t="0" r="190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2800" cy="51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90A9F4"/>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62AE20D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412296A"/>
    <w:lvl w:ilvl="0">
      <w:start w:val="1"/>
      <w:numFmt w:val="decimal"/>
      <w:lvlText w:val="%1."/>
      <w:lvlJc w:val="left"/>
      <w:pPr>
        <w:ind w:left="360" w:hanging="360"/>
      </w:pPr>
      <w:rPr>
        <w:rFonts w:hint="default"/>
        <w:color w:val="DA291C" w:themeColor="background2"/>
      </w:rPr>
    </w:lvl>
  </w:abstractNum>
  <w:abstractNum w:abstractNumId="3" w15:restartNumberingAfterBreak="0">
    <w:nsid w:val="FFFFFF89"/>
    <w:multiLevelType w:val="singleLevel"/>
    <w:tmpl w:val="7EBA4946"/>
    <w:lvl w:ilvl="0">
      <w:start w:val="1"/>
      <w:numFmt w:val="bullet"/>
      <w:pStyle w:val="Listaconvietas"/>
      <w:lvlText w:val=""/>
      <w:lvlJc w:val="left"/>
      <w:pPr>
        <w:ind w:left="360" w:hanging="360"/>
      </w:pPr>
      <w:rPr>
        <w:rFonts w:ascii="Symbol" w:hAnsi="Symbol" w:hint="default"/>
        <w:color w:val="DA291C" w:themeColor="background2"/>
      </w:rPr>
    </w:lvl>
  </w:abstractNum>
  <w:abstractNum w:abstractNumId="4" w15:restartNumberingAfterBreak="0">
    <w:nsid w:val="0BDF2726"/>
    <w:multiLevelType w:val="hybridMultilevel"/>
    <w:tmpl w:val="4282C56A"/>
    <w:lvl w:ilvl="0" w:tplc="2A4E74B8">
      <w:start w:val="1"/>
      <w:numFmt w:val="bullet"/>
      <w:lvlText w:val=""/>
      <w:lvlJc w:val="left"/>
      <w:pPr>
        <w:ind w:left="720" w:hanging="360"/>
      </w:pPr>
      <w:rPr>
        <w:rFonts w:ascii="Symbol" w:hAnsi="Symbol" w:hint="default"/>
      </w:rPr>
    </w:lvl>
    <w:lvl w:ilvl="1" w:tplc="3F7E0F06">
      <w:start w:val="1"/>
      <w:numFmt w:val="bullet"/>
      <w:lvlText w:val="o"/>
      <w:lvlJc w:val="left"/>
      <w:pPr>
        <w:ind w:left="1440" w:hanging="360"/>
      </w:pPr>
      <w:rPr>
        <w:rFonts w:ascii="Courier New" w:hAnsi="Courier New" w:hint="default"/>
      </w:rPr>
    </w:lvl>
    <w:lvl w:ilvl="2" w:tplc="B8F06206">
      <w:start w:val="1"/>
      <w:numFmt w:val="bullet"/>
      <w:lvlText w:val=""/>
      <w:lvlJc w:val="left"/>
      <w:pPr>
        <w:ind w:left="2160" w:hanging="360"/>
      </w:pPr>
      <w:rPr>
        <w:rFonts w:ascii="Wingdings" w:hAnsi="Wingdings" w:hint="default"/>
      </w:rPr>
    </w:lvl>
    <w:lvl w:ilvl="3" w:tplc="DE24C97A">
      <w:start w:val="1"/>
      <w:numFmt w:val="bullet"/>
      <w:lvlText w:val=""/>
      <w:lvlJc w:val="left"/>
      <w:pPr>
        <w:ind w:left="2880" w:hanging="360"/>
      </w:pPr>
      <w:rPr>
        <w:rFonts w:ascii="Symbol" w:hAnsi="Symbol" w:hint="default"/>
      </w:rPr>
    </w:lvl>
    <w:lvl w:ilvl="4" w:tplc="E4BED64C">
      <w:start w:val="1"/>
      <w:numFmt w:val="bullet"/>
      <w:lvlText w:val="o"/>
      <w:lvlJc w:val="left"/>
      <w:pPr>
        <w:ind w:left="3600" w:hanging="360"/>
      </w:pPr>
      <w:rPr>
        <w:rFonts w:ascii="Courier New" w:hAnsi="Courier New" w:hint="default"/>
      </w:rPr>
    </w:lvl>
    <w:lvl w:ilvl="5" w:tplc="CC2C4406">
      <w:start w:val="1"/>
      <w:numFmt w:val="bullet"/>
      <w:lvlText w:val=""/>
      <w:lvlJc w:val="left"/>
      <w:pPr>
        <w:ind w:left="4320" w:hanging="360"/>
      </w:pPr>
      <w:rPr>
        <w:rFonts w:ascii="Wingdings" w:hAnsi="Wingdings" w:hint="default"/>
      </w:rPr>
    </w:lvl>
    <w:lvl w:ilvl="6" w:tplc="2AA2DF58">
      <w:start w:val="1"/>
      <w:numFmt w:val="bullet"/>
      <w:lvlText w:val=""/>
      <w:lvlJc w:val="left"/>
      <w:pPr>
        <w:ind w:left="5040" w:hanging="360"/>
      </w:pPr>
      <w:rPr>
        <w:rFonts w:ascii="Symbol" w:hAnsi="Symbol" w:hint="default"/>
      </w:rPr>
    </w:lvl>
    <w:lvl w:ilvl="7" w:tplc="AC1081B8">
      <w:start w:val="1"/>
      <w:numFmt w:val="bullet"/>
      <w:lvlText w:val="o"/>
      <w:lvlJc w:val="left"/>
      <w:pPr>
        <w:ind w:left="5760" w:hanging="360"/>
      </w:pPr>
      <w:rPr>
        <w:rFonts w:ascii="Courier New" w:hAnsi="Courier New" w:hint="default"/>
      </w:rPr>
    </w:lvl>
    <w:lvl w:ilvl="8" w:tplc="DB7A6DA0">
      <w:start w:val="1"/>
      <w:numFmt w:val="bullet"/>
      <w:lvlText w:val=""/>
      <w:lvlJc w:val="left"/>
      <w:pPr>
        <w:ind w:left="6480" w:hanging="360"/>
      </w:pPr>
      <w:rPr>
        <w:rFonts w:ascii="Wingdings" w:hAnsi="Wingdings" w:hint="default"/>
      </w:rPr>
    </w:lvl>
  </w:abstractNum>
  <w:abstractNum w:abstractNumId="5" w15:restartNumberingAfterBreak="0">
    <w:nsid w:val="0CA07FD3"/>
    <w:multiLevelType w:val="hybridMultilevel"/>
    <w:tmpl w:val="3E72F8D6"/>
    <w:lvl w:ilvl="0" w:tplc="C010D00C">
      <w:start w:val="1"/>
      <w:numFmt w:val="bullet"/>
      <w:lvlText w:val="-"/>
      <w:lvlJc w:val="left"/>
      <w:pPr>
        <w:ind w:left="720" w:hanging="360"/>
      </w:pPr>
      <w:rPr>
        <w:rFonts w:ascii="Calibri" w:hAnsi="Calibri" w:hint="default"/>
      </w:rPr>
    </w:lvl>
    <w:lvl w:ilvl="1" w:tplc="F3B4C394">
      <w:start w:val="1"/>
      <w:numFmt w:val="bullet"/>
      <w:lvlText w:val="o"/>
      <w:lvlJc w:val="left"/>
      <w:pPr>
        <w:ind w:left="1440" w:hanging="360"/>
      </w:pPr>
      <w:rPr>
        <w:rFonts w:ascii="Courier New" w:hAnsi="Courier New" w:hint="default"/>
      </w:rPr>
    </w:lvl>
    <w:lvl w:ilvl="2" w:tplc="B1020DF2">
      <w:start w:val="1"/>
      <w:numFmt w:val="bullet"/>
      <w:lvlText w:val=""/>
      <w:lvlJc w:val="left"/>
      <w:pPr>
        <w:ind w:left="2160" w:hanging="360"/>
      </w:pPr>
      <w:rPr>
        <w:rFonts w:ascii="Wingdings" w:hAnsi="Wingdings" w:hint="default"/>
      </w:rPr>
    </w:lvl>
    <w:lvl w:ilvl="3" w:tplc="56A2F826">
      <w:start w:val="1"/>
      <w:numFmt w:val="bullet"/>
      <w:lvlText w:val=""/>
      <w:lvlJc w:val="left"/>
      <w:pPr>
        <w:ind w:left="2880" w:hanging="360"/>
      </w:pPr>
      <w:rPr>
        <w:rFonts w:ascii="Symbol" w:hAnsi="Symbol" w:hint="default"/>
      </w:rPr>
    </w:lvl>
    <w:lvl w:ilvl="4" w:tplc="9378CE2A">
      <w:start w:val="1"/>
      <w:numFmt w:val="bullet"/>
      <w:lvlText w:val="o"/>
      <w:lvlJc w:val="left"/>
      <w:pPr>
        <w:ind w:left="3600" w:hanging="360"/>
      </w:pPr>
      <w:rPr>
        <w:rFonts w:ascii="Courier New" w:hAnsi="Courier New" w:hint="default"/>
      </w:rPr>
    </w:lvl>
    <w:lvl w:ilvl="5" w:tplc="A8BCA952">
      <w:start w:val="1"/>
      <w:numFmt w:val="bullet"/>
      <w:lvlText w:val=""/>
      <w:lvlJc w:val="left"/>
      <w:pPr>
        <w:ind w:left="4320" w:hanging="360"/>
      </w:pPr>
      <w:rPr>
        <w:rFonts w:ascii="Wingdings" w:hAnsi="Wingdings" w:hint="default"/>
      </w:rPr>
    </w:lvl>
    <w:lvl w:ilvl="6" w:tplc="6006568A">
      <w:start w:val="1"/>
      <w:numFmt w:val="bullet"/>
      <w:lvlText w:val=""/>
      <w:lvlJc w:val="left"/>
      <w:pPr>
        <w:ind w:left="5040" w:hanging="360"/>
      </w:pPr>
      <w:rPr>
        <w:rFonts w:ascii="Symbol" w:hAnsi="Symbol" w:hint="default"/>
      </w:rPr>
    </w:lvl>
    <w:lvl w:ilvl="7" w:tplc="8598AAAA">
      <w:start w:val="1"/>
      <w:numFmt w:val="bullet"/>
      <w:lvlText w:val="o"/>
      <w:lvlJc w:val="left"/>
      <w:pPr>
        <w:ind w:left="5760" w:hanging="360"/>
      </w:pPr>
      <w:rPr>
        <w:rFonts w:ascii="Courier New" w:hAnsi="Courier New" w:hint="default"/>
      </w:rPr>
    </w:lvl>
    <w:lvl w:ilvl="8" w:tplc="CE12205C">
      <w:start w:val="1"/>
      <w:numFmt w:val="bullet"/>
      <w:lvlText w:val=""/>
      <w:lvlJc w:val="left"/>
      <w:pPr>
        <w:ind w:left="6480" w:hanging="360"/>
      </w:pPr>
      <w:rPr>
        <w:rFonts w:ascii="Wingdings" w:hAnsi="Wingdings" w:hint="default"/>
      </w:rPr>
    </w:lvl>
  </w:abstractNum>
  <w:abstractNum w:abstractNumId="6" w15:restartNumberingAfterBreak="0">
    <w:nsid w:val="39262E0D"/>
    <w:multiLevelType w:val="hybridMultilevel"/>
    <w:tmpl w:val="0734A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F4F4144"/>
    <w:multiLevelType w:val="hybridMultilevel"/>
    <w:tmpl w:val="0E02AAEE"/>
    <w:lvl w:ilvl="0" w:tplc="138E866E">
      <w:start w:val="1"/>
      <w:numFmt w:val="bullet"/>
      <w:lvlText w:val="-"/>
      <w:lvlJc w:val="left"/>
      <w:pPr>
        <w:ind w:left="720" w:hanging="360"/>
      </w:pPr>
      <w:rPr>
        <w:rFonts w:ascii="Calibri" w:hAnsi="Calibri" w:hint="default"/>
      </w:rPr>
    </w:lvl>
    <w:lvl w:ilvl="1" w:tplc="A5C270E8">
      <w:start w:val="1"/>
      <w:numFmt w:val="bullet"/>
      <w:lvlText w:val="o"/>
      <w:lvlJc w:val="left"/>
      <w:pPr>
        <w:ind w:left="1440" w:hanging="360"/>
      </w:pPr>
      <w:rPr>
        <w:rFonts w:ascii="Courier New" w:hAnsi="Courier New" w:hint="default"/>
      </w:rPr>
    </w:lvl>
    <w:lvl w:ilvl="2" w:tplc="DB665BBE">
      <w:start w:val="1"/>
      <w:numFmt w:val="bullet"/>
      <w:lvlText w:val=""/>
      <w:lvlJc w:val="left"/>
      <w:pPr>
        <w:ind w:left="2160" w:hanging="360"/>
      </w:pPr>
      <w:rPr>
        <w:rFonts w:ascii="Wingdings" w:hAnsi="Wingdings" w:hint="default"/>
      </w:rPr>
    </w:lvl>
    <w:lvl w:ilvl="3" w:tplc="EBFCC990">
      <w:start w:val="1"/>
      <w:numFmt w:val="bullet"/>
      <w:lvlText w:val=""/>
      <w:lvlJc w:val="left"/>
      <w:pPr>
        <w:ind w:left="2880" w:hanging="360"/>
      </w:pPr>
      <w:rPr>
        <w:rFonts w:ascii="Symbol" w:hAnsi="Symbol" w:hint="default"/>
      </w:rPr>
    </w:lvl>
    <w:lvl w:ilvl="4" w:tplc="5426A0F6">
      <w:start w:val="1"/>
      <w:numFmt w:val="bullet"/>
      <w:lvlText w:val="o"/>
      <w:lvlJc w:val="left"/>
      <w:pPr>
        <w:ind w:left="3600" w:hanging="360"/>
      </w:pPr>
      <w:rPr>
        <w:rFonts w:ascii="Courier New" w:hAnsi="Courier New" w:hint="default"/>
      </w:rPr>
    </w:lvl>
    <w:lvl w:ilvl="5" w:tplc="6DB06446">
      <w:start w:val="1"/>
      <w:numFmt w:val="bullet"/>
      <w:lvlText w:val=""/>
      <w:lvlJc w:val="left"/>
      <w:pPr>
        <w:ind w:left="4320" w:hanging="360"/>
      </w:pPr>
      <w:rPr>
        <w:rFonts w:ascii="Wingdings" w:hAnsi="Wingdings" w:hint="default"/>
      </w:rPr>
    </w:lvl>
    <w:lvl w:ilvl="6" w:tplc="57F027F2">
      <w:start w:val="1"/>
      <w:numFmt w:val="bullet"/>
      <w:lvlText w:val=""/>
      <w:lvlJc w:val="left"/>
      <w:pPr>
        <w:ind w:left="5040" w:hanging="360"/>
      </w:pPr>
      <w:rPr>
        <w:rFonts w:ascii="Symbol" w:hAnsi="Symbol" w:hint="default"/>
      </w:rPr>
    </w:lvl>
    <w:lvl w:ilvl="7" w:tplc="F30A8E2E">
      <w:start w:val="1"/>
      <w:numFmt w:val="bullet"/>
      <w:lvlText w:val="o"/>
      <w:lvlJc w:val="left"/>
      <w:pPr>
        <w:ind w:left="5760" w:hanging="360"/>
      </w:pPr>
      <w:rPr>
        <w:rFonts w:ascii="Courier New" w:hAnsi="Courier New" w:hint="default"/>
      </w:rPr>
    </w:lvl>
    <w:lvl w:ilvl="8" w:tplc="03566BEC">
      <w:start w:val="1"/>
      <w:numFmt w:val="bullet"/>
      <w:lvlText w:val=""/>
      <w:lvlJc w:val="left"/>
      <w:pPr>
        <w:ind w:left="6480" w:hanging="360"/>
      </w:pPr>
      <w:rPr>
        <w:rFonts w:ascii="Wingdings" w:hAnsi="Wingdings" w:hint="default"/>
      </w:rPr>
    </w:lvl>
  </w:abstractNum>
  <w:abstractNum w:abstractNumId="8" w15:restartNumberingAfterBreak="0">
    <w:nsid w:val="4FD264A0"/>
    <w:multiLevelType w:val="hybridMultilevel"/>
    <w:tmpl w:val="45F640E4"/>
    <w:lvl w:ilvl="0" w:tplc="B9744B10">
      <w:start w:val="1"/>
      <w:numFmt w:val="bullet"/>
      <w:lvlText w:val="-"/>
      <w:lvlJc w:val="left"/>
      <w:pPr>
        <w:ind w:left="720" w:hanging="360"/>
      </w:pPr>
      <w:rPr>
        <w:rFonts w:ascii="Calibri" w:hAnsi="Calibri" w:hint="default"/>
      </w:rPr>
    </w:lvl>
    <w:lvl w:ilvl="1" w:tplc="3B6E5D72">
      <w:start w:val="1"/>
      <w:numFmt w:val="bullet"/>
      <w:lvlText w:val="o"/>
      <w:lvlJc w:val="left"/>
      <w:pPr>
        <w:ind w:left="1440" w:hanging="360"/>
      </w:pPr>
      <w:rPr>
        <w:rFonts w:ascii="Courier New" w:hAnsi="Courier New" w:hint="default"/>
      </w:rPr>
    </w:lvl>
    <w:lvl w:ilvl="2" w:tplc="35C2CE68">
      <w:start w:val="1"/>
      <w:numFmt w:val="bullet"/>
      <w:lvlText w:val=""/>
      <w:lvlJc w:val="left"/>
      <w:pPr>
        <w:ind w:left="2160" w:hanging="360"/>
      </w:pPr>
      <w:rPr>
        <w:rFonts w:ascii="Wingdings" w:hAnsi="Wingdings" w:hint="default"/>
      </w:rPr>
    </w:lvl>
    <w:lvl w:ilvl="3" w:tplc="E182C786">
      <w:start w:val="1"/>
      <w:numFmt w:val="bullet"/>
      <w:lvlText w:val=""/>
      <w:lvlJc w:val="left"/>
      <w:pPr>
        <w:ind w:left="2880" w:hanging="360"/>
      </w:pPr>
      <w:rPr>
        <w:rFonts w:ascii="Symbol" w:hAnsi="Symbol" w:hint="default"/>
      </w:rPr>
    </w:lvl>
    <w:lvl w:ilvl="4" w:tplc="1A268F5E">
      <w:start w:val="1"/>
      <w:numFmt w:val="bullet"/>
      <w:lvlText w:val="o"/>
      <w:lvlJc w:val="left"/>
      <w:pPr>
        <w:ind w:left="3600" w:hanging="360"/>
      </w:pPr>
      <w:rPr>
        <w:rFonts w:ascii="Courier New" w:hAnsi="Courier New" w:hint="default"/>
      </w:rPr>
    </w:lvl>
    <w:lvl w:ilvl="5" w:tplc="9548996E">
      <w:start w:val="1"/>
      <w:numFmt w:val="bullet"/>
      <w:lvlText w:val=""/>
      <w:lvlJc w:val="left"/>
      <w:pPr>
        <w:ind w:left="4320" w:hanging="360"/>
      </w:pPr>
      <w:rPr>
        <w:rFonts w:ascii="Wingdings" w:hAnsi="Wingdings" w:hint="default"/>
      </w:rPr>
    </w:lvl>
    <w:lvl w:ilvl="6" w:tplc="A6E2A148">
      <w:start w:val="1"/>
      <w:numFmt w:val="bullet"/>
      <w:lvlText w:val=""/>
      <w:lvlJc w:val="left"/>
      <w:pPr>
        <w:ind w:left="5040" w:hanging="360"/>
      </w:pPr>
      <w:rPr>
        <w:rFonts w:ascii="Symbol" w:hAnsi="Symbol" w:hint="default"/>
      </w:rPr>
    </w:lvl>
    <w:lvl w:ilvl="7" w:tplc="F8DCBAB6">
      <w:start w:val="1"/>
      <w:numFmt w:val="bullet"/>
      <w:lvlText w:val="o"/>
      <w:lvlJc w:val="left"/>
      <w:pPr>
        <w:ind w:left="5760" w:hanging="360"/>
      </w:pPr>
      <w:rPr>
        <w:rFonts w:ascii="Courier New" w:hAnsi="Courier New" w:hint="default"/>
      </w:rPr>
    </w:lvl>
    <w:lvl w:ilvl="8" w:tplc="82846A64">
      <w:start w:val="1"/>
      <w:numFmt w:val="bullet"/>
      <w:lvlText w:val=""/>
      <w:lvlJc w:val="left"/>
      <w:pPr>
        <w:ind w:left="6480" w:hanging="360"/>
      </w:pPr>
      <w:rPr>
        <w:rFonts w:ascii="Wingdings" w:hAnsi="Wingdings" w:hint="default"/>
      </w:rPr>
    </w:lvl>
  </w:abstractNum>
  <w:abstractNum w:abstractNumId="9" w15:restartNumberingAfterBreak="0">
    <w:nsid w:val="7A991B4F"/>
    <w:multiLevelType w:val="hybridMultilevel"/>
    <w:tmpl w:val="BFE42FBA"/>
    <w:lvl w:ilvl="0" w:tplc="468A67E8">
      <w:start w:val="1"/>
      <w:numFmt w:val="bullet"/>
      <w:lvlText w:val="-"/>
      <w:lvlJc w:val="left"/>
      <w:pPr>
        <w:ind w:left="720" w:hanging="360"/>
      </w:pPr>
      <w:rPr>
        <w:rFonts w:ascii="Calibri" w:hAnsi="Calibri" w:hint="default"/>
      </w:rPr>
    </w:lvl>
    <w:lvl w:ilvl="1" w:tplc="D068DBEE">
      <w:start w:val="1"/>
      <w:numFmt w:val="bullet"/>
      <w:lvlText w:val="o"/>
      <w:lvlJc w:val="left"/>
      <w:pPr>
        <w:ind w:left="1440" w:hanging="360"/>
      </w:pPr>
      <w:rPr>
        <w:rFonts w:ascii="Courier New" w:hAnsi="Courier New" w:hint="default"/>
      </w:rPr>
    </w:lvl>
    <w:lvl w:ilvl="2" w:tplc="FB5EF096">
      <w:start w:val="1"/>
      <w:numFmt w:val="bullet"/>
      <w:lvlText w:val=""/>
      <w:lvlJc w:val="left"/>
      <w:pPr>
        <w:ind w:left="2160" w:hanging="360"/>
      </w:pPr>
      <w:rPr>
        <w:rFonts w:ascii="Wingdings" w:hAnsi="Wingdings" w:hint="default"/>
      </w:rPr>
    </w:lvl>
    <w:lvl w:ilvl="3" w:tplc="5688212E">
      <w:start w:val="1"/>
      <w:numFmt w:val="bullet"/>
      <w:lvlText w:val=""/>
      <w:lvlJc w:val="left"/>
      <w:pPr>
        <w:ind w:left="2880" w:hanging="360"/>
      </w:pPr>
      <w:rPr>
        <w:rFonts w:ascii="Symbol" w:hAnsi="Symbol" w:hint="default"/>
      </w:rPr>
    </w:lvl>
    <w:lvl w:ilvl="4" w:tplc="40E61006">
      <w:start w:val="1"/>
      <w:numFmt w:val="bullet"/>
      <w:lvlText w:val="o"/>
      <w:lvlJc w:val="left"/>
      <w:pPr>
        <w:ind w:left="3600" w:hanging="360"/>
      </w:pPr>
      <w:rPr>
        <w:rFonts w:ascii="Courier New" w:hAnsi="Courier New" w:hint="default"/>
      </w:rPr>
    </w:lvl>
    <w:lvl w:ilvl="5" w:tplc="FC0849C8">
      <w:start w:val="1"/>
      <w:numFmt w:val="bullet"/>
      <w:lvlText w:val=""/>
      <w:lvlJc w:val="left"/>
      <w:pPr>
        <w:ind w:left="4320" w:hanging="360"/>
      </w:pPr>
      <w:rPr>
        <w:rFonts w:ascii="Wingdings" w:hAnsi="Wingdings" w:hint="default"/>
      </w:rPr>
    </w:lvl>
    <w:lvl w:ilvl="6" w:tplc="11AC7468">
      <w:start w:val="1"/>
      <w:numFmt w:val="bullet"/>
      <w:lvlText w:val=""/>
      <w:lvlJc w:val="left"/>
      <w:pPr>
        <w:ind w:left="5040" w:hanging="360"/>
      </w:pPr>
      <w:rPr>
        <w:rFonts w:ascii="Symbol" w:hAnsi="Symbol" w:hint="default"/>
      </w:rPr>
    </w:lvl>
    <w:lvl w:ilvl="7" w:tplc="157A3548">
      <w:start w:val="1"/>
      <w:numFmt w:val="bullet"/>
      <w:lvlText w:val="o"/>
      <w:lvlJc w:val="left"/>
      <w:pPr>
        <w:ind w:left="5760" w:hanging="360"/>
      </w:pPr>
      <w:rPr>
        <w:rFonts w:ascii="Courier New" w:hAnsi="Courier New" w:hint="default"/>
      </w:rPr>
    </w:lvl>
    <w:lvl w:ilvl="8" w:tplc="9810432A">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9"/>
  </w:num>
  <w:num w:numId="5">
    <w:abstractNumId w:val="4"/>
  </w:num>
  <w:num w:numId="6">
    <w:abstractNumId w:val="3"/>
  </w:num>
  <w:num w:numId="7">
    <w:abstractNumId w:val="3"/>
  </w:num>
  <w:num w:numId="8">
    <w:abstractNumId w:val="1"/>
  </w:num>
  <w:num w:numId="9">
    <w:abstractNumId w:val="1"/>
  </w:num>
  <w:num w:numId="10">
    <w:abstractNumId w:val="2"/>
  </w:num>
  <w:num w:numId="11">
    <w:abstractNumId w:val="2"/>
  </w:num>
  <w:num w:numId="12">
    <w:abstractNumId w:val="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sDA3MrM0sLA0MzBV0lEKTi0uzszPAykwrAUApdXfySwAAAA="/>
  </w:docVars>
  <w:rsids>
    <w:rsidRoot w:val="00B66612"/>
    <w:rsid w:val="00005A40"/>
    <w:rsid w:val="00015AB0"/>
    <w:rsid w:val="00030F03"/>
    <w:rsid w:val="00095949"/>
    <w:rsid w:val="000A72D2"/>
    <w:rsid w:val="000E5058"/>
    <w:rsid w:val="000F0FB4"/>
    <w:rsid w:val="001038F3"/>
    <w:rsid w:val="00110789"/>
    <w:rsid w:val="00114BC2"/>
    <w:rsid w:val="00125C49"/>
    <w:rsid w:val="00140C80"/>
    <w:rsid w:val="001980BC"/>
    <w:rsid w:val="001C781A"/>
    <w:rsid w:val="001E2A4A"/>
    <w:rsid w:val="001E4C89"/>
    <w:rsid w:val="001E6B1C"/>
    <w:rsid w:val="001F425D"/>
    <w:rsid w:val="0021036D"/>
    <w:rsid w:val="00291299"/>
    <w:rsid w:val="00292182"/>
    <w:rsid w:val="002C54B2"/>
    <w:rsid w:val="002D0765"/>
    <w:rsid w:val="00300AD9"/>
    <w:rsid w:val="00306153"/>
    <w:rsid w:val="003126DA"/>
    <w:rsid w:val="00333716"/>
    <w:rsid w:val="00364285"/>
    <w:rsid w:val="00370C5D"/>
    <w:rsid w:val="00371BE4"/>
    <w:rsid w:val="00375EC3"/>
    <w:rsid w:val="003A52F6"/>
    <w:rsid w:val="003C1318"/>
    <w:rsid w:val="003C14B6"/>
    <w:rsid w:val="003C6212"/>
    <w:rsid w:val="003E3DAF"/>
    <w:rsid w:val="003E7D14"/>
    <w:rsid w:val="003F5E6B"/>
    <w:rsid w:val="0040206B"/>
    <w:rsid w:val="00476B84"/>
    <w:rsid w:val="00485183"/>
    <w:rsid w:val="004A4EC9"/>
    <w:rsid w:val="0051694F"/>
    <w:rsid w:val="0052337A"/>
    <w:rsid w:val="005B4297"/>
    <w:rsid w:val="005D3DA0"/>
    <w:rsid w:val="00705237"/>
    <w:rsid w:val="00716900"/>
    <w:rsid w:val="00721EB0"/>
    <w:rsid w:val="00774DD1"/>
    <w:rsid w:val="00792D9D"/>
    <w:rsid w:val="007B19FD"/>
    <w:rsid w:val="007F0FE8"/>
    <w:rsid w:val="008A67DF"/>
    <w:rsid w:val="008B1576"/>
    <w:rsid w:val="008C6E27"/>
    <w:rsid w:val="008D6E8B"/>
    <w:rsid w:val="00921087"/>
    <w:rsid w:val="009274F2"/>
    <w:rsid w:val="00936D77"/>
    <w:rsid w:val="009628E6"/>
    <w:rsid w:val="009F42B2"/>
    <w:rsid w:val="00A11EDD"/>
    <w:rsid w:val="00A315D2"/>
    <w:rsid w:val="00A34AED"/>
    <w:rsid w:val="00A8502F"/>
    <w:rsid w:val="00AA3709"/>
    <w:rsid w:val="00AA3F90"/>
    <w:rsid w:val="00AA6395"/>
    <w:rsid w:val="00AE47C1"/>
    <w:rsid w:val="00AE594A"/>
    <w:rsid w:val="00B66612"/>
    <w:rsid w:val="00B86AFF"/>
    <w:rsid w:val="00B90FC5"/>
    <w:rsid w:val="00BB5CB8"/>
    <w:rsid w:val="00BD59C7"/>
    <w:rsid w:val="00BE570E"/>
    <w:rsid w:val="00C36769"/>
    <w:rsid w:val="00C9449A"/>
    <w:rsid w:val="00D04BC6"/>
    <w:rsid w:val="00D25B96"/>
    <w:rsid w:val="00D8474D"/>
    <w:rsid w:val="00DB3A86"/>
    <w:rsid w:val="00DB5A44"/>
    <w:rsid w:val="00DB7C30"/>
    <w:rsid w:val="00DD291B"/>
    <w:rsid w:val="00DE3800"/>
    <w:rsid w:val="00DE67A9"/>
    <w:rsid w:val="00E0533E"/>
    <w:rsid w:val="00E113A8"/>
    <w:rsid w:val="00E15B4C"/>
    <w:rsid w:val="00E17795"/>
    <w:rsid w:val="00E21D04"/>
    <w:rsid w:val="00E27D8A"/>
    <w:rsid w:val="00E34BBB"/>
    <w:rsid w:val="00E35BDB"/>
    <w:rsid w:val="00E83987"/>
    <w:rsid w:val="00EF755D"/>
    <w:rsid w:val="00F03B71"/>
    <w:rsid w:val="00F11933"/>
    <w:rsid w:val="00F14891"/>
    <w:rsid w:val="00F14C45"/>
    <w:rsid w:val="00F307F3"/>
    <w:rsid w:val="00F60EC3"/>
    <w:rsid w:val="00F667FA"/>
    <w:rsid w:val="00F7034F"/>
    <w:rsid w:val="00FC328D"/>
    <w:rsid w:val="01877EBA"/>
    <w:rsid w:val="02702B0B"/>
    <w:rsid w:val="0287FE2D"/>
    <w:rsid w:val="0292644B"/>
    <w:rsid w:val="02A29DEB"/>
    <w:rsid w:val="02B39C54"/>
    <w:rsid w:val="03CC9B99"/>
    <w:rsid w:val="050032CC"/>
    <w:rsid w:val="05B5CA46"/>
    <w:rsid w:val="05C4BD68"/>
    <w:rsid w:val="05DDE5C5"/>
    <w:rsid w:val="066F99E3"/>
    <w:rsid w:val="0689A3FE"/>
    <w:rsid w:val="075C06C8"/>
    <w:rsid w:val="084A8E19"/>
    <w:rsid w:val="08B87BE3"/>
    <w:rsid w:val="0A3801D1"/>
    <w:rsid w:val="0AEC95CC"/>
    <w:rsid w:val="0B5EC319"/>
    <w:rsid w:val="0B7E81D3"/>
    <w:rsid w:val="0C46F07B"/>
    <w:rsid w:val="0CFA937A"/>
    <w:rsid w:val="0D0FA134"/>
    <w:rsid w:val="0D13D177"/>
    <w:rsid w:val="0D21E6F5"/>
    <w:rsid w:val="0DAD599F"/>
    <w:rsid w:val="0DED3E18"/>
    <w:rsid w:val="0E7C0103"/>
    <w:rsid w:val="0E9663DB"/>
    <w:rsid w:val="0F43842F"/>
    <w:rsid w:val="0F5B16AD"/>
    <w:rsid w:val="0F9D1C7A"/>
    <w:rsid w:val="104A3841"/>
    <w:rsid w:val="10783DE5"/>
    <w:rsid w:val="117772BD"/>
    <w:rsid w:val="1177C744"/>
    <w:rsid w:val="118FFE1A"/>
    <w:rsid w:val="12088A53"/>
    <w:rsid w:val="12BE1F85"/>
    <w:rsid w:val="130C56CF"/>
    <w:rsid w:val="13706B5B"/>
    <w:rsid w:val="138D40C0"/>
    <w:rsid w:val="1391E4EA"/>
    <w:rsid w:val="13F9869D"/>
    <w:rsid w:val="145C7F9C"/>
    <w:rsid w:val="14C79EDC"/>
    <w:rsid w:val="150C3BBC"/>
    <w:rsid w:val="15BDEF97"/>
    <w:rsid w:val="16378475"/>
    <w:rsid w:val="168712E8"/>
    <w:rsid w:val="169A6AF3"/>
    <w:rsid w:val="16AF930E"/>
    <w:rsid w:val="171684D9"/>
    <w:rsid w:val="1759BFF8"/>
    <w:rsid w:val="179190A8"/>
    <w:rsid w:val="17B132BC"/>
    <w:rsid w:val="186EBAF4"/>
    <w:rsid w:val="18834FCA"/>
    <w:rsid w:val="18D31AAB"/>
    <w:rsid w:val="18F59059"/>
    <w:rsid w:val="19E9534C"/>
    <w:rsid w:val="1A0644E7"/>
    <w:rsid w:val="1A46D17B"/>
    <w:rsid w:val="1AA941B4"/>
    <w:rsid w:val="1AE8D37E"/>
    <w:rsid w:val="1B0A6EC3"/>
    <w:rsid w:val="1B70CC40"/>
    <w:rsid w:val="1C207158"/>
    <w:rsid w:val="1C2DBDFB"/>
    <w:rsid w:val="1CB74637"/>
    <w:rsid w:val="1D24BD4C"/>
    <w:rsid w:val="1D2A04F1"/>
    <w:rsid w:val="1D422C17"/>
    <w:rsid w:val="1D556444"/>
    <w:rsid w:val="1DD0EF02"/>
    <w:rsid w:val="1E00D22C"/>
    <w:rsid w:val="1E0B813E"/>
    <w:rsid w:val="1E207440"/>
    <w:rsid w:val="1EA7D685"/>
    <w:rsid w:val="1F89B0FE"/>
    <w:rsid w:val="1F97D372"/>
    <w:rsid w:val="205C5E0E"/>
    <w:rsid w:val="20E58919"/>
    <w:rsid w:val="21073A89"/>
    <w:rsid w:val="212144A4"/>
    <w:rsid w:val="2165A246"/>
    <w:rsid w:val="21F82E6F"/>
    <w:rsid w:val="227550F7"/>
    <w:rsid w:val="231DF503"/>
    <w:rsid w:val="23C57B9C"/>
    <w:rsid w:val="23CA95F8"/>
    <w:rsid w:val="2435B538"/>
    <w:rsid w:val="254D3DFC"/>
    <w:rsid w:val="25614BFD"/>
    <w:rsid w:val="25725310"/>
    <w:rsid w:val="25ACF1B9"/>
    <w:rsid w:val="270E2371"/>
    <w:rsid w:val="27AA3825"/>
    <w:rsid w:val="27B1F2DA"/>
    <w:rsid w:val="2962F416"/>
    <w:rsid w:val="29A0EA79"/>
    <w:rsid w:val="29F73D72"/>
    <w:rsid w:val="2A1A9394"/>
    <w:rsid w:val="2A1ABEEF"/>
    <w:rsid w:val="2A3BD18F"/>
    <w:rsid w:val="2AD06B3F"/>
    <w:rsid w:val="2B0549C1"/>
    <w:rsid w:val="2B0FDE8B"/>
    <w:rsid w:val="2B1D82F5"/>
    <w:rsid w:val="2B472A95"/>
    <w:rsid w:val="2B9D3B98"/>
    <w:rsid w:val="2BF03005"/>
    <w:rsid w:val="2C279EC0"/>
    <w:rsid w:val="2CE2FAF6"/>
    <w:rsid w:val="2D42CE9C"/>
    <w:rsid w:val="2E3BFB5A"/>
    <w:rsid w:val="2EC67E52"/>
    <w:rsid w:val="305EA120"/>
    <w:rsid w:val="31F94E24"/>
    <w:rsid w:val="322DBE5A"/>
    <w:rsid w:val="33065B9A"/>
    <w:rsid w:val="3399EF75"/>
    <w:rsid w:val="349C3BCB"/>
    <w:rsid w:val="355F9CA5"/>
    <w:rsid w:val="3607D669"/>
    <w:rsid w:val="38072623"/>
    <w:rsid w:val="380DDA21"/>
    <w:rsid w:val="383E38FA"/>
    <w:rsid w:val="3853E25F"/>
    <w:rsid w:val="389872D2"/>
    <w:rsid w:val="395D75F8"/>
    <w:rsid w:val="396FACEE"/>
    <w:rsid w:val="39759D1E"/>
    <w:rsid w:val="3984F731"/>
    <w:rsid w:val="39F93625"/>
    <w:rsid w:val="3AD13155"/>
    <w:rsid w:val="3AF94659"/>
    <w:rsid w:val="3BBA9342"/>
    <w:rsid w:val="3BBD2205"/>
    <w:rsid w:val="3D58F266"/>
    <w:rsid w:val="3D97398A"/>
    <w:rsid w:val="3DB595A9"/>
    <w:rsid w:val="3DD16E7F"/>
    <w:rsid w:val="3E2A5D44"/>
    <w:rsid w:val="3E38C4F1"/>
    <w:rsid w:val="3E42F2B6"/>
    <w:rsid w:val="3E431E11"/>
    <w:rsid w:val="3E467E8B"/>
    <w:rsid w:val="3EE0E20F"/>
    <w:rsid w:val="3F0A3809"/>
    <w:rsid w:val="408CC9EA"/>
    <w:rsid w:val="40A9FE6E"/>
    <w:rsid w:val="40D40E0E"/>
    <w:rsid w:val="4100EA5D"/>
    <w:rsid w:val="4257032B"/>
    <w:rsid w:val="430805D1"/>
    <w:rsid w:val="43F6F7D4"/>
    <w:rsid w:val="4485DCE5"/>
    <w:rsid w:val="448EDE18"/>
    <w:rsid w:val="459BFB3E"/>
    <w:rsid w:val="45F2F0D2"/>
    <w:rsid w:val="467E47C6"/>
    <w:rsid w:val="46D6234E"/>
    <w:rsid w:val="4763CED7"/>
    <w:rsid w:val="47F1EDDD"/>
    <w:rsid w:val="4887C455"/>
    <w:rsid w:val="48D39C00"/>
    <w:rsid w:val="4968CFF8"/>
    <w:rsid w:val="4993AE6E"/>
    <w:rsid w:val="4A691542"/>
    <w:rsid w:val="4B084D61"/>
    <w:rsid w:val="4C04E5A3"/>
    <w:rsid w:val="4C16C0B5"/>
    <w:rsid w:val="4D16868A"/>
    <w:rsid w:val="4D4C71E4"/>
    <w:rsid w:val="4DE9840C"/>
    <w:rsid w:val="4E2371DA"/>
    <w:rsid w:val="4E57D33A"/>
    <w:rsid w:val="4EE13533"/>
    <w:rsid w:val="4F298351"/>
    <w:rsid w:val="4F39AA7B"/>
    <w:rsid w:val="4FDBBE84"/>
    <w:rsid w:val="504E274C"/>
    <w:rsid w:val="50ECEB9C"/>
    <w:rsid w:val="515E8429"/>
    <w:rsid w:val="519EC053"/>
    <w:rsid w:val="5263E01F"/>
    <w:rsid w:val="52D93FA2"/>
    <w:rsid w:val="53073080"/>
    <w:rsid w:val="5385C80E"/>
    <w:rsid w:val="53F6CF2B"/>
    <w:rsid w:val="5429C020"/>
    <w:rsid w:val="549C00AF"/>
    <w:rsid w:val="54D070E5"/>
    <w:rsid w:val="5590E6FF"/>
    <w:rsid w:val="5598C4D5"/>
    <w:rsid w:val="55BAFBB7"/>
    <w:rsid w:val="55F495F1"/>
    <w:rsid w:val="566FA1C0"/>
    <w:rsid w:val="56B00945"/>
    <w:rsid w:val="59D63A17"/>
    <w:rsid w:val="5A39CF9E"/>
    <w:rsid w:val="5A9901A4"/>
    <w:rsid w:val="5ACFA15A"/>
    <w:rsid w:val="5B0B4233"/>
    <w:rsid w:val="5B6119EA"/>
    <w:rsid w:val="5CAF001A"/>
    <w:rsid w:val="5CC22F12"/>
    <w:rsid w:val="5CC506C9"/>
    <w:rsid w:val="5CDEE344"/>
    <w:rsid w:val="5CF5A403"/>
    <w:rsid w:val="5DE67F79"/>
    <w:rsid w:val="5EE8629B"/>
    <w:rsid w:val="5F34866C"/>
    <w:rsid w:val="5F60EED4"/>
    <w:rsid w:val="5FF5CB02"/>
    <w:rsid w:val="5FFD5BA9"/>
    <w:rsid w:val="62B1B8CD"/>
    <w:rsid w:val="6334FC6B"/>
    <w:rsid w:val="63A3D95E"/>
    <w:rsid w:val="63F5BF9E"/>
    <w:rsid w:val="6455C0FD"/>
    <w:rsid w:val="64A564B6"/>
    <w:rsid w:val="64B8BCC4"/>
    <w:rsid w:val="64EE7EF2"/>
    <w:rsid w:val="65C12F45"/>
    <w:rsid w:val="65DBB44B"/>
    <w:rsid w:val="664DF4DA"/>
    <w:rsid w:val="6655E260"/>
    <w:rsid w:val="6790493C"/>
    <w:rsid w:val="67A090B7"/>
    <w:rsid w:val="67A9CDF0"/>
    <w:rsid w:val="688124B2"/>
    <w:rsid w:val="69671258"/>
    <w:rsid w:val="69A63802"/>
    <w:rsid w:val="6A393F86"/>
    <w:rsid w:val="6A55064E"/>
    <w:rsid w:val="6AFA2BE5"/>
    <w:rsid w:val="6B400E50"/>
    <w:rsid w:val="6B420863"/>
    <w:rsid w:val="6C9EB31A"/>
    <w:rsid w:val="6CDBDEB1"/>
    <w:rsid w:val="6CDDD8C4"/>
    <w:rsid w:val="6F29FAE8"/>
    <w:rsid w:val="7040D4A6"/>
    <w:rsid w:val="704B5615"/>
    <w:rsid w:val="7051AD34"/>
    <w:rsid w:val="70D75F3C"/>
    <w:rsid w:val="70EA8E34"/>
    <w:rsid w:val="70F0A9BF"/>
    <w:rsid w:val="71B5EC3C"/>
    <w:rsid w:val="71F5A789"/>
    <w:rsid w:val="721980CD"/>
    <w:rsid w:val="72A5A27D"/>
    <w:rsid w:val="7382F6D7"/>
    <w:rsid w:val="73C3D759"/>
    <w:rsid w:val="740EFFFE"/>
    <w:rsid w:val="74222EF6"/>
    <w:rsid w:val="74284A81"/>
    <w:rsid w:val="7480A756"/>
    <w:rsid w:val="74ABE388"/>
    <w:rsid w:val="76B25347"/>
    <w:rsid w:val="77AB730F"/>
    <w:rsid w:val="77EEAE2E"/>
    <w:rsid w:val="7807D68B"/>
    <w:rsid w:val="7828CFC0"/>
    <w:rsid w:val="7849E6ED"/>
    <w:rsid w:val="7866E663"/>
    <w:rsid w:val="787E201F"/>
    <w:rsid w:val="78E3947E"/>
    <w:rsid w:val="790FC9A5"/>
    <w:rsid w:val="79262970"/>
    <w:rsid w:val="79C44952"/>
    <w:rsid w:val="7AB0B462"/>
    <w:rsid w:val="7B720475"/>
    <w:rsid w:val="7BB34339"/>
    <w:rsid w:val="7C1A11E3"/>
    <w:rsid w:val="7C335C66"/>
    <w:rsid w:val="7C49F50D"/>
    <w:rsid w:val="7D05E750"/>
    <w:rsid w:val="7E512FEF"/>
    <w:rsid w:val="7F686D72"/>
    <w:rsid w:val="7FBEE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ECF33"/>
  <w15:chartTrackingRefBased/>
  <w15:docId w15:val="{7DD6C325-7256-4D5C-8C71-48D1AF4D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891"/>
    <w:pPr>
      <w:spacing w:after="0" w:line="240" w:lineRule="auto"/>
    </w:pPr>
    <w:rPr>
      <w:rFonts w:ascii="Gill Sans Infant Std" w:eastAsia="Times New Roman" w:hAnsi="Gill Sans Infant Std" w:cs="Times New Roman"/>
      <w:szCs w:val="20"/>
    </w:rPr>
  </w:style>
  <w:style w:type="paragraph" w:styleId="Ttulo1">
    <w:name w:val="heading 1"/>
    <w:basedOn w:val="Normal"/>
    <w:next w:val="Normal"/>
    <w:link w:val="Ttulo1Car"/>
    <w:uiPriority w:val="9"/>
    <w:qFormat/>
    <w:rsid w:val="00F14891"/>
    <w:pPr>
      <w:keepNext/>
      <w:keepLines/>
      <w:spacing w:before="240"/>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F14891"/>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Ttulo3">
    <w:name w:val="heading 3"/>
    <w:basedOn w:val="Normal"/>
    <w:next w:val="Normal"/>
    <w:link w:val="Ttulo3Car"/>
    <w:uiPriority w:val="9"/>
    <w:semiHidden/>
    <w:unhideWhenUsed/>
    <w:qFormat/>
    <w:rsid w:val="00F14891"/>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Ttulo4">
    <w:name w:val="heading 4"/>
    <w:basedOn w:val="Normal"/>
    <w:next w:val="Normal"/>
    <w:link w:val="Ttulo4Car"/>
    <w:uiPriority w:val="9"/>
    <w:semiHidden/>
    <w:unhideWhenUsed/>
    <w:qFormat/>
    <w:rsid w:val="00F14891"/>
    <w:pPr>
      <w:keepNext/>
      <w:keepLines/>
      <w:spacing w:before="40"/>
      <w:outlineLvl w:val="3"/>
    </w:pPr>
    <w:rPr>
      <w:rFonts w:asciiTheme="majorHAnsi" w:eastAsiaTheme="majorEastAsia" w:hAnsiTheme="majorHAnsi" w:cstheme="majorBidi"/>
      <w:i/>
      <w:iCs/>
      <w:color w:val="FFFFFF" w:themeColor="text2"/>
    </w:rPr>
  </w:style>
  <w:style w:type="paragraph" w:styleId="Ttulo5">
    <w:name w:val="heading 5"/>
    <w:basedOn w:val="Normal"/>
    <w:next w:val="Normal"/>
    <w:link w:val="Ttulo5Car"/>
    <w:uiPriority w:val="9"/>
    <w:semiHidden/>
    <w:unhideWhenUsed/>
    <w:qFormat/>
    <w:rsid w:val="00F14891"/>
    <w:pPr>
      <w:keepNext/>
      <w:keepLines/>
      <w:spacing w:before="40"/>
      <w:outlineLvl w:val="4"/>
    </w:pPr>
    <w:rPr>
      <w:rFonts w:asciiTheme="majorHAnsi" w:eastAsiaTheme="majorEastAsia" w:hAnsiTheme="majorHAnsi" w:cstheme="majorBidi"/>
      <w:color w:val="FFFFFF" w:themeColor="text2"/>
    </w:rPr>
  </w:style>
  <w:style w:type="paragraph" w:styleId="Ttulo6">
    <w:name w:val="heading 6"/>
    <w:basedOn w:val="Normal"/>
    <w:next w:val="Normal"/>
    <w:link w:val="Ttulo6Car"/>
    <w:uiPriority w:val="9"/>
    <w:semiHidden/>
    <w:unhideWhenUsed/>
    <w:qFormat/>
    <w:rsid w:val="00F14891"/>
    <w:pPr>
      <w:keepNext/>
      <w:keepLines/>
      <w:spacing w:before="40"/>
      <w:outlineLvl w:val="5"/>
    </w:pPr>
    <w:rPr>
      <w:rFonts w:asciiTheme="majorHAnsi" w:eastAsiaTheme="majorEastAsia" w:hAnsiTheme="majorHAnsi" w:cstheme="majorBidi"/>
      <w:color w:val="FFFFFF"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6612"/>
    <w:pPr>
      <w:tabs>
        <w:tab w:val="center" w:pos="4513"/>
        <w:tab w:val="right" w:pos="9026"/>
      </w:tabs>
    </w:pPr>
  </w:style>
  <w:style w:type="character" w:customStyle="1" w:styleId="EncabezadoCar">
    <w:name w:val="Encabezado Car"/>
    <w:basedOn w:val="Fuentedeprrafopredeter"/>
    <w:link w:val="Encabezado"/>
    <w:uiPriority w:val="99"/>
    <w:rsid w:val="00B66612"/>
  </w:style>
  <w:style w:type="paragraph" w:styleId="Piedepgina">
    <w:name w:val="footer"/>
    <w:basedOn w:val="Normal"/>
    <w:link w:val="PiedepginaCar"/>
    <w:unhideWhenUsed/>
    <w:rsid w:val="00B66612"/>
    <w:pPr>
      <w:tabs>
        <w:tab w:val="center" w:pos="4513"/>
        <w:tab w:val="right" w:pos="9026"/>
      </w:tabs>
    </w:pPr>
    <w:rPr>
      <w:sz w:val="14"/>
    </w:rPr>
  </w:style>
  <w:style w:type="character" w:customStyle="1" w:styleId="PiedepginaCar">
    <w:name w:val="Pie de página Car"/>
    <w:basedOn w:val="Fuentedeprrafopredeter"/>
    <w:link w:val="Piedepgina"/>
    <w:uiPriority w:val="99"/>
    <w:rsid w:val="00B66612"/>
    <w:rPr>
      <w:rFonts w:ascii="Garamond" w:eastAsia="Times New Roman" w:hAnsi="Garamond" w:cs="Times New Roman"/>
      <w:sz w:val="14"/>
      <w:szCs w:val="20"/>
    </w:rPr>
  </w:style>
  <w:style w:type="character" w:styleId="Hipervnculo">
    <w:name w:val="Hyperlink"/>
    <w:rsid w:val="00F14891"/>
    <w:rPr>
      <w:color w:val="DA291C" w:themeColor="accent1"/>
      <w:u w:val="single"/>
    </w:rPr>
  </w:style>
  <w:style w:type="table" w:styleId="Tablaconcuadrcula">
    <w:name w:val="Table Grid"/>
    <w:basedOn w:val="Tabla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48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891"/>
    <w:rPr>
      <w:rFonts w:ascii="Segoe UI" w:eastAsia="Times New Roman" w:hAnsi="Segoe UI" w:cs="Segoe UI"/>
      <w:sz w:val="18"/>
      <w:szCs w:val="18"/>
    </w:rPr>
  </w:style>
  <w:style w:type="character" w:customStyle="1" w:styleId="Ttulo1Car">
    <w:name w:val="Título 1 Car"/>
    <w:basedOn w:val="Fuentedeprrafopredeter"/>
    <w:link w:val="Ttulo1"/>
    <w:uiPriority w:val="9"/>
    <w:rsid w:val="00F14891"/>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F14891"/>
    <w:rPr>
      <w:rFonts w:asciiTheme="majorHAnsi" w:eastAsiaTheme="majorEastAsia" w:hAnsiTheme="majorHAnsi" w:cstheme="majorBidi"/>
      <w:b/>
      <w:color w:val="DA291C" w:themeColor="background2"/>
      <w:sz w:val="26"/>
      <w:szCs w:val="26"/>
    </w:rPr>
  </w:style>
  <w:style w:type="character" w:customStyle="1" w:styleId="Ttulo3Car">
    <w:name w:val="Título 3 Car"/>
    <w:basedOn w:val="Fuentedeprrafopredeter"/>
    <w:link w:val="Ttulo3"/>
    <w:uiPriority w:val="9"/>
    <w:semiHidden/>
    <w:rsid w:val="00F14891"/>
    <w:rPr>
      <w:rFonts w:asciiTheme="majorHAnsi" w:eastAsiaTheme="majorEastAsia" w:hAnsiTheme="majorHAnsi" w:cstheme="majorBidi"/>
      <w:b/>
      <w:color w:val="DA291C" w:themeColor="background2"/>
      <w:sz w:val="24"/>
      <w:szCs w:val="24"/>
    </w:rPr>
  </w:style>
  <w:style w:type="character" w:customStyle="1" w:styleId="Ttulo4Car">
    <w:name w:val="Título 4 Car"/>
    <w:basedOn w:val="Fuentedeprrafopredeter"/>
    <w:link w:val="Ttulo4"/>
    <w:uiPriority w:val="9"/>
    <w:semiHidden/>
    <w:rsid w:val="00F14891"/>
    <w:rPr>
      <w:rFonts w:asciiTheme="majorHAnsi" w:eastAsiaTheme="majorEastAsia" w:hAnsiTheme="majorHAnsi" w:cstheme="majorBidi"/>
      <w:i/>
      <w:iCs/>
      <w:color w:val="FFFFFF" w:themeColor="text2"/>
      <w:szCs w:val="20"/>
    </w:rPr>
  </w:style>
  <w:style w:type="character" w:customStyle="1" w:styleId="Ttulo5Car">
    <w:name w:val="Título 5 Car"/>
    <w:basedOn w:val="Fuentedeprrafopredeter"/>
    <w:link w:val="Ttulo5"/>
    <w:uiPriority w:val="9"/>
    <w:semiHidden/>
    <w:rsid w:val="00F14891"/>
    <w:rPr>
      <w:rFonts w:asciiTheme="majorHAnsi" w:eastAsiaTheme="majorEastAsia" w:hAnsiTheme="majorHAnsi" w:cstheme="majorBidi"/>
      <w:color w:val="FFFFFF" w:themeColor="text2"/>
      <w:szCs w:val="20"/>
    </w:rPr>
  </w:style>
  <w:style w:type="character" w:customStyle="1" w:styleId="Ttulo6Car">
    <w:name w:val="Título 6 Car"/>
    <w:basedOn w:val="Fuentedeprrafopredeter"/>
    <w:link w:val="Ttulo6"/>
    <w:uiPriority w:val="9"/>
    <w:semiHidden/>
    <w:rsid w:val="00F14891"/>
    <w:rPr>
      <w:rFonts w:asciiTheme="majorHAnsi" w:eastAsiaTheme="majorEastAsia" w:hAnsiTheme="majorHAnsi" w:cstheme="majorBidi"/>
      <w:color w:val="FFFFFF" w:themeColor="text2"/>
      <w:szCs w:val="20"/>
    </w:rPr>
  </w:style>
  <w:style w:type="paragraph" w:styleId="Listaconvietas">
    <w:name w:val="List Bullet"/>
    <w:basedOn w:val="Normal"/>
    <w:uiPriority w:val="99"/>
    <w:unhideWhenUsed/>
    <w:qFormat/>
    <w:rsid w:val="00F14891"/>
    <w:pPr>
      <w:numPr>
        <w:numId w:val="7"/>
      </w:numPr>
      <w:contextualSpacing/>
    </w:pPr>
  </w:style>
  <w:style w:type="paragraph" w:styleId="Listaconvietas2">
    <w:name w:val="List Bullet 2"/>
    <w:basedOn w:val="Normal"/>
    <w:uiPriority w:val="99"/>
    <w:unhideWhenUsed/>
    <w:qFormat/>
    <w:rsid w:val="00F14891"/>
    <w:pPr>
      <w:numPr>
        <w:numId w:val="9"/>
      </w:numPr>
      <w:contextualSpacing/>
    </w:pPr>
  </w:style>
  <w:style w:type="paragraph" w:styleId="Listaconnmeros">
    <w:name w:val="List Number"/>
    <w:basedOn w:val="Normal"/>
    <w:uiPriority w:val="99"/>
    <w:unhideWhenUsed/>
    <w:qFormat/>
    <w:rsid w:val="00F14891"/>
    <w:pPr>
      <w:contextualSpacing/>
    </w:pPr>
  </w:style>
  <w:style w:type="paragraph" w:styleId="Listaconnmeros2">
    <w:name w:val="List Number 2"/>
    <w:basedOn w:val="Normal"/>
    <w:uiPriority w:val="99"/>
    <w:unhideWhenUsed/>
    <w:qFormat/>
    <w:rsid w:val="00F14891"/>
    <w:pPr>
      <w:numPr>
        <w:numId w:val="13"/>
      </w:numPr>
      <w:contextualSpacing/>
    </w:pPr>
  </w:style>
  <w:style w:type="paragraph" w:customStyle="1" w:styleId="PageNumber1">
    <w:name w:val="Page Number1"/>
    <w:basedOn w:val="Normal"/>
    <w:semiHidden/>
    <w:rsid w:val="00F14891"/>
    <w:pPr>
      <w:ind w:left="170"/>
    </w:pPr>
  </w:style>
  <w:style w:type="paragraph" w:styleId="Textoindependiente2">
    <w:name w:val="Body Text 2"/>
    <w:basedOn w:val="Normal"/>
    <w:link w:val="Textoindependiente2Car"/>
    <w:uiPriority w:val="99"/>
    <w:semiHidden/>
    <w:unhideWhenUsed/>
    <w:rsid w:val="009274F2"/>
    <w:pPr>
      <w:spacing w:after="120" w:line="480" w:lineRule="auto"/>
    </w:pPr>
  </w:style>
  <w:style w:type="character" w:customStyle="1" w:styleId="Textoindependiente2Car">
    <w:name w:val="Texto independiente 2 Car"/>
    <w:basedOn w:val="Fuentedeprrafopredeter"/>
    <w:link w:val="Textoindependiente2"/>
    <w:uiPriority w:val="99"/>
    <w:semiHidden/>
    <w:rsid w:val="009274F2"/>
    <w:rPr>
      <w:rFonts w:ascii="Gill Sans Infant Std" w:eastAsia="Times New Roman" w:hAnsi="Gill Sans Infant Std" w:cs="Times New Roman"/>
      <w:szCs w:val="20"/>
    </w:rPr>
  </w:style>
  <w:style w:type="paragraph" w:customStyle="1" w:styleId="Default">
    <w:name w:val="Default"/>
    <w:rsid w:val="005B4297"/>
    <w:pPr>
      <w:autoSpaceDE w:val="0"/>
      <w:autoSpaceDN w:val="0"/>
      <w:adjustRightInd w:val="0"/>
      <w:spacing w:after="0" w:line="240" w:lineRule="auto"/>
    </w:pPr>
    <w:rPr>
      <w:rFonts w:ascii="Arial" w:hAnsi="Arial" w:cs="Arial"/>
      <w:color w:val="000000"/>
      <w:sz w:val="24"/>
      <w:szCs w:val="24"/>
      <w:lang w:val="es-ES"/>
    </w:rPr>
  </w:style>
  <w:style w:type="paragraph" w:customStyle="1" w:styleId="parrafo">
    <w:name w:val="parrafo"/>
    <w:basedOn w:val="Normal"/>
    <w:rsid w:val="00DB3A86"/>
    <w:pPr>
      <w:spacing w:before="100" w:beforeAutospacing="1" w:after="100" w:afterAutospacing="1"/>
    </w:pPr>
    <w:rPr>
      <w:rFonts w:ascii="Times New Roman" w:hAnsi="Times New Roman"/>
      <w:sz w:val="24"/>
      <w:szCs w:val="24"/>
      <w:lang w:val="es-ES" w:eastAsia="es-ES"/>
    </w:rPr>
  </w:style>
  <w:style w:type="paragraph" w:styleId="Textonotapie">
    <w:name w:val="footnote text"/>
    <w:basedOn w:val="Normal"/>
    <w:link w:val="TextonotapieCar"/>
    <w:uiPriority w:val="99"/>
    <w:semiHidden/>
    <w:unhideWhenUsed/>
    <w:rsid w:val="00375EC3"/>
    <w:rPr>
      <w:sz w:val="20"/>
    </w:rPr>
  </w:style>
  <w:style w:type="character" w:customStyle="1" w:styleId="TextonotapieCar">
    <w:name w:val="Texto nota pie Car"/>
    <w:basedOn w:val="Fuentedeprrafopredeter"/>
    <w:link w:val="Textonotapie"/>
    <w:uiPriority w:val="99"/>
    <w:semiHidden/>
    <w:rsid w:val="00375EC3"/>
    <w:rPr>
      <w:rFonts w:ascii="Gill Sans Infant Std" w:eastAsia="Times New Roman" w:hAnsi="Gill Sans Infant Std" w:cs="Times New Roman"/>
      <w:sz w:val="20"/>
      <w:szCs w:val="20"/>
    </w:rPr>
  </w:style>
  <w:style w:type="character" w:styleId="Refdenotaalpie">
    <w:name w:val="footnote reference"/>
    <w:basedOn w:val="Fuentedeprrafopredeter"/>
    <w:uiPriority w:val="99"/>
    <w:semiHidden/>
    <w:unhideWhenUsed/>
    <w:rsid w:val="00375EC3"/>
    <w:rPr>
      <w:vertAlign w:val="superscript"/>
    </w:rPr>
  </w:style>
  <w:style w:type="paragraph" w:styleId="Prrafodelista">
    <w:name w:val="List Paragraph"/>
    <w:basedOn w:val="Normal"/>
    <w:uiPriority w:val="34"/>
    <w:rsid w:val="009F42B2"/>
    <w:pPr>
      <w:ind w:left="720"/>
      <w:contextualSpacing/>
    </w:pPr>
  </w:style>
  <w:style w:type="paragraph" w:styleId="NormalWeb">
    <w:name w:val="Normal (Web)"/>
    <w:basedOn w:val="Normal"/>
    <w:uiPriority w:val="99"/>
    <w:semiHidden/>
    <w:unhideWhenUsed/>
    <w:rsid w:val="00E15B4C"/>
    <w:pPr>
      <w:spacing w:before="100" w:beforeAutospacing="1" w:after="100" w:afterAutospacing="1"/>
    </w:pPr>
    <w:rPr>
      <w:rFonts w:ascii="Times New Roman" w:hAnsi="Times New Roman"/>
      <w:sz w:val="24"/>
      <w:szCs w:val="24"/>
      <w:lang w:val="es-ES" w:eastAsia="es-ES"/>
    </w:r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Gill Sans Infant Std" w:eastAsia="Times New Roman" w:hAnsi="Gill Sans Infant Std" w:cs="Times New Roman"/>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3481">
      <w:bodyDiv w:val="1"/>
      <w:marLeft w:val="0"/>
      <w:marRight w:val="0"/>
      <w:marTop w:val="0"/>
      <w:marBottom w:val="0"/>
      <w:divBdr>
        <w:top w:val="none" w:sz="0" w:space="0" w:color="auto"/>
        <w:left w:val="none" w:sz="0" w:space="0" w:color="auto"/>
        <w:bottom w:val="none" w:sz="0" w:space="0" w:color="auto"/>
        <w:right w:val="none" w:sz="0" w:space="0" w:color="auto"/>
      </w:divBdr>
    </w:div>
    <w:div w:id="889927607">
      <w:bodyDiv w:val="1"/>
      <w:marLeft w:val="0"/>
      <w:marRight w:val="0"/>
      <w:marTop w:val="0"/>
      <w:marBottom w:val="0"/>
      <w:divBdr>
        <w:top w:val="none" w:sz="0" w:space="0" w:color="auto"/>
        <w:left w:val="none" w:sz="0" w:space="0" w:color="auto"/>
        <w:bottom w:val="none" w:sz="0" w:space="0" w:color="auto"/>
        <w:right w:val="none" w:sz="0" w:space="0" w:color="auto"/>
      </w:divBdr>
    </w:div>
    <w:div w:id="1057390513">
      <w:bodyDiv w:val="1"/>
      <w:marLeft w:val="0"/>
      <w:marRight w:val="0"/>
      <w:marTop w:val="0"/>
      <w:marBottom w:val="0"/>
      <w:divBdr>
        <w:top w:val="none" w:sz="0" w:space="0" w:color="auto"/>
        <w:left w:val="none" w:sz="0" w:space="0" w:color="auto"/>
        <w:bottom w:val="none" w:sz="0" w:space="0" w:color="auto"/>
        <w:right w:val="none" w:sz="0" w:space="0" w:color="auto"/>
      </w:divBdr>
    </w:div>
    <w:div w:id="1384522363">
      <w:bodyDiv w:val="1"/>
      <w:marLeft w:val="0"/>
      <w:marRight w:val="0"/>
      <w:marTop w:val="0"/>
      <w:marBottom w:val="0"/>
      <w:divBdr>
        <w:top w:val="none" w:sz="0" w:space="0" w:color="auto"/>
        <w:left w:val="none" w:sz="0" w:space="0" w:color="auto"/>
        <w:bottom w:val="none" w:sz="0" w:space="0" w:color="auto"/>
        <w:right w:val="none" w:sz="0" w:space="0" w:color="auto"/>
      </w:divBdr>
      <w:divsChild>
        <w:div w:id="1663578598">
          <w:marLeft w:val="0"/>
          <w:marRight w:val="0"/>
          <w:marTop w:val="0"/>
          <w:marBottom w:val="0"/>
          <w:divBdr>
            <w:top w:val="none" w:sz="0" w:space="0" w:color="auto"/>
            <w:left w:val="none" w:sz="0" w:space="0" w:color="auto"/>
            <w:bottom w:val="none" w:sz="0" w:space="0" w:color="auto"/>
            <w:right w:val="none" w:sz="0" w:space="0" w:color="auto"/>
          </w:divBdr>
        </w:div>
      </w:divsChild>
    </w:div>
    <w:div w:id="1619212876">
      <w:bodyDiv w:val="1"/>
      <w:marLeft w:val="0"/>
      <w:marRight w:val="0"/>
      <w:marTop w:val="0"/>
      <w:marBottom w:val="0"/>
      <w:divBdr>
        <w:top w:val="none" w:sz="0" w:space="0" w:color="auto"/>
        <w:left w:val="none" w:sz="0" w:space="0" w:color="auto"/>
        <w:bottom w:val="none" w:sz="0" w:space="0" w:color="auto"/>
        <w:right w:val="none" w:sz="0" w:space="0" w:color="auto"/>
      </w:divBdr>
    </w:div>
    <w:div w:id="1651787061">
      <w:bodyDiv w:val="1"/>
      <w:marLeft w:val="0"/>
      <w:marRight w:val="0"/>
      <w:marTop w:val="0"/>
      <w:marBottom w:val="0"/>
      <w:divBdr>
        <w:top w:val="none" w:sz="0" w:space="0" w:color="auto"/>
        <w:left w:val="none" w:sz="0" w:space="0" w:color="auto"/>
        <w:bottom w:val="none" w:sz="0" w:space="0" w:color="auto"/>
        <w:right w:val="none" w:sz="0" w:space="0" w:color="auto"/>
      </w:divBdr>
    </w:div>
    <w:div w:id="16807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2cddca390600481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da8b2b82e308431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pravno-informacioni-sistem.rs/SlGlasnikPortal/eli/rep/mu/skupstina/zakon/2021/3/3/reg" TargetMode="External"/><Relationship Id="rId13" Type="http://schemas.openxmlformats.org/officeDocument/2006/relationships/hyperlink" Target="https://rs.n1info.com/english/news/a631707-eu-building-of-wire-fence-between-serbia-and-north-macedonia-isnt-agreed/" TargetMode="External"/><Relationship Id="rId18" Type="http://schemas.openxmlformats.org/officeDocument/2006/relationships/hyperlink" Target="https://hr.n1info.com/english/news/five-year-old-migrant-boy-drowns-in-river-on-the-bosnia-croatia-border/" TargetMode="External"/><Relationship Id="rId3" Type="http://schemas.openxmlformats.org/officeDocument/2006/relationships/hyperlink" Target="https://www.pravno-informacioni-sistem.rs/SlGlasnikPortal/eli/rep/sgrs/vlada/strategija/2020/21/1/reg" TargetMode="External"/><Relationship Id="rId7" Type="http://schemas.openxmlformats.org/officeDocument/2006/relationships/hyperlink" Target="https://frontex.europa.eu/media-centre/news/news-release/frontex-expands-presence-in-western-balkans-with-operation-in-serbia-9WRMiW" TargetMode="External"/><Relationship Id="rId12" Type="http://schemas.openxmlformats.org/officeDocument/2006/relationships/hyperlink" Target="https://www.srbija.gov.rs/vest/en/179734/joint-police-patrols-of-serbia-hungary-to-protect-two-countries-borders.php" TargetMode="External"/><Relationship Id="rId17" Type="http://schemas.openxmlformats.org/officeDocument/2006/relationships/hyperlink" Target="https://ennhri.org/wp-content/uploads/2021/07/Serbian-National-Report-3.pdf" TargetMode="External"/><Relationship Id="rId2" Type="http://schemas.openxmlformats.org/officeDocument/2006/relationships/hyperlink" Target="https://www.pravno-informacioni-sistem.rs/SlGlasnikPortal/eli/rep/sgrs/vlada/drugiakt/2021/89/1/reg" TargetMode="External"/><Relationship Id="rId16" Type="http://schemas.openxmlformats.org/officeDocument/2006/relationships/hyperlink" Target="https://drc.ngo/about-us/for-the-media/press-releases/2021/12/12-000-pushbacks-in-2021-reflects-worrying-normalization-of-illegal-practice/" TargetMode="External"/><Relationship Id="rId1" Type="http://schemas.openxmlformats.org/officeDocument/2006/relationships/hyperlink" Target="https://www.pravno-informacioni-sistem.rs/SlGlasnikPortal/eli/rep/mu/skupstina/zakon/2021/17/6/reg" TargetMode="External"/><Relationship Id="rId6" Type="http://schemas.openxmlformats.org/officeDocument/2006/relationships/hyperlink" Target="https://frontex.europa.eu/about-frontex/key-documents/?category=working-arrangements-with-non-eu-countries" TargetMode="External"/><Relationship Id="rId11" Type="http://schemas.openxmlformats.org/officeDocument/2006/relationships/hyperlink" Target="http://www.tanjug.rs/full-view.aspx?izb=715335" TargetMode="External"/><Relationship Id="rId5" Type="http://schemas.openxmlformats.org/officeDocument/2006/relationships/hyperlink" Target="https://drc.ngo/media/rzplexyz/prab-iii-report-july-to-november-2021_final.pdf" TargetMode="External"/><Relationship Id="rId15" Type="http://schemas.openxmlformats.org/officeDocument/2006/relationships/hyperlink" Target="https://www.pravno-informacioni-sistem.rs/SlGlasnikPortal/eli/rep/sgrs/vlada/odluka/2009/67/1/reg" TargetMode="External"/><Relationship Id="rId10" Type="http://schemas.openxmlformats.org/officeDocument/2006/relationships/hyperlink" Target="https://www.b92.net/info/vesti/index.php?yyyy=2022&amp;mm=01&amp;dd=18&amp;nav_category=12&amp;nav_id=2090522" TargetMode="External"/><Relationship Id="rId19" Type="http://schemas.openxmlformats.org/officeDocument/2006/relationships/hyperlink" Target="https://www.hrw.org/news/2021/08/02/croatia/eu-strengthen-border-monitoring-system" TargetMode="External"/><Relationship Id="rId4" Type="http://schemas.openxmlformats.org/officeDocument/2006/relationships/hyperlink" Target="https://www.coe.int/en/web/cpt/-/council-of-europe-anti-torture-committee-publishes-report-on-its-2020-ad-hoc-visit-to-croatia" TargetMode="External"/><Relationship Id="rId9" Type="http://schemas.openxmlformats.org/officeDocument/2006/relationships/hyperlink" Target="https://beta.rs/vesti/politika-vesti-srbija/151789-vucic-srbija-nece-biti-parking-za-izbeglice-iz-avganistana-dolazak-par-stotina-ljudi-nije-nista" TargetMode="External"/><Relationship Id="rId14" Type="http://schemas.openxmlformats.org/officeDocument/2006/relationships/hyperlink" Target="http://www.sluzbenenovine.ba/page/akt/hNpNPuX9K9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5BCD-F442-4C99-9B0E-9EB337B9C12E}">
  <ds:schemaRefs>
    <ds:schemaRef ds:uri="http://schemas.microsoft.com/sharepoint/v3/contenttype/forms"/>
  </ds:schemaRefs>
</ds:datastoreItem>
</file>

<file path=customXml/itemProps2.xml><?xml version="1.0" encoding="utf-8"?>
<ds:datastoreItem xmlns:ds="http://schemas.openxmlformats.org/officeDocument/2006/customXml" ds:itemID="{F493F009-9166-4FA3-AFC3-5381A47C7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A1733-0094-402D-8EE5-4C597B2A2A4A}"/>
</file>

<file path=customXml/itemProps4.xml><?xml version="1.0" encoding="utf-8"?>
<ds:datastoreItem xmlns:ds="http://schemas.openxmlformats.org/officeDocument/2006/customXml" ds:itemID="{79953724-DDA7-4878-9D1A-3C5C9B76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PC</dc:creator>
  <cp:keywords/>
  <dc:description/>
  <cp:lastModifiedBy>Jennifer Zuppiroli</cp:lastModifiedBy>
  <cp:revision>3</cp:revision>
  <cp:lastPrinted>2018-04-06T15:03:00Z</cp:lastPrinted>
  <dcterms:created xsi:type="dcterms:W3CDTF">2022-02-24T15:22:00Z</dcterms:created>
  <dcterms:modified xsi:type="dcterms:W3CDTF">2022-02-28T17:51:00Z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