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6" w:rsidRDefault="00C31316" w:rsidP="00C31316">
      <w:pPr>
        <w:spacing w:after="280" w:line="240" w:lineRule="auto"/>
        <w:jc w:val="center"/>
        <w:rPr>
          <w:color w:val="000000"/>
          <w:sz w:val="28"/>
          <w:szCs w:val="28"/>
          <w:lang w:val="pt-BR" w:eastAsia="en-GB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pt-PT" w:eastAsia="en-GB"/>
        </w:rPr>
        <w:t>Órgão de prevenção à tortura da ONU aplaude</w:t>
      </w:r>
      <w:r>
        <w:rPr>
          <w:lang w:val="pt-PT"/>
        </w:rPr>
        <w:t xml:space="preserve"> </w:t>
      </w:r>
      <w:r>
        <w:rPr>
          <w:b/>
          <w:bCs/>
          <w:sz w:val="28"/>
          <w:szCs w:val="28"/>
          <w:lang w:val="pt-PT"/>
        </w:rPr>
        <w:t>decisão</w:t>
      </w:r>
      <w:r>
        <w:rPr>
          <w:lang w:val="pt-PT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pt-PT" w:eastAsia="en-GB"/>
        </w:rPr>
        <w:t>do</w:t>
      </w:r>
      <w:r>
        <w:rPr>
          <w:lang w:val="pt-PT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pt-PT" w:eastAsia="en-GB"/>
        </w:rPr>
        <w:t>STF que protege o mecanismo de prevenção nacional</w:t>
      </w:r>
    </w:p>
    <w:p w:rsidR="00C31316" w:rsidRDefault="00C31316" w:rsidP="00C31316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GENEBRA (1 de abril de 2022) – O </w:t>
      </w:r>
      <w:hyperlink r:id="rId4" w:history="1">
        <w:r>
          <w:rPr>
            <w:rStyle w:val="Hyperlink"/>
            <w:sz w:val="26"/>
            <w:szCs w:val="26"/>
            <w:shd w:val="clear" w:color="auto" w:fill="FFFFFF"/>
            <w:lang w:val="pt-PT" w:eastAsia="en-GB"/>
          </w:rPr>
          <w:t>Subcomitê de Prevenção da Tortura e outros Tratamentos ou Penas Cruéis, Desumanos ou Degradantes</w:t>
        </w:r>
      </w:hyperlink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 (SPT)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saudou a decisão da Suprema Corte do  Brasil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de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anular um decreto presidencial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que havia desmantelado o mecanismo de prevenção à tortura do país. </w:t>
      </w:r>
    </w:p>
    <w:p w:rsidR="00C31316" w:rsidRDefault="00C31316" w:rsidP="00C31316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</w:p>
    <w:p w:rsidR="00C31316" w:rsidRDefault="00C31316" w:rsidP="00C31316">
      <w:pPr>
        <w:spacing w:after="0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>Em recente decisão unânime adotada, o Supremo Tribunal Federal do Brasil decidiu que o decreto presidencial aprovado em 2019 é inconstitucional.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 Com o controverso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decreto, o governo brasileiro reduziu drasticamente o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apoio financeiro e de secretariado ao Mecanismo Nacional de Prevenção e Combate à Tortura (MNPCT), o guardião da prevenção da tortura no país; e membros do MNPCT deixariam de ser pagos e teriam que trabalhar como voluntários.  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O mandato do MNPCT exige que seus membros estejam disponíveis ao longo do ano para viajar pelo país para inspecionar prisões, centros de detenção e outros lugares onde as pessoas são privadas de sua liberdade. O Supremo Tribunal Federal considerou que os membros do MNPCT não poderiam cumprir seu mandato com total dedicação sem remuneração, pois precisariam encontrar outra </w:t>
      </w:r>
      <w:r>
        <w:rPr>
          <w:sz w:val="26"/>
          <w:szCs w:val="26"/>
          <w:lang w:val="pt-PT"/>
        </w:rPr>
        <w:t xml:space="preserve">atividade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remunerada. 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lang w:val="pt-PT"/>
        </w:rPr>
        <w:t xml:space="preserve">O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STF também considerou que o decreto é um abuso do poder regulatório, e contraditório ao cumprimento do </w:t>
      </w:r>
      <w:hyperlink r:id="rId5" w:history="1">
        <w:r>
          <w:rPr>
            <w:rStyle w:val="Hyperlink"/>
            <w:sz w:val="26"/>
            <w:szCs w:val="26"/>
            <w:shd w:val="clear" w:color="auto" w:fill="FFFFFF"/>
            <w:lang w:val="pt-PT" w:eastAsia="en-GB"/>
          </w:rPr>
          <w:t>Protocolo Facultativo ao Protocolo Optivo à Convenção contra a Tortura</w:t>
        </w:r>
      </w:hyperlink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 (OPCAT). 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"Congratulamo-nos com esta decisão unânime do Supremo Tribunal Federal do Brasil que impede o desmantelamento do mecanismo nacional de prevenção da tortura no país", disse Suzanne Jabbour, presidente do SPT. 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>"Pedimos agora as autoridades brasileiras que implementem essa decisão imediatamente para que o mecanismo possa ser retomado, fortalecendo, sem demora, ainda mais seu trabalho preventivo ", acrescentou.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>O Brasil tem a terceira</w:t>
      </w:r>
      <w:r>
        <w:rPr>
          <w:lang w:val="pt-PT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maior população de pessoas privadas de liberdade do mundo, com mais de 750 mil detidos, muitos vivendo em prisões superlotadas. Como o tribunal também indicou, no Brasil, os direitos das pessoas em situação de privação de liberdade são severamente violados – há relatos frequentes de tortura, maus tratos e condições de detenção abaixo do padrão. 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A  </w:t>
      </w:r>
      <w:r>
        <w:rPr>
          <w:lang w:val="pt-PT"/>
        </w:rPr>
        <w:t> </w:t>
      </w:r>
      <w:r>
        <w:rPr>
          <w:sz w:val="26"/>
          <w:szCs w:val="26"/>
          <w:lang w:val="pt-PT"/>
        </w:rPr>
        <w:t xml:space="preserve">delegação do SPT visitou o </w:t>
      </w:r>
      <w:hyperlink r:id="rId6" w:history="1">
        <w:r>
          <w:rPr>
            <w:rStyle w:val="Hyperlink"/>
            <w:sz w:val="26"/>
            <w:szCs w:val="26"/>
            <w:shd w:val="clear" w:color="auto" w:fill="FFFFFF"/>
            <w:lang w:val="pt-PT" w:eastAsia="en-GB"/>
          </w:rPr>
          <w:t>Brasil em fevereiro</w:t>
        </w:r>
      </w:hyperlink>
      <w:r>
        <w:rPr>
          <w:color w:val="000000"/>
          <w:sz w:val="26"/>
          <w:szCs w:val="26"/>
          <w:shd w:val="clear" w:color="auto" w:fill="FFFFFF"/>
          <w:lang w:val="pt-PT" w:eastAsia="en-GB"/>
        </w:rPr>
        <w:t>, reunindo-se com as autoridades brasileiras</w:t>
      </w:r>
      <w:r>
        <w:rPr>
          <w:lang w:val="pt-PT"/>
        </w:rPr>
        <w:t xml:space="preserve"> para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reiterar a necessidade de se respeitar as obrigações internacionais de direitos humanos do país. Em 2019, o SPT emitiu suas</w:t>
      </w:r>
      <w:hyperlink r:id="rId7" w:history="1">
        <w:r>
          <w:rPr>
            <w:rStyle w:val="Hyperlink"/>
            <w:sz w:val="26"/>
            <w:szCs w:val="26"/>
            <w:shd w:val="clear" w:color="auto" w:fill="FFFFFF"/>
            <w:lang w:val="pt-PT" w:eastAsia="en-GB"/>
          </w:rPr>
          <w:t xml:space="preserve"> opiniões</w:t>
        </w:r>
      </w:hyperlink>
      <w:r>
        <w:rPr>
          <w:color w:val="000000"/>
          <w:sz w:val="26"/>
          <w:szCs w:val="26"/>
          <w:shd w:val="clear" w:color="auto" w:fill="FFFFFF"/>
          <w:lang w:val="pt-PT" w:eastAsia="en-GB"/>
        </w:rPr>
        <w:t xml:space="preserve">, afirmando que o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lastRenderedPageBreak/>
        <w:t>decreto presidencial impossibilitou que o MNPCT</w:t>
      </w:r>
      <w:r>
        <w:rPr>
          <w:lang w:val="pt-PT"/>
        </w:rPr>
        <w:t xml:space="preserve"> </w:t>
      </w:r>
      <w:r>
        <w:rPr>
          <w:sz w:val="26"/>
          <w:szCs w:val="26"/>
          <w:lang w:val="pt-PT"/>
        </w:rPr>
        <w:t xml:space="preserve">brasileiro </w:t>
      </w:r>
      <w:r>
        <w:rPr>
          <w:color w:val="000000"/>
          <w:sz w:val="26"/>
          <w:szCs w:val="26"/>
          <w:shd w:val="clear" w:color="auto" w:fill="FFFFFF"/>
          <w:lang w:val="pt-PT" w:eastAsia="en-GB"/>
        </w:rPr>
        <w:t> operasse em conformidade com o Protocolo Facultativo.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>Os Estados Partes do OPCAT são obrigados a estabelecer mecanismos de prevenção nacionais, funcionais e independentes. Esses órgãos realizam visitas regulares a locais onde as pessoas são privadas de sua liberdade, como parte dos esforços para prevenir tortura e maus-tratos e melhorar as condições de detenção. O Brasil estabeleceu um sistema nacional de prevenção à tortura em 2013, pelo qual cada um de seus 26 Estados deve estabelecer um órgão preventivo além do mecanismo federal, mas até agora apenas quatro dos 26 estados criaram o órgão preventivo.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z w:val="26"/>
          <w:szCs w:val="26"/>
          <w:shd w:val="clear" w:color="auto" w:fill="FFFFFF"/>
          <w:lang w:val="pt-BR" w:eastAsia="en-GB"/>
        </w:rPr>
      </w:pPr>
      <w:r>
        <w:rPr>
          <w:color w:val="000000"/>
          <w:sz w:val="26"/>
          <w:szCs w:val="26"/>
          <w:shd w:val="clear" w:color="auto" w:fill="FFFFFF"/>
          <w:lang w:val="pt-PT" w:eastAsia="en-GB"/>
        </w:rPr>
        <w:t>TERMINA</w:t>
      </w:r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hd w:val="clear" w:color="auto" w:fill="FFFFFF"/>
          <w:lang w:val="pt-BR" w:eastAsia="en-GB"/>
        </w:rPr>
      </w:pPr>
      <w:r>
        <w:rPr>
          <w:b/>
          <w:bCs/>
          <w:i/>
          <w:iCs/>
          <w:color w:val="000000"/>
          <w:shd w:val="clear" w:color="auto" w:fill="FFFFFF"/>
          <w:lang w:val="pt-PT" w:eastAsia="en-GB"/>
        </w:rPr>
        <w:t>Para mais informações e solicitações de mídia em Genebra, entre em contato com:</w:t>
      </w:r>
      <w:r>
        <w:rPr>
          <w:i/>
          <w:iCs/>
          <w:color w:val="000000"/>
          <w:shd w:val="clear" w:color="auto" w:fill="FFFFFF"/>
          <w:lang w:val="pt-PT" w:eastAsia="en-GB"/>
        </w:rPr>
        <w:br/>
        <w:t xml:space="preserve">Vivian Kwok em +41 (0) 22 917 9362 / </w:t>
      </w:r>
      <w:hyperlink r:id="rId8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>vivian.kwok@un.org</w:t>
        </w:r>
      </w:hyperlink>
      <w:r>
        <w:rPr>
          <w:i/>
          <w:iCs/>
          <w:color w:val="000000"/>
          <w:shd w:val="clear" w:color="auto" w:fill="FFFFFF"/>
          <w:lang w:val="pt-PT" w:eastAsia="en-GB"/>
        </w:rPr>
        <w:t xml:space="preserve"> ou na Seção de Mídia do Escritório de Direitos Humanos da ONU em +41 (0) 22 928 9855 / </w:t>
      </w:r>
      <w:hyperlink r:id="rId9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>ohchr-media@un.org</w:t>
        </w:r>
      </w:hyperlink>
    </w:p>
    <w:p w:rsidR="00C31316" w:rsidRDefault="00C31316" w:rsidP="00C31316">
      <w:pPr>
        <w:spacing w:before="100" w:beforeAutospacing="1" w:after="100" w:afterAutospacing="1" w:line="240" w:lineRule="auto"/>
        <w:rPr>
          <w:color w:val="000000"/>
          <w:shd w:val="clear" w:color="auto" w:fill="FFFFFF"/>
          <w:lang w:val="pt-BR" w:eastAsia="en-GB"/>
        </w:rPr>
      </w:pPr>
      <w:r>
        <w:rPr>
          <w:b/>
          <w:bCs/>
          <w:i/>
          <w:iCs/>
          <w:color w:val="000000"/>
          <w:shd w:val="clear" w:color="auto" w:fill="FFFFFF"/>
          <w:lang w:val="pt-PT" w:eastAsia="en-GB"/>
        </w:rPr>
        <w:t xml:space="preserve">Histórico </w:t>
      </w:r>
      <w:r>
        <w:rPr>
          <w:i/>
          <w:iCs/>
          <w:color w:val="000000"/>
          <w:shd w:val="clear" w:color="auto" w:fill="FFFFFF"/>
          <w:lang w:val="pt-PT" w:eastAsia="en-GB"/>
        </w:rPr>
        <w:br/>
        <w:t xml:space="preserve">O </w:t>
      </w:r>
      <w:hyperlink r:id="rId10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 xml:space="preserve">Subcomitê de Prevenção da Tortura </w:t>
        </w:r>
      </w:hyperlink>
      <w:r>
        <w:rPr>
          <w:i/>
          <w:iCs/>
          <w:color w:val="000000"/>
          <w:shd w:val="clear" w:color="auto" w:fill="FFFFFF"/>
          <w:lang w:val="pt-PT" w:eastAsia="en-GB"/>
        </w:rPr>
        <w:t xml:space="preserve">monitora a adesão dos Estados ao </w:t>
      </w:r>
      <w:hyperlink r:id="rId11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>Protocolo Facultativo à Convenção contra a Tortura</w:t>
        </w:r>
      </w:hyperlink>
      <w:r>
        <w:rPr>
          <w:i/>
          <w:iCs/>
          <w:color w:val="000000"/>
          <w:shd w:val="clear" w:color="auto" w:fill="FFFFFF"/>
          <w:lang w:val="pt-PT" w:eastAsia="en-GB"/>
        </w:rPr>
        <w:t xml:space="preserve">, que até o momento foi ratificado por </w:t>
      </w:r>
      <w:hyperlink r:id="rId12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>91 países</w:t>
        </w:r>
      </w:hyperlink>
      <w:r>
        <w:rPr>
          <w:i/>
          <w:iCs/>
          <w:color w:val="000000"/>
          <w:shd w:val="clear" w:color="auto" w:fill="FFFFFF"/>
          <w:lang w:val="pt-PT" w:eastAsia="en-GB"/>
        </w:rPr>
        <w:t xml:space="preserve">. O Subcomitê é composto por </w:t>
      </w:r>
      <w:hyperlink r:id="rId13" w:history="1">
        <w:r>
          <w:rPr>
            <w:rStyle w:val="Hyperlink"/>
            <w:i/>
            <w:iCs/>
            <w:color w:val="0000FF"/>
            <w:shd w:val="clear" w:color="auto" w:fill="FFFFFF"/>
            <w:lang w:val="pt-PT" w:eastAsia="en-GB"/>
          </w:rPr>
          <w:t>25 membros</w:t>
        </w:r>
      </w:hyperlink>
      <w:r>
        <w:rPr>
          <w:i/>
          <w:iCs/>
          <w:color w:val="000000"/>
          <w:shd w:val="clear" w:color="auto" w:fill="FFFFFF"/>
          <w:lang w:val="pt-PT" w:eastAsia="en-GB"/>
        </w:rPr>
        <w:t xml:space="preserve"> que são especialistas independentes em direitos humanos de todo o mundo, que servem em sua capacidade pessoal e não como representantes dos Estados Partes. O Subcomitê tem o mandato de visitar Estados que ratificaram o Protocolo Facultativo à Convenção contra a Tortura. O Subcomitê comunica suas observações e recomendações aos Estados por meio de relatórios confidenciais, que incentiva os países a tornar público.</w:t>
      </w:r>
    </w:p>
    <w:p w:rsidR="00C31316" w:rsidRDefault="00C31316" w:rsidP="00C31316">
      <w:pPr>
        <w:spacing w:before="100" w:beforeAutospacing="1" w:after="100" w:afterAutospacing="1" w:line="240" w:lineRule="auto"/>
        <w:jc w:val="center"/>
        <w:rPr>
          <w:b/>
          <w:bCs/>
          <w:i/>
          <w:iCs/>
          <w:color w:val="0000FF"/>
          <w:shd w:val="clear" w:color="auto" w:fill="FFFFFF"/>
          <w:lang w:val="pt-BR" w:eastAsia="en-GB"/>
        </w:rPr>
      </w:pPr>
      <w:r>
        <w:rPr>
          <w:b/>
          <w:bCs/>
          <w:i/>
          <w:iCs/>
          <w:color w:val="000000"/>
          <w:shd w:val="clear" w:color="auto" w:fill="FFFFFF"/>
          <w:lang w:val="pt-PT" w:eastAsia="en-GB"/>
        </w:rPr>
        <w:t xml:space="preserve">Saiba mais com nossos vídeos sobre o </w:t>
      </w:r>
      <w:hyperlink r:id="rId14" w:history="1">
        <w:r>
          <w:rPr>
            <w:rStyle w:val="Hyperlink"/>
            <w:b/>
            <w:bCs/>
            <w:i/>
            <w:iCs/>
            <w:color w:val="0000FF"/>
            <w:shd w:val="clear" w:color="auto" w:fill="FFFFFF"/>
            <w:lang w:val="pt-PT" w:eastAsia="en-GB"/>
          </w:rPr>
          <w:t>Sistema de Órgãos de Tratado</w:t>
        </w:r>
      </w:hyperlink>
      <w:r>
        <w:rPr>
          <w:b/>
          <w:bCs/>
          <w:i/>
          <w:iCs/>
          <w:color w:val="000000"/>
          <w:shd w:val="clear" w:color="auto" w:fill="FFFFFF"/>
          <w:lang w:val="pt-PT" w:eastAsia="en-GB"/>
        </w:rPr>
        <w:t xml:space="preserve"> e sobre </w:t>
      </w:r>
      <w:hyperlink r:id="rId15" w:history="1">
        <w:r>
          <w:rPr>
            <w:rStyle w:val="Hyperlink"/>
            <w:b/>
            <w:bCs/>
            <w:i/>
            <w:iCs/>
            <w:color w:val="0000FF"/>
            <w:shd w:val="clear" w:color="auto" w:fill="FFFFFF"/>
            <w:lang w:val="pt-PT" w:eastAsia="en-GB"/>
          </w:rPr>
          <w:t>o Subcomitê de Prevenção da Tortura</w:t>
        </w:r>
        <w:r>
          <w:rPr>
            <w:b/>
            <w:bCs/>
            <w:i/>
            <w:iCs/>
            <w:color w:val="0000FF"/>
            <w:shd w:val="clear" w:color="auto" w:fill="FFFFFF"/>
            <w:lang w:val="pt-PT" w:eastAsia="en-GB"/>
          </w:rPr>
          <w:br/>
        </w:r>
      </w:hyperlink>
    </w:p>
    <w:p w:rsidR="00C31316" w:rsidRDefault="00C31316" w:rsidP="00C31316">
      <w:pPr>
        <w:spacing w:before="100" w:beforeAutospacing="1" w:after="100" w:afterAutospacing="1" w:line="240" w:lineRule="auto"/>
        <w:jc w:val="center"/>
        <w:rPr>
          <w:color w:val="000000"/>
          <w:shd w:val="clear" w:color="auto" w:fill="FFFFFF"/>
          <w:lang w:val="pt-BR" w:eastAsia="en-GB"/>
        </w:rPr>
      </w:pPr>
      <w:r>
        <w:rPr>
          <w:b/>
          <w:bCs/>
          <w:i/>
          <w:iCs/>
          <w:color w:val="000000"/>
          <w:shd w:val="clear" w:color="auto" w:fill="FFFFFF"/>
          <w:lang w:val="pt-PT" w:eastAsia="en-GB"/>
        </w:rPr>
        <w:t>Siga os Órgãos de Tratado da ONU nas redes sociais! Estamos no Twitter @UNTreatyBodies</w:t>
      </w:r>
    </w:p>
    <w:p w:rsidR="002C155C" w:rsidRDefault="002C155C">
      <w:bookmarkStart w:id="0" w:name="_GoBack"/>
      <w:bookmarkEnd w:id="0"/>
    </w:p>
    <w:sectPr w:rsidR="002C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6"/>
    <w:rsid w:val="002C155C"/>
    <w:rsid w:val="00C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8B171-8F5D-4303-9BC1-8F76FF6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1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3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kwok@un.org" TargetMode="External"/><Relationship Id="rId13" Type="http://schemas.openxmlformats.org/officeDocument/2006/relationships/hyperlink" Target="https://previous.ohchr.org/EN/HRBodies/OPCAT/Pages/Membership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docs.org/Home/Mobile?FinalSymbol=CAT%2FOP%2F8&amp;Language=E&amp;DeviceType=Desktop&amp;LangRequested=False" TargetMode="External"/><Relationship Id="rId12" Type="http://schemas.openxmlformats.org/officeDocument/2006/relationships/hyperlink" Target="https://treaties.un.org/Pages/ViewDetails.aspx?src=TREATY&amp;mtdsg_no=IV-9-b&amp;chapter=4&amp;clang=_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hchr.org/en/press-releases/2022/02/brazil-must-abide-international-obligations-and-strengthen-its-torture" TargetMode="External"/><Relationship Id="rId11" Type="http://schemas.openxmlformats.org/officeDocument/2006/relationships/hyperlink" Target="https://previous.ohchr.org/EN/ProfessionalInterest/Pages/OPCAT.aspx" TargetMode="External"/><Relationship Id="rId5" Type="http://schemas.openxmlformats.org/officeDocument/2006/relationships/hyperlink" Target="https://www.ohchr.org/en/instruments-mechanisms/instruments/optional-protocol-convention-against-torture-and-other-cruel" TargetMode="External"/><Relationship Id="rId15" Type="http://schemas.openxmlformats.org/officeDocument/2006/relationships/hyperlink" Target="https://www.youtube.com/watch?v=iBjkqIYGoe0&amp;feature=youtu.be" TargetMode="External"/><Relationship Id="rId10" Type="http://schemas.openxmlformats.org/officeDocument/2006/relationships/hyperlink" Target="https://previous.ohchr.org/EN/HRBodies/OPCAT/Pages/OPCATIndex.aspx" TargetMode="External"/><Relationship Id="rId4" Type="http://schemas.openxmlformats.org/officeDocument/2006/relationships/hyperlink" Target="https://www.ohchr.org/en/treaty-bodies/spt/introduction-committee" TargetMode="External"/><Relationship Id="rId9" Type="http://schemas.openxmlformats.org/officeDocument/2006/relationships/hyperlink" Target="mailto:ohchr-media@un.org" TargetMode="External"/><Relationship Id="rId14" Type="http://schemas.openxmlformats.org/officeDocument/2006/relationships/hyperlink" Target="https://www.youtube.com/watch?v=2zpjb6ht0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MYTNIK Valerie</dc:creator>
  <cp:keywords/>
  <dc:description/>
  <cp:lastModifiedBy>MYTNIK Valerie</cp:lastModifiedBy>
  <cp:revision>1</cp:revision>
  <dcterms:created xsi:type="dcterms:W3CDTF">2022-04-01T14:28:00Z</dcterms:created>
  <dcterms:modified xsi:type="dcterms:W3CDTF">2022-04-01T14:29:00Z</dcterms:modified>
</cp:coreProperties>
</file>